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10k_mar312013.htm"/>
      <w:bookmarkStart w:id="1" w:name="ksvsta10k_mar312013"/>
      <w:bookmarkStart w:id="2" w:name="vsta10k_mar312013.htm"/>
      <w:bookmarkStart w:id="3" w:name="ksvsta10k_mar312013"/>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Form 10-K</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79"/>
        <w:gridCol w:w="9726"/>
      </w:tblGrid>
      <w:tr>
        <w:trPr/>
        <w:tc>
          <w:tcPr>
            <w:tcW w:w="479" w:type="dxa"/>
            <w:tcBorders/>
            <w:shd w:fill="auto" w:val="clear"/>
          </w:tcPr>
          <w:p>
            <w:pPr>
              <w:pStyle w:val="TableContents"/>
              <w:spacing w:before="0" w:after="0"/>
              <w:ind w:left="0" w:right="16" w:hanging="0"/>
              <w:jc w:val="left"/>
              <w:rPr/>
            </w:pPr>
            <w:r>
              <w:rPr/>
              <w:t>[X]</w:t>
            </w:r>
          </w:p>
        </w:tc>
        <w:tc>
          <w:tcPr>
            <w:tcW w:w="9726"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Annual Report Pursuant to Section 13 or 15(d) of the Securities Exchange Act of 1934</w:t>
            </w:r>
          </w:p>
        </w:tc>
      </w:tr>
    </w:tbl>
    <w:p>
      <w:pPr>
        <w:pStyle w:val="TextBody"/>
        <w:spacing w:before="0" w:after="0"/>
        <w:ind w:left="0" w:right="0" w:hanging="0"/>
        <w:jc w:val="center"/>
        <w:rPr>
          <w:rFonts w:ascii="Times New Roman" w:hAnsi="Times New Roman"/>
          <w:sz w:val="20"/>
        </w:rPr>
      </w:pPr>
      <w:r>
        <w:rPr>
          <w:rFonts w:ascii="Times New Roman" w:hAnsi="Times New Roman"/>
          <w:sz w:val="20"/>
        </w:rPr>
        <w:t>For the fiscal year ended: March 31, 2013</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or</w:t>
      </w:r>
    </w:p>
    <w:tbl>
      <w:tblPr>
        <w:tblW w:w="5000" w:type="pct"/>
        <w:jc w:val="left"/>
        <w:tblInd w:w="0" w:type="dxa"/>
        <w:tblCellMar>
          <w:top w:w="0" w:type="dxa"/>
          <w:left w:w="0" w:type="dxa"/>
          <w:bottom w:w="0" w:type="dxa"/>
          <w:right w:w="0" w:type="dxa"/>
        </w:tblCellMar>
      </w:tblPr>
      <w:tblGrid>
        <w:gridCol w:w="480"/>
        <w:gridCol w:w="9725"/>
      </w:tblGrid>
      <w:tr>
        <w:trPr/>
        <w:tc>
          <w:tcPr>
            <w:tcW w:w="480" w:type="dxa"/>
            <w:tcBorders/>
            <w:shd w:fill="auto" w:val="clear"/>
          </w:tcPr>
          <w:p>
            <w:pPr>
              <w:pStyle w:val="TableContents"/>
              <w:spacing w:before="0" w:after="0"/>
              <w:ind w:left="0" w:right="16" w:hanging="0"/>
              <w:jc w:val="left"/>
              <w:rPr/>
            </w:pPr>
            <w:r>
              <w:rPr/>
              <w:t>[   ]</w:t>
            </w:r>
          </w:p>
        </w:tc>
        <w:tc>
          <w:tcPr>
            <w:tcW w:w="9725"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000-54014</w:t>
      </w:r>
      <w:bookmarkStart w:id="4" w:name="FIS_UNIDENTIFIED_TABLE"/>
      <w:bookmarkEnd w:id="4"/>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4"/>
        <w:gridCol w:w="483"/>
        <w:gridCol w:w="4618"/>
      </w:tblGrid>
      <w:tr>
        <w:trPr/>
        <w:tc>
          <w:tcPr>
            <w:tcW w:w="5104"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483" w:type="dxa"/>
            <w:tcBorders/>
            <w:shd w:fill="auto" w:val="clear"/>
            <w:vAlign w:val="bottom"/>
          </w:tcPr>
          <w:p>
            <w:pPr>
              <w:pStyle w:val="TableContents"/>
              <w:spacing w:before="0" w:after="283"/>
              <w:jc w:val="left"/>
              <w:rPr/>
            </w:pPr>
            <w:r>
              <w:rPr/>
              <w:t xml:space="preserve">  </w:t>
            </w:r>
          </w:p>
        </w:tc>
        <w:tc>
          <w:tcPr>
            <w:tcW w:w="4618"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5104"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(State or other jurisdiction of</w:t>
            </w:r>
          </w:p>
          <w:p>
            <w:pPr>
              <w:pStyle w:val="TableContents"/>
              <w:spacing w:before="0" w:after="0"/>
              <w:ind w:left="0" w:right="16" w:hanging="0"/>
              <w:jc w:val="center"/>
              <w:rPr>
                <w:rFonts w:ascii="times new roman" w:hAnsi="times new roman"/>
                <w:b/>
                <w:sz w:val="20"/>
              </w:rPr>
            </w:pPr>
            <w:r>
              <w:rPr>
                <w:rFonts w:ascii="times new roman" w:hAnsi="times new roman"/>
                <w:b/>
                <w:sz w:val="20"/>
              </w:rPr>
              <w:t>incorporation or organization)</w:t>
            </w:r>
          </w:p>
        </w:tc>
        <w:tc>
          <w:tcPr>
            <w:tcW w:w="483" w:type="dxa"/>
            <w:tcBorders/>
            <w:shd w:fill="auto" w:val="clear"/>
            <w:vAlign w:val="bottom"/>
          </w:tcPr>
          <w:p>
            <w:pPr>
              <w:pStyle w:val="TableContents"/>
              <w:spacing w:before="0" w:after="283"/>
              <w:jc w:val="left"/>
              <w:rPr/>
            </w:pPr>
            <w:r>
              <w:rPr/>
              <w:t xml:space="preserve">  </w:t>
            </w:r>
          </w:p>
        </w:tc>
        <w:tc>
          <w:tcPr>
            <w:tcW w:w="4618"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(I.R.S. Employer</w:t>
            </w:r>
          </w:p>
          <w:p>
            <w:pPr>
              <w:pStyle w:val="TableContents"/>
              <w:spacing w:before="0" w:after="0"/>
              <w:ind w:left="0" w:right="16" w:hanging="0"/>
              <w:jc w:val="center"/>
              <w:rPr>
                <w:rFonts w:ascii="times new roman" w:hAnsi="times new roman"/>
                <w:b/>
                <w:sz w:val="20"/>
              </w:rPr>
            </w:pPr>
            <w:r>
              <w:rPr>
                <w:rFonts w:ascii="times new roman" w:hAnsi="times new roman"/>
                <w:b/>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California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244-9990</w:t>
      </w:r>
    </w:p>
    <w:p>
      <w:pPr>
        <w:pStyle w:val="TextBody"/>
        <w:spacing w:before="0" w:after="0"/>
        <w:ind w:left="0" w:right="0" w:hanging="0"/>
        <w:jc w:val="center"/>
        <w:rPr>
          <w:rFonts w:ascii="Times New Roman" w:hAnsi="Times New Roman"/>
          <w:b/>
          <w:sz w:val="20"/>
        </w:rPr>
      </w:pPr>
      <w:r>
        <w:rPr>
          <w:rFonts w:ascii="Times New Roman" w:hAnsi="Times New Roman"/>
          <w:b/>
          <w:sz w:val="20"/>
        </w:rPr>
        <w:t>(Address, including zip code, and telephone number, including area code, of registrant’s principal executive office)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None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Common Stock, par value $0.001 per share</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Indicate by check mark if the registrant is a well-known seasoned issuer, as defined in Rule 405 of the Securities Act. 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15(d) of the Act. 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5000" w:type="pct"/>
        <w:jc w:val="left"/>
        <w:tblInd w:w="0" w:type="dxa"/>
        <w:tblCellMar>
          <w:top w:w="0" w:type="dxa"/>
          <w:left w:w="0" w:type="dxa"/>
          <w:bottom w:w="0" w:type="dxa"/>
          <w:right w:w="0" w:type="dxa"/>
        </w:tblCellMar>
      </w:tblPr>
      <w:tblGrid>
        <w:gridCol w:w="2267"/>
        <w:gridCol w:w="227"/>
        <w:gridCol w:w="1928"/>
        <w:gridCol w:w="226"/>
        <w:gridCol w:w="2494"/>
        <w:gridCol w:w="227"/>
        <w:gridCol w:w="2836"/>
      </w:tblGrid>
      <w:tr>
        <w:trPr/>
        <w:tc>
          <w:tcPr>
            <w:tcW w:w="2267" w:type="dxa"/>
            <w:tcBorders/>
            <w:shd w:fill="auto" w:val="clear"/>
            <w:vAlign w:val="center"/>
          </w:tcPr>
          <w:p>
            <w:pPr>
              <w:pStyle w:val="TableContents"/>
              <w:spacing w:before="0" w:after="283"/>
              <w:rPr/>
            </w:pPr>
            <w:r>
              <w:rPr/>
              <w:t xml:space="preserve">  </w:t>
            </w:r>
          </w:p>
        </w:tc>
        <w:tc>
          <w:tcPr>
            <w:tcW w:w="227" w:type="dxa"/>
            <w:tcBorders/>
            <w:shd w:fill="auto" w:val="clear"/>
            <w:vAlign w:val="bottom"/>
          </w:tcPr>
          <w:p>
            <w:pPr>
              <w:pStyle w:val="TableContents"/>
              <w:spacing w:before="0" w:after="283"/>
              <w:rPr/>
            </w:pPr>
            <w:r>
              <w:rPr/>
              <w:t xml:space="preserve">  </w:t>
            </w:r>
          </w:p>
        </w:tc>
        <w:tc>
          <w:tcPr>
            <w:tcW w:w="1928" w:type="dxa"/>
            <w:tcBorders/>
            <w:shd w:fill="auto" w:val="clear"/>
            <w:vAlign w:val="center"/>
          </w:tcPr>
          <w:p>
            <w:pPr>
              <w:pStyle w:val="TableContents"/>
              <w:spacing w:before="0" w:after="283"/>
              <w:rPr/>
            </w:pPr>
            <w:r>
              <w:rPr/>
              <w:t xml:space="preserve">  </w:t>
            </w:r>
          </w:p>
        </w:tc>
        <w:tc>
          <w:tcPr>
            <w:tcW w:w="226" w:type="dxa"/>
            <w:tcBorders/>
            <w:shd w:fill="auto" w:val="clear"/>
            <w:vAlign w:val="bottom"/>
          </w:tcPr>
          <w:p>
            <w:pPr>
              <w:pStyle w:val="TableContents"/>
              <w:spacing w:before="0" w:after="283"/>
              <w:rPr/>
            </w:pPr>
            <w:r>
              <w:rPr/>
              <w:t xml:space="preserve">  </w:t>
            </w:r>
          </w:p>
        </w:tc>
        <w:tc>
          <w:tcPr>
            <w:tcW w:w="2494" w:type="dxa"/>
            <w:tcBorders/>
            <w:shd w:fill="auto" w:val="clear"/>
            <w:vAlign w:val="center"/>
          </w:tcPr>
          <w:p>
            <w:pPr>
              <w:pStyle w:val="TableContents"/>
              <w:spacing w:before="0" w:after="283"/>
              <w:rPr/>
            </w:pPr>
            <w:r>
              <w:rPr/>
              <w:t xml:space="preserve">  </w:t>
            </w:r>
          </w:p>
        </w:tc>
        <w:tc>
          <w:tcPr>
            <w:tcW w:w="227" w:type="dxa"/>
            <w:tcBorders/>
            <w:shd w:fill="auto" w:val="clear"/>
            <w:vAlign w:val="bottom"/>
          </w:tcPr>
          <w:p>
            <w:pPr>
              <w:pStyle w:val="TableContents"/>
              <w:spacing w:before="0" w:after="283"/>
              <w:rPr/>
            </w:pPr>
            <w:r>
              <w:rPr/>
              <w:t xml:space="preserve">  </w:t>
            </w:r>
          </w:p>
        </w:tc>
        <w:tc>
          <w:tcPr>
            <w:tcW w:w="2836" w:type="dxa"/>
            <w:tcBorders/>
            <w:shd w:fill="auto" w:val="clear"/>
            <w:vAlign w:val="center"/>
          </w:tcPr>
          <w:p>
            <w:pPr>
              <w:pStyle w:val="TableContents"/>
              <w:spacing w:before="0" w:after="283"/>
              <w:rPr/>
            </w:pPr>
            <w:r>
              <w:rPr/>
              <w:t xml:space="preserve">  </w:t>
            </w:r>
          </w:p>
        </w:tc>
      </w:tr>
      <w:tr>
        <w:trPr/>
        <w:tc>
          <w:tcPr>
            <w:tcW w:w="226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Large accelerated filer  [   ]</w:t>
            </w:r>
          </w:p>
        </w:tc>
        <w:tc>
          <w:tcPr>
            <w:tcW w:w="227" w:type="dxa"/>
            <w:tcBorders/>
            <w:shd w:fill="auto" w:val="clear"/>
            <w:vAlign w:val="bottom"/>
          </w:tcPr>
          <w:p>
            <w:pPr>
              <w:pStyle w:val="TableContents"/>
              <w:spacing w:before="0" w:after="0"/>
              <w:ind w:left="0" w:right="16" w:hanging="0"/>
              <w:jc w:val="left"/>
              <w:rPr/>
            </w:pPr>
            <w:r>
              <w:rPr/>
              <w:t>  </w:t>
            </w:r>
          </w:p>
        </w:tc>
        <w:tc>
          <w:tcPr>
            <w:tcW w:w="192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Accelerated filer  [   ]</w:t>
            </w:r>
          </w:p>
        </w:tc>
        <w:tc>
          <w:tcPr>
            <w:tcW w:w="226" w:type="dxa"/>
            <w:tcBorders/>
            <w:shd w:fill="auto" w:val="clear"/>
            <w:vAlign w:val="bottom"/>
          </w:tcPr>
          <w:p>
            <w:pPr>
              <w:pStyle w:val="TableContents"/>
              <w:spacing w:before="0" w:after="0"/>
              <w:ind w:left="0" w:right="16" w:hanging="0"/>
              <w:jc w:val="left"/>
              <w:rPr/>
            </w:pPr>
            <w:r>
              <w:rPr/>
              <w:t>  </w:t>
            </w:r>
          </w:p>
        </w:tc>
        <w:tc>
          <w:tcPr>
            <w:tcW w:w="2494"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Non-accelerated filer  [   ]</w:t>
            </w:r>
          </w:p>
        </w:tc>
        <w:tc>
          <w:tcPr>
            <w:tcW w:w="227" w:type="dxa"/>
            <w:tcBorders/>
            <w:shd w:fill="auto" w:val="clear"/>
            <w:vAlign w:val="bottom"/>
          </w:tcPr>
          <w:p>
            <w:pPr>
              <w:pStyle w:val="TableContents"/>
              <w:spacing w:before="0" w:after="0"/>
              <w:ind w:left="0" w:right="16" w:hanging="0"/>
              <w:jc w:val="left"/>
              <w:rPr/>
            </w:pPr>
            <w:r>
              <w:rPr/>
              <w:t>  </w:t>
            </w:r>
          </w:p>
        </w:tc>
        <w:tc>
          <w:tcPr>
            <w:tcW w:w="2836"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Smaller reporting company  [   ]</w:t>
            </w:r>
          </w:p>
        </w:tc>
      </w:tr>
      <w:tr>
        <w:trPr/>
        <w:tc>
          <w:tcPr>
            <w:tcW w:w="2267" w:type="dxa"/>
            <w:tcBorders/>
            <w:shd w:fill="auto" w:val="clear"/>
          </w:tcPr>
          <w:p>
            <w:pPr>
              <w:pStyle w:val="TableContents"/>
              <w:spacing w:before="0" w:after="283"/>
              <w:rPr/>
            </w:pPr>
            <w:r>
              <w:rPr/>
              <w:t xml:space="preserve">  </w:t>
            </w:r>
          </w:p>
        </w:tc>
        <w:tc>
          <w:tcPr>
            <w:tcW w:w="227" w:type="dxa"/>
            <w:tcBorders/>
            <w:shd w:fill="auto" w:val="clear"/>
            <w:vAlign w:val="bottom"/>
          </w:tcPr>
          <w:p>
            <w:pPr>
              <w:pStyle w:val="TableContents"/>
              <w:spacing w:before="0" w:after="0"/>
              <w:ind w:left="0" w:right="16" w:hanging="0"/>
              <w:jc w:val="left"/>
              <w:rPr/>
            </w:pPr>
            <w:r>
              <w:rPr/>
              <w:t>  </w:t>
            </w:r>
          </w:p>
        </w:tc>
        <w:tc>
          <w:tcPr>
            <w:tcW w:w="1928" w:type="dxa"/>
            <w:tcBorders/>
            <w:shd w:fill="auto" w:val="clear"/>
          </w:tcPr>
          <w:p>
            <w:pPr>
              <w:pStyle w:val="TableContents"/>
              <w:spacing w:before="0" w:after="283"/>
              <w:rPr/>
            </w:pPr>
            <w:r>
              <w:rPr/>
              <w:t xml:space="preserve">  </w:t>
            </w:r>
          </w:p>
        </w:tc>
        <w:tc>
          <w:tcPr>
            <w:tcW w:w="226" w:type="dxa"/>
            <w:tcBorders/>
            <w:shd w:fill="auto" w:val="clear"/>
            <w:vAlign w:val="bottom"/>
          </w:tcPr>
          <w:p>
            <w:pPr>
              <w:pStyle w:val="TableContents"/>
              <w:spacing w:before="0" w:after="0"/>
              <w:ind w:left="0" w:right="16" w:hanging="0"/>
              <w:jc w:val="left"/>
              <w:rPr/>
            </w:pPr>
            <w:r>
              <w:rPr/>
              <w:t>  </w:t>
            </w:r>
          </w:p>
        </w:tc>
        <w:tc>
          <w:tcPr>
            <w:tcW w:w="5557" w:type="dxa"/>
            <w:gridSpan w:val="3"/>
            <w:tcBorders/>
            <w:shd w:fill="auto" w:val="clear"/>
          </w:tcPr>
          <w:p>
            <w:pPr>
              <w:pStyle w:val="TableContents"/>
              <w:spacing w:before="0" w:after="0"/>
              <w:ind w:left="0" w:right="56" w:hanging="0"/>
              <w:jc w:val="left"/>
              <w:rPr>
                <w:rFonts w:ascii="times new roman" w:hAnsi="times new roman"/>
                <w:sz w:val="20"/>
              </w:rPr>
            </w:pPr>
            <w:r>
              <w:rPr>
                <w:rFonts w:ascii="times new roman" w:hAnsi="times new roman"/>
                <w:sz w:val="20"/>
              </w:rPr>
              <w:t>(Do not check if a smaller</w:t>
            </w:r>
          </w:p>
          <w:p>
            <w:pPr>
              <w:pStyle w:val="TableContents"/>
              <w:spacing w:before="0" w:after="0"/>
              <w:ind w:left="0" w:right="56" w:hanging="0"/>
              <w:jc w:val="left"/>
              <w:rPr>
                <w:rFonts w:ascii="times new roman" w:hAnsi="times new roman"/>
                <w:sz w:val="20"/>
              </w:rPr>
            </w:pPr>
            <w:r>
              <w:rPr>
                <w:rFonts w:ascii="times new roman" w:hAnsi="times new roman"/>
                <w:sz w:val="20"/>
              </w:rPr>
              <w:t>reporting company)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Act). 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aggregate market value of the common stock of the registrant held by non-affiliates of the registrant on September 30, 2012, the last business day of the registrant’s second fiscal quarter was: $8,317,414.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July 12, 2013 there were 21,265,967 shares of the registrant’s common stock outstanding.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 w:name="PN"/>
      <w:bookmarkEnd w:id="1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14" w:name="tocj"/>
      <w:bookmarkEnd w:id="14"/>
      <w:r>
        <w:rPr>
          <w:rFonts w:ascii="Times New Roman" w:hAnsi="Times New Roman"/>
          <w:b/>
          <w:sz w:val="20"/>
        </w:rPr>
        <w:t>TABLE OF CONTENTS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977"/>
        <w:gridCol w:w="110"/>
        <w:gridCol w:w="963"/>
        <w:gridCol w:w="110"/>
        <w:gridCol w:w="7250"/>
        <w:gridCol w:w="795"/>
      </w:tblGrid>
      <w:tr>
        <w:trPr/>
        <w:tc>
          <w:tcPr>
            <w:tcW w:w="977" w:type="dxa"/>
            <w:tcBorders/>
            <w:shd w:fill="auto" w:val="clear"/>
            <w:vAlign w:val="center"/>
          </w:tcPr>
          <w:p>
            <w:pPr>
              <w:pStyle w:val="TableContents"/>
              <w:spacing w:before="0" w:after="283"/>
              <w:rPr/>
            </w:pPr>
            <w:r>
              <w:rPr/>
              <w:t xml:space="preserve">  </w:t>
            </w:r>
          </w:p>
        </w:tc>
        <w:tc>
          <w:tcPr>
            <w:tcW w:w="110" w:type="dxa"/>
            <w:tcBorders/>
            <w:shd w:fill="auto" w:val="clear"/>
            <w:vAlign w:val="center"/>
          </w:tcPr>
          <w:p>
            <w:pPr>
              <w:pStyle w:val="TableContents"/>
              <w:spacing w:before="0" w:after="283"/>
              <w:rPr/>
            </w:pPr>
            <w:r>
              <w:rPr/>
              <w:t xml:space="preserve">  </w:t>
            </w:r>
          </w:p>
        </w:tc>
        <w:tc>
          <w:tcPr>
            <w:tcW w:w="963" w:type="dxa"/>
            <w:tcBorders/>
            <w:shd w:fill="auto" w:val="clear"/>
            <w:vAlign w:val="center"/>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xml:space="preserve">  </w:t>
            </w:r>
          </w:p>
        </w:tc>
        <w:tc>
          <w:tcPr>
            <w:tcW w:w="7250" w:type="dxa"/>
            <w:tcBorders/>
            <w:shd w:fill="auto" w:val="clear"/>
            <w:vAlign w:val="center"/>
          </w:tcPr>
          <w:p>
            <w:pPr>
              <w:pStyle w:val="TableContents"/>
              <w:spacing w:before="0" w:after="283"/>
              <w:rPr/>
            </w:pPr>
            <w:r>
              <w:rPr/>
              <w:t xml:space="preserve">  </w:t>
            </w:r>
          </w:p>
        </w:tc>
        <w:tc>
          <w:tcPr>
            <w:tcW w:w="795" w:type="dxa"/>
            <w:tcBorders/>
            <w:shd w:fill="auto" w:val="clear"/>
            <w:vAlign w:val="center"/>
          </w:tcPr>
          <w:p>
            <w:pPr>
              <w:pStyle w:val="TableContents"/>
              <w:spacing w:before="0" w:after="283"/>
              <w:rPr/>
            </w:pPr>
            <w:r>
              <w:rPr/>
              <w:t xml:space="preserve">  </w:t>
            </w:r>
          </w:p>
        </w:tc>
      </w:tr>
      <w:tr>
        <w:trPr/>
        <w:tc>
          <w:tcPr>
            <w:tcW w:w="977"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rPr/>
            </w:pPr>
            <w:r>
              <w:rPr/>
              <w:t> </w:t>
            </w:r>
          </w:p>
        </w:tc>
        <w:tc>
          <w:tcPr>
            <w:tcW w:w="963" w:type="dxa"/>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val="false"/>
                <w:sz w:val="20"/>
              </w:rPr>
            </w:pPr>
            <w:r>
              <w:rPr>
                <w:rFonts w:ascii="times new roman" w:hAnsi="times new roman"/>
                <w:b w:val="false"/>
                <w:sz w:val="20"/>
              </w:rPr>
              <w:t>Item No.</w:t>
            </w:r>
          </w:p>
        </w:tc>
        <w:tc>
          <w:tcPr>
            <w:tcW w:w="110" w:type="dxa"/>
            <w:tcBorders/>
            <w:shd w:fill="auto" w:val="clear"/>
            <w:vAlign w:val="bottom"/>
          </w:tcPr>
          <w:p>
            <w:pPr>
              <w:pStyle w:val="TableContents"/>
              <w:spacing w:before="0" w:after="283"/>
              <w:jc w:val="left"/>
              <w:rPr/>
            </w:pPr>
            <w:r>
              <w:rPr/>
              <w:t xml:space="preserve">  </w:t>
            </w:r>
          </w:p>
        </w:tc>
        <w:tc>
          <w:tcPr>
            <w:tcW w:w="7250" w:type="dxa"/>
            <w:tcBorders/>
            <w:shd w:fill="auto" w:val="clear"/>
            <w:vAlign w:val="bottom"/>
          </w:tcPr>
          <w:p>
            <w:pPr>
              <w:pStyle w:val="TableContents"/>
              <w:spacing w:before="0" w:after="283"/>
              <w:jc w:val="left"/>
              <w:rPr/>
            </w:pPr>
            <w:r>
              <w:rPr/>
              <w:t xml:space="preserve">  </w:t>
            </w:r>
          </w:p>
        </w:tc>
        <w:tc>
          <w:tcPr>
            <w:tcW w:w="795" w:type="dxa"/>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val="false"/>
                <w:sz w:val="20"/>
              </w:rPr>
            </w:pPr>
            <w:r>
              <w:rPr>
                <w:rFonts w:ascii="times new roman" w:hAnsi="times new roman"/>
                <w:b w:val="false"/>
                <w:sz w:val="20"/>
              </w:rPr>
              <w:t>Page No.</w:t>
            </w:r>
          </w:p>
        </w:tc>
      </w:tr>
      <w:tr>
        <w:trPr/>
        <w:tc>
          <w:tcPr>
            <w:tcW w:w="977" w:type="dxa"/>
            <w:tcBorders/>
            <w:shd w:fill="auto" w:val="clear"/>
          </w:tcPr>
          <w:p>
            <w:pPr>
              <w:pStyle w:val="TableContents"/>
              <w:spacing w:before="0" w:after="0"/>
              <w:ind w:left="360" w:right="16" w:hanging="360"/>
              <w:jc w:val="left"/>
              <w:rPr>
                <w:rFonts w:ascii="times new roman" w:hAnsi="times new roman"/>
                <w:b/>
                <w:sz w:val="20"/>
              </w:rPr>
            </w:pPr>
            <w:r>
              <w:rPr>
                <w:rFonts w:ascii="times new roman" w:hAnsi="times new roman"/>
                <w:b/>
                <w:sz w:val="20"/>
              </w:rPr>
              <w:t>PART I</w:t>
            </w:r>
          </w:p>
        </w:tc>
        <w:tc>
          <w:tcPr>
            <w:tcW w:w="110" w:type="dxa"/>
            <w:tcBorders/>
            <w:shd w:fill="auto" w:val="clear"/>
            <w:vAlign w:val="bottom"/>
          </w:tcPr>
          <w:p>
            <w:pPr>
              <w:pStyle w:val="TableContents"/>
              <w:spacing w:before="0" w:after="283"/>
              <w:rPr/>
            </w:pPr>
            <w:r>
              <w:rPr/>
              <w:t xml:space="preserve">  </w:t>
            </w:r>
          </w:p>
        </w:tc>
        <w:tc>
          <w:tcPr>
            <w:tcW w:w="96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7250" w:type="dxa"/>
            <w:tcBorders/>
            <w:shd w:fill="auto" w:val="clear"/>
            <w:vAlign w:val="bottom"/>
          </w:tcPr>
          <w:p>
            <w:pPr>
              <w:pStyle w:val="TableContents"/>
              <w:spacing w:before="0" w:after="283"/>
              <w:rPr/>
            </w:pPr>
            <w:r>
              <w:rPr/>
              <w:t xml:space="preserve">  </w:t>
            </w:r>
          </w:p>
        </w:tc>
        <w:tc>
          <w:tcPr>
            <w:tcW w:w="795" w:type="dxa"/>
            <w:tcBorders/>
            <w:shd w:fill="auto" w:val="clear"/>
            <w:vAlign w:val="bottom"/>
          </w:tcPr>
          <w:p>
            <w:pPr>
              <w:pStyle w:val="TableContents"/>
              <w:spacing w:before="0" w:after="283"/>
              <w:rPr/>
            </w:pPr>
            <w:r>
              <w:rPr/>
              <w:t xml:space="preserve">  </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96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0" w:right="16" w:hanging="0"/>
              <w:jc w:val="left"/>
              <w:rPr/>
            </w:pPr>
            <w:hyperlink w:anchor="p1it1j">
              <w:r>
                <w:rPr>
                  <w:rStyle w:val="InternetLink"/>
                  <w:rFonts w:ascii="times new roman" w:hAnsi="times new roman"/>
                  <w:sz w:val="20"/>
                </w:rPr>
                <w:t>Business</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963"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1A.</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0" w:right="16" w:hanging="0"/>
              <w:jc w:val="left"/>
              <w:rPr/>
            </w:pPr>
            <w:hyperlink w:anchor="it1aj">
              <w:r>
                <w:rPr>
                  <w:rStyle w:val="InternetLink"/>
                  <w:rFonts w:ascii="times new roman" w:hAnsi="times new roman"/>
                  <w:sz w:val="20"/>
                </w:rPr>
                <w:t>Risk Factors</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20</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96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1B.</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0" w:right="16" w:hanging="0"/>
              <w:jc w:val="left"/>
              <w:rPr/>
            </w:pPr>
            <w:hyperlink w:anchor="it1b234p2it5j">
              <w:r>
                <w:rPr>
                  <w:rStyle w:val="InternetLink"/>
                  <w:rFonts w:ascii="times new roman" w:hAnsi="times new roman"/>
                  <w:sz w:val="20"/>
                </w:rPr>
                <w:t>Unresolved Staff Comments</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38</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963"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2.</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0" w:right="16" w:hanging="0"/>
              <w:jc w:val="left"/>
              <w:rPr/>
            </w:pPr>
            <w:hyperlink w:anchor="it1b234p2it5j">
              <w:r>
                <w:rPr>
                  <w:rStyle w:val="InternetLink"/>
                  <w:rFonts w:ascii="times new roman" w:hAnsi="times new roman"/>
                  <w:sz w:val="20"/>
                </w:rPr>
                <w:t>Properties</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38</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96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0" w:right="16" w:hanging="0"/>
              <w:jc w:val="left"/>
              <w:rPr/>
            </w:pPr>
            <w:hyperlink w:anchor="it1b234p2it5j">
              <w:r>
                <w:rPr>
                  <w:rStyle w:val="InternetLink"/>
                  <w:rFonts w:ascii="times new roman" w:hAnsi="times new roman"/>
                  <w:sz w:val="20"/>
                </w:rPr>
                <w:t>Legal Proceedings</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38</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963"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4.</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0" w:right="16" w:hanging="0"/>
              <w:jc w:val="left"/>
              <w:rPr/>
            </w:pPr>
            <w:hyperlink w:anchor="it1b234p2it5j">
              <w:r>
                <w:rPr>
                  <w:rStyle w:val="InternetLink"/>
                  <w:rFonts w:ascii="times new roman" w:hAnsi="times new roman"/>
                  <w:sz w:val="20"/>
                </w:rPr>
                <w:t>Mine Safety Disclosures</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38</w:t>
            </w:r>
          </w:p>
        </w:tc>
      </w:tr>
      <w:tr>
        <w:trPr/>
        <w:tc>
          <w:tcPr>
            <w:tcW w:w="977" w:type="dxa"/>
            <w:tcBorders/>
            <w:shd w:fill="CCEEFF" w:val="clear"/>
          </w:tcPr>
          <w:p>
            <w:pPr>
              <w:pStyle w:val="TableContents"/>
              <w:spacing w:before="0" w:after="0"/>
              <w:ind w:left="360" w:right="16" w:hanging="360"/>
              <w:jc w:val="left"/>
              <w:rPr>
                <w:rFonts w:ascii="times new roman" w:hAnsi="times new roman"/>
                <w:b/>
                <w:sz w:val="20"/>
              </w:rPr>
            </w:pPr>
            <w:r>
              <w:rPr>
                <w:rFonts w:ascii="times new roman" w:hAnsi="times new roman"/>
                <w:b/>
                <w:sz w:val="20"/>
              </w:rPr>
              <w:t>PART II</w:t>
            </w:r>
          </w:p>
        </w:tc>
        <w:tc>
          <w:tcPr>
            <w:tcW w:w="110" w:type="dxa"/>
            <w:tcBorders/>
            <w:shd w:fill="CCEEFF" w:val="clear"/>
            <w:vAlign w:val="bottom"/>
          </w:tcPr>
          <w:p>
            <w:pPr>
              <w:pStyle w:val="TableContents"/>
              <w:spacing w:before="0" w:after="283"/>
              <w:rPr/>
            </w:pPr>
            <w:r>
              <w:rPr/>
              <w:t xml:space="preserve">  </w:t>
            </w:r>
          </w:p>
        </w:tc>
        <w:tc>
          <w:tcPr>
            <w:tcW w:w="963"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283"/>
              <w:rPr/>
            </w:pPr>
            <w:r>
              <w:rPr/>
              <w:t xml:space="preserve">  </w:t>
            </w:r>
          </w:p>
        </w:tc>
        <w:tc>
          <w:tcPr>
            <w:tcW w:w="795" w:type="dxa"/>
            <w:tcBorders/>
            <w:shd w:fill="CCEEFF" w:val="clear"/>
            <w:vAlign w:val="bottom"/>
          </w:tcPr>
          <w:p>
            <w:pPr>
              <w:pStyle w:val="TableContents"/>
              <w:spacing w:before="0" w:after="283"/>
              <w:rPr/>
            </w:pPr>
            <w:r>
              <w:rPr/>
              <w:t xml:space="preserve">  </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tcPr>
          <w:p>
            <w:pPr>
              <w:pStyle w:val="TableContents"/>
              <w:spacing w:before="0" w:after="283"/>
              <w:jc w:val="left"/>
              <w:rPr/>
            </w:pPr>
            <w:r>
              <w:rPr/>
              <w:t xml:space="preserve">  </w:t>
            </w:r>
          </w:p>
        </w:tc>
        <w:tc>
          <w:tcPr>
            <w:tcW w:w="963"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5.</w:t>
            </w:r>
          </w:p>
        </w:tc>
        <w:tc>
          <w:tcPr>
            <w:tcW w:w="110" w:type="dxa"/>
            <w:tcBorders/>
            <w:shd w:fill="FFFFFF" w:val="clear"/>
            <w:vAlign w:val="bottom"/>
          </w:tcPr>
          <w:p>
            <w:pPr>
              <w:pStyle w:val="TableContents"/>
              <w:spacing w:before="0" w:after="283"/>
              <w:ind w:left="0" w:right="0" w:hanging="0"/>
              <w:jc w:val="left"/>
              <w:rPr/>
            </w:pPr>
            <w:r>
              <w:rPr/>
              <w:t xml:space="preserve">  </w:t>
            </w:r>
          </w:p>
        </w:tc>
        <w:tc>
          <w:tcPr>
            <w:tcW w:w="7250" w:type="dxa"/>
            <w:tcBorders/>
            <w:shd w:fill="FFFFFF" w:val="clear"/>
            <w:vAlign w:val="bottom"/>
          </w:tcPr>
          <w:p>
            <w:pPr>
              <w:pStyle w:val="TableContents"/>
              <w:spacing w:before="0" w:after="0"/>
              <w:ind w:left="0" w:right="0" w:hanging="0"/>
              <w:jc w:val="both"/>
              <w:rPr/>
            </w:pPr>
            <w:hyperlink w:anchor="it1b234p2it5j">
              <w:r>
                <w:rPr>
                  <w:rStyle w:val="InternetLink"/>
                  <w:rFonts w:ascii="times new roman" w:hAnsi="times new roman"/>
                  <w:sz w:val="20"/>
                </w:rPr>
                <w:t>Market for Registrant’s Common Equity, Related Stockholder Matters and Issuer Purchases of Equity Securities</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38</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6.</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it67j">
              <w:r>
                <w:rPr>
                  <w:rStyle w:val="InternetLink"/>
                  <w:rFonts w:ascii="times new roman" w:hAnsi="times new roman"/>
                  <w:sz w:val="20"/>
                </w:rPr>
                <w:t>Selected Financial Data</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44</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tcPr>
          <w:p>
            <w:pPr>
              <w:pStyle w:val="TableContents"/>
              <w:spacing w:before="0" w:after="283"/>
              <w:jc w:val="left"/>
              <w:rPr/>
            </w:pPr>
            <w:r>
              <w:rPr/>
              <w:t xml:space="preserve">  </w:t>
            </w:r>
          </w:p>
        </w:tc>
        <w:tc>
          <w:tcPr>
            <w:tcW w:w="963"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7.</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360" w:right="16" w:hanging="360"/>
              <w:jc w:val="left"/>
              <w:rPr/>
            </w:pPr>
            <w:hyperlink w:anchor="it67j">
              <w:r>
                <w:rPr>
                  <w:rStyle w:val="InternetLink"/>
                  <w:rFonts w:ascii="times new roman" w:hAnsi="times new roman"/>
                  <w:sz w:val="20"/>
                </w:rPr>
                <w:t>Management’s Discussion and Analysis of Financial Condition and Results of Operations</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44</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7A.</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it7a8j">
              <w:r>
                <w:rPr>
                  <w:rStyle w:val="InternetLink"/>
                  <w:rFonts w:ascii="times new roman" w:hAnsi="times new roman"/>
                  <w:sz w:val="20"/>
                </w:rPr>
                <w:t>Quantitative and Qualitative Disclosures About Market Risk</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57</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tcPr>
          <w:p>
            <w:pPr>
              <w:pStyle w:val="TableContents"/>
              <w:spacing w:before="0" w:after="283"/>
              <w:jc w:val="left"/>
              <w:rPr/>
            </w:pPr>
            <w:r>
              <w:rPr/>
              <w:t xml:space="preserve">  </w:t>
            </w:r>
          </w:p>
        </w:tc>
        <w:tc>
          <w:tcPr>
            <w:tcW w:w="963"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8.</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360" w:right="16" w:hanging="360"/>
              <w:jc w:val="left"/>
              <w:rPr/>
            </w:pPr>
            <w:hyperlink w:anchor="it7a8j">
              <w:r>
                <w:rPr>
                  <w:rStyle w:val="InternetLink"/>
                  <w:rFonts w:ascii="times new roman" w:hAnsi="times new roman"/>
                  <w:sz w:val="20"/>
                </w:rPr>
                <w:t>Financial Statements and Supplementary Data</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57</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9.</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it9j">
              <w:r>
                <w:rPr>
                  <w:rStyle w:val="InternetLink"/>
                  <w:rFonts w:ascii="times new roman" w:hAnsi="times new roman"/>
                  <w:sz w:val="20"/>
                </w:rPr>
                <w:t>Changes in and Disagreements with Accountants on Accounting and Financial Disclosure</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111</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tcPr>
          <w:p>
            <w:pPr>
              <w:pStyle w:val="TableContents"/>
              <w:spacing w:before="0" w:after="283"/>
              <w:jc w:val="left"/>
              <w:rPr/>
            </w:pPr>
            <w:r>
              <w:rPr/>
              <w:t xml:space="preserve">  </w:t>
            </w:r>
          </w:p>
        </w:tc>
        <w:tc>
          <w:tcPr>
            <w:tcW w:w="963"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9A.</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360" w:right="16" w:hanging="360"/>
              <w:jc w:val="left"/>
              <w:rPr/>
            </w:pPr>
            <w:hyperlink w:anchor="it9aj">
              <w:r>
                <w:rPr>
                  <w:rStyle w:val="InternetLink"/>
                  <w:rFonts w:ascii="times new roman" w:hAnsi="times new roman"/>
                  <w:sz w:val="20"/>
                </w:rPr>
                <w:t>Controls and Procedures</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111</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9B.</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it9bj">
              <w:r>
                <w:rPr>
                  <w:rStyle w:val="InternetLink"/>
                  <w:rFonts w:ascii="times new roman" w:hAnsi="times new roman"/>
                  <w:sz w:val="20"/>
                </w:rPr>
                <w:t>Other Information</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112</w:t>
            </w:r>
          </w:p>
        </w:tc>
      </w:tr>
      <w:tr>
        <w:trPr/>
        <w:tc>
          <w:tcPr>
            <w:tcW w:w="977" w:type="dxa"/>
            <w:tcBorders/>
            <w:shd w:fill="FFFFFF" w:val="clear"/>
          </w:tcPr>
          <w:p>
            <w:pPr>
              <w:pStyle w:val="TableContents"/>
              <w:spacing w:before="0" w:after="0"/>
              <w:ind w:left="360" w:right="16" w:hanging="360"/>
              <w:jc w:val="left"/>
              <w:rPr>
                <w:rFonts w:ascii="times new roman" w:hAnsi="times new roman"/>
                <w:b/>
                <w:sz w:val="20"/>
              </w:rPr>
            </w:pPr>
            <w:r>
              <w:rPr>
                <w:rFonts w:ascii="times new roman" w:hAnsi="times new roman"/>
                <w:b/>
                <w:sz w:val="20"/>
              </w:rPr>
              <w:t>PART III</w:t>
            </w:r>
          </w:p>
        </w:tc>
        <w:tc>
          <w:tcPr>
            <w:tcW w:w="110" w:type="dxa"/>
            <w:tcBorders/>
            <w:shd w:fill="FFFFFF" w:val="clear"/>
          </w:tcPr>
          <w:p>
            <w:pPr>
              <w:pStyle w:val="TableContents"/>
              <w:spacing w:before="0" w:after="283"/>
              <w:rPr/>
            </w:pPr>
            <w:r>
              <w:rPr/>
              <w:t xml:space="preserve">  </w:t>
            </w:r>
          </w:p>
        </w:tc>
        <w:tc>
          <w:tcPr>
            <w:tcW w:w="963" w:type="dxa"/>
            <w:tcBorders/>
            <w:shd w:fill="FFFFFF" w:val="clear"/>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283"/>
              <w:rPr/>
            </w:pPr>
            <w:r>
              <w:rPr/>
              <w:t xml:space="preserve">  </w:t>
            </w:r>
          </w:p>
        </w:tc>
        <w:tc>
          <w:tcPr>
            <w:tcW w:w="795" w:type="dxa"/>
            <w:tcBorders/>
            <w:shd w:fill="FFFFFF" w:val="clear"/>
            <w:vAlign w:val="bottom"/>
          </w:tcPr>
          <w:p>
            <w:pPr>
              <w:pStyle w:val="TableContents"/>
              <w:spacing w:before="0" w:after="283"/>
              <w:rPr/>
            </w:pPr>
            <w:r>
              <w:rPr/>
              <w:t xml:space="preserve">  </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p3it10j">
              <w:r>
                <w:rPr>
                  <w:rStyle w:val="InternetLink"/>
                  <w:rFonts w:ascii="times new roman" w:hAnsi="times new roman"/>
                  <w:sz w:val="20"/>
                </w:rPr>
                <w:t>Directors, Executive Officers and Corporate Governance</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112</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tcPr>
          <w:p>
            <w:pPr>
              <w:pStyle w:val="TableContents"/>
              <w:spacing w:before="0" w:after="283"/>
              <w:jc w:val="left"/>
              <w:rPr/>
            </w:pPr>
            <w:r>
              <w:rPr/>
              <w:t xml:space="preserve">  </w:t>
            </w:r>
          </w:p>
        </w:tc>
        <w:tc>
          <w:tcPr>
            <w:tcW w:w="963"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11.</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360" w:right="16" w:hanging="360"/>
              <w:jc w:val="left"/>
              <w:rPr/>
            </w:pPr>
            <w:hyperlink w:anchor="it11j">
              <w:r>
                <w:rPr>
                  <w:rStyle w:val="InternetLink"/>
                  <w:rFonts w:ascii="times new roman" w:hAnsi="times new roman"/>
                  <w:sz w:val="20"/>
                </w:rPr>
                <w:t>Executive Compensation</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118</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12.</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it12j">
              <w:r>
                <w:rPr>
                  <w:rStyle w:val="InternetLink"/>
                  <w:rFonts w:ascii="times new roman" w:hAnsi="times new roman"/>
                  <w:sz w:val="20"/>
                </w:rPr>
                <w:t>Security Ownership of Certain Beneficial Owners and Management and Related Stockholder Matters</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126</w:t>
            </w:r>
          </w:p>
        </w:tc>
      </w:tr>
      <w:tr>
        <w:trPr/>
        <w:tc>
          <w:tcPr>
            <w:tcW w:w="977" w:type="dxa"/>
            <w:tcBorders/>
            <w:shd w:fill="FFFFFF" w:val="clear"/>
          </w:tcPr>
          <w:p>
            <w:pPr>
              <w:pStyle w:val="TableContents"/>
              <w:spacing w:before="0" w:after="283"/>
              <w:rPr/>
            </w:pPr>
            <w:r>
              <w:rPr/>
              <w:t xml:space="preserve">  </w:t>
            </w:r>
          </w:p>
        </w:tc>
        <w:tc>
          <w:tcPr>
            <w:tcW w:w="110" w:type="dxa"/>
            <w:tcBorders/>
            <w:shd w:fill="FFFFFF" w:val="clear"/>
          </w:tcPr>
          <w:p>
            <w:pPr>
              <w:pStyle w:val="TableContents"/>
              <w:spacing w:before="0" w:after="283"/>
              <w:jc w:val="left"/>
              <w:rPr/>
            </w:pPr>
            <w:r>
              <w:rPr/>
              <w:t xml:space="preserve">  </w:t>
            </w:r>
          </w:p>
        </w:tc>
        <w:tc>
          <w:tcPr>
            <w:tcW w:w="963"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13.</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0"/>
              <w:ind w:left="360" w:right="16" w:hanging="360"/>
              <w:jc w:val="left"/>
              <w:rPr/>
            </w:pPr>
            <w:hyperlink w:anchor="it13j">
              <w:r>
                <w:rPr>
                  <w:rStyle w:val="InternetLink"/>
                  <w:rFonts w:ascii="times new roman" w:hAnsi="times new roman"/>
                  <w:sz w:val="20"/>
                </w:rPr>
                <w:t>Certain Relationships and Related Transactions, and Director Independence</w:t>
              </w:r>
            </w:hyperlink>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130</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14.</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it14j">
              <w:r>
                <w:rPr>
                  <w:rStyle w:val="InternetLink"/>
                  <w:rFonts w:ascii="times new roman" w:hAnsi="times new roman"/>
                  <w:sz w:val="20"/>
                </w:rPr>
                <w:t>Principal Accountant Fees and Services</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132</w:t>
            </w:r>
          </w:p>
        </w:tc>
      </w:tr>
      <w:tr>
        <w:trPr/>
        <w:tc>
          <w:tcPr>
            <w:tcW w:w="977" w:type="dxa"/>
            <w:tcBorders/>
            <w:shd w:fill="FFFFFF" w:val="clear"/>
          </w:tcPr>
          <w:p>
            <w:pPr>
              <w:pStyle w:val="TableContents"/>
              <w:spacing w:before="0" w:after="0"/>
              <w:ind w:left="360" w:right="16" w:hanging="360"/>
              <w:jc w:val="left"/>
              <w:rPr>
                <w:rFonts w:ascii="times new roman" w:hAnsi="times new roman"/>
                <w:b/>
                <w:sz w:val="20"/>
              </w:rPr>
            </w:pPr>
            <w:r>
              <w:rPr>
                <w:rFonts w:ascii="times new roman" w:hAnsi="times new roman"/>
                <w:b/>
                <w:sz w:val="20"/>
              </w:rPr>
              <w:t>PART IV</w:t>
            </w:r>
          </w:p>
        </w:tc>
        <w:tc>
          <w:tcPr>
            <w:tcW w:w="110" w:type="dxa"/>
            <w:tcBorders/>
            <w:shd w:fill="FFFFFF" w:val="clear"/>
          </w:tcPr>
          <w:p>
            <w:pPr>
              <w:pStyle w:val="TableContents"/>
              <w:spacing w:before="0" w:after="283"/>
              <w:rPr/>
            </w:pPr>
            <w:r>
              <w:rPr/>
              <w:t xml:space="preserve">  </w:t>
            </w:r>
          </w:p>
        </w:tc>
        <w:tc>
          <w:tcPr>
            <w:tcW w:w="963" w:type="dxa"/>
            <w:tcBorders/>
            <w:shd w:fill="FFFFFF" w:val="clear"/>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7250" w:type="dxa"/>
            <w:tcBorders/>
            <w:shd w:fill="FFFFFF" w:val="clear"/>
            <w:vAlign w:val="bottom"/>
          </w:tcPr>
          <w:p>
            <w:pPr>
              <w:pStyle w:val="TableContents"/>
              <w:spacing w:before="0" w:after="283"/>
              <w:rPr/>
            </w:pPr>
            <w:r>
              <w:rPr/>
              <w:t xml:space="preserve">  </w:t>
            </w:r>
          </w:p>
        </w:tc>
        <w:tc>
          <w:tcPr>
            <w:tcW w:w="795" w:type="dxa"/>
            <w:tcBorders/>
            <w:shd w:fill="FFFFFF" w:val="clear"/>
            <w:vAlign w:val="bottom"/>
          </w:tcPr>
          <w:p>
            <w:pPr>
              <w:pStyle w:val="TableContents"/>
              <w:spacing w:before="0" w:after="283"/>
              <w:rPr/>
            </w:pPr>
            <w:r>
              <w:rPr/>
              <w:t xml:space="preserve">  </w:t>
            </w:r>
          </w:p>
        </w:tc>
      </w:tr>
      <w:tr>
        <w:trPr/>
        <w:tc>
          <w:tcPr>
            <w:tcW w:w="977" w:type="dxa"/>
            <w:tcBorders/>
            <w:shd w:fill="CCEEFF" w:val="clear"/>
          </w:tcPr>
          <w:p>
            <w:pPr>
              <w:pStyle w:val="TableContents"/>
              <w:spacing w:before="0" w:after="283"/>
              <w:rPr/>
            </w:pPr>
            <w:r>
              <w:rPr/>
              <w:t xml:space="preserve">  </w:t>
            </w:r>
          </w:p>
        </w:tc>
        <w:tc>
          <w:tcPr>
            <w:tcW w:w="110" w:type="dxa"/>
            <w:tcBorders/>
            <w:shd w:fill="CCEEFF" w:val="clear"/>
          </w:tcPr>
          <w:p>
            <w:pPr>
              <w:pStyle w:val="TableContents"/>
              <w:spacing w:before="0" w:after="283"/>
              <w:jc w:val="left"/>
              <w:rPr/>
            </w:pPr>
            <w:r>
              <w:rPr/>
              <w:t xml:space="preserve">  </w:t>
            </w:r>
          </w:p>
        </w:tc>
        <w:tc>
          <w:tcPr>
            <w:tcW w:w="963"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15.</w:t>
            </w:r>
          </w:p>
        </w:tc>
        <w:tc>
          <w:tcPr>
            <w:tcW w:w="110" w:type="dxa"/>
            <w:tcBorders/>
            <w:shd w:fill="CCEEFF" w:val="clear"/>
            <w:vAlign w:val="bottom"/>
          </w:tcPr>
          <w:p>
            <w:pPr>
              <w:pStyle w:val="TableContents"/>
              <w:spacing w:before="0" w:after="283"/>
              <w:jc w:val="left"/>
              <w:rPr/>
            </w:pPr>
            <w:r>
              <w:rPr/>
              <w:t xml:space="preserve">  </w:t>
            </w:r>
          </w:p>
        </w:tc>
        <w:tc>
          <w:tcPr>
            <w:tcW w:w="7250" w:type="dxa"/>
            <w:tcBorders/>
            <w:shd w:fill="CCEEFF" w:val="clear"/>
            <w:vAlign w:val="bottom"/>
          </w:tcPr>
          <w:p>
            <w:pPr>
              <w:pStyle w:val="TableContents"/>
              <w:spacing w:before="0" w:after="0"/>
              <w:ind w:left="360" w:right="16" w:hanging="360"/>
              <w:jc w:val="left"/>
              <w:rPr/>
            </w:pPr>
            <w:hyperlink w:anchor="exhibitsj">
              <w:r>
                <w:rPr>
                  <w:rStyle w:val="InternetLink"/>
                  <w:rFonts w:ascii="times new roman" w:hAnsi="times new roman"/>
                  <w:sz w:val="20"/>
                </w:rPr>
                <w:t>Exhibits and Financial Statement Schedules</w:t>
              </w:r>
            </w:hyperlink>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134</w:t>
            </w:r>
          </w:p>
        </w:tc>
      </w:tr>
      <w:tr>
        <w:trPr/>
        <w:tc>
          <w:tcPr>
            <w:tcW w:w="9410" w:type="dxa"/>
            <w:gridSpan w:val="5"/>
            <w:tcBorders/>
            <w:shd w:fill="FFFFFF" w:val="clear"/>
          </w:tcPr>
          <w:p>
            <w:pPr>
              <w:pStyle w:val="TableContents"/>
              <w:spacing w:before="0" w:after="0"/>
              <w:ind w:left="360" w:right="136" w:hanging="360"/>
              <w:jc w:val="left"/>
              <w:rPr>
                <w:rFonts w:ascii="times new roman" w:hAnsi="times new roman"/>
                <w:b/>
                <w:sz w:val="20"/>
              </w:rPr>
            </w:pPr>
            <w:r>
              <w:rPr>
                <w:rFonts w:ascii="times new roman" w:hAnsi="times new roman"/>
                <w:b/>
                <w:sz w:val="20"/>
              </w:rPr>
              <w:t>SIGNATURES</w:t>
            </w:r>
          </w:p>
        </w:tc>
        <w:tc>
          <w:tcPr>
            <w:tcW w:w="79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135</w:t>
            </w:r>
          </w:p>
        </w:tc>
      </w:tr>
      <w:tr>
        <w:trPr/>
        <w:tc>
          <w:tcPr>
            <w:tcW w:w="9410" w:type="dxa"/>
            <w:gridSpan w:val="5"/>
            <w:tcBorders/>
            <w:shd w:fill="CCEEFF" w:val="clear"/>
          </w:tcPr>
          <w:p>
            <w:pPr>
              <w:pStyle w:val="TableContents"/>
              <w:spacing w:before="0" w:after="0"/>
              <w:ind w:left="360" w:right="136" w:hanging="360"/>
              <w:jc w:val="left"/>
              <w:rPr>
                <w:rFonts w:ascii="times new roman" w:hAnsi="times new roman"/>
                <w:b/>
                <w:sz w:val="20"/>
              </w:rPr>
            </w:pPr>
            <w:r>
              <w:rPr>
                <w:rFonts w:ascii="times new roman" w:hAnsi="times new roman"/>
                <w:b/>
                <w:sz w:val="20"/>
              </w:rPr>
              <w:t>EXHIBIT INDEX</w:t>
            </w:r>
          </w:p>
        </w:tc>
        <w:tc>
          <w:tcPr>
            <w:tcW w:w="79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136</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3" w:name="GLHDR1"/>
        <w:bookmarkEnd w:id="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on Form 10-K report contains forward-looking statements within the meaning of Section 21E of the Securities Exchange Act of 1934, as Amended (the “</w:t>
      </w:r>
      <w:r>
        <w:rPr>
          <w:rFonts w:ascii="Times New Roman" w:hAnsi="Times New Roman"/>
          <w:i/>
          <w:sz w:val="20"/>
        </w:rPr>
        <w:t>Exchange Act</w:t>
      </w:r>
      <w:r>
        <w:rPr>
          <w:rFonts w:ascii="Times New Roman" w:hAnsi="Times New Roman"/>
          <w:sz w:val="20"/>
        </w:rPr>
        <w:t>”) and Section 27A of the Securities Act of 1933 (the “</w:t>
      </w:r>
      <w:r>
        <w:rPr>
          <w:rFonts w:ascii="Times New Roman" w:hAnsi="Times New Roman"/>
          <w:i/>
          <w:sz w:val="20"/>
        </w:rPr>
        <w:t>Securities Act</w:t>
      </w:r>
      <w:r>
        <w:rPr>
          <w:rFonts w:ascii="Times New Roman" w:hAnsi="Times New Roman"/>
          <w:sz w:val="20"/>
        </w:rPr>
        <w:t>”) which involve risk and uncertainties .  All statements other than statements of historical information provided herein may be deemed to be forward-looking statements.  VistaGen Therapeutics, Inc. (the “</w:t>
      </w:r>
      <w:r>
        <w:rPr>
          <w:rFonts w:ascii="Times New Roman" w:hAnsi="Times New Roman"/>
          <w:i/>
          <w:sz w:val="20"/>
        </w:rPr>
        <w:t>Company</w:t>
      </w:r>
      <w:r>
        <w:rPr>
          <w:rFonts w:ascii="Times New Roman" w:hAnsi="Times New Roman"/>
          <w:sz w:val="20"/>
        </w:rPr>
        <w:t>”) intends that such statements be protected by the safe harbor created under the Exchange Act and the Securities Act.  Forward-looking statements involve risks and uncertainties and the Company’s actual results and the timing of events may differ significantly from the results or timing discussed in the forward-looking statements. Statements about our current and future plans, expectations and intentions, results, levels of activity, performance, goals or achievements or any other future events or developments constitute forward-looking statements. Without limiting the foregoing, the words “may”, “will”, “would”, “should”, “could”, “expect”, “plan”, “intend”, “trend”, “indication”, “anticipate”, “believe”, “estimate”, “predict”, “likely” or “potential”, or the negative or other variations of these words or other comparable words or expressions, are intended to identify forward-looking statements. Discussions containing forward-looking statements in this report may be found, among other places, under “Business”, “Risk Factors” and “Management’s Discussion and Analysis of Financial Condition and Results of Operations”.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Many factors could cause our actual results, level of activity, performance or future events to differ materially from those expressed in or implied by the forward-looking statements, including, but not limited to, the factors which are discussed in greater detail in this report under the section entitled “Risk Factors”. However, these factors are not intended to represent a complete list of the factors that could affect us.  The purpose of the forward-looking statements is to provide the reader with a description of management’s expectations regarding, among other things, our financial performance and research and development activities and may not be appropriate for other purposes.  Readers are cautioned not to place undue reliance on these forward-looking statements, which,  unless otherwise stated, are made only as of the date of this report.  We have no intention and undertake no obligation to publicly update or revise any forward-looking statements, whether as a result of new information, future events or otherwise after the date of this report,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EXPLANATORY BACKGROUND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w:t>
      </w:r>
      <w:r>
        <w:rPr>
          <w:rFonts w:ascii="Times New Roman" w:hAnsi="Times New Roman"/>
          <w:i/>
          <w:sz w:val="20"/>
        </w:rPr>
        <w:t>VistaGen</w:t>
      </w:r>
      <w:r>
        <w:rPr>
          <w:rFonts w:ascii="Times New Roman" w:hAnsi="Times New Roman"/>
          <w:sz w:val="20"/>
        </w:rPr>
        <w:t>” or the “</w:t>
      </w:r>
      <w:r>
        <w:rPr>
          <w:rFonts w:ascii="Times New Roman" w:hAnsi="Times New Roman"/>
          <w:i/>
          <w:sz w:val="20"/>
        </w:rPr>
        <w:t>Company</w:t>
      </w:r>
      <w:r>
        <w:rPr>
          <w:rFonts w:ascii="Times New Roman" w:hAnsi="Times New Roman"/>
          <w:sz w:val="20"/>
        </w:rPr>
        <w:t>” or “</w:t>
      </w:r>
      <w:r>
        <w:rPr>
          <w:rFonts w:ascii="Times New Roman" w:hAnsi="Times New Roman"/>
          <w:i/>
          <w:sz w:val="20"/>
        </w:rPr>
        <w:t>we</w:t>
      </w:r>
      <w:r>
        <w:rPr>
          <w:rFonts w:ascii="Times New Roman" w:hAnsi="Times New Roman"/>
          <w:sz w:val="20"/>
        </w:rPr>
        <w:t>”) is a biotechnology company with expertise in human pluripotent stem cell technology (“</w:t>
      </w:r>
      <w:r>
        <w:rPr>
          <w:rFonts w:ascii="Times New Roman" w:hAnsi="Times New Roman"/>
          <w:i/>
          <w:sz w:val="20"/>
        </w:rPr>
        <w:t>hPSC technology</w:t>
      </w:r>
      <w:r>
        <w:rPr>
          <w:rFonts w:ascii="Times New Roman" w:hAnsi="Times New Roman"/>
          <w:sz w:val="20"/>
        </w:rPr>
        <w:t>”).  We are currently applying our hPSC technology for drug rescue, predictive toxicology and drug metabolism screening.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a California corporation (“</w:t>
      </w:r>
      <w:r>
        <w:rPr>
          <w:rFonts w:ascii="Times New Roman" w:hAnsi="Times New Roman"/>
          <w:i/>
          <w:sz w:val="20"/>
        </w:rPr>
        <w:t>VistaGen California</w:t>
      </w:r>
      <w:r>
        <w:rPr>
          <w:rFonts w:ascii="Times New Roman" w:hAnsi="Times New Roman"/>
          <w:sz w:val="20"/>
        </w:rPr>
        <w:t>”) is a wholly-owned subsidiary of the Company. VistaGen California was incorporated in California on May 26, 1998.  Excaliber Enterprises, Ltd. (“</w:t>
      </w:r>
      <w:r>
        <w:rPr>
          <w:rFonts w:ascii="Times New Roman" w:hAnsi="Times New Roman"/>
          <w:i/>
          <w:sz w:val="20"/>
        </w:rPr>
        <w:t>Excaliber”</w:t>
      </w:r>
      <w:r>
        <w:rPr>
          <w:rFonts w:ascii="Times New Roman" w:hAnsi="Times New Roman"/>
          <w:sz w:val="20"/>
        </w:rPr>
        <w:t>), a publicly-held company (formerly OTCBB:EXCA), was incorporated under the laws of the State of Nevada on October 6, 2005.  After being unable to generate material revenues based on its original business plan, Excaliber became inactive in 2007.  In May 2011, after assessing the prospects associated with its original business plan and the business opportunities associated with a strategic merger with an established, privately-held biotechnology company seeking the potential advantages of being a publicly-held company, Excaliber’s Board of Directors agreed to pursue a strategic merger with VistaGen California, as described in more detail below.</w:t>
      </w:r>
    </w:p>
    <w:p>
      <w:pPr>
        <w:pStyle w:val="TextBody"/>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 w:name="GLHDR2"/>
        <w:bookmarkEnd w:id="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pursuant to a strategic merger transaction with VistaGen California, Excaliber acquired all outstanding shares of VistaGen California in exchange for 6,836,452 restricted shares of Excaliber’s common stock (the “</w:t>
      </w:r>
      <w:r>
        <w:rPr>
          <w:rFonts w:ascii="Times New Roman" w:hAnsi="Times New Roman"/>
          <w:i/>
          <w:sz w:val="20"/>
        </w:rPr>
        <w:t>Merger</w:t>
      </w:r>
      <w:r>
        <w:rPr>
          <w:rFonts w:ascii="Times New Roman" w:hAnsi="Times New Roman"/>
          <w:sz w:val="20"/>
        </w:rPr>
        <w:t>”), and Excaliber assumed all of VistaGen California’s pre-Merger obligations to contingently issue restricted shares of common stock in accordance with VistaGen California’s stock option agreements, warrant agreements, and a convertible promissory note.  In connection with the Merger, Excaliber repurchased 5,064,207 shares of Excaliber common stock from two of its stockholders for a nominal amount, resulting in a total of 784,500 shares of Excaliber common stock outstanding at the date of the Merger.  The 6,836,452 restricted shares of common stock issued to VistaGen California stockholders in connection with the Merger represented approximately 90% of Excaliber’s outstanding shares of common stock after the closing of the Merger.  As a result of the Merger, the biotechnology business of VistaGen California became the operating business of Excaliber. Shortly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33" w:name="list"/>
      <w:bookmarkStart w:id="34" w:name="list"/>
      <w:bookmarkEnd w:id="34"/>
    </w:p>
    <w:tbl>
      <w:tblPr>
        <w:tblW w:w="5000" w:type="pct"/>
        <w:jc w:val="left"/>
        <w:tblInd w:w="0" w:type="dxa"/>
        <w:tblCellMar>
          <w:top w:w="0" w:type="dxa"/>
          <w:left w:w="0" w:type="dxa"/>
          <w:bottom w:w="0" w:type="dxa"/>
          <w:right w:w="0" w:type="dxa"/>
        </w:tblCellMar>
      </w:tblPr>
      <w:tblGrid>
        <w:gridCol w:w="234"/>
        <w:gridCol w:w="9971"/>
      </w:tblGrid>
      <w:tr>
        <w:trPr/>
        <w:tc>
          <w:tcPr>
            <w:tcW w:w="234" w:type="dxa"/>
            <w:tcBorders/>
            <w:shd w:fill="auto" w:val="clear"/>
          </w:tcPr>
          <w:p>
            <w:pPr>
              <w:pStyle w:val="TableContents"/>
              <w:spacing w:before="0" w:after="0"/>
              <w:jc w:val="center"/>
              <w:rPr/>
            </w:pPr>
            <w:r>
              <w:rPr/>
              <w:t>●</w:t>
            </w:r>
          </w:p>
        </w:tc>
        <w:tc>
          <w:tcPr>
            <w:tcW w:w="99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the pre-Merger directors of VistaGen California was appointed as a director of Excaliber;</w:t>
            </w:r>
          </w:p>
        </w:tc>
      </w:tr>
    </w:tbl>
    <w:p>
      <w:pPr>
        <w:pStyle w:val="Normal"/>
        <w:spacing w:before="0" w:after="0"/>
        <w:rPr>
          <w:sz w:val="4"/>
          <w:szCs w:val="4"/>
        </w:rPr>
      </w:pPr>
      <w:r>
        <w:rPr>
          <w:sz w:val="4"/>
          <w:szCs w:val="4"/>
        </w:rPr>
      </w:r>
      <w:bookmarkStart w:id="35" w:name="list1"/>
      <w:bookmarkStart w:id="36" w:name="list1"/>
      <w:bookmarkEnd w:id="36"/>
    </w:p>
    <w:tbl>
      <w:tblPr>
        <w:tblW w:w="5000" w:type="pct"/>
        <w:jc w:val="left"/>
        <w:tblInd w:w="0" w:type="dxa"/>
        <w:tblCellMar>
          <w:top w:w="0" w:type="dxa"/>
          <w:left w:w="0" w:type="dxa"/>
          <w:bottom w:w="0" w:type="dxa"/>
          <w:right w:w="0" w:type="dxa"/>
        </w:tblCellMar>
      </w:tblPr>
      <w:tblGrid>
        <w:gridCol w:w="234"/>
        <w:gridCol w:w="9971"/>
      </w:tblGrid>
      <w:tr>
        <w:trPr/>
        <w:tc>
          <w:tcPr>
            <w:tcW w:w="234" w:type="dxa"/>
            <w:tcBorders/>
            <w:shd w:fill="auto" w:val="clear"/>
          </w:tcPr>
          <w:p>
            <w:pPr>
              <w:pStyle w:val="TableContents"/>
              <w:spacing w:before="0" w:after="0"/>
              <w:jc w:val="center"/>
              <w:rPr/>
            </w:pPr>
            <w:r>
              <w:rPr/>
              <w:t>●</w:t>
            </w:r>
          </w:p>
        </w:tc>
        <w:tc>
          <w:tcPr>
            <w:tcW w:w="99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pre-Merger directors and officers of Excaliber resigned as officers and directors of Excaliber;</w:t>
            </w:r>
          </w:p>
        </w:tc>
      </w:tr>
    </w:tbl>
    <w:p>
      <w:pPr>
        <w:pStyle w:val="Normal"/>
        <w:spacing w:before="0" w:after="0"/>
        <w:rPr>
          <w:sz w:val="4"/>
          <w:szCs w:val="4"/>
        </w:rPr>
      </w:pPr>
      <w:r>
        <w:rPr>
          <w:sz w:val="4"/>
          <w:szCs w:val="4"/>
        </w:rPr>
      </w:r>
      <w:bookmarkStart w:id="37" w:name="list2"/>
      <w:bookmarkStart w:id="38" w:name="list2"/>
      <w:bookmarkEnd w:id="38"/>
    </w:p>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jc w:val="center"/>
              <w:rPr/>
            </w:pPr>
            <w:r>
              <w:rPr/>
              <w:t>●</w:t>
            </w:r>
          </w:p>
        </w:tc>
        <w:tc>
          <w:tcPr>
            <w:tcW w:w="99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VistaGen California’s pre-Merger officers was appointed an officer of like tenor of Excaliber;</w:t>
            </w:r>
          </w:p>
        </w:tc>
      </w:tr>
    </w:tbl>
    <w:p>
      <w:pPr>
        <w:pStyle w:val="Normal"/>
        <w:spacing w:before="0" w:after="0"/>
        <w:rPr>
          <w:sz w:val="4"/>
          <w:szCs w:val="4"/>
        </w:rPr>
      </w:pPr>
      <w:r>
        <w:rPr>
          <w:sz w:val="4"/>
          <w:szCs w:val="4"/>
        </w:rPr>
      </w:r>
      <w:bookmarkStart w:id="39" w:name="list3"/>
      <w:bookmarkStart w:id="40" w:name="list3"/>
      <w:bookmarkEnd w:id="40"/>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post-Merger directors of Excaliber (consisting of the pre-Merger directors of VistaGen California) approved a two-for-one (2:1) stock split of Excaliber’s common stock;</w:t>
            </w:r>
          </w:p>
        </w:tc>
      </w:tr>
    </w:tbl>
    <w:p>
      <w:pPr>
        <w:pStyle w:val="Normal"/>
        <w:spacing w:before="0" w:after="0"/>
        <w:rPr>
          <w:sz w:val="4"/>
          <w:szCs w:val="4"/>
        </w:rPr>
      </w:pPr>
      <w:r>
        <w:rPr>
          <w:sz w:val="4"/>
          <w:szCs w:val="4"/>
        </w:rPr>
      </w:r>
      <w:bookmarkStart w:id="41" w:name="list4"/>
      <w:bookmarkStart w:id="42" w:name="list4"/>
      <w:bookmarkEnd w:id="42"/>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post-Merger directors of Excaliber approved an increase in the number of shares of common stock Excaliber was authorized to issue from 200 million to 400 million shares, (see Note 9, </w:t>
            </w:r>
            <w:r>
              <w:rPr>
                <w:rFonts w:ascii="Times New Roman" w:hAnsi="Times New Roman"/>
                <w:i/>
                <w:sz w:val="20"/>
              </w:rPr>
              <w:t xml:space="preserve">Capital Stock, </w:t>
            </w:r>
            <w:r>
              <w:rPr>
                <w:rFonts w:ascii="Times New Roman" w:hAnsi="Times New Roman"/>
                <w:sz w:val="20"/>
              </w:rPr>
              <w:t>to the Consolidated Financial Statements included in Item 8 of this Annual Report on Form 10-K);</w:t>
            </w:r>
          </w:p>
        </w:tc>
      </w:tr>
    </w:tbl>
    <w:p>
      <w:pPr>
        <w:pStyle w:val="Normal"/>
        <w:spacing w:before="0" w:after="0"/>
        <w:rPr>
          <w:sz w:val="4"/>
          <w:szCs w:val="4"/>
        </w:rPr>
      </w:pPr>
      <w:r>
        <w:rPr>
          <w:sz w:val="4"/>
          <w:szCs w:val="4"/>
        </w:rPr>
      </w:r>
      <w:bookmarkStart w:id="43" w:name="list5"/>
      <w:bookmarkStart w:id="44" w:name="list5"/>
      <w:bookmarkEnd w:id="44"/>
    </w:p>
    <w:tbl>
      <w:tblPr>
        <w:tblW w:w="5000" w:type="pct"/>
        <w:jc w:val="left"/>
        <w:tblInd w:w="0" w:type="dxa"/>
        <w:tblCellMar>
          <w:top w:w="0" w:type="dxa"/>
          <w:left w:w="0" w:type="dxa"/>
          <w:bottom w:w="0" w:type="dxa"/>
          <w:right w:w="0" w:type="dxa"/>
        </w:tblCellMar>
      </w:tblPr>
      <w:tblGrid>
        <w:gridCol w:w="327"/>
        <w:gridCol w:w="9878"/>
      </w:tblGrid>
      <w:tr>
        <w:trPr/>
        <w:tc>
          <w:tcPr>
            <w:tcW w:w="327" w:type="dxa"/>
            <w:tcBorders/>
            <w:shd w:fill="auto" w:val="clear"/>
          </w:tcPr>
          <w:p>
            <w:pPr>
              <w:pStyle w:val="TableContents"/>
              <w:spacing w:before="0" w:after="0"/>
              <w:jc w:val="center"/>
              <w:rPr/>
            </w:pPr>
            <w:r>
              <w:rPr/>
              <w:t>●</w:t>
            </w:r>
          </w:p>
        </w:tc>
        <w:tc>
          <w:tcPr>
            <w:tcW w:w="98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name was changed to “VistaGen Therapeutics, Inc.”; and</w:t>
            </w:r>
          </w:p>
        </w:tc>
      </w:tr>
    </w:tbl>
    <w:p>
      <w:pPr>
        <w:pStyle w:val="Normal"/>
        <w:spacing w:before="0" w:after="0"/>
        <w:rPr>
          <w:sz w:val="4"/>
          <w:szCs w:val="4"/>
        </w:rPr>
      </w:pPr>
      <w:r>
        <w:rPr>
          <w:sz w:val="4"/>
          <w:szCs w:val="4"/>
        </w:rPr>
      </w:r>
      <w:bookmarkStart w:id="45" w:name="list6"/>
      <w:bookmarkStart w:id="46" w:name="list6"/>
      <w:bookmarkEnd w:id="46"/>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center"/>
              <w:rPr/>
            </w:pPr>
            <w:r>
              <w:rPr/>
              <w:t>●</w:t>
            </w:r>
          </w:p>
        </w:tc>
        <w:tc>
          <w:tcPr>
            <w:tcW w:w="9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VistaGen California's fiscal year-end of March 31 was adopted as Excaliber’s fiscal year-end.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California, as the accounting acquirer in the Merger, recorded the Merger as the issuance of stock for the net monetary assets of Excaliber, accompanied by a recapitalization.  This accounting for the Merger was identical to that resulting from a reverse acquisition, except that no goodwill or other intangible assets were recorded.  Since June 21, 2011, VistaGen’s common stock has traded on the OTC Bulletin Board under the symbol VSTA.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47" w:name="p1it1j"/>
      <w:bookmarkEnd w:id="47"/>
      <w:r>
        <w:rPr>
          <w:rFonts w:ascii="Times New Roman" w:hAnsi="Times New Roman"/>
          <w:b/>
          <w:sz w:val="20"/>
        </w:rPr>
        <w:t>PART I</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31"/>
        <w:gridCol w:w="9174"/>
      </w:tblGrid>
      <w:tr>
        <w:trPr/>
        <w:tc>
          <w:tcPr>
            <w:tcW w:w="1031" w:type="dxa"/>
            <w:tcBorders/>
            <w:shd w:fill="auto" w:val="clear"/>
          </w:tcPr>
          <w:p>
            <w:pPr>
              <w:pStyle w:val="TableContents"/>
              <w:spacing w:before="0" w:after="0"/>
              <w:ind w:left="0" w:right="16" w:hanging="0"/>
              <w:jc w:val="left"/>
              <w:rPr/>
            </w:pPr>
            <w:r>
              <w:rPr/>
              <w:t> </w:t>
            </w:r>
            <w:r>
              <w:rPr>
                <w:rFonts w:ascii="times new roman" w:hAnsi="times new roman"/>
                <w:b/>
                <w:sz w:val="20"/>
              </w:rPr>
              <w:t>Item 1.</w:t>
            </w:r>
          </w:p>
        </w:tc>
        <w:tc>
          <w:tcPr>
            <w:tcW w:w="9174"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Business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with expertise in human pluripotent stem cell technology (“</w:t>
      </w:r>
      <w:r>
        <w:rPr>
          <w:rFonts w:ascii="Times New Roman" w:hAnsi="Times New Roman"/>
          <w:i/>
          <w:sz w:val="20"/>
        </w:rPr>
        <w:t>hPSC technology</w:t>
      </w:r>
      <w:r>
        <w:rPr>
          <w:rFonts w:ascii="Times New Roman" w:hAnsi="Times New Roman"/>
          <w:sz w:val="20"/>
        </w:rPr>
        <w:t xml:space="preserve">”).  We are applying our hPSC technology for drug rescue, predictive toxicology and drug metabolism screening.  Our primary goal is to generate novel, proprietary, safer variants of once-promising small molecule drug candidates discovered, developed and ultimately discontinued by pharmaceutical and biotechnology companies prior to regulatory approval due to unexpected safety concerns relating to the heart and/or liver.  We refer to these new, safer variants as Drug Rescue Variants. Our strategy leverages our hPSC technology platform, </w:t>
      </w:r>
      <w:r>
        <w:rPr>
          <w:rFonts w:ascii="Times New Roman" w:hAnsi="Times New Roman"/>
          <w:i/>
          <w:sz w:val="20"/>
        </w:rPr>
        <w:t>Human Clinical Trials in a Test Tube</w:t>
      </w:r>
      <w:r>
        <w:rPr>
          <w:rFonts w:ascii="Times New Roman" w:hAnsi="Times New Roman"/>
          <w:sz w:val="20"/>
        </w:rPr>
        <w:t xml:space="preserve">™, our next generation hPSC-based bioassay systems, </w:t>
      </w:r>
      <w:r>
        <w:rPr>
          <w:rFonts w:ascii="Times New Roman" w:hAnsi="Times New Roman"/>
          <w:i/>
          <w:sz w:val="20"/>
        </w:rPr>
        <w:t xml:space="preserve">CardioSafe </w:t>
      </w:r>
      <w:r>
        <w:rPr>
          <w:rFonts w:ascii="Times New Roman" w:hAnsi="Times New Roman"/>
          <w:sz w:val="20"/>
        </w:rPr>
        <w:t xml:space="preserve">3D™ and </w:t>
      </w:r>
      <w:r>
        <w:rPr>
          <w:rFonts w:ascii="Times New Roman" w:hAnsi="Times New Roman"/>
          <w:i/>
          <w:sz w:val="20"/>
        </w:rPr>
        <w:t xml:space="preserve">LiverSafe </w:t>
      </w:r>
      <w:r>
        <w:rPr>
          <w:rFonts w:ascii="Times New Roman" w:hAnsi="Times New Roman"/>
          <w:sz w:val="20"/>
        </w:rPr>
        <w:t>3D™, our network of strategic relationships, and the substantial prior third-party investment in drug discovery and development of the once-promising drug candidates we plan to include in our drug rescue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the U.S. pharmaceutical industry is facing a drug discovery and development crisis. In 2012, the U.S. pharmaceutical industry invested nearly $49 billion in research and development and the Center for Drug Evaluation and Research (CDER) of the U.S. Food and Drug Administration (FDA) approved a total of only 39 novel drugs, known as New Molecular Entities (NMEs). Despite this investment by the pharmaceutical industry, since 2003, the FDA has approved an average of approximately 26 NMEs per year. We believe the high cost of drug development and relatively low annual number of FDA-approved NMEs over the past decade is attributable in large part to the cost of failure due to unexpected safety issues related to the heart and/or liver.  In turn, we believe the unexpected safety issues related to the heart and liver result from limitations of the major toxicological testing systems currently used in the pharmaceutical industry, namely animal models involving live animals or animal cells and cellular assays based on transformed cell lines and human cadaver cells, all of which, at best, are capable only of approximating human biology. We believe better cells, human cells derived from our hPSC technology, can help develop better medicine by providing clinically relevant human biological information about a new drug candidate early in the drug development process, long before costly and time-consuming clinical trials.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 w:name="PGBRK3"/>
      <w:bookmarkStart w:id="49" w:name="PGBRK3"/>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FTR3"/>
      <w:bookmarkStart w:id="51" w:name="FTR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 w:name="GLFTR3"/>
      <w:bookmarkEnd w:id="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 w:name="PN3"/>
      <w:bookmarkEnd w:id="5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 w:name="HDR3"/>
      <w:bookmarkStart w:id="55" w:name="HDR3"/>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6" w:name="GLHDR3"/>
        <w:bookmarkEnd w:id="5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With our mature human heart cells derived from pluripotent stem cells, we have developed </w:t>
      </w:r>
      <w:r>
        <w:rPr>
          <w:rFonts w:ascii="Times New Roman" w:hAnsi="Times New Roman"/>
          <w:i/>
          <w:sz w:val="20"/>
        </w:rPr>
        <w:t xml:space="preserve">CardioSafe </w:t>
      </w:r>
      <w:r>
        <w:rPr>
          <w:rFonts w:ascii="Times New Roman" w:hAnsi="Times New Roman"/>
          <w:sz w:val="20"/>
        </w:rPr>
        <w:t xml:space="preserve">3D™, a novel three-dimensional (3D) </w:t>
      </w:r>
      <w:r>
        <w:rPr>
          <w:rFonts w:ascii="Times New Roman" w:hAnsi="Times New Roman"/>
          <w:i/>
          <w:sz w:val="20"/>
        </w:rPr>
        <w:t>in vitro</w:t>
      </w:r>
      <w:r>
        <w:rPr>
          <w:rFonts w:ascii="Times New Roman" w:hAnsi="Times New Roman"/>
          <w:sz w:val="20"/>
        </w:rPr>
        <w:t xml:space="preserve"> bioassay system for predicting </w:t>
      </w:r>
      <w:r>
        <w:rPr>
          <w:rFonts w:ascii="Times New Roman" w:hAnsi="Times New Roman"/>
          <w:i/>
          <w:sz w:val="20"/>
        </w:rPr>
        <w:t xml:space="preserve">in vivo </w:t>
      </w:r>
      <w:r>
        <w:rPr>
          <w:rFonts w:ascii="Times New Roman" w:hAnsi="Times New Roman"/>
          <w:sz w:val="20"/>
        </w:rPr>
        <w:t xml:space="preserve">cardiac effects, both toxic and non-toxic, of small molecule drug candidates long before they are tested in animals or humans. With our mature human liver cells derived from pluripotent stem cells, we are developing and now validating </w:t>
      </w:r>
      <w:r>
        <w:rPr>
          <w:rFonts w:ascii="Times New Roman" w:hAnsi="Times New Roman"/>
          <w:i/>
          <w:sz w:val="20"/>
        </w:rPr>
        <w:t xml:space="preserve">LiverSafe </w:t>
      </w:r>
      <w:r>
        <w:rPr>
          <w:rFonts w:ascii="Times New Roman" w:hAnsi="Times New Roman"/>
          <w:sz w:val="20"/>
        </w:rPr>
        <w:t xml:space="preserve">3D™, a novel three-dimensional (3D) </w:t>
      </w:r>
      <w:r>
        <w:rPr>
          <w:rFonts w:ascii="Times New Roman" w:hAnsi="Times New Roman"/>
          <w:i/>
          <w:sz w:val="20"/>
        </w:rPr>
        <w:t>in vitro</w:t>
      </w:r>
      <w:r>
        <w:rPr>
          <w:rFonts w:ascii="Times New Roman" w:hAnsi="Times New Roman"/>
          <w:sz w:val="20"/>
        </w:rPr>
        <w:t xml:space="preserve"> bioassay system for assessing liver toxicity and drug metabolism issues.  Our primary near term goal is to use </w:t>
      </w:r>
      <w:r>
        <w:rPr>
          <w:rFonts w:ascii="Times New Roman" w:hAnsi="Times New Roman"/>
          <w:i/>
          <w:sz w:val="20"/>
        </w:rPr>
        <w:t xml:space="preserve">CardioSafe </w:t>
      </w:r>
      <w:r>
        <w:rPr>
          <w:rFonts w:ascii="Times New Roman" w:hAnsi="Times New Roman"/>
          <w:sz w:val="20"/>
        </w:rPr>
        <w:t xml:space="preserve">3D™, and eventually </w:t>
      </w:r>
      <w:r>
        <w:rPr>
          <w:rFonts w:ascii="Times New Roman" w:hAnsi="Times New Roman"/>
          <w:i/>
          <w:sz w:val="20"/>
        </w:rPr>
        <w:t xml:space="preserve">LiverSafe </w:t>
      </w:r>
      <w:r>
        <w:rPr>
          <w:rFonts w:ascii="Times New Roman" w:hAnsi="Times New Roman"/>
          <w:sz w:val="20"/>
        </w:rPr>
        <w:t>3D™, for drug rescue, to recapture substantial potential value associated with the pharmaceutical industry’s prior investment in drug discovery and development of once-promising small molecule drug candidates discontinued due to safety issues related to unexpected heart or liver toxicity or drug metabolism issues.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drug rescue activities involve the combination of our human pluripotent stem cell technology with third-party modern medicinal chemistry.  Our principal drug rescue goal is to generate new, safe, proprietary chemical variants of once-promising small molecule drug candidates that were initially discovered and developed by pharmaceutical and biotechnology companies but ultimately discontinued before receiving FDA or foreign market approval due to heart toxicity, liver toxicity or drug metabolism issues. We refer to these new, safe, proprietary chemical variants  as “Drug Rescue Variants” or “DRVs.”  With human heart cells and liver cells derived from pluripotent stem cells, we believe that </w:t>
      </w:r>
      <w:r>
        <w:rPr>
          <w:rFonts w:ascii="Times New Roman" w:hAnsi="Times New Roman"/>
          <w:i/>
          <w:sz w:val="20"/>
        </w:rPr>
        <w:t xml:space="preserve">CardioSafe </w:t>
      </w:r>
      <w:r>
        <w:rPr>
          <w:rFonts w:ascii="Times New Roman" w:hAnsi="Times New Roman"/>
          <w:sz w:val="20"/>
        </w:rPr>
        <w:t xml:space="preserve">3D™ and, when developed and validated, </w:t>
      </w:r>
      <w:r>
        <w:rPr>
          <w:rFonts w:ascii="Times New Roman" w:hAnsi="Times New Roman"/>
          <w:i/>
          <w:sz w:val="20"/>
        </w:rPr>
        <w:t xml:space="preserve">LiverSafe </w:t>
      </w:r>
      <w:r>
        <w:rPr>
          <w:rFonts w:ascii="Times New Roman" w:hAnsi="Times New Roman"/>
          <w:sz w:val="20"/>
        </w:rPr>
        <w:t>3D™, will allow us to assess the heart toxicity, liver toxicity and/or metabolism profile of new drug candidates with greater speed and precision than traditional animal testing models and cellular assays used in the drug development process.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plan to monetize Drug Rescue Variants we develop by licensing them to pharmaceutical companies pursuant to development and marketing agreements. Through these agreements, for each lead Drug Rescue Variant we develop, anticipate receiving up front license fees,  development and regulatory milestone payments and royalties on commercial sales.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addition to drug rescue, we are exploring a range of emerging opportunities to advance nonclinical development of selected pilot regenerative cell therapy programs focused on blood, cartilage, heart, liver and pancreas cells, each based on the proprietary stem cell differentiation and production capabilities of our </w:t>
      </w:r>
      <w:r>
        <w:rPr>
          <w:rFonts w:ascii="Times New Roman" w:hAnsi="Times New Roman"/>
          <w:i/>
          <w:sz w:val="20"/>
        </w:rPr>
        <w:t>Human Clinical Trials in a Test Tube</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AV-101 is our orally available small molecule prodrug candidate aimed at the multi-billion dollar neurological disease and disorders market. AV-101 has successfully completed Phase I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$8.3 million of grant funding from the National Institutes of Health (“</w:t>
      </w:r>
      <w:r>
        <w:rPr>
          <w:rFonts w:ascii="Times New Roman" w:hAnsi="Times New Roman"/>
          <w:i/>
          <w:sz w:val="20"/>
        </w:rPr>
        <w:t>NIH</w:t>
      </w:r>
      <w:r>
        <w:rPr>
          <w:rFonts w:ascii="Times New Roman" w:hAnsi="Times New Roman"/>
          <w:sz w:val="20"/>
        </w:rPr>
        <w:t>”) to support preclinical and Phase I clinical development of AV-101.  We believe AV-101 may also be a candidate for development as a therapeutic alternative for depression, epilepsy and Parkinson’s disease.  To advance further clinical development, manufacturing and commercialization of AV-101, we plan to pursue a strategic licensing arrangement with a pharmaceutical or biotechnology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Stem Cell Basics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Human stem cells have the potential to develop into mature cells in the human body. Human pluripotent stem cells (“</w:t>
      </w:r>
      <w:r>
        <w:rPr>
          <w:rFonts w:ascii="Times New Roman" w:hAnsi="Times New Roman"/>
          <w:i/>
          <w:sz w:val="20"/>
        </w:rPr>
        <w:t>hPSCs</w:t>
      </w:r>
      <w:r>
        <w:rPr>
          <w:rFonts w:ascii="Times New Roman" w:hAnsi="Times New Roman"/>
          <w:sz w:val="20"/>
        </w:rPr>
        <w:t>”) can differentiate into any of the more than 200 types of cells in the human body.  In addition, hPSCs can be expanded readily and have diverse medical research, drug development and therapeutic applications. We believe hPSCs can be used to develop numerous cell types and tissues that can mimic complex human biology, including heart and liver biology, for our proposed drug rescue applications.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Pluripotent stem cells are either embryonic stem cells (“</w:t>
      </w:r>
      <w:r>
        <w:rPr>
          <w:rFonts w:ascii="Times New Roman" w:hAnsi="Times New Roman"/>
          <w:i/>
          <w:sz w:val="20"/>
        </w:rPr>
        <w:t>ES Cells</w:t>
      </w:r>
      <w:r>
        <w:rPr>
          <w:rFonts w:ascii="Times New Roman" w:hAnsi="Times New Roman"/>
          <w:sz w:val="20"/>
        </w:rPr>
        <w:t>”) or induced pluripotent stem cells (“</w:t>
      </w:r>
      <w:r>
        <w:rPr>
          <w:rFonts w:ascii="Times New Roman" w:hAnsi="Times New Roman"/>
          <w:i/>
          <w:sz w:val="20"/>
        </w:rPr>
        <w:t>iPS Cells</w:t>
      </w:r>
      <w:r>
        <w:rPr>
          <w:rFonts w:ascii="Times New Roman" w:hAnsi="Times New Roman"/>
          <w:sz w:val="20"/>
        </w:rPr>
        <w:t>”).  Both ES Cells and iPS Cells can be maintained and expanded in an undifferentiated (undeveloped) state indefinitely. We believe these features make them useful research tools and a reliable source of normal cell populations for creating bioassays to test potential efficacy and toxicity of drug candidates.  In addition, these normal human cells have a wide range of potential applications for regenerative cell therapy.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 w:name="PGBRK4"/>
      <w:bookmarkStart w:id="58" w:name="PGBRK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FTR4"/>
      <w:bookmarkStart w:id="60" w:name="FTR4"/>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 w:name="GLFTR4"/>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 w:name="PN4"/>
      <w:bookmarkEnd w:id="62"/>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HDR4"/>
      <w:bookmarkStart w:id="64" w:name="HDR4"/>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5" w:name="GLHDR4"/>
        <w:bookmarkEnd w:id="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Embryonic Stem Cells (ES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ES Cells are derived from excess fertilized eggs produced during clinical in vitro fertilization (“</w:t>
      </w:r>
      <w:r>
        <w:rPr>
          <w:rFonts w:ascii="Times New Roman" w:hAnsi="Times New Roman"/>
          <w:i/>
          <w:sz w:val="20"/>
        </w:rPr>
        <w:t>IVF</w:t>
      </w:r>
      <w:r>
        <w:rPr>
          <w:rFonts w:ascii="Times New Roman" w:hAnsi="Times New Roman"/>
          <w:sz w:val="20"/>
        </w:rPr>
        <w:t>”) procedures.  The excess fertilized eggs are donated for research purposes with the informed consent of the donors after a successful IVF procedure. ES Cells are not derived from eggs fertilized in a woman’s body. Such donated fertilized eggs are cultured in vitro and ES Cells are isolated when the embryo is approximately 100 cells, thus long before organs, tissues or nerves have developed.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ES Cells have the most documented potential to both self-renew (create large numbers of cells identical to themselves) and differentiate (develop) into any of the over 200 types of cells in the body. ES Cells undergo increasingly restrictive developmental decisions during their differentiation. These “fate decisions” commit the ES Cells to becoming only certain types of mature cells and tissues. At one of the first fate decision points, ES Cells differentiate into epiblasts. Although epiblasts cannot self-renew, they can differentiate into the major tissues of the body. This epiblast stage can be used as the starting population of cells that develop into millions of blood, heart, muscle, liver and pancreas cells, as well as neurons. In the next step, the presence or absence of certain growth factors, together with the differentiation signals resulting from the physical attributes of the culture techniques, induce the epiblasts to differentiate into neuroectoderm or mesendoderm cells. Neuroectoderm cells are committed to developing into cells of the skin and cells of the nervous system.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Induced Pluripotent Stem Cells (iPS Cells)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past several years, Nobel prize-winning developments in stem cell research by third parties have made it possible to obtain pluripotent stem cell lines from individuals without the use of embryos. Induced pluripotent stem cells (“</w:t>
      </w:r>
      <w:r>
        <w:rPr>
          <w:rFonts w:ascii="Times New Roman" w:hAnsi="Times New Roman"/>
          <w:i/>
          <w:sz w:val="20"/>
        </w:rPr>
        <w:t>iPS Cells</w:t>
      </w:r>
      <w:r>
        <w:rPr>
          <w:rFonts w:ascii="Times New Roman" w:hAnsi="Times New Roman"/>
          <w:sz w:val="20"/>
        </w:rPr>
        <w:t>”) are adult cells, typically human skin or fat cells, that have been genetically “reprogrammed” to behave like ES Cells by being forced to express genes necessary for maintaining the pluripotential property of ES Cells. Although researchers are exploring non-viral methods, most iPS Cells are produced by using various viruses to activate and/or express three or four genes required for the immature pluripotential property similar to ES Cells. It is not yet precisely known, however, how each gene actually functions to induce cellular pluripotency, nor whether each of the three or four genes is essential for this reprogramming. Although ES Cells and iPS Cells are believed to be similar in many respects, including their ability to form all cells in the body and to self-renew, scientists do not yet know whether they differ in clinically significant ways or have the same ability to self-renew and make more of themselves.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there are remaining questions in the field about the lifespan, clinical utility and safety of iPS Cells, we believe that the biology and differentiation capabilities of ES Cells and iPS Cells are likely to be comparable. There are, however, specific situations in which we may prefer to use iPS technologies based on the relative ease of generating pluripotent stem cells from:</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8"/>
        <w:gridCol w:w="9647"/>
      </w:tblGrid>
      <w:tr>
        <w:trPr/>
        <w:tc>
          <w:tcPr>
            <w:tcW w:w="558" w:type="dxa"/>
            <w:tcBorders/>
            <w:shd w:fill="auto" w:val="clear"/>
          </w:tcPr>
          <w:p>
            <w:pPr>
              <w:pStyle w:val="TableContents"/>
              <w:spacing w:before="0" w:after="0"/>
              <w:ind w:left="0" w:right="0" w:hanging="0"/>
              <w:jc w:val="center"/>
              <w:rPr/>
            </w:pPr>
            <w:r>
              <w:rPr/>
              <w:t>•</w:t>
            </w:r>
          </w:p>
        </w:tc>
        <w:tc>
          <w:tcPr>
            <w:tcW w:w="96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individuals with specific inheritable diseases and conditions that predispose the individual to respond differently to drugs;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5"/>
        <w:gridCol w:w="9650"/>
      </w:tblGrid>
      <w:tr>
        <w:trPr/>
        <w:tc>
          <w:tcPr>
            <w:tcW w:w="555" w:type="dxa"/>
            <w:tcBorders/>
            <w:shd w:fill="auto" w:val="clear"/>
          </w:tcPr>
          <w:p>
            <w:pPr>
              <w:pStyle w:val="TableContents"/>
              <w:spacing w:before="0" w:after="0"/>
              <w:ind w:left="0" w:right="0" w:hanging="0"/>
              <w:jc w:val="center"/>
              <w:rPr/>
            </w:pPr>
            <w:r>
              <w:rPr/>
              <w:t>•</w:t>
            </w:r>
          </w:p>
        </w:tc>
        <w:tc>
          <w:tcPr>
            <w:tcW w:w="96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individuals with specific variations in genes that directly affect drug levels in the body or alter the manner or efficiency of their metabolism, breakdown or elimination of drugs.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Because they can significantly affect the therapeutic and/or toxic effects of drugs, these genetic variations have an impact on drug development and the ultimate success of the drug. We believe that iPS Cell technologies may allow the rapid and efficient generation of pluripotent stem cells from individuals with the desired specific genetic variation. These stem cells might then be used to develop stem cell-based bioassays, for both efficacy and toxicity screening, which reflect the effects of these genetic variations, as well as for cell therapy applications.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 w:name="PGBRK5"/>
      <w:bookmarkStart w:id="67" w:name="PGBRK5"/>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FTR5"/>
      <w:bookmarkStart w:id="69" w:name="FTR5"/>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 w:name="GLFTR5"/>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 w:name="PN5"/>
      <w:bookmarkEnd w:id="71"/>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HDR5"/>
      <w:bookmarkStart w:id="73" w:name="HDR5"/>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4" w:name="GLHDR5"/>
        <w:bookmarkEnd w:id="7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Current Drug Development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current drug development paradigm is designed to assess whether a drug candidate is both safe and effective at treating the disease to which it is targeted. A major challenge in that process is that conventional animal and </w:t>
      </w:r>
      <w:r>
        <w:rPr>
          <w:rFonts w:ascii="Times New Roman" w:hAnsi="Times New Roman"/>
          <w:i/>
          <w:sz w:val="20"/>
        </w:rPr>
        <w:t xml:space="preserve">in vitro </w:t>
      </w:r>
      <w:r>
        <w:rPr>
          <w:rFonts w:ascii="Times New Roman" w:hAnsi="Times New Roman"/>
          <w:sz w:val="20"/>
        </w:rPr>
        <w:t>testing can, at best, only approximate human biology. A pharmaceutical company can spend millions of dollars to discover, optimize and validate the potential efficacy of a promising small molecule drug candidate and advance it through nonclinical development, only to see it fail due to unexpected safety issues relating to heart or liver toxicity or adverse drug-drug interactions.  The pharmaceutical company then often discontinues the development program for the once-promising drug candidate, despite positive efficacy data indicating its potential therapeutic and commercial benefits. If discontinued, the pharmaceutical company’s significant prior drug discovery and development investment in the drug candidate is lost.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Taking into account the cost of failures, it has been estimated that the drug discovery and development programs of major pharmaceutical companies have required an average investment of approximately $1 billion for each new drug candidate that reaches the market. It is also estimated that about one-third of all potential new drugs candidates fail in preclinical or clinical trials due to safety concerns. In a 2004 white paper entitled “Stagnation or Innovation”, the FDA noted that even a 10% improvement in predicting the failure of a drug due to toxicity before the drug enters clinical trials could, when averaged over a pharmaceutical company’s drug development efforts, avoid $100 million in development costs per marketed drug.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there is an unmet need for more predictive human cell-based toxicology and drug discovery screening assays that more closely approximate human biology than do current testing systems used in the pharmaceutical industry. By differentiating pluripotent stem cells into mature, functional human cells that can then be used as the basis for our customized </w:t>
      </w:r>
      <w:r>
        <w:rPr>
          <w:rFonts w:ascii="Times New Roman" w:hAnsi="Times New Roman"/>
          <w:i/>
          <w:sz w:val="20"/>
        </w:rPr>
        <w:t>in vitro</w:t>
      </w:r>
      <w:r>
        <w:rPr>
          <w:rFonts w:ascii="Times New Roman" w:hAnsi="Times New Roman"/>
          <w:sz w:val="20"/>
        </w:rPr>
        <w:t xml:space="preserve"> toxicology screening bioassay systems, we have the potential to identify human heart and liver toxicity of new drug candidates early in the drug development process, resulting in efficient focusing of resources on those candidates with the highest probability of success. We believe this has the potential to substantially reduce development costs and substantially improve the economics of our current healthcare system, while enabling us to generate effective and safer drugs.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Our Human Clinical Trials in a Test TubeTM Platform for Drug Rescue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are focused on leveraging the substantial prior investment by pharmaceutical companies in discovery and development of new drug candidates that ultimately were discontinued due to unexpected safety issues relating to the heart and liver toxicity. By combining our stem cell technology platform, which we refer to as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with modern medicinal chemistry and 3D “micro-organ” culture systems, we are focused on generating, together with our collaborators, new, safer, proprietary chemical variants of failed drug candidates.  Our primary drug rescue goal is to use our stem cell technology platform to generate Drug Rescue Variants that retain the efficacy of a large pharmaceutical company’s once-promising drug candidate, but with reduced heart and/or liver toxicity or adverse drug-drug interactions.  We believe our Drug Rescue Variants will offer to pharmaceutical companies a potential opportunity to rescue substantial value from their prior drug discovery and development investment in once-promising drug candidates which they discontinued due to heart or liver safety concerns.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Proprietary Pluripotent Stem Cell Differentiation Protocols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Through several years of research, together with our co-founder, Dr. Gordon Keller, we have developed proprietary differentiation protocols covering key conditions involved in the differentiation of pluripotent stem cells into multiple types of human cells. The human cells generated by following these proprietary differentiation protocols are integral to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 xml:space="preserve">TM platform.  We believe they support more clinically predictive </w:t>
      </w:r>
      <w:r>
        <w:rPr>
          <w:rFonts w:ascii="Times New Roman" w:hAnsi="Times New Roman"/>
          <w:i/>
          <w:sz w:val="20"/>
        </w:rPr>
        <w:t>in vitro</w:t>
      </w:r>
      <w:r>
        <w:rPr>
          <w:rFonts w:ascii="Times New Roman" w:hAnsi="Times New Roman"/>
          <w:sz w:val="20"/>
        </w:rPr>
        <w:t xml:space="preserve"> bioassay systems than animal testing or cellular assays currently used in drug discovery and development. Our exclusive licenses with National Jewish Health and Mount Sinai School of Medicine and University Health Network relate to proprietary stem cell differentiation protocols developed by Dr. Keller and cover, among other things,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specific growth and differentiation factors used in the tissue culture medium, applied in specific combinations, at critical concentrations, and at critical times unique to each desired cell type;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7"/>
        <w:gridCol w:w="9648"/>
      </w:tblGrid>
      <w:tr>
        <w:trPr/>
        <w:tc>
          <w:tcPr>
            <w:tcW w:w="557" w:type="dxa"/>
            <w:tcBorders/>
            <w:shd w:fill="auto" w:val="clear"/>
          </w:tcPr>
          <w:p>
            <w:pPr>
              <w:pStyle w:val="TableContents"/>
              <w:spacing w:before="0" w:after="0"/>
              <w:ind w:left="0" w:right="0" w:hanging="0"/>
              <w:jc w:val="center"/>
              <w:rPr/>
            </w:pPr>
            <w:r>
              <w:rPr/>
              <w:t>•</w:t>
            </w:r>
          </w:p>
        </w:tc>
        <w:tc>
          <w:tcPr>
            <w:tcW w:w="96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modified developmental genes and the experimentally controlled regulation of developmental genes, which is critical for determining what differentiation path a cell will take;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8"/>
        <w:gridCol w:w="9647"/>
      </w:tblGrid>
      <w:tr>
        <w:trPr/>
        <w:tc>
          <w:tcPr>
            <w:tcW w:w="558" w:type="dxa"/>
            <w:tcBorders/>
            <w:shd w:fill="auto" w:val="clear"/>
          </w:tcPr>
          <w:p>
            <w:pPr>
              <w:pStyle w:val="TableContents"/>
              <w:spacing w:before="0" w:after="0"/>
              <w:ind w:left="0" w:right="0" w:hanging="0"/>
              <w:jc w:val="center"/>
              <w:rPr/>
            </w:pPr>
            <w:r>
              <w:rPr/>
              <w:t>•</w:t>
            </w:r>
          </w:p>
        </w:tc>
        <w:tc>
          <w:tcPr>
            <w:tcW w:w="96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biological markers characteristic of precursor cells, which are committed to becoming specific cells and tissues, and which can be used to identify, enrich and purify the desired mature cell type.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 w:name="PGBRK6"/>
      <w:bookmarkStart w:id="76" w:name="PGBRK6"/>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FTR6"/>
      <w:bookmarkStart w:id="78" w:name="FTR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9" w:name="GLFTR6"/>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 w:name="PN6"/>
      <w:bookmarkEnd w:id="8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HDR6"/>
      <w:bookmarkStart w:id="82" w:name="HDR6"/>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3" w:name="GLHDR6"/>
        <w:bookmarkEnd w:id="8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our </w:t>
      </w:r>
      <w:r>
        <w:rPr>
          <w:rFonts w:ascii="Times New Roman" w:hAnsi="Times New Roman"/>
          <w:i/>
          <w:sz w:val="20"/>
        </w:rPr>
        <w:t>Human Clinical Trials in a Test Tube</w:t>
      </w:r>
      <w:r>
        <w:rPr>
          <w:rFonts w:ascii="Times New Roman" w:hAnsi="Times New Roman"/>
          <w:sz w:val="20"/>
        </w:rPr>
        <w:t>TM platform will allow us to assess the heart and liver toxicity profile of new, small molecule drug candidates for a wide range of diseases and conditions, with greater speed and precision than animal testing and cellular assays currently used by pharmaceutical companies in the drug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Growth Factors that Direct and Stimulate the Differentiation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proprietary and licensed technologies underlying our </w:t>
      </w:r>
      <w:r>
        <w:rPr>
          <w:rFonts w:ascii="Times New Roman" w:hAnsi="Times New Roman"/>
          <w:i/>
          <w:sz w:val="20"/>
        </w:rPr>
        <w:t>Human Clinical Trials in a</w:t>
      </w:r>
      <w:r>
        <w:rPr>
          <w:rFonts w:ascii="Times New Roman" w:hAnsi="Times New Roman"/>
          <w:sz w:val="20"/>
        </w:rPr>
        <w:t xml:space="preserve"> </w:t>
      </w:r>
      <w:r>
        <w:rPr>
          <w:rFonts w:ascii="Times New Roman" w:hAnsi="Times New Roman"/>
          <w:i/>
          <w:sz w:val="20"/>
        </w:rPr>
        <w:t>Test Tube</w:t>
      </w:r>
      <w:r>
        <w:rPr>
          <w:rFonts w:ascii="Times New Roman" w:hAnsi="Times New Roman"/>
          <w:sz w:val="20"/>
        </w:rPr>
        <w:t>TM platform allow us to direct and stimulate the differentiation process of human pluripotent stem cells. As an example, for pluripotent ES Cells, the epiblast is the first stage in differentiation. One biological factor that controls the first fate decision of the epiblast is the relative concentrations of serum growth factors and activin, a protein involved in early differentiation and many cell fate decisions. Eliminating serum growth factors and adding the optimal amount of activin is an important step in inducing the reproducible development of functional cells and, in our view, is essential for the development of a robust, efficient, and reproducible model of human biological systems suitable for drug rescue applications. The use of activin in these applications is core to many of the claims in the patent applications underlying our licensed technology. Replacing activin with continuous exposure to serum factors results in an inefficient and variable differentiation into cells of the heart, liver, blood and other internal organs. See “Intellectual Property – Mount Sinai School of Medicine Exclusive Licenses.”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activin, Dr. Keller’s studies have identified a number of other growth and serum-derived factors that play important roles in the differentiation of ES Cells. Some of the patents and patent applications underlying our licensed technology are directed to the use of a variety of specific growth factors that increase the efficiency and reproducibility of the pluripotent stem cell differentiation process. We have exclusive rights to certain patents and patent applications for the use of growth factor concentrations for ES Cell differentiation that we believe are core and essential for our drug rescue and development applications. See “Intellectual Property - Licenses - Mount Sinai School of Medicine Exclusive Licenses,” “National Jewish Health Exclusive Licenses” and “University Health Network Exclusive License.”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Developmental Genes that Direct and Stimulate the Differentiation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For the purpose of creating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ES Cells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Cell Purification Approaches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proprietary protocols we have licensed for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also establish specific marker genes and proteins which can be used to identify, enrich, purify, and study important populations of intermediate precursor cells that have made specific fate decisions and are on a specific developmental pathway towards a mature functional cell. These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heart cells. Due to their functionality and purity, we believe these cell cultures are ideal for supporting our drug rescue activities.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 w:name="PGBRK7"/>
      <w:bookmarkStart w:id="85" w:name="PGBRK7"/>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FTR7"/>
      <w:bookmarkStart w:id="87" w:name="FTR7"/>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8" w:name="GLFTR7"/>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 w:name="PN7"/>
      <w:bookmarkEnd w:id="89"/>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HDR7"/>
      <w:bookmarkStart w:id="91" w:name="HDR7"/>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2" w:name="GLHDR7"/>
        <w:bookmarkEnd w:id="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3D “Micro-Organ” Culture Systems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to standard two-dimensional (“</w:t>
      </w:r>
      <w:r>
        <w:rPr>
          <w:rFonts w:ascii="Times New Roman" w:hAnsi="Times New Roman"/>
          <w:i/>
          <w:sz w:val="20"/>
        </w:rPr>
        <w:t>2D</w:t>
      </w:r>
      <w:r>
        <w:rPr>
          <w:rFonts w:ascii="Times New Roman" w:hAnsi="Times New Roman"/>
          <w:sz w:val="20"/>
        </w:rPr>
        <w:t xml:space="preserve">”) cultures which work well for some cell types and cellular assays, the proprietary stem cell technologies underlying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 xml:space="preserve">TM platform enable us to grow large numbers of normal, non-transformed, human cells to produce novel </w:t>
      </w:r>
      <w:r>
        <w:rPr>
          <w:rFonts w:ascii="Times New Roman" w:hAnsi="Times New Roman"/>
          <w:i/>
          <w:sz w:val="20"/>
        </w:rPr>
        <w:t xml:space="preserve">in vitro </w:t>
      </w:r>
      <w:r>
        <w:rPr>
          <w:rFonts w:ascii="Times New Roman" w:hAnsi="Times New Roman"/>
          <w:sz w:val="20"/>
        </w:rPr>
        <w:t xml:space="preserve">3D “micro-organ” culture systems. For example, for </w:t>
      </w:r>
      <w:r>
        <w:rPr>
          <w:rFonts w:ascii="Times New Roman" w:hAnsi="Times New Roman"/>
          <w:i/>
          <w:sz w:val="20"/>
        </w:rPr>
        <w:t>CardioSafe 3D</w:t>
      </w:r>
      <w:r>
        <w:rPr>
          <w:rFonts w:ascii="Times New Roman" w:hAnsi="Times New Roman"/>
          <w:sz w:val="20"/>
        </w:rPr>
        <w:t xml:space="preserve">TM, we grow large numbers of normal, non-transformed, human heart cells </w:t>
      </w:r>
      <w:r>
        <w:rPr>
          <w:rFonts w:ascii="Times New Roman" w:hAnsi="Times New Roman"/>
          <w:i/>
          <w:sz w:val="20"/>
        </w:rPr>
        <w:t xml:space="preserve">in vitro </w:t>
      </w:r>
      <w:r>
        <w:rPr>
          <w:rFonts w:ascii="Times New Roman" w:hAnsi="Times New Roman"/>
          <w:sz w:val="20"/>
        </w:rPr>
        <w:t>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Medicinal Chemistry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Medicinal chemistry involves designing, synthesizing, modifying and developing small molecule drugs suitable for therapeutic use. It is a highly interdisciplinary science combining organic chemistry, biochemistry, physical chemistry, computational chemistry, pharmacology, and statistics. The combination of medicinal chemistry with the proprietary and licensed stem cell technologies underlying our </w:t>
      </w:r>
      <w:r>
        <w:rPr>
          <w:rFonts w:ascii="Times New Roman" w:hAnsi="Times New Roman"/>
          <w:i/>
          <w:sz w:val="20"/>
        </w:rPr>
        <w:t>Human Clinical Trials in a Test Tube</w:t>
      </w:r>
      <w:r>
        <w:rPr>
          <w:rFonts w:ascii="Times New Roman" w:hAnsi="Times New Roman"/>
          <w:sz w:val="20"/>
        </w:rPr>
        <w:t>TM platform are core components of our drug rescue business model. Working with our strategic medicinal chemistry partner, Synterys, Inc., we are focused on using our stem cell biology to generate a pipeline of effective and safe Drug Rescue Variants of once-promising pharmaceutical company drug candidates in a more efficient and cost-effective manner than the processes currently used for drug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Application of Stem Cell Technology to Drug Rescue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By using </w:t>
      </w:r>
      <w:r>
        <w:rPr>
          <w:rFonts w:ascii="Times New Roman" w:hAnsi="Times New Roman"/>
          <w:i/>
          <w:sz w:val="20"/>
        </w:rPr>
        <w:t>CardioSafe 3D</w:t>
      </w:r>
      <w:r>
        <w:rPr>
          <w:rFonts w:ascii="Times New Roman" w:hAnsi="Times New Roman"/>
          <w:sz w:val="20"/>
        </w:rPr>
        <w:t>TM, we are focused on identifying and optimizing a lead Drug Rescue Variant (generated in collaboration with our medicinal chemistry partner) with reduced heart toxicity compared to the once-promising pharmaceutical company drug candidate. We believe each lead Drug Rescue Variant will be a new drug candidate (to which we expect to have certain intellectual property and commercialization rights) that preserves the therapeutic potential of the original pharmaceutical company drug candidate, and thus retains its potential commercial value to a pharmaceutical company, but substantially reduces or eliminates its heart toxicity risks. We believe that focusing on failed drug candidates that generated positive efficacy data will allow us to leverage a pharmaceutical company’s substantial prior investment in discovery and development of the original drug candidate to develop our new lead Drug Rescue Variant. We anticipate that the positive efficacy data relating to the pharmaceutical company’s original drug candidate will give us and our medicinal chemistry partner a significant “head start” in our efforts to generate a lead Drug Rescue Variant, resulting in faster, less expensive development of our Drug Rescue Variants than drug candidates discovered and developed using only conventional animal testing and cellular testing systems.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i/>
          <w:sz w:val="20"/>
        </w:rPr>
        <w:t>CardioSafe 3D</w:t>
      </w:r>
      <w:r>
        <w:rPr>
          <w:rFonts w:ascii="Times New Roman" w:hAnsi="Times New Roman"/>
          <w:b/>
          <w:sz w:val="20"/>
        </w:rPr>
        <w:t>TM</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used the proprietary pluripotent stem cell technology underlying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TM platform to develop and validate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a human heart cell-based toxicity screening system that we believe is stable, reproducible and capable of generating data to allow our scientists to more accurately predict the </w:t>
      </w:r>
      <w:r>
        <w:rPr>
          <w:rFonts w:ascii="Times New Roman" w:hAnsi="Times New Roman"/>
          <w:i/>
          <w:sz w:val="20"/>
        </w:rPr>
        <w:t xml:space="preserve">in vivo </w:t>
      </w:r>
      <w:r>
        <w:rPr>
          <w:rFonts w:ascii="Times New Roman" w:hAnsi="Times New Roman"/>
          <w:sz w:val="20"/>
        </w:rPr>
        <w:t xml:space="preserve">cardiac effects, both toxic and non-toxic, of drug candidates. A single </w:t>
      </w:r>
      <w:r>
        <w:rPr>
          <w:rFonts w:ascii="Times New Roman" w:hAnsi="Times New Roman"/>
          <w:i/>
          <w:sz w:val="20"/>
        </w:rPr>
        <w:t>CardioSafe 3D</w:t>
      </w:r>
      <w:r>
        <w:rPr>
          <w:rFonts w:ascii="Times New Roman" w:hAnsi="Times New Roman"/>
          <w:sz w:val="20"/>
        </w:rPr>
        <w:t>TM assay is stable for many weeks and can be used for evaluating the heart toxicity of numerous drug candidates.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8"/>
      <w:bookmarkStart w:id="94" w:name="PGBRK8"/>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FTR8"/>
      <w:bookmarkStart w:id="96" w:name="FTR8"/>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 w:name="GLFTR8"/>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 w:name="PN8"/>
      <w:bookmarkEnd w:id="9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HDR8"/>
      <w:bookmarkStart w:id="100" w:name="HDR8"/>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1" w:name="GLHDR8"/>
        <w:bookmarkEnd w:id="1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initial internal validation study was designed to test the ability of </w:t>
      </w:r>
      <w:r>
        <w:rPr>
          <w:rFonts w:ascii="Times New Roman" w:hAnsi="Times New Roman"/>
          <w:i/>
          <w:sz w:val="20"/>
        </w:rPr>
        <w:t>CardioSafe 3D</w:t>
      </w:r>
      <w:r>
        <w:rPr>
          <w:rFonts w:ascii="Times New Roman" w:hAnsi="Times New Roman"/>
          <w:sz w:val="20"/>
        </w:rPr>
        <w:t xml:space="preserve">TM to generate data to allow our scientists to predict the </w:t>
      </w:r>
      <w:r>
        <w:rPr>
          <w:rFonts w:ascii="Times New Roman" w:hAnsi="Times New Roman"/>
          <w:i/>
          <w:sz w:val="20"/>
        </w:rPr>
        <w:t xml:space="preserve">in vivo </w:t>
      </w:r>
      <w:r>
        <w:rPr>
          <w:rFonts w:ascii="Times New Roman" w:hAnsi="Times New Roman"/>
          <w:sz w:val="20"/>
        </w:rPr>
        <w:t>cardiac effects of drug candidates. This study included 10 drugs previously approved for human use by the FDA and one experimental research compound widely accepted for studying cardiac electrophysiological effects. We selected these drugs and the research compound because of their known toxic or non-toxic cardiac effects on human hearts that we believe represent the testing characteristics we expect to encounter during our drug rescue programs. More specifically: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7"/>
        <w:gridCol w:w="9648"/>
      </w:tblGrid>
      <w:tr>
        <w:trPr/>
        <w:tc>
          <w:tcPr>
            <w:tcW w:w="557" w:type="dxa"/>
            <w:tcBorders/>
            <w:shd w:fill="auto" w:val="clear"/>
          </w:tcPr>
          <w:p>
            <w:pPr>
              <w:pStyle w:val="TableContents"/>
              <w:spacing w:before="0" w:after="0"/>
              <w:ind w:left="0" w:right="0" w:hanging="0"/>
              <w:jc w:val="center"/>
              <w:rPr/>
            </w:pPr>
            <w:r>
              <w:rPr/>
              <w:t>•</w:t>
            </w:r>
          </w:p>
        </w:tc>
        <w:tc>
          <w:tcPr>
            <w:tcW w:w="96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five of the FDA-approved drugs (astemizole, sotalol, cisapride, terfenadine and sertindole) were withdrawn from the market due to heart toxicity concerns;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7"/>
        <w:gridCol w:w="9648"/>
      </w:tblGrid>
      <w:tr>
        <w:trPr/>
        <w:tc>
          <w:tcPr>
            <w:tcW w:w="557" w:type="dxa"/>
            <w:tcBorders/>
            <w:shd w:fill="auto" w:val="clear"/>
          </w:tcPr>
          <w:p>
            <w:pPr>
              <w:pStyle w:val="TableContents"/>
              <w:spacing w:before="0" w:after="0"/>
              <w:ind w:left="0" w:right="0" w:hanging="0"/>
              <w:jc w:val="center"/>
              <w:rPr/>
            </w:pPr>
            <w:r>
              <w:rPr/>
              <w:t>•</w:t>
            </w:r>
          </w:p>
        </w:tc>
        <w:tc>
          <w:tcPr>
            <w:tcW w:w="96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other five FDA-approved drugs (fexofenadine, nifedipine, verapamil, lidocaine and propranolol) are currently available in the U.S. market and demonstrate certain measurable clinical non-toxic cardiac effects, one of which (fexofenadine) is a non-cardiotoxic drug variant (similar in concept to our planned rescued drug variants) of terfenadine (one of the FDA-approved drugs withdrawn from the market due to heart safety concerns);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research compound (E-4031) failed in a small Phase I human clinical study before being discontinued due to heart toxicity concerns.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our study analysis, we found that results obtained with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were consistent with the known human cardiac effects of all 10 FDA-approved drugs and the experimental research compound. By using </w:t>
      </w:r>
      <w:r>
        <w:rPr>
          <w:rFonts w:ascii="Times New Roman" w:hAnsi="Times New Roman"/>
          <w:i/>
          <w:sz w:val="20"/>
        </w:rPr>
        <w:t>CardioSafe 3D</w:t>
      </w:r>
      <w:r>
        <w:rPr>
          <w:rFonts w:ascii="Times New Roman" w:hAnsi="Times New Roman"/>
          <w:sz w:val="20"/>
        </w:rPr>
        <w:t>TM, we were also able to distinguish between the cardiac effects of terfenadine (SeldaneTM), withdrawn by the FDA due to cardiotoxicity, and the cardiac effects of the closely related fexofenadine (AllegraTM), the safe and effective chemical variant of terfenadine, which remains on the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results obtained with </w:t>
      </w:r>
      <w:r>
        <w:rPr>
          <w:rFonts w:ascii="Times New Roman" w:hAnsi="Times New Roman"/>
          <w:i/>
          <w:sz w:val="20"/>
        </w:rPr>
        <w:t>CardioSafe 3D</w:t>
      </w:r>
      <w:r>
        <w:rPr>
          <w:rFonts w:ascii="Times New Roman" w:hAnsi="Times New Roman"/>
          <w:sz w:val="20"/>
        </w:rPr>
        <w:t xml:space="preserve">TM were consistent with the cardiac effects of all five FDA-approved drugs that were later withdrawn from the market due to concerns of heart toxicity. With respect to the results for sertindole, </w:t>
      </w:r>
      <w:r>
        <w:rPr>
          <w:rFonts w:ascii="Times New Roman" w:hAnsi="Times New Roman"/>
          <w:i/>
          <w:sz w:val="20"/>
        </w:rPr>
        <w:t>CardioSafe 3D</w:t>
      </w:r>
      <w:r>
        <w:rPr>
          <w:rFonts w:ascii="Times New Roman" w:hAnsi="Times New Roman"/>
          <w:sz w:val="20"/>
        </w:rPr>
        <w:t>TM indicated the same cardiac effects found in clinical testing that caused it to be withdrawn from the market. However, additional clinical studies have been conducted since the withdrawal of sertindole that have indicated lower incidence of severe cardiac effects than those originally predicted when the drug was withdrawn. As of the date of this report, sertindole has been approved for limited use by humans in the U.S. for the treatment of schizophrenia, but the cardiac effects of sertindole are still being researched.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the results of our initial internal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validation study, as well as the results of our subsequent internal validation studies involving  additional drugs previously approved for human use by the FDA,  indicate that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TM may be effectively used to identify Drug Rescue Variants with reduced heart toxicity by providing more accurate and timely indications of direct heart toxicity of drug candidates than animal models or cellular assay systems currently used by pharmaceutical companies.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believe that the results of our internal validation studies support a central premise of our drug rescue business model, which is that by using our stem cell-derived human heart and liver bioassay systems at the front end of the drug development process, we have the opportunity to recapture substantial value from prior investment by pharmaceutical companies in discovery and development of drug candidates that have been put on the shelf due to toxicity concerns. This internal validation study has not been subject to peer review or third party validation. See “</w:t>
      </w:r>
      <w:r>
        <w:rPr>
          <w:rFonts w:ascii="Times New Roman" w:hAnsi="Times New Roman"/>
          <w:i/>
          <w:sz w:val="20"/>
        </w:rPr>
        <w:t>Risk Factors</w:t>
      </w:r>
      <w:r>
        <w:rPr>
          <w:rFonts w:ascii="Times New Roman" w:hAnsi="Times New Roman"/>
          <w:sz w:val="20"/>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i/>
          <w:sz w:val="20"/>
        </w:rPr>
        <w:t>LiverSafe 3D</w:t>
      </w:r>
      <w:r>
        <w:rPr>
          <w:rFonts w:ascii="Times New Roman" w:hAnsi="Times New Roman"/>
          <w:b/>
          <w:sz w:val="20"/>
        </w:rPr>
        <w:t>TM</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Current human stem cell-based liver cell cultures produce proteins produced by and characteristic of immature and adult liver cells, including albumin and liver-specific enzymes important for normal drug metabolism. In addition, these liver cells have biochemical pathways and subcellular structures that are characteristic of normal human liver cells. Although they express many of the mature adult liver proteins and drug processing enzymes, they do not yet express certain essential enzymes at levels typically seen in mature adult liver cells.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 w:name="PGBRK9"/>
      <w:bookmarkStart w:id="103" w:name="PGBRK9"/>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FTR9"/>
      <w:bookmarkStart w:id="105" w:name="FTR9"/>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6" w:name="GLFTR9"/>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 w:name="PN9"/>
      <w:bookmarkEnd w:id="10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HDR9"/>
      <w:bookmarkStart w:id="109" w:name="HDR9"/>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0" w:name="GLHDR9"/>
        <w:bookmarkEnd w:id="11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Working with Dr. Keller, we have produced pluripotent stem cell-derived normal, non-transformed, fully mature, human liver cells. We expect these mature liver cells to support our ongoing development and validation of </w:t>
      </w:r>
      <w:r>
        <w:rPr>
          <w:rFonts w:ascii="Times New Roman" w:hAnsi="Times New Roman"/>
          <w:i/>
          <w:sz w:val="20"/>
        </w:rPr>
        <w:t>LiverSafe 3D</w:t>
      </w:r>
      <w:r>
        <w:rPr>
          <w:rFonts w:ascii="Times New Roman" w:hAnsi="Times New Roman"/>
          <w:sz w:val="20"/>
        </w:rPr>
        <w:t xml:space="preserve">TM as our follow-on bioassay system suitable for use in predicting liver toxicity and metabolism of drug rescue candidates in a manner similar to the way we believe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TM can predict heart toxicity. Our early liver cell research project was funded in part through a grant from the California Institute of Regenerative Medicine (“</w:t>
      </w:r>
      <w:r>
        <w:rPr>
          <w:rFonts w:ascii="Times New Roman" w:hAnsi="Times New Roman"/>
          <w:i/>
          <w:sz w:val="20"/>
        </w:rPr>
        <w:t>CIRM</w:t>
      </w:r>
      <w:r>
        <w:rPr>
          <w:rFonts w:ascii="Times New Roman" w:hAnsi="Times New Roman"/>
          <w:sz w:val="20"/>
        </w:rPr>
        <w:t>”). We anticipate that our future research and development will focus on the improvement of techniques and production of engineered human ES Cell and iPS Cell lines used to develop mature functional liver cells as a biological system for testing drugs and, potentially, regenerative cell therapy for liver disease.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One of the pitfalls of many pluripotent stem cell differentiation protocols is the extremely poor efficiency of producing mature hepatocytes.  The cytochrome P450 3A (CYP3A) subfamily of enzymes is the most predominant in the human liver.  In the fetal liver CYP3A7 is the predominant isoform, whereas there is an almost exclusive shift to the CYP3A4 isoform in the adult liver.  Furthermore, CYP3A4 is responsible for the metabolism of half of the pharmaceuticals currently available, as well as playing a central role in steroid homeostasis.  Most published stem cell differentiation reports demonstrate CPY3A7 expression, but little to no CYP3A4 expression or activity, indicating the lack of maturity of the hepatocyte-like cells being studied. In an effort to address this problem, we generated a human embryonic stem cell (hESC) reporter line containing a humanized version of the beta-lactamase reporter gene (hBLA) targeted to the 3’ untranslated region of the CYP3A4 locus.  We have shown the use of this cell line as a semi-quantitative tool for analyzing the expression of CYP3A4 in individual cells and for the selection of mature hepatocytes by fluorescence activated cell sorting.  We have demonstrated that this assay can be used to monitor the induction of CYP3A4, its expression level over time, and to measure experimental effects on the maturation of hepatocytes.  Using an optimized protocol for the differentiation of hepatocyte-like cells, we have demonstrated adult CYP3A4-hBLA expression in 25-60% of the unsorted differentiated cell population.  Furthermore these cells showed expected adult responses: 1) rifampicin induction, 2) metabolism of known CYP3A4 substrates, 3) albumin production and 4) phase II enzyme activities.  Sorted CYP3A4-hBLA cells express levels of CYP3A4 mRNA approaching that in human adult liver on a per cell basis.  We believe these data suggest that these cells have many of the functional properties of mature hepatocytes.  This system allows us to measure the expression of CYP3A4-hBLA on a per cell basis in response to experimental conditions, and treatments with drugs, and corroborate those data with cytochromes P450 enzyme activities, Phase II enzyme activities, and secretion of hepatic factors, such as albumin and urea.  These multiple functional analyses provide a powerful system to evaluate the effects of test compounds on CYP3A4 expression and hepatocyte function, offering a valuable aid for assessing potential drug candidates for toxicity.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Our Drug Rescue Business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current drug rescue programs are focused on heart toxicity using our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human heart cell-based bioassay system. We are focused on rescuing once-promising drug candidates that have positive efficacy data indicating their potential therapeutic and commercial benefits but that have been discontinued in development by a large pharmaceutical company due to heart toxicity. The initial goal of our drug rescue program for each drug rescue candidate will be to design and generate, with our medicinal chemistry collaborator, a portfolio of Drug Rescue Variants. We plan to use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to identify a lead Drug Rescue Variant that demonstrates an improved therapeutic index compared to the pharmaceutical company’s original drug candidate (that is, equal or improved efficacy with reduced heart toxicity). We intend to validate that each lead Drug Rescue Variant demonstrates reduced heart toxicity in both </w:t>
      </w:r>
      <w:r>
        <w:rPr>
          <w:rFonts w:ascii="Times New Roman" w:hAnsi="Times New Roman"/>
          <w:i/>
          <w:sz w:val="20"/>
        </w:rPr>
        <w:t>CardioSafe 3D</w:t>
      </w:r>
      <w:r>
        <w:rPr>
          <w:rFonts w:ascii="Times New Roman" w:hAnsi="Times New Roman"/>
          <w:sz w:val="20"/>
        </w:rPr>
        <w:t>TM and in the same nonclinical testing model that the pharmaceutical company used to determine heart toxicity for its original drug candidate. We anticipate that the results of these confirmatory nonclinical safety studies will be drug rescue collaboration milestones demonstrating to a pharmaceutical company the improvement of our lead Drug Rescue Variant compared to its original once-promising drug candidate.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Our </w:t>
      </w:r>
      <w:r>
        <w:rPr>
          <w:rFonts w:ascii="Times New Roman" w:hAnsi="Times New Roman"/>
          <w:b/>
          <w:i/>
          <w:sz w:val="20"/>
        </w:rPr>
        <w:t>Human Clinical Trials in a Test Tube</w:t>
      </w:r>
      <w:r>
        <w:rPr>
          <w:rFonts w:ascii="Times New Roman" w:hAnsi="Times New Roman"/>
          <w:sz w:val="20"/>
        </w:rPr>
        <w:t>TM </w:t>
      </w:r>
      <w:r>
        <w:rPr>
          <w:rFonts w:ascii="Times New Roman" w:hAnsi="Times New Roman"/>
          <w:b/>
          <w:sz w:val="20"/>
        </w:rPr>
        <w:t>Platform for Stem Cell Therapy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Although we believe the best near term commercial application of our pluripotent stem cell technology platform is for small molecule drug rescue and development, we also believe the biotechnology industry is now at the beginning of a new era in medicine in which stem cell technology can be applied to harness the body’s own formidable healing capacity to repair, replace or regenerate organs and tissue damaged by disease and injury.  Over the next two decades, we believe stem cell technology-based regenerative cell therapy has the potential to transform healthcare in the U.S. by altering the fundamental mechanisms of disease, particularly diseases and conditions associated with aging, and help slow rapidly rising healthcare costs in the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 w:name="PGBRK10"/>
      <w:bookmarkStart w:id="112" w:name="PGBRK10"/>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FTR10"/>
      <w:bookmarkStart w:id="114" w:name="FTR1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5" w:name="GLFTR10"/>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 w:name="PN10"/>
      <w:bookmarkEnd w:id="11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HDR10"/>
      <w:bookmarkStart w:id="118" w:name="HDR10"/>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9" w:name="GLHDR10"/>
        <w:bookmarkEnd w:id="11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to our drug rescue and development activities, we are exploring emerging regenerative cell therapy opportunities, with emphasis on potential pilot, nonclinical, proof-of-concept studies focused on blood, cartilage, heart, liver and pancreas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Strategic Transactions and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Strategic collaborations are a cornerstone of our corporate development strategy. We believe that our strategic outsourcing and sponsoring of application-focused research gives us flexible access to leading-edge expertise in certain areas at a lower overall cost than attempting to develop such expertise internally.  In particular, we collaborate with the types of third parties identified below for the following functions: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academic research institutions, such as University Health Network (“</w:t>
            </w:r>
            <w:r>
              <w:rPr>
                <w:rFonts w:ascii="times new roman" w:hAnsi="times new roman"/>
                <w:i/>
                <w:sz w:val="20"/>
              </w:rPr>
              <w:t>UHN</w:t>
            </w:r>
            <w:r>
              <w:rPr>
                <w:rFonts w:ascii="times new roman" w:hAnsi="times new roman"/>
                <w:sz w:val="20"/>
              </w:rPr>
              <w:t>”), for stem cell research collaborations;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CROs, such as Cato Research Ltd., for regulatory and drug development expertise and to identify and assess potential drug rescue candidates;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7"/>
        <w:gridCol w:w="9648"/>
      </w:tblGrid>
      <w:tr>
        <w:trPr/>
        <w:tc>
          <w:tcPr>
            <w:tcW w:w="557" w:type="dxa"/>
            <w:tcBorders/>
            <w:shd w:fill="auto" w:val="clear"/>
          </w:tcPr>
          <w:p>
            <w:pPr>
              <w:pStyle w:val="TableContents"/>
              <w:spacing w:before="0" w:after="0"/>
              <w:ind w:left="0" w:right="0" w:hanging="0"/>
              <w:jc w:val="center"/>
              <w:rPr/>
            </w:pPr>
            <w:r>
              <w:rPr/>
              <w:t>•</w:t>
            </w:r>
          </w:p>
        </w:tc>
        <w:tc>
          <w:tcPr>
            <w:tcW w:w="96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medicinal chemistry companies, such as Synterys, Inc., to analyze drug rescue candidates and generate drug rescue variants.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Dr. Gordon Keller, UHN and McEwen Centre for Regenerative Medicine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UHN in Ontario, Canada is a major landmark in Canada’s healthcare system.  UHN is one of the world’s largest research hospitals, with major research in transplantation, cardiology, neurosciences, oncology, surgical innovation, infectious diseases and genomic medicine.  Providing care to the community for more than two centuries, UHN brings together the talent and resources needed to achieve global impact and provide exemplary patient care, research and education.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McEwen Centre for Regenerative Medicine (“</w:t>
      </w:r>
      <w:r>
        <w:rPr>
          <w:rFonts w:ascii="Times New Roman" w:hAnsi="Times New Roman"/>
          <w:i/>
          <w:sz w:val="20"/>
        </w:rPr>
        <w:t>McEwen Centre</w:t>
      </w:r>
      <w:r>
        <w:rPr>
          <w:rFonts w:ascii="Times New Roman" w:hAnsi="Times New Roman"/>
          <w:sz w:val="20"/>
        </w:rPr>
        <w:t>”) is a world-renowned center for stem cell biology and regenerative medicine and a world-class stem cell research facility affiliated with UHN.  Our co-founder, Dr. Gordon Keller, is Director of the McEwen Centre.  Dr. Keller’s lab is one of the world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Mount Sinai School of Medicine to certain stem cell technologies developed by Dr. Keller, and is directed to multiple stem cell-based research projects, including advancing use of human pluripotent stem cell-derived heart and liver to screen new drugs for potential heart and liver toxicity and for potential regenerative cell therapy applications involving blood, cartilage, heart, liver and pancreas cells.  In April 2011, we further expanded the scope of the collaboration to include potential regenerative cell therapy applications of iPS Cells and cells derived from iPS Cells, to create additional options to fund research and development with respect to future research projects relating to therapeutic applications of iPS Cells and certain cells derived from iPS Cells and to extend the period that we have to exercise our options under the agreement.  In October 2011, we amended the collaboration agreement to identify five key programs that will further support our core drug rescue initiatives and potential regenerative cell therapy applications.  In October 2012, we amended the collaboration agreement to direct our focus on heart, liver and blood cell programs supporting our primary bioassay system development and drug rescue activities and three key potential regenerative cell therapy programs.  Under the terms of October 2012 amendment, we are committed to make quarterly payments of $75,000 from October 2012 through September 2013 to fund these programs.  See “Sponsored Research Collaborations and Intellectual Property Rights – University Health Network, McEwen Centre for Regenerative Medicine, Toronto, Ontario”, “Intellectual Property – National Jewish Health Exclusive Licenses” and “Intellectual Property – Mount Sinai School of Medicine Exclusive Licenses.”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 w:name="PGBRK11"/>
      <w:bookmarkStart w:id="121" w:name="PGBRK11"/>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FTR11"/>
      <w:bookmarkStart w:id="123" w:name="FTR11"/>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4" w:name="GLFTR11"/>
      <w:bookmarkEnd w:id="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 w:name="PN11"/>
      <w:bookmarkEnd w:id="125"/>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HDR11"/>
      <w:bookmarkStart w:id="127" w:name="HDR11"/>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8" w:name="GLHDR11"/>
        <w:bookmarkEnd w:id="1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Centre for Commercialization of Regenerative Medicine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Toronto-based Centre for Commercialization of Regenerative Medicine (“</w:t>
      </w:r>
      <w:r>
        <w:rPr>
          <w:rFonts w:ascii="Times New Roman" w:hAnsi="Times New Roman"/>
          <w:i/>
          <w:sz w:val="20"/>
        </w:rPr>
        <w:t>CCRM</w:t>
      </w:r>
      <w:r>
        <w:rPr>
          <w:rFonts w:ascii="Times New Roman" w:hAnsi="Times New Roman"/>
          <w:sz w:val="20"/>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for Regenerative Medicine offers a solid foundation and unique opportunities for expanding the commercial applications of our </w:t>
      </w:r>
      <w:r>
        <w:rPr>
          <w:rFonts w:ascii="Times New Roman" w:hAnsi="Times New Roman"/>
          <w:i/>
          <w:sz w:val="20"/>
        </w:rPr>
        <w:t>Human Clinical Trials in a Test Tube</w:t>
      </w:r>
      <w:r>
        <w:rPr>
          <w:rFonts w:ascii="Times New Roman" w:hAnsi="Times New Roman"/>
          <w:sz w:val="20"/>
        </w:rPr>
        <w:t>™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Duke University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May 2013, we announced that researchers at Duke University combined our human stem cell-derived heart cells with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Times New Roman" w:hAnsi="Times New Roman"/>
          <w:i/>
          <w:sz w:val="20"/>
        </w:rPr>
        <w:t>in vitro</w:t>
      </w:r>
      <w:r>
        <w:rPr>
          <w:rFonts w:ascii="Times New Roman" w:hAnsi="Times New Roman"/>
          <w:sz w:val="20"/>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Achieving this capability represents a potentially significant breakthrough in heart cell-based therapies and in testing new medicines for potential heart toxicity and potential therapeutic benefits impacting heart disease.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are among several key development points from the study:</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129" w:name="list7"/>
      <w:bookmarkStart w:id="130" w:name="list7"/>
      <w:bookmarkEnd w:id="130"/>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optimized 3D environment of a cardiac tissue patch yields advanced levels of structural and functional maturation of human cardiomyocytes that produce expected responses to drugs;</w:t>
            </w:r>
          </w:p>
        </w:tc>
      </w:tr>
    </w:tbl>
    <w:p>
      <w:pPr>
        <w:pStyle w:val="Normal"/>
        <w:spacing w:before="0" w:after="0"/>
        <w:rPr>
          <w:sz w:val="4"/>
          <w:szCs w:val="4"/>
        </w:rPr>
      </w:pPr>
      <w:r>
        <w:rPr>
          <w:sz w:val="4"/>
          <w:szCs w:val="4"/>
        </w:rPr>
      </w:r>
      <w:bookmarkStart w:id="131" w:name="list8"/>
      <w:bookmarkStart w:id="132" w:name="list8"/>
      <w:bookmarkEnd w:id="132"/>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Human cardiomyocyte maturation in an optimized 3D patch environment is enhanced relative to that found in industry standard 2D cultures;</w:t>
            </w:r>
          </w:p>
        </w:tc>
      </w:tr>
    </w:tbl>
    <w:p>
      <w:pPr>
        <w:pStyle w:val="Normal"/>
        <w:spacing w:before="0" w:after="0"/>
        <w:rPr>
          <w:sz w:val="4"/>
          <w:szCs w:val="4"/>
        </w:rPr>
      </w:pPr>
      <w:r>
        <w:rPr>
          <w:sz w:val="4"/>
          <w:szCs w:val="4"/>
        </w:rPr>
      </w:r>
      <w:bookmarkStart w:id="133" w:name="list9"/>
      <w:bookmarkStart w:id="134" w:name="list9"/>
      <w:bookmarkEnd w:id="134"/>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genetic modifications were used to produce, purify, or mature cardiomyocytes, suggesting potential for future therapeutic applications;</w:t>
            </w:r>
          </w:p>
        </w:tc>
      </w:tr>
    </w:tbl>
    <w:p>
      <w:pPr>
        <w:pStyle w:val="Normal"/>
        <w:spacing w:before="0" w:after="0"/>
        <w:rPr>
          <w:sz w:val="4"/>
          <w:szCs w:val="4"/>
        </w:rPr>
      </w:pPr>
      <w:r>
        <w:rPr>
          <w:sz w:val="4"/>
          <w:szCs w:val="4"/>
        </w:rPr>
      </w:r>
      <w:bookmarkStart w:id="135" w:name="list10"/>
      <w:bookmarkStart w:id="136" w:name="list10"/>
      <w:bookmarkEnd w:id="136"/>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Cardiac tissue patches generated using VistaGen’s cardiomyocytes exhibited 2.2-180 fold higher contractile force generation compared to previous studies;</w:t>
            </w:r>
          </w:p>
        </w:tc>
      </w:tr>
    </w:tbl>
    <w:p>
      <w:pPr>
        <w:pStyle w:val="Normal"/>
        <w:spacing w:before="0" w:after="0"/>
        <w:rPr>
          <w:sz w:val="4"/>
          <w:szCs w:val="4"/>
        </w:rPr>
      </w:pPr>
      <w:r>
        <w:rPr>
          <w:sz w:val="4"/>
          <w:szCs w:val="4"/>
        </w:rPr>
      </w:r>
      <w:bookmarkStart w:id="137" w:name="list11"/>
      <w:bookmarkStart w:id="138" w:name="list11"/>
      <w:bookmarkEnd w:id="138"/>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a force per cardiomyocyte metric, cardiac tissue engineering methodology that used VistaGen’s cardiomyocytes exhibited 4-700-fold higher efficiency than previously reported; and</w:t>
            </w:r>
          </w:p>
        </w:tc>
      </w:tr>
    </w:tbl>
    <w:p>
      <w:pPr>
        <w:pStyle w:val="Normal"/>
        <w:spacing w:before="0" w:after="0"/>
        <w:rPr>
          <w:sz w:val="4"/>
          <w:szCs w:val="4"/>
        </w:rPr>
      </w:pPr>
      <w:r>
        <w:rPr>
          <w:sz w:val="4"/>
          <w:szCs w:val="4"/>
        </w:rPr>
      </w:r>
      <w:bookmarkStart w:id="139" w:name="list12"/>
      <w:bookmarkStart w:id="140" w:name="list12"/>
      <w:bookmarkEnd w:id="140"/>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Cardiac tissue patches generated using VistaGen’s cardiomyocytes exhibited velocities of electrical signal propagation 5-fold higher compared to previous reports in human engineered cardiac tissues.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 w:name="PGBRK12"/>
      <w:bookmarkStart w:id="142" w:name="PGBRK12"/>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FTR12"/>
      <w:bookmarkStart w:id="144" w:name="FTR12"/>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5" w:name="GLFTR12"/>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 w:name="PN12"/>
      <w:bookmarkEnd w:id="146"/>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HDR12"/>
      <w:bookmarkStart w:id="148" w:name="HDR12"/>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49" w:name="GLHDR12"/>
        <w:bookmarkEnd w:id="1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Cato Research and Cato BioVentures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Cato Research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Cato Research is a contract research and development organization (“</w:t>
      </w:r>
      <w:r>
        <w:rPr>
          <w:rFonts w:ascii="Times New Roman" w:hAnsi="Times New Roman"/>
          <w:i/>
          <w:sz w:val="20"/>
        </w:rPr>
        <w:t>CRO</w:t>
      </w:r>
      <w:r>
        <w:rPr>
          <w:rFonts w:ascii="Times New Roman" w:hAnsi="Times New Roman"/>
          <w:sz w:val="20"/>
        </w:rPr>
        <w:t>”), with international resources dedicated to helping a network of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20 years of experience interacting with the FDA and international regulatory agencies and a successful track record of product approvals.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Cato BioVentures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Cato Holding Company, doing business as Cato BioVentures (“</w:t>
      </w:r>
      <w:r>
        <w:rPr>
          <w:rFonts w:ascii="Times New Roman" w:hAnsi="Times New Roman"/>
          <w:i/>
          <w:sz w:val="20"/>
        </w:rPr>
        <w:t>Cato BioVentures</w:t>
      </w:r>
      <w:r>
        <w:rPr>
          <w:rFonts w:ascii="Times New Roman" w:hAnsi="Times New Roman"/>
          <w:sz w:val="20"/>
        </w:rPr>
        <w:t xml:space="preserve">”), is the venture capital affiliate of Cato Research. Through strategic CRO service agreements with Cato Research, Cato BioVentures invests in therapeutics and medical devices, as well as platform technologies such as our </w:t>
      </w:r>
      <w:r>
        <w:rPr>
          <w:rFonts w:ascii="Times New Roman" w:hAnsi="Times New Roman"/>
          <w:i/>
          <w:sz w:val="20"/>
        </w:rPr>
        <w:t>Human Clinical Trials in a Test Tube</w:t>
      </w:r>
      <w:r>
        <w:rPr>
          <w:rFonts w:ascii="Times New Roman" w:hAnsi="Times New Roman"/>
          <w:sz w:val="20"/>
        </w:rPr>
        <w:t>TM platform, which its principals believe are capable of improving the drug development process and the research and development productivity of a pharmaceutical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Our Relationship with Cato Research and Cato BioVentures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Cato Research currently serves as the primary CRO providing strategic development and regulatory expertise and services with respect to our development of AV-101. See “Business – AV-101.”  Cato BioVentures is among our largest institutional investors.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the access Cato Research has to drug rescue candidates from its biotechnology and pharmaceutical industry network, as well as Cato BioVentures’ equity interest in VistaGen, we believe that our long-term strategic relationship with Cato BioVentures and Cato Research may provide us with unique opportunities relating to our drug rescue activities that will permit us to leverage the CRO resources of Cato Research to assist our efforts to develop lead Drug Rescue Variants internally, should we elect to do so.</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 National Institutes of Health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our inception in 1998, the U.S. National Institutes of Health ("</w:t>
      </w:r>
      <w:r>
        <w:rPr>
          <w:rFonts w:ascii="Times New Roman" w:hAnsi="Times New Roman"/>
          <w:i/>
          <w:sz w:val="20"/>
        </w:rPr>
        <w:t>NIH</w:t>
      </w:r>
      <w:r>
        <w:rPr>
          <w:rFonts w:ascii="Times New Roman" w:hAnsi="Times New Roman"/>
          <w:sz w:val="20"/>
        </w:rPr>
        <w:t xml:space="preserve">") has awarded us a total of $11.3 million in non-dilutive research and development grants, including $2.3 million to support research and development of our </w:t>
      </w:r>
      <w:r>
        <w:rPr>
          <w:rFonts w:ascii="Times New Roman" w:hAnsi="Times New Roman"/>
          <w:i/>
          <w:sz w:val="20"/>
        </w:rPr>
        <w:t>Human Clinical Trials in a Test Tube™</w:t>
      </w:r>
      <w:r>
        <w:rPr>
          <w:rFonts w:ascii="Times New Roman" w:hAnsi="Times New Roman"/>
          <w:sz w:val="20"/>
        </w:rPr>
        <w:t xml:space="preserve"> platform and a total of $8.8 million for nonclinical and Phase 1 clinical development of AV-101 (also referred to in scientific literature as “4-Cl-KYN”).  AV-101, our lead small molecule drug candidate, has completed Phase 1 clinical development in the 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California Institute for Regenerative Medicine — Stem Cell Initiative</w:t>
      </w:r>
      <w:r>
        <w:rPr>
          <w:rFonts w:ascii="Times New Roman" w:hAnsi="Times New Roman"/>
          <w:sz w:val="20"/>
        </w:rPr>
        <w:t xml:space="preserve"> </w:t>
      </w:r>
      <w:r>
        <w:rPr>
          <w:rFonts w:ascii="Times New Roman" w:hAnsi="Times New Roman"/>
          <w:b/>
          <w:i/>
          <w:sz w:val="20"/>
        </w:rPr>
        <w:t>(Proposition 71)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California Institute for Regenerative Medicine (“</w:t>
      </w:r>
      <w:r>
        <w:rPr>
          <w:rFonts w:ascii="Times New Roman" w:hAnsi="Times New Roman"/>
          <w:i/>
          <w:sz w:val="20"/>
        </w:rPr>
        <w:t>CIRM</w:t>
      </w:r>
      <w:r>
        <w:rPr>
          <w:rFonts w:ascii="Times New Roman" w:hAnsi="Times New Roman"/>
          <w:sz w:val="20"/>
        </w:rPr>
        <w:t>”) funds stem cell research at academic research institutions and companies throughout California. CIRM was established in 2004 with the passage of Stem Cell Initiative (Proposition 71)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liver cells. This research and development focused on the improvement of techniques and the production of engineered human ES Cell lines used to develop mature functional liver cells as a biological system for testing drugs.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13"/>
      <w:bookmarkStart w:id="151" w:name="PGBRK13"/>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13"/>
      <w:bookmarkStart w:id="153" w:name="FTR13"/>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4" w:name="GLFTR13"/>
      <w:bookmarkEnd w:id="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 w:name="PN13"/>
      <w:bookmarkEnd w:id="155"/>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HDR13"/>
      <w:bookmarkStart w:id="157" w:name="HDR13"/>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58" w:name="GLHDR13"/>
        <w:bookmarkEnd w:id="1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Celsis In Vitro Technologies,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2013, we entered into a strategic collaboration with Celsis In Vitro Technologies (“</w:t>
      </w:r>
      <w:r>
        <w:rPr>
          <w:rFonts w:ascii="Times New Roman" w:hAnsi="Times New Roman"/>
          <w:i/>
          <w:sz w:val="20"/>
        </w:rPr>
        <w:t>Celsis IVT</w:t>
      </w:r>
      <w:r>
        <w:rPr>
          <w:rFonts w:ascii="Times New Roman" w:hAnsi="Times New Roman"/>
          <w:sz w:val="20"/>
        </w:rPr>
        <w:t xml:space="preserve">”), the premier global provider of specialized in vitro products for drug metabolism, drug-drug interaction and toxicity screening, focused on characterizing and functionally benchmarking our human liver cell platform, </w:t>
      </w:r>
      <w:r>
        <w:rPr>
          <w:rFonts w:ascii="Times New Roman" w:hAnsi="Times New Roman"/>
          <w:i/>
          <w:sz w:val="20"/>
        </w:rPr>
        <w:t>LiverSafe 3D™</w:t>
      </w:r>
      <w:r>
        <w:rPr>
          <w:rFonts w:ascii="Times New Roman" w:hAnsi="Times New Roman"/>
          <w:sz w:val="20"/>
        </w:rPr>
        <w:t xml:space="preserve"> with Celsis IVT products for studying and predicting human liver drug metabolism.  We intend to utilize Celsis IVT’s experience and expertise in </w:t>
      </w:r>
      <w:r>
        <w:rPr>
          <w:rFonts w:ascii="Times New Roman" w:hAnsi="Times New Roman"/>
          <w:i/>
          <w:sz w:val="20"/>
        </w:rPr>
        <w:t>in vitro</w:t>
      </w:r>
      <w:r>
        <w:rPr>
          <w:rFonts w:ascii="Times New Roman" w:hAnsi="Times New Roman"/>
          <w:sz w:val="20"/>
        </w:rPr>
        <w:t xml:space="preserve"> drug metabolism to help validate our stem cell-derived human liver cell platform. We anticipate that Celsis IVT will not only validate our stem cell-derived liver cells in traditional pharmaceutical metabolism assays, but will also determine genetic variations in our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our </w:t>
      </w:r>
      <w:r>
        <w:rPr>
          <w:rFonts w:ascii="Times New Roman" w:hAnsi="Times New Roman"/>
          <w:i/>
          <w:sz w:val="20"/>
        </w:rPr>
        <w:t>LiverSafe 3D™</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Collaborating with Celsis IVT scientists, we aim to achieve four key objectives:</w:t>
      </w:r>
    </w:p>
    <w:p>
      <w:pPr>
        <w:pStyle w:val="TextBody"/>
        <w:spacing w:before="0" w:after="0"/>
        <w:ind w:left="0" w:right="0" w:hanging="0"/>
        <w:rPr/>
      </w:pPr>
      <w:r>
        <w:rPr/>
      </w:r>
    </w:p>
    <w:p>
      <w:pPr>
        <w:pStyle w:val="Normal"/>
        <w:spacing w:before="0" w:after="0"/>
        <w:rPr>
          <w:sz w:val="4"/>
          <w:szCs w:val="4"/>
        </w:rPr>
      </w:pPr>
      <w:r>
        <w:rPr>
          <w:sz w:val="4"/>
          <w:szCs w:val="4"/>
        </w:rPr>
      </w:r>
      <w:bookmarkStart w:id="159" w:name="list13"/>
      <w:bookmarkStart w:id="160" w:name="list13"/>
      <w:bookmarkEnd w:id="160"/>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Optimize techniques to handle and maintain primary human cryopreserved primary liver cells as reference controls for various drug development assays;</w:t>
            </w:r>
          </w:p>
        </w:tc>
      </w:tr>
    </w:tbl>
    <w:p>
      <w:pPr>
        <w:pStyle w:val="Normal"/>
        <w:spacing w:before="0" w:after="0"/>
        <w:rPr>
          <w:sz w:val="4"/>
          <w:szCs w:val="4"/>
        </w:rPr>
      </w:pPr>
      <w:r>
        <w:rPr>
          <w:sz w:val="4"/>
          <w:szCs w:val="4"/>
        </w:rPr>
      </w:r>
      <w:bookmarkStart w:id="161" w:name="list14"/>
      <w:bookmarkStart w:id="162" w:name="list14"/>
      <w:bookmarkEnd w:id="162"/>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Develop a stable supply of characterized and validated human cryopreserved primary liver cells to serve as internal controls and provide benchmark comparisons for the characterization of our pluripotent stem cell-derived liver cells;</w:t>
            </w:r>
          </w:p>
        </w:tc>
      </w:tr>
    </w:tbl>
    <w:p>
      <w:pPr>
        <w:pStyle w:val="Normal"/>
        <w:spacing w:before="0" w:after="0"/>
        <w:rPr>
          <w:sz w:val="4"/>
          <w:szCs w:val="4"/>
        </w:rPr>
      </w:pPr>
      <w:r>
        <w:rPr>
          <w:sz w:val="4"/>
          <w:szCs w:val="4"/>
        </w:rPr>
      </w:r>
      <w:bookmarkStart w:id="163" w:name="list15"/>
      <w:bookmarkStart w:id="164" w:name="list15"/>
      <w:bookmarkEnd w:id="164"/>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Characterize our stem cell derived liver cells using many of the same industry-standardized assays used to characterize primary human liver cells; and</w:t>
            </w:r>
          </w:p>
        </w:tc>
      </w:tr>
    </w:tbl>
    <w:p>
      <w:pPr>
        <w:pStyle w:val="Normal"/>
        <w:spacing w:before="0" w:after="0"/>
        <w:rPr>
          <w:sz w:val="4"/>
          <w:szCs w:val="4"/>
        </w:rPr>
      </w:pPr>
      <w:r>
        <w:rPr>
          <w:sz w:val="4"/>
          <w:szCs w:val="4"/>
        </w:rPr>
      </w:r>
      <w:bookmarkStart w:id="165" w:name="list16"/>
      <w:bookmarkStart w:id="166" w:name="list16"/>
      <w:bookmarkEnd w:id="166"/>
    </w:p>
    <w:tbl>
      <w:tblPr>
        <w:tblW w:w="5000" w:type="pct"/>
        <w:jc w:val="left"/>
        <w:tblInd w:w="0" w:type="dxa"/>
        <w:tblCellMar>
          <w:top w:w="0" w:type="dxa"/>
          <w:left w:w="0" w:type="dxa"/>
          <w:bottom w:w="0" w:type="dxa"/>
          <w:right w:w="0" w:type="dxa"/>
        </w:tblCellMar>
      </w:tblPr>
      <w:tblGrid>
        <w:gridCol w:w="146"/>
        <w:gridCol w:w="10059"/>
      </w:tblGrid>
      <w:tr>
        <w:trPr/>
        <w:tc>
          <w:tcPr>
            <w:tcW w:w="146"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Produce a joint publication of the characterization of our stem cell-derived human liver cells.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an industry leader in the development of </w:t>
      </w:r>
      <w:r>
        <w:rPr>
          <w:rFonts w:ascii="Times New Roman" w:hAnsi="Times New Roman"/>
          <w:i/>
          <w:sz w:val="20"/>
        </w:rPr>
        <w:t>in vitro</w:t>
      </w:r>
      <w:r>
        <w:rPr>
          <w:rFonts w:ascii="Times New Roman" w:hAnsi="Times New Roman"/>
          <w:sz w:val="20"/>
        </w:rPr>
        <w:t xml:space="preserve"> primary hepatocyte technology, we believe Celsis IVT has extensive resources to aid us in the benchmarking </w:t>
      </w:r>
      <w:r>
        <w:rPr>
          <w:rFonts w:ascii="Times New Roman" w:hAnsi="Times New Roman"/>
          <w:i/>
          <w:sz w:val="20"/>
        </w:rPr>
        <w:t>LiverSafe 3D™</w:t>
      </w:r>
      <w:r>
        <w:rPr>
          <w:rFonts w:ascii="Times New Roman" w:hAnsi="Times New Roman"/>
          <w:sz w:val="20"/>
        </w:rPr>
        <w:t xml:space="preserve"> to industry standards. We anticipate this collaboration will lead to the further validation of our </w:t>
      </w:r>
      <w:r>
        <w:rPr>
          <w:rFonts w:ascii="Times New Roman" w:hAnsi="Times New Roman"/>
          <w:i/>
          <w:sz w:val="20"/>
        </w:rPr>
        <w:t>LiverSafe 3D™</w:t>
      </w:r>
      <w:r>
        <w:rPr>
          <w:rFonts w:ascii="Times New Roman" w:hAnsi="Times New Roman"/>
          <w:sz w:val="20"/>
        </w:rPr>
        <w:t xml:space="preserve"> system for predicting liver toxicity and drug metabolism issues long before costly human clinical trials.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Synterys,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we entered into a strategic medicinal chemistry collaboration agreement with Synterys, Inc. (“</w:t>
      </w:r>
      <w:r>
        <w:rPr>
          <w:rFonts w:ascii="Times New Roman" w:hAnsi="Times New Roman"/>
          <w:i/>
          <w:sz w:val="20"/>
        </w:rPr>
        <w:t>Synterys</w:t>
      </w:r>
      <w:r>
        <w:rPr>
          <w:rFonts w:ascii="Times New Roman" w:hAnsi="Times New Roman"/>
          <w:sz w:val="20"/>
        </w:rPr>
        <w:t>”), a medicinal chemistry and collaborative drug discovery company.  We believe this important collaboration will further our stem cell technology-based drug rescue initiatives with the support of Synterys’ leading-edge medicinal chemistry expertise.  In addition to providing flexible, real-time medicinal chemistry services in support of our projected drug rescue programs, we anticipate potential collaborative opportunities with Synterys wherein we jointly identify and develop novel drug rescue opportunities and advance them in preclinical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Vala Sciences,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October 2011, we entered into an exploratory drug screening collaboration with Vala Sciences, Inc. (“</w:t>
      </w:r>
      <w:r>
        <w:rPr>
          <w:rFonts w:ascii="Times New Roman" w:hAnsi="Times New Roman"/>
          <w:i/>
          <w:sz w:val="20"/>
        </w:rPr>
        <w:t>Vala</w:t>
      </w:r>
      <w:r>
        <w:rPr>
          <w:rFonts w:ascii="Times New Roman" w:hAnsi="Times New Roman"/>
          <w:sz w:val="20"/>
        </w:rPr>
        <w:t xml:space="preserve">”), a biotechnology company developing and selling next-generation cell image-based instruments, reagents and analysis software tools.  The goal of the collaboration is to advance drug safety screening methodologies in the most clinically relevant human in vitro bioassay systems currently available to researchers.  Through the collaboration, Vala will use its Kinetic Image Cytometer platform to demonstrate both the suitability and utility of our human pluripotent stem cell derived-cardiomyocytes for screening new drug candidates for potential cardiotoxicity over conventional in vitro screening systems and animal models.  Cardiomyocytes are the muscle cells of the heart that provide the force necessary to pump blood throughout the body, and, as such, are the targets of most of the drug toxicities that directly affect the heart. Many of these drug toxicities result in either arrhythmia (irregular, often fatal, beating of the heart) or reduced ability of the heart to pump the blood necessary to maintain normal health and vigor.   Accurate, sensitive and reproducible measurement of electrophysiological responses of stem cell-derived cardiomyocytes to new drug candidates is a key element of our </w:t>
      </w:r>
      <w:r>
        <w:rPr>
          <w:rFonts w:ascii="Times New Roman" w:hAnsi="Times New Roman"/>
          <w:i/>
          <w:sz w:val="20"/>
        </w:rPr>
        <w:t>CardioSafe 3D</w:t>
      </w:r>
      <w:r>
        <w:rPr>
          <w:rFonts w:ascii="Times New Roman" w:hAnsi="Times New Roman"/>
          <w:sz w:val="20"/>
        </w:rPr>
        <w:t>™ drug rescue programs.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7" w:name="PGBRK14"/>
      <w:bookmarkStart w:id="168" w:name="PGBRK14"/>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FTR14"/>
      <w:bookmarkStart w:id="170" w:name="FTR14"/>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1" w:name="GLFTR14"/>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2" w:name="PN14"/>
      <w:bookmarkEnd w:id="172"/>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HDR14"/>
      <w:bookmarkStart w:id="174" w:name="HDR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5" w:name="GLHDR14"/>
        <w:bookmarkEnd w:id="1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AV-101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successfully completed our Phase I development of AV-101, also known as “L-4-chlorokynurenine” and “4-Cl-KYN”. AV-101 is a prodrug candidate for the treatment of neuropathic pain. Our AV-101 IND application on file at the FDA covers our initial Phase I clinical development of the drug candidate for neuropathic pain.  Neuropathic pain is a serious and chronic condition causing pain after an injury or disease of the peripheral or central nervous system. The neuropathic pain market is large, including approximately 1.8 million people in the U.S. alone.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the safety studies done in the initial Phase I clinical study of AV-101 will support development of AV-101 for other indications, including epilepsy and neurodegenerative diseases, such as Huntington’s and Parkinson’s. To date, the NIH has provided us with grant funding for substantially all of our AV-101 development expenses, including $8.2 million for preclinical and clinical development. We plan to seek a strategic partner for development and commercialization of AV-101 for neuropathic pain, depression and potentially other neurodegenerative diseases related to aging.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AV-101 is an orally available prodrug that is converted in the brain into an active metabolite, 7-chlorokynurenic acid (“</w:t>
      </w:r>
      <w:r>
        <w:rPr>
          <w:rFonts w:ascii="Times New Roman" w:hAnsi="Times New Roman"/>
          <w:i/>
          <w:sz w:val="20"/>
        </w:rPr>
        <w:t>7-Cl-KYNA</w:t>
      </w:r>
      <w:r>
        <w:rPr>
          <w:rFonts w:ascii="Times New Roman" w:hAnsi="Times New Roman"/>
          <w:sz w:val="20"/>
        </w:rPr>
        <w:t>”), which regulates the N-methyl-D-aspartate (“</w:t>
      </w:r>
      <w:r>
        <w:rPr>
          <w:rFonts w:ascii="Times New Roman" w:hAnsi="Times New Roman"/>
          <w:i/>
          <w:sz w:val="20"/>
        </w:rPr>
        <w:t>NMDA</w:t>
      </w:r>
      <w:r>
        <w:rPr>
          <w:rFonts w:ascii="Times New Roman" w:hAnsi="Times New Roman"/>
          <w:sz w:val="20"/>
        </w:rPr>
        <w:t>”)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effect of AV-101 on chronic neuropathic pain due to inflammation and nerve damage was assessed in rats by using the Chung nerve ligation model. AV-101 effects were compared to either saline and MK-801, or gabapentin (NeurontinTM) as positive controls. Similarly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Intellectual Property Rights Underlying our Human Clinical Trials in a Test</w:t>
      </w:r>
      <w:r>
        <w:rPr>
          <w:rFonts w:ascii="Times New Roman" w:hAnsi="Times New Roman"/>
          <w:sz w:val="20"/>
        </w:rPr>
        <w:t xml:space="preserve"> </w:t>
      </w:r>
      <w:r>
        <w:rPr>
          <w:rFonts w:ascii="Times New Roman" w:hAnsi="Times New Roman"/>
          <w:b/>
          <w:i/>
          <w:sz w:val="20"/>
        </w:rPr>
        <w:t>Tube</w:t>
      </w:r>
      <w:r>
        <w:rPr>
          <w:rFonts w:ascii="Times New Roman" w:hAnsi="Times New Roman"/>
          <w:sz w:val="20"/>
        </w:rPr>
        <w:t>TM </w:t>
      </w:r>
      <w:r>
        <w:rPr>
          <w:rFonts w:ascii="Times New Roman" w:hAnsi="Times New Roman"/>
          <w:b/>
          <w:i/>
          <w:sz w:val="20"/>
        </w:rPr>
        <w:t>Platform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established our intellectual property rights to the technology underlying our </w:t>
      </w:r>
      <w:r>
        <w:rPr>
          <w:rFonts w:ascii="Times New Roman" w:hAnsi="Times New Roman"/>
          <w:i/>
          <w:sz w:val="20"/>
        </w:rPr>
        <w:t>Human Clinical Trials in a Test Tube</w:t>
      </w:r>
      <w:r>
        <w:rPr>
          <w:rFonts w:ascii="Times New Roman" w:hAnsi="Times New Roman"/>
          <w:sz w:val="20"/>
        </w:rPr>
        <w:t>TM platform through a combination of exclusive and non-exclusive licenses, patent,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combination of growth factors (molecules that stimulate the growth of cells);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ind w:left="0" w:right="0" w:hanging="0"/>
              <w:jc w:val="center"/>
              <w:rPr/>
            </w:pPr>
            <w:r>
              <w:rPr/>
              <w:t>•</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modified developmental genes;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ind w:left="0" w:right="0" w:hanging="0"/>
              <w:jc w:val="center"/>
              <w:rPr/>
            </w:pPr>
            <w:r>
              <w:rPr/>
              <w:t>•</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precise selection of immature cell populations for further growth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By influencing key branch points in the cellular differentiation process, our pluripotent stem cell technologies can produce fully-differentiated, non-transformed, highly functional human cells </w:t>
      </w:r>
      <w:r>
        <w:rPr>
          <w:rFonts w:ascii="Times New Roman" w:hAnsi="Times New Roman"/>
          <w:i/>
          <w:sz w:val="20"/>
        </w:rPr>
        <w:t xml:space="preserve">in vitro </w:t>
      </w:r>
      <w:r>
        <w:rPr>
          <w:rFonts w:ascii="Times New Roman" w:hAnsi="Times New Roman"/>
          <w:sz w:val="20"/>
        </w:rPr>
        <w:t>in an efficient, highly pure and reproducible process.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the date of this report, we either own or have licensed 43 issued U.S. patents and 12 U.S. patent applications and certain foreign counterparts relating to the stem cell technologies that underlie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Our material rights and obligations with respect to these patents and patent applications are summarized below:</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6" w:name="PGBRK15"/>
      <w:bookmarkStart w:id="177" w:name="PGBRK1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FTR15"/>
      <w:bookmarkStart w:id="179" w:name="FTR15"/>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0" w:name="GLFTR15"/>
      <w:bookmarkEnd w:id="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1" w:name="PN15"/>
      <w:bookmarkEnd w:id="181"/>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HDR15"/>
      <w:bookmarkStart w:id="183" w:name="HDR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84" w:name="GLHDR15"/>
        <w:bookmarkEnd w:id="1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National Jewish Health Exclusive 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exclusive licenses to seven issued U.S. patents held by NJH.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this license agreement, we must pay to NJH 1% of our total revenues up to $30 million in each calendar year and 0.5% of all revenues for amounts greater than $30 million, with minimum annual payments of $25,000. Additionally, we are obligated under the agreement to make certain royalty payments on sales of products based on NJH’s patents or the sublicensing of such technology. The royalty payments are subject to anti-stacking provisions which reduce our payments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Mount Sinai School of Medicine Exclusive 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8"/>
        <w:gridCol w:w="9647"/>
      </w:tblGrid>
      <w:tr>
        <w:trPr/>
        <w:tc>
          <w:tcPr>
            <w:tcW w:w="558" w:type="dxa"/>
            <w:tcBorders/>
            <w:shd w:fill="auto" w:val="clear"/>
          </w:tcPr>
          <w:p>
            <w:pPr>
              <w:pStyle w:val="TableContents"/>
              <w:spacing w:before="0" w:after="0"/>
              <w:ind w:left="0" w:right="0" w:hanging="0"/>
              <w:jc w:val="center"/>
              <w:rPr/>
            </w:pPr>
            <w:r>
              <w:rPr/>
              <w:t>•</w:t>
            </w:r>
          </w:p>
        </w:tc>
        <w:tc>
          <w:tcPr>
            <w:tcW w:w="96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certain growth factors to generate mesoderm (that is, the precursors capable of developing into cells of the heart, blood system, connective tissues, and vascular system) from human ES Cells;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8"/>
        <w:gridCol w:w="9647"/>
      </w:tblGrid>
      <w:tr>
        <w:trPr/>
        <w:tc>
          <w:tcPr>
            <w:tcW w:w="558" w:type="dxa"/>
            <w:tcBorders/>
            <w:shd w:fill="auto" w:val="clear"/>
          </w:tcPr>
          <w:p>
            <w:pPr>
              <w:pStyle w:val="TableContents"/>
              <w:spacing w:before="0" w:after="0"/>
              <w:ind w:left="0" w:right="0" w:hanging="0"/>
              <w:jc w:val="center"/>
              <w:rPr/>
            </w:pPr>
            <w:r>
              <w:rPr/>
              <w:t>•</w:t>
            </w:r>
          </w:p>
        </w:tc>
        <w:tc>
          <w:tcPr>
            <w:tcW w:w="96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certain growth factors to generate endoderm (that is, the precursors capable of developing into cells of the liver, pancreas, lungs, gut, intestines, thymus, thyroid gland, bladder, and parts of the auditory system) from human ES Cells;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applications of cells derived from mesoderm and endoderm precursors, especially those relating to drug discovery and testing for applications in the field of </w:t>
            </w:r>
            <w:r>
              <w:rPr>
                <w:rFonts w:ascii="times new roman" w:hAnsi="times new roman"/>
                <w:i/>
                <w:sz w:val="20"/>
              </w:rPr>
              <w:t>in vitro</w:t>
            </w:r>
            <w:r>
              <w:rPr>
                <w:rFonts w:ascii="times new roman" w:hAnsi="times new roman"/>
                <w:sz w:val="20"/>
              </w:rPr>
              <w:t xml:space="preserve"> drug discovery and development applications.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license agreement requires us to pay annual maintenance fees, a patent issue fee and royalty payments based on product sales and services that are covered by the MSSM patent applications, as well as for any revenues received from sublicensing. Any drug candidates that we develop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 w:name="PGBRK16"/>
      <w:bookmarkStart w:id="186" w:name="PGBRK16"/>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FTR16"/>
      <w:bookmarkStart w:id="188" w:name="FTR16"/>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9" w:name="GLFTR16"/>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0" w:name="PN16"/>
      <w:bookmarkEnd w:id="190"/>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HDR16"/>
      <w:bookmarkStart w:id="192" w:name="HDR1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93" w:name="GLHDR16"/>
        <w:bookmarkEnd w:id="1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Wisconsin Alumni Research Foundation (“WARF”) Non-Exclusive License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non-exclusive licenses to 28 issued stem cell-related U.S. patents, 14 stem cell-related U.S. patent applications, of which two have been allowed, and certain foreign counterparts held by WARF, for applications in the field of </w:t>
      </w:r>
      <w:r>
        <w:rPr>
          <w:rFonts w:ascii="Times New Roman" w:hAnsi="Times New Roman"/>
          <w:i/>
          <w:sz w:val="20"/>
        </w:rPr>
        <w:t xml:space="preserve">in vitro </w:t>
      </w:r>
      <w:r>
        <w:rPr>
          <w:rFonts w:ascii="Times New Roman" w:hAnsi="Times New Roman"/>
          <w:sz w:val="20"/>
        </w:rPr>
        <w:t>drug discovery and development. Foreign counterparts have been filed in Australia, Canada, Europe, China, India, Hong Kong, Israel, Brazil, South Korea, India, Mexico, and New Zealand. The subject matter of these patents includes specific human ES Cell lines and composition of matter and use claims relating to human ES Cells important to drug discovery, and drug rescue screening. We have rights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use the technology for internal research and drug development;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7"/>
        <w:gridCol w:w="9648"/>
      </w:tblGrid>
      <w:tr>
        <w:trPr/>
        <w:tc>
          <w:tcPr>
            <w:tcW w:w="557" w:type="dxa"/>
            <w:tcBorders/>
            <w:shd w:fill="auto" w:val="clear"/>
          </w:tcPr>
          <w:p>
            <w:pPr>
              <w:pStyle w:val="TableContents"/>
              <w:spacing w:before="0" w:after="0"/>
              <w:ind w:left="0" w:right="0" w:hanging="0"/>
              <w:jc w:val="center"/>
              <w:rPr/>
            </w:pPr>
            <w:r>
              <w:rPr/>
              <w:t>•</w:t>
            </w:r>
          </w:p>
        </w:tc>
        <w:tc>
          <w:tcPr>
            <w:tcW w:w="96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discovery and screening services to third parties;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ind w:left="0" w:right="0" w:hanging="0"/>
              <w:jc w:val="center"/>
              <w:rPr/>
            </w:pPr>
            <w:r>
              <w:rPr/>
              <w:t>•</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market and sell research products (that is, cellular assays incorporating the licensed technology).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license agreement requires us to make royalty payments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Patents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material patents currently related to the generation of human heart and liver cells for use in connection with our drug rescue activities are set forth below:</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245"/>
        <w:gridCol w:w="101"/>
        <w:gridCol w:w="102"/>
        <w:gridCol w:w="918"/>
        <w:gridCol w:w="101"/>
        <w:gridCol w:w="4288"/>
        <w:gridCol w:w="101"/>
        <w:gridCol w:w="2349"/>
      </w:tblGrid>
      <w:tr>
        <w:trPr/>
        <w:tc>
          <w:tcPr>
            <w:tcW w:w="224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Territory</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Patent No.</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428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General Subject Matter</w:t>
            </w:r>
          </w:p>
        </w:tc>
        <w:tc>
          <w:tcPr>
            <w:tcW w:w="101" w:type="dxa"/>
            <w:tcBorders/>
            <w:shd w:fill="auto" w:val="clear"/>
            <w:tcMar>
              <w:bottom w:w="0" w:type="dxa"/>
            </w:tcMar>
            <w:vAlign w:val="bottom"/>
          </w:tcPr>
          <w:p>
            <w:pPr>
              <w:pStyle w:val="TableContents"/>
              <w:spacing w:before="0" w:after="283"/>
              <w:rPr/>
            </w:pPr>
            <w:r>
              <w:rPr/>
              <w:t> </w:t>
            </w:r>
          </w:p>
        </w:tc>
        <w:tc>
          <w:tcPr>
            <w:tcW w:w="234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r>
      <w:tr>
        <w:trPr/>
        <w:tc>
          <w:tcPr>
            <w:tcW w:w="22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US</w:t>
            </w:r>
          </w:p>
        </w:tc>
        <w:tc>
          <w:tcPr>
            <w:tcW w:w="101" w:type="dxa"/>
            <w:tcBorders/>
            <w:shd w:fill="CCEEFF" w:val="clear"/>
            <w:tcMar>
              <w:bottom w:w="0" w:type="dxa"/>
            </w:tcMar>
            <w:vAlign w:val="bottom"/>
          </w:tcPr>
          <w:p>
            <w:pPr>
              <w:pStyle w:val="TableContents"/>
              <w:spacing w:before="0" w:after="283"/>
              <w:jc w:val="right"/>
              <w:rPr/>
            </w:pPr>
            <w:r>
              <w:rPr/>
              <w:t xml:space="preserve">  </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7,763,466</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42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to produce endoderm cells</w:t>
            </w:r>
          </w:p>
        </w:tc>
        <w:tc>
          <w:tcPr>
            <w:tcW w:w="101" w:type="dxa"/>
            <w:tcBorders/>
            <w:shd w:fill="CCEEFF" w:val="clear"/>
            <w:tcMar>
              <w:bottom w:w="0" w:type="dxa"/>
            </w:tcMar>
            <w:vAlign w:val="bottom"/>
          </w:tcPr>
          <w:p>
            <w:pPr>
              <w:pStyle w:val="TableContents"/>
              <w:spacing w:before="0" w:after="283"/>
              <w:rPr/>
            </w:pPr>
            <w:r>
              <w:rPr/>
              <w:t> </w:t>
            </w:r>
          </w:p>
        </w:tc>
        <w:tc>
          <w:tcPr>
            <w:tcW w:w="234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2025</w:t>
            </w:r>
          </w:p>
        </w:tc>
      </w:tr>
      <w:tr>
        <w:trPr/>
        <w:tc>
          <w:tcPr>
            <w:tcW w:w="224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US</w:t>
            </w:r>
          </w:p>
        </w:tc>
        <w:tc>
          <w:tcPr>
            <w:tcW w:w="101" w:type="dxa"/>
            <w:tcBorders/>
            <w:shd w:fill="FFFFFF" w:val="clear"/>
            <w:tcMar>
              <w:bottom w:w="0" w:type="dxa"/>
            </w:tcMar>
            <w:vAlign w:val="bottom"/>
          </w:tcPr>
          <w:p>
            <w:pPr>
              <w:pStyle w:val="TableContents"/>
              <w:spacing w:before="0" w:after="283"/>
              <w:jc w:val="right"/>
              <w:rPr/>
            </w:pPr>
            <w:r>
              <w:rPr/>
              <w:t xml:space="preserve">  </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7,955,849</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428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of enriching population of mesoderm cells</w:t>
            </w:r>
          </w:p>
        </w:tc>
        <w:tc>
          <w:tcPr>
            <w:tcW w:w="101" w:type="dxa"/>
            <w:tcBorders/>
            <w:shd w:fill="FFFFFF" w:val="clear"/>
            <w:tcMar>
              <w:bottom w:w="0" w:type="dxa"/>
            </w:tcMar>
            <w:vAlign w:val="bottom"/>
          </w:tcPr>
          <w:p>
            <w:pPr>
              <w:pStyle w:val="TableContents"/>
              <w:spacing w:before="0" w:after="283"/>
              <w:rPr/>
            </w:pPr>
            <w:r>
              <w:rPr/>
              <w:t> </w:t>
            </w:r>
          </w:p>
        </w:tc>
        <w:tc>
          <w:tcPr>
            <w:tcW w:w="234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2023</w:t>
            </w:r>
          </w:p>
        </w:tc>
      </w:tr>
      <w:tr>
        <w:trPr/>
        <w:tc>
          <w:tcPr>
            <w:tcW w:w="22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US</w:t>
            </w:r>
          </w:p>
        </w:tc>
        <w:tc>
          <w:tcPr>
            <w:tcW w:w="101" w:type="dxa"/>
            <w:tcBorders/>
            <w:shd w:fill="CCEEFF" w:val="clear"/>
            <w:tcMar>
              <w:bottom w:w="0" w:type="dxa"/>
            </w:tcMar>
            <w:vAlign w:val="bottom"/>
          </w:tcPr>
          <w:p>
            <w:pPr>
              <w:pStyle w:val="TableContents"/>
              <w:spacing w:before="0" w:after="283"/>
              <w:rPr/>
            </w:pPr>
            <w:r>
              <w:rPr/>
              <w:t xml:space="preserve">  </w:t>
            </w:r>
          </w:p>
        </w:tc>
        <w:tc>
          <w:tcPr>
            <w:tcW w:w="102" w:type="dxa"/>
            <w:tcBorders/>
            <w:shd w:fill="CCEEFF" w:val="clear"/>
            <w:tcMar>
              <w:bottom w:w="0" w:type="dxa"/>
            </w:tcMar>
            <w:vAlign w:val="bottom"/>
          </w:tcPr>
          <w:p>
            <w:pPr>
              <w:pStyle w:val="TableContents"/>
              <w:spacing w:before="0" w:after="283"/>
              <w:rPr/>
            </w:pPr>
            <w:r>
              <w:rPr/>
              <w:t xml:space="preserve">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8,143,009</w:t>
            </w:r>
          </w:p>
        </w:tc>
        <w:tc>
          <w:tcPr>
            <w:tcW w:w="101" w:type="dxa"/>
            <w:tcBorders/>
            <w:shd w:fill="CCEEFF" w:val="clear"/>
            <w:tcMar>
              <w:bottom w:w="0" w:type="dxa"/>
            </w:tcMar>
            <w:vAlign w:val="bottom"/>
          </w:tcPr>
          <w:p>
            <w:pPr>
              <w:pStyle w:val="TableContents"/>
              <w:spacing w:before="0" w:after="283"/>
              <w:rPr/>
            </w:pPr>
            <w:r>
              <w:rPr/>
              <w:t xml:space="preserve">  </w:t>
            </w:r>
          </w:p>
        </w:tc>
        <w:tc>
          <w:tcPr>
            <w:tcW w:w="42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101" w:type="dxa"/>
            <w:tcBorders/>
            <w:shd w:fill="CCEEFF" w:val="clear"/>
            <w:tcMar>
              <w:bottom w:w="0" w:type="dxa"/>
            </w:tcMar>
            <w:vAlign w:val="bottom"/>
          </w:tcPr>
          <w:p>
            <w:pPr>
              <w:pStyle w:val="TableContents"/>
              <w:spacing w:before="0" w:after="283"/>
              <w:rPr/>
            </w:pPr>
            <w:r>
              <w:rPr/>
              <w:t> </w:t>
            </w:r>
          </w:p>
        </w:tc>
        <w:tc>
          <w:tcPr>
            <w:tcW w:w="234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2023</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With respect to AV-101, we recently filed three new U.S. patent applications.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Trade Secrets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17"/>
      <w:bookmarkStart w:id="195" w:name="PGBRK1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7"/>
      <w:bookmarkStart w:id="197" w:name="FTR17"/>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8" w:name="GLFTR17"/>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17"/>
      <w:bookmarkEnd w:id="199"/>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7"/>
      <w:bookmarkStart w:id="201" w:name="HD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02" w:name="GLHDR17"/>
        <w:bookmarkEnd w:id="2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Sponsored Research Collaborations and Intellectual Property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University Health Network, McEwen Centre for Regenerative Medicine, Toronto, Ontario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currently sponsoring stem cell research by our co-founder, Dr. Gordon Keller, Director of the UHN’s McEwen Centre, focused on developing improved methods for differentiation of cardiomyocytes (heart cells) from pluripotent stem cells, and their uses as biological systems for drug discovery and drug rescue, as well as cell therapy. Pursuant to our sponsored research collaboration agreement with UHN, we have the right to acquire exclusive worldwide rights to any inventions arising from these studies under pre-negotiated terms. Such pre-negotiated terms provide for royalty payments based on product sales that incorporate the licensed technology and milestone payments based on the achievement of certain events. Any Drug Rescue Variants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We also have the exclusive option to sponsor research for similar cartilage, liver, pancreas and blood cell projects with similar licensing rights.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sponsored research collaboration agreement with UHN, as amended, has a term of ten years, ending on September 18, 2017.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UHN License for Stem Cell Culture Technology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2012, we licensed breakthrough stem cell culture technology from the McEwen Centre for Regenerative Medicine (“</w:t>
      </w:r>
      <w:r>
        <w:rPr>
          <w:rFonts w:ascii="Times New Roman" w:hAnsi="Times New Roman"/>
          <w:i/>
          <w:sz w:val="20"/>
        </w:rPr>
        <w:t>McEwen Centre</w:t>
      </w:r>
      <w:r>
        <w:rPr>
          <w:rFonts w:ascii="Times New Roman" w:hAnsi="Times New Roman"/>
          <w:sz w:val="20"/>
        </w:rPr>
        <w:t>”) located at the University Health Network (“</w:t>
      </w:r>
      <w:r>
        <w:rPr>
          <w:rFonts w:ascii="Times New Roman" w:hAnsi="Times New Roman"/>
          <w:i/>
          <w:sz w:val="20"/>
        </w:rPr>
        <w:t>UHN</w:t>
      </w:r>
      <w:r>
        <w:rPr>
          <w:rFonts w:ascii="Times New Roman" w:hAnsi="Times New Roman"/>
          <w:sz w:val="20"/>
        </w:rPr>
        <w:t>”) in Toronto, Canada.  We are utilizing the licensed technology to develop hematopoietic precursor stem cells from human pluripotent stem cells, with the goal of developing drug screening and cell therapy applications for human blood system disorders. The breakthrough technology is included in a new United States patent application.  We believe this stem cell technology dramatically advances our ability to produce and purify this important blood stem cell precursor for both in vitro drug screening and in vivo cell therapy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18"/>
      <w:bookmarkStart w:id="204" w:name="PGBRK18"/>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FTR18"/>
      <w:bookmarkStart w:id="206" w:name="FTR18"/>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7" w:name="GLFTR18"/>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8" w:name="PN18"/>
      <w:bookmarkEnd w:id="208"/>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HDR18"/>
      <w:bookmarkStart w:id="210" w:name="HDR1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11" w:name="GLHDR18"/>
        <w:bookmarkEnd w:id="2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AV-101-Related 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exclusive licenses to issued U.S. patents related to the use and function of AV-101, and various CNS-active molecules related to AV-101. These patents are held by the University of Maryland, Baltimore, the Cornell Research Foundation, Inc. and Aventis, Inc.  The principle U.S. method of use patent related to AV-101 expired in February 2011.  Foreign counterparts to that U.S. patent expired in February 2012.  However, through the date of this report, in 2013, we have filed three new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Times New Roman" w:hAnsi="Times New Roman"/>
          <w:i/>
          <w:sz w:val="20"/>
        </w:rPr>
        <w:t>FDCA</w:t>
      </w:r>
      <w:r>
        <w:rPr>
          <w:rFonts w:ascii="Times New Roman" w:hAnsi="Times New Roman"/>
          <w:sz w:val="20"/>
        </w:rPr>
        <w:t>”).  The FDA’s New Drug Product Exclusivity is available for new chemical entities (“</w:t>
      </w:r>
      <w:r>
        <w:rPr>
          <w:rFonts w:ascii="Times New Roman" w:hAnsi="Times New Roman"/>
          <w:i/>
          <w:sz w:val="20"/>
        </w:rPr>
        <w:t>NCEs</w:t>
      </w:r>
      <w:r>
        <w:rPr>
          <w:rFonts w:ascii="Times New Roman" w:hAnsi="Times New Roman"/>
          <w:sz w:val="20"/>
        </w:rPr>
        <w:t>”) such as AV-101, which, by definition, are innovative and have not been approved previously by the FDA, either alone or in combination.  The FDA’s New Drug Product Exclusivity protection provides the holder of an FDA-approved new drug application (“</w:t>
      </w:r>
      <w:r>
        <w:rPr>
          <w:rFonts w:ascii="Times New Roman" w:hAnsi="Times New Roman"/>
          <w:i/>
          <w:sz w:val="20"/>
        </w:rPr>
        <w:t>NDA</w:t>
      </w:r>
      <w:r>
        <w:rPr>
          <w:rFonts w:ascii="Times New Roman" w:hAnsi="Times New Roman"/>
          <w:sz w:val="20"/>
        </w:rPr>
        <w:t>”) five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Times New Roman" w:hAnsi="Times New Roman"/>
          <w:i/>
          <w:sz w:val="20"/>
        </w:rPr>
        <w:t>ANDAs</w:t>
      </w:r>
      <w:r>
        <w:rPr>
          <w:rFonts w:ascii="Times New Roman" w:hAnsi="Times New Roman"/>
          <w:sz w:val="20"/>
        </w:rPr>
        <w:t>”), during the five year exclusivity period, except that such applications may be submitted after four years if they contain a certification of patent invalidity or non-infringement.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our license agreement, we may be obligated to make royalty payments on 2% of net sales of products using the unexpired patent rights, if any, including products containing compounds covered by the patent rights. Additionally, we may be required to pay a 1% royalty on net sales of combination products that use unexpired patent rights, if any, or contain compounds covered by the patent rights. Consequently, future sales of AV-101 may be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that our stem cell technology platform, </w:t>
      </w:r>
      <w:r>
        <w:rPr>
          <w:rFonts w:ascii="Times New Roman" w:hAnsi="Times New Roman"/>
          <w:i/>
          <w:sz w:val="20"/>
        </w:rPr>
        <w:t>Human Clinical Trials in a Test Tube</w:t>
      </w:r>
      <w:r>
        <w:rPr>
          <w:rFonts w:ascii="Times New Roman" w:hAnsi="Times New Roman"/>
          <w:sz w:val="20"/>
        </w:rPr>
        <w:t>TM, is capable of being competitive in growing markets for pluripotent stem cell technology-based drug discovery, development and rescue, as well as regenerative cell therapy and other commercial applications in the rapidly growing stem cell and regenerative medicine sector. We have elected to focus a substantial portion of our resources on stem cell technology-based drug rescue.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that the stem cell technologies underlying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and our primary focus on drug rescue opportunities provide us substantial competitive advantages associated with application of human biology at the front end of the drug development process, long before animal and human testing. Although we believe that our model for the application of pluripotent stem cell technology for drug rescue is novel, competition may arise or otherwise increase considerably as the use of stem cell technology for drug discovery, development and rescue, as well as cell therapy or regenerative medicine continues to become more widespread throughout the academic research community and pharmaceutical and biotechnology industries.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Competition may arise from academic research institutions, contract research organizations, pharmaceutical companies and biotechnology companies that seek to apply stem cell technology, including hPSC trechnology, to produce, sell and/or use human heart cells, liver cells, other cell populations, and </w:t>
      </w:r>
      <w:r>
        <w:rPr>
          <w:rFonts w:ascii="Times New Roman" w:hAnsi="Times New Roman"/>
          <w:i/>
          <w:sz w:val="20"/>
        </w:rPr>
        <w:t>in vitro</w:t>
      </w:r>
      <w:r>
        <w:rPr>
          <w:rFonts w:ascii="Times New Roman" w:hAnsi="Times New Roman"/>
          <w:sz w:val="20"/>
        </w:rPr>
        <w:t xml:space="preserve"> cellular assays including such cells, for internal or third-party research and development purposes, predictive toxicology screening, assessment of adverse drug-drug interactions, and regenerative cell therapy. A representative list of such companies includes the following: Acea Biosciences, Advanced Cell Technology, BioTime, Cellectis Bioresearch, Cellular Dynamics, California Stem Cell, Cellerant Therapeutics, Cytori Therapeutics, HemoGenix, International Stem Cell, iPierian, Neuralstem, Organovo Holdings, PluriStem Therapeutics, Stem Cells, and Stemina BioMarker Discovery.  Pharmaceutical companies and other established corporations such as GE Healthcare Life Sciences, GlaxoSmithKline, Life Technologies, Novartis, Pfizer, Roche Holdings and others have been and are expected to continue developing internally stem cell-based research and development programs. We anticipate that acceptance and use of hPSC technology, including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will continue to occur and increase at pharmaceutical and biotechnology companies in the future.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19"/>
      <w:bookmarkStart w:id="213" w:name="PGBRK19"/>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19"/>
      <w:bookmarkStart w:id="215" w:name="FTR19"/>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6" w:name="GLFTR19"/>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7" w:name="PN19"/>
      <w:bookmarkEnd w:id="217"/>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HDR19"/>
      <w:bookmarkStart w:id="219" w:name="HDR19"/>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0" w:name="GLHDR19"/>
        <w:bookmarkEnd w:id="2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respect to AV-101, we believe that a range of pharmaceutical and biotechnology companies have programs to develop small molecule drug candidates for the treatment of neuropathic pain, depression, epilepsy, Parkinson’s disease and other neurological conditions and diseases, including Abbott Laboratories, GlaxoSmithKline, Johnson &amp; Johnson, Novartis, and Pfizer. We expect that AV-101 will have to compete with a variety of therapeutic products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Government Regulation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 and are approved for use by regulatory bodies associated with the CIRM.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Canada</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Canada, stem cell research and development is governed by two policy documents and by one legislative statute: the Guidelines for Human Pluripotent Stem Cell Research (the “</w:t>
      </w:r>
      <w:r>
        <w:rPr>
          <w:rFonts w:ascii="Times New Roman" w:hAnsi="Times New Roman"/>
          <w:i/>
          <w:sz w:val="20"/>
        </w:rPr>
        <w:t>Guidelines</w:t>
      </w:r>
      <w:r>
        <w:rPr>
          <w:rFonts w:ascii="Times New Roman" w:hAnsi="Times New Roman"/>
          <w:sz w:val="20"/>
        </w:rPr>
        <w:t>”) issued by the Canadian Institutes of Health Research; the Tri-Council Statement: Ethical Conduct for Research Involving Humans (the “</w:t>
      </w:r>
      <w:r>
        <w:rPr>
          <w:rFonts w:ascii="Times New Roman" w:hAnsi="Times New Roman"/>
          <w:i/>
          <w:sz w:val="20"/>
        </w:rPr>
        <w:t>TCPS</w:t>
      </w:r>
      <w:r>
        <w:rPr>
          <w:rFonts w:ascii="Times New Roman" w:hAnsi="Times New Roman"/>
          <w:sz w:val="20"/>
        </w:rPr>
        <w:t>”); and the Assisted Human Reproduction Act (the “</w:t>
      </w:r>
      <w:r>
        <w:rPr>
          <w:rFonts w:ascii="Times New Roman" w:hAnsi="Times New Roman"/>
          <w:i/>
          <w:sz w:val="20"/>
        </w:rPr>
        <w:t>Act</w:t>
      </w:r>
      <w:r>
        <w:rPr>
          <w:rFonts w:ascii="Times New Roman" w:hAnsi="Times New Roman"/>
          <w:sz w:val="20"/>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Act subjects all research conducted in Canada involving the human embryo, including ES Cell derivation (but not the stem cells once derived), to a licensing process overseen by a federal licensing agency.  However, as of the date of this report, the provisions of the Act regarding the licensing of ES Cell derivation were not in force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not currently conducting stem cell research in Canada.  We are, however, sponsoring stem cell research by Dr. Gordon Keller at UHN’s McEwen Centre.  We anticipate conducting stem cell research (with both ES Cells and iPS Cells), in collaboration with Dr. Keller and is research team, at UHN during 2013 and beyond pursuant to our long term sponsored research collaboration with Dr. Keller and UHN.  Should the provisions of the Act come into force, we may have to apply for a license for all ES Cell research we may sponsor or conduct in Canada and ensure compliance of such research with the provisions of the Act.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20"/>
      <w:bookmarkStart w:id="222" w:name="PGBRK20"/>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FTR20"/>
      <w:bookmarkStart w:id="224" w:name="FTR20"/>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5" w:name="GLFTR20"/>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6" w:name="PN20"/>
      <w:bookmarkEnd w:id="226"/>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20"/>
      <w:bookmarkStart w:id="228" w:name="HDR20"/>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9" w:name="GLHDR20"/>
        <w:bookmarkEnd w:id="2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Foreign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Subsidiaries and Inter-Corporate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wholly-owned subsidiaries are managed by our senior management team based in South San Francisco, California.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230" w:name="it1aj"/>
      <w:bookmarkEnd w:id="230"/>
      <w:r>
        <w:rPr>
          <w:rFonts w:ascii="Times New Roman" w:hAnsi="Times New Roman"/>
          <w:b/>
          <w:sz w:val="20"/>
        </w:rPr>
        <w:t>Item 1A.  Risk Factors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Our Financial Position and Need for Additional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incurred significant losses since inception.  We expect to incur losses for the foreseeable future and may never achieve or maintain profitability.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incurred significant operating losses in each fiscal year since our inception, including net losses of $12.9 million and $12.2 million for the fiscal years ending March 31, 2013 and 2012, respectively.  Our accumulated deficit was $67.7 million and $54.8 million, and our stockholders’ deficit was $12.6 million and $5.7 million as of March 31, 2013 and 2012, respectively.  These losses have resulted principally from costs incurred in our research and development programs and general and administrative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date, we have generated approximately $16.4 million of revenue from grant awards and strategic collaborations.  We have financed our operations primarily through grant awards and private placements of our securities.  We have devoted substantially all of our efforts to research and development. We expect to continue to incur significant expenses, operating and net losses and negative cash flow from operations, which may increase, for the foreseeable future due primarily to anticipated increases in expenses for research and product development and increases in general and administrative expenses related to operating and reporting as a public company, particularly in the event we are able to achieve our goal of listing on the NASDAQ Global Market or a similar national exchange.  The net losses we incur may fluctuate from quarter to quarter.  We anticipate that our business will generate operating losses until we successfully implement our commercial development strategy relating to drug rescue and generate significant revenue to support our level of operating expenses related to:</w:t>
      </w:r>
    </w:p>
    <w:p>
      <w:pPr>
        <w:pStyle w:val="TextBody"/>
        <w:spacing w:before="0" w:after="0"/>
        <w:ind w:left="0" w:right="0" w:hanging="0"/>
        <w:rPr/>
      </w:pPr>
      <w:r>
        <w:rPr/>
      </w:r>
    </w:p>
    <w:p>
      <w:pPr>
        <w:pStyle w:val="Normal"/>
        <w:spacing w:before="0" w:after="0"/>
        <w:rPr>
          <w:sz w:val="4"/>
          <w:szCs w:val="4"/>
        </w:rPr>
      </w:pPr>
      <w:r>
        <w:rPr>
          <w:sz w:val="4"/>
          <w:szCs w:val="4"/>
        </w:rPr>
      </w:r>
      <w:bookmarkStart w:id="231" w:name="list17"/>
      <w:bookmarkStart w:id="232" w:name="list17"/>
      <w:bookmarkEnd w:id="232"/>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Research and development of our hPSC technology platform;</w:t>
            </w:r>
          </w:p>
        </w:tc>
      </w:tr>
    </w:tbl>
    <w:p>
      <w:pPr>
        <w:pStyle w:val="Normal"/>
        <w:spacing w:before="0" w:after="0"/>
        <w:rPr>
          <w:sz w:val="4"/>
          <w:szCs w:val="4"/>
        </w:rPr>
      </w:pPr>
      <w:r>
        <w:rPr>
          <w:sz w:val="4"/>
          <w:szCs w:val="4"/>
        </w:rPr>
      </w:r>
      <w:bookmarkStart w:id="233" w:name="list18"/>
      <w:bookmarkStart w:id="234" w:name="list18"/>
      <w:bookmarkEnd w:id="234"/>
    </w:p>
    <w:tbl>
      <w:tblPr>
        <w:tblW w:w="5000" w:type="pct"/>
        <w:jc w:val="left"/>
        <w:tblInd w:w="0" w:type="dxa"/>
        <w:tblCellMar>
          <w:top w:w="0" w:type="dxa"/>
          <w:left w:w="0" w:type="dxa"/>
          <w:bottom w:w="0" w:type="dxa"/>
          <w:right w:w="0" w:type="dxa"/>
        </w:tblCellMar>
      </w:tblPr>
      <w:tblGrid>
        <w:gridCol w:w="572"/>
        <w:gridCol w:w="9633"/>
      </w:tblGrid>
      <w:tr>
        <w:trPr/>
        <w:tc>
          <w:tcPr>
            <w:tcW w:w="572"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6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Drug rescue activities;</w:t>
            </w:r>
          </w:p>
        </w:tc>
      </w:tr>
    </w:tbl>
    <w:p>
      <w:pPr>
        <w:pStyle w:val="Normal"/>
        <w:spacing w:before="0" w:after="0"/>
        <w:rPr>
          <w:sz w:val="4"/>
          <w:szCs w:val="4"/>
        </w:rPr>
      </w:pPr>
      <w:r>
        <w:rPr>
          <w:sz w:val="4"/>
          <w:szCs w:val="4"/>
        </w:rPr>
      </w:r>
      <w:bookmarkStart w:id="235" w:name="list19"/>
      <w:bookmarkStart w:id="236" w:name="list19"/>
      <w:bookmarkEnd w:id="236"/>
    </w:p>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Acquisition and/or in-license of products and technologies;</w:t>
            </w:r>
          </w:p>
        </w:tc>
      </w:tr>
    </w:tbl>
    <w:p>
      <w:pPr>
        <w:pStyle w:val="Normal"/>
        <w:spacing w:before="0" w:after="0"/>
        <w:rPr>
          <w:sz w:val="4"/>
          <w:szCs w:val="4"/>
        </w:rPr>
      </w:pPr>
      <w:r>
        <w:rPr>
          <w:sz w:val="4"/>
          <w:szCs w:val="4"/>
        </w:rPr>
      </w:r>
      <w:bookmarkStart w:id="237" w:name="list20"/>
      <w:bookmarkStart w:id="238" w:name="list20"/>
      <w:bookmarkEnd w:id="238"/>
    </w:p>
    <w:tbl>
      <w:tblPr>
        <w:tblW w:w="5000" w:type="pct"/>
        <w:jc w:val="left"/>
        <w:tblInd w:w="0" w:type="dxa"/>
        <w:tblCellMar>
          <w:top w:w="0" w:type="dxa"/>
          <w:left w:w="0" w:type="dxa"/>
          <w:bottom w:w="0" w:type="dxa"/>
          <w:right w:w="0" w:type="dxa"/>
        </w:tblCellMar>
      </w:tblPr>
      <w:tblGrid>
        <w:gridCol w:w="175"/>
        <w:gridCol w:w="10030"/>
      </w:tblGrid>
      <w:tr>
        <w:trPr/>
        <w:tc>
          <w:tcPr>
            <w:tcW w:w="175"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Maintainence, expasion and protection of our intellectual property portfolio;</w:t>
            </w:r>
          </w:p>
        </w:tc>
      </w:tr>
    </w:tbl>
    <w:p>
      <w:pPr>
        <w:pStyle w:val="Normal"/>
        <w:spacing w:before="0" w:after="0"/>
        <w:rPr>
          <w:sz w:val="4"/>
          <w:szCs w:val="4"/>
        </w:rPr>
      </w:pPr>
      <w:r>
        <w:rPr>
          <w:sz w:val="4"/>
          <w:szCs w:val="4"/>
        </w:rPr>
      </w:r>
      <w:bookmarkStart w:id="239" w:name="list21"/>
      <w:bookmarkStart w:id="240" w:name="list21"/>
      <w:bookmarkEnd w:id="240"/>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Hiring additional scientific and technical personnel; and</w:t>
            </w:r>
          </w:p>
        </w:tc>
      </w:tr>
    </w:tbl>
    <w:p>
      <w:pPr>
        <w:pStyle w:val="Normal"/>
        <w:spacing w:before="0" w:after="0"/>
        <w:rPr>
          <w:sz w:val="4"/>
          <w:szCs w:val="4"/>
        </w:rPr>
      </w:pPr>
      <w:r>
        <w:rPr>
          <w:sz w:val="4"/>
          <w:szCs w:val="4"/>
        </w:rPr>
      </w:r>
      <w:bookmarkStart w:id="241" w:name="list22"/>
      <w:bookmarkStart w:id="242" w:name="list22"/>
      <w:bookmarkEnd w:id="242"/>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Adding operational, financial and management information systems and personnel to support our drug rescue activities and regulatory compliance requirements relating to being a reporting company.</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3" w:name="PGBRK21"/>
      <w:bookmarkStart w:id="244" w:name="PGBRK21"/>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 w:name="FTR21"/>
      <w:bookmarkStart w:id="246" w:name="FTR21"/>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7" w:name="GLFTR21"/>
      <w:bookmarkEnd w:id="2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8" w:name="PN21"/>
      <w:bookmarkEnd w:id="248"/>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9" w:name="HDR21"/>
      <w:bookmarkStart w:id="250" w:name="HDR21"/>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51" w:name="GLHDR21"/>
        <w:bookmarkEnd w:id="25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become and remain profitable we must develop and commercialize, either directly or, more likely, through collaborative arrangements with pharmaceutical and biotechnology companies, a product or products with significant market potential.  This will require us or our partners to be successful in a range of challenging activities, including nonclinical testing and clinical trials of our Drug Rescue Variants, obtaining marketing approval for these product candidates and manufacturing, marketing and selling those products for which we or our prospective partners may obtain marketing approval.  We and our collaborators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or remain profitable would decrease the value of the company and could impair our ability to raise capital, maintain our research, development and drug rescue efforts, expand our business or continue our operations.  A decline in the value of the company could also cause you to lose all or part of your investment.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need to raise substantial additional capital to continue our research and drug rescue programs, and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fund our current and proposed hPSC technology research and development and drug rescue programs, and continue as a going concern, we will need to raise substantial additional capital.  The amount of additional capital we will need will depend on many factors,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revenues, if any, generated from collaborations with pharmaceutical and biotechnology companies involving the discovery, development or licensing of customized cellular bioassays and new chemical entities, including Drug Rescue Variants, AV-101 or other drug or biologic candidates or regenerative cell therapy product candidates;</w:t>
            </w:r>
          </w:p>
        </w:tc>
      </w:tr>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expenses we incur in discovering, developing and licensing Drug Rescue Variants or other drug or biologic candidates;</w:t>
            </w:r>
          </w:p>
        </w:tc>
      </w:tr>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commercial success of our hPSC technology-based research and development efforts and AV-101; and</w:t>
            </w:r>
          </w:p>
        </w:tc>
      </w:tr>
      <w:tr>
        <w:trPr/>
        <w:tc>
          <w:tcPr>
            <w:tcW w:w="556" w:type="dxa"/>
            <w:tcBorders/>
            <w:shd w:fill="auto" w:val="clear"/>
          </w:tcPr>
          <w:p>
            <w:pPr>
              <w:pStyle w:val="TableContents"/>
              <w:spacing w:before="0" w:after="0"/>
              <w:ind w:left="0" w:right="0" w:hanging="0"/>
              <w:jc w:val="center"/>
              <w:rPr/>
            </w:pPr>
            <w:r>
              <w:rPr/>
              <w:t>•</w:t>
            </w:r>
          </w:p>
        </w:tc>
        <w:tc>
          <w:tcPr>
            <w:tcW w:w="96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emergence of competing scientific and technological developments and the extent to which we acquire or in-license other products and technologies.</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than the Autilion Financing, as defined below, we do not currently have any contractually committed sources of additional capital. As of the date of this report, we have completed a nominal initial closing of the Autilion Financing.  In the event the remaining portion of the Autilion Financing is not completed as provided for in our financing agreement with Autilion, we will require substantial additional financing through strategic collaborations, public or private equity financings, capital lease transactions or other financing sources and such additional financing may not be available to us on a timely basis or on acceptable terms, or at all.  If we are unable to complete the Autilion Financing in full, or secure additional funding, or adequate funds are not available on a timely basis, we may be required to delay, reduce or eliminate research and development programs, including drug rescue programs, license to third parties the rights to commercialize products or technologies that we would otherwise seek to commercialize, or any combination of these activities. Any of these results would materially harm our business, financial condition, and results of operations, and may cause our stock price to decline and result in our inability to continue as a going concern.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entered into a strategic financing agreement to provide us with $36.0 million in working capital.  An initial closing under the agreement resulting in nominal proceeds has occurred.  However, the second closing under the agreement, in the amount of $475,000 and scheduled for July 11, 2013, has not yet occurred. In the event the second closing, or any subsequently scheduled closing, does not occur in a timely manner, we will need to secure alternative sources of capital, which may not be available on acceptable terms, or at all, potentially resulting in our inability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2013, we entered into a Securities Purchase Agreement (as amended, the “</w:t>
      </w:r>
      <w:r>
        <w:rPr>
          <w:rFonts w:ascii="Times New Roman" w:hAnsi="Times New Roman"/>
          <w:i/>
          <w:sz w:val="20"/>
        </w:rPr>
        <w:t>Purchase Agreement</w:t>
      </w:r>
      <w:r>
        <w:rPr>
          <w:rFonts w:ascii="Times New Roman" w:hAnsi="Times New Roman"/>
          <w:sz w:val="20"/>
        </w:rPr>
        <w:t>”) providing for the issuance to Autilion AG, a corporation organized and existing under the laws of Switzerland  (“</w:t>
      </w:r>
      <w:r>
        <w:rPr>
          <w:rFonts w:ascii="Times New Roman" w:hAnsi="Times New Roman"/>
          <w:i/>
          <w:sz w:val="20"/>
        </w:rPr>
        <w:t>Autilion</w:t>
      </w:r>
      <w:r>
        <w:rPr>
          <w:rFonts w:ascii="Times New Roman" w:hAnsi="Times New Roman"/>
          <w:sz w:val="20"/>
        </w:rPr>
        <w:t>), of 72 million shares of our common stock for total gross proceeds of $36 million (the “</w:t>
      </w:r>
      <w:r>
        <w:rPr>
          <w:rFonts w:ascii="Times New Roman" w:hAnsi="Times New Roman"/>
          <w:i/>
          <w:sz w:val="20"/>
        </w:rPr>
        <w:t>AutilionFinancing</w:t>
      </w:r>
      <w:r>
        <w:rPr>
          <w:rFonts w:ascii="Times New Roman" w:hAnsi="Times New Roman"/>
          <w:sz w:val="20"/>
        </w:rPr>
        <w:t xml:space="preserve">”). As </w:t>
      </w:r>
      <w:r>
        <w:rPr>
          <w:rFonts w:ascii="Times New Roman" w:hAnsi="Times New Roman"/>
          <w:b w:val="false"/>
          <w:i w:val="false"/>
          <w:caps w:val="false"/>
          <w:smallCaps w:val="false"/>
          <w:sz w:val="20"/>
        </w:rPr>
        <w:t>amended, the Purchase Agreement provides for a series of closings between June 27, 2013 and September 30, 2013.  As of the date of this report,  a closing resulting in nominal proceeds from the Autilion Financing has occurred.  However, the second closing under the agreement, in the amount of $475,000 and scheduled for July 11, 2013, has not yet occurred. This, we are informed by Autilion, is due to administrative delays involving Autilion and its international affiliates and investment partners.  Because the closing did not occur, the Purchase</w:t>
      </w:r>
      <w:r>
        <w:rPr>
          <w:rFonts w:ascii="Times New Roman" w:hAnsi="Times New Roman"/>
          <w:sz w:val="20"/>
        </w:rPr>
        <w:t xml:space="preserve"> Agreement is currently in default.  We have been informed by Autilion that we will receive the total $36 million of proceeds contemplated by the Purchase Agreement.  However, we can give no assurances as to whether we will receive any additional funding in connection with the Autilion Financing. In the event we are not able to close with respect to at least a significant portion of the proceeds anticipated from the Autilion Financing, we will need to obtain substantial additional financing. Substantial additional financing may not be available on a timely basis, on terms acceptable to us, or at all.  In the event we are unable to obtain additional financing, our business, financial condition, and results of operations may be harmed, the price of our stock may decline, and we may not be able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event the Autilion Financing is completed in an amount exceeding $11.0 million, and we issue over 22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part or in full.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2" w:name="PGBRK22"/>
      <w:bookmarkStart w:id="253" w:name="PGBRK22"/>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FTR22"/>
      <w:bookmarkStart w:id="255" w:name="FTR22"/>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6" w:name="GLFTR22"/>
      <w:bookmarkEnd w:id="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7" w:name="PN22"/>
      <w:bookmarkEnd w:id="257"/>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8" w:name="HDR22"/>
      <w:bookmarkStart w:id="259" w:name="HDR22"/>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0" w:name="GLHDR22"/>
        <w:bookmarkEnd w:id="26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Some of our programs have been supported by government grants, which may not be available in the future.  If we cannot continue to obtain grant funding from government entities or private</w:t>
      </w:r>
      <w:r>
        <w:rPr>
          <w:rFonts w:ascii="Times New Roman" w:hAnsi="Times New Roman"/>
          <w:sz w:val="20"/>
        </w:rPr>
        <w:t xml:space="preserve"> </w:t>
      </w:r>
      <w:r>
        <w:rPr>
          <w:rFonts w:ascii="Times New Roman" w:hAnsi="Times New Roman"/>
          <w:b/>
          <w:i/>
          <w:sz w:val="20"/>
        </w:rPr>
        <w:t>research foundations or research, drug rescue and development funding from</w:t>
      </w:r>
      <w:r>
        <w:rPr>
          <w:rFonts w:ascii="Times New Roman" w:hAnsi="Times New Roman"/>
          <w:sz w:val="20"/>
        </w:rPr>
        <w:t xml:space="preserve"> </w:t>
      </w:r>
      <w:r>
        <w:rPr>
          <w:rFonts w:ascii="Times New Roman" w:hAnsi="Times New Roman"/>
          <w:b/>
          <w:i/>
          <w:sz w:val="20"/>
        </w:rPr>
        <w:t>pharmaceutical or biotechnology companies, or if we fail to replace these sources of</w:t>
      </w:r>
      <w:r>
        <w:rPr>
          <w:rFonts w:ascii="Times New Roman" w:hAnsi="Times New Roman"/>
          <w:sz w:val="20"/>
        </w:rPr>
        <w:t xml:space="preserve"> </w:t>
      </w:r>
      <w:r>
        <w:rPr>
          <w:rFonts w:ascii="Times New Roman" w:hAnsi="Times New Roman"/>
          <w:b/>
          <w:i/>
          <w:sz w:val="20"/>
        </w:rPr>
        <w:t>funding, our ability to continue operations will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received, and in the future, may receive, funds under research and economic development grant programs funded by state and federal governmental agencies. and private grant funding and funding from pharmaceutical companies with which we have collaborative relationships. In order to fund a substantial portion of future operations, particularly future operations related to our proposed drug rescue activities, we may need to apply for and receive additional grant funding from governments and governmental organizations such as NIH, the NIH’s National Institute of Neurological Disease and Stroke, and the California Institute for Regenerative Medicine.  However, we may not secure any additional funding from any governmental organization or private research foundation or otherwise. We cannot assure you that we will receive grant funding in the future. If grant funds are required and are no longer available, or if the funds no longer meet our needs, some of our current and future operations may be delayed or terminated. In addition, our business, financial condition and results of operations may be adversely affected if we are unable to obtain future grants or alternative sources of funding.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Our independent auditors have expressed substantial doubt about our ability to continue as a</w:t>
      </w:r>
      <w:r>
        <w:rPr>
          <w:rFonts w:ascii="Times New Roman" w:hAnsi="Times New Roman"/>
          <w:sz w:val="20"/>
        </w:rPr>
        <w:t xml:space="preserve"> </w:t>
      </w:r>
      <w:r>
        <w:rPr>
          <w:rFonts w:ascii="Times New Roman" w:hAnsi="Times New Roman"/>
          <w:b/>
          <w:i/>
          <w:sz w:val="20"/>
        </w:rPr>
        <w:t>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for the year ended March 31, 2013 included in Item 8 of this Report on Form 10-K, have been prepared assuming that we will continue to operate as a going concern. The report of our independent registered public accounting firm on our consolidated financial statements includes an explanatory paragraph discussing conditions that raise a substantial doubt about our ability to continue as a going concern.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23"/>
      <w:bookmarkStart w:id="262" w:name="PGBRK23"/>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23"/>
      <w:bookmarkStart w:id="264" w:name="FTR23"/>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5" w:name="GLFTR23"/>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6" w:name="PN23"/>
      <w:bookmarkEnd w:id="266"/>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23"/>
      <w:bookmarkStart w:id="268" w:name="HDR23"/>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9" w:name="GLHDR23"/>
        <w:bookmarkEnd w:id="26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Identification, Access, and Development of Our Drug Rescue Variants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have not yet developed a Drug Rescue Variant and we cannot be certain that we will be able to</w:t>
      </w:r>
      <w:r>
        <w:rPr>
          <w:rFonts w:ascii="Times New Roman" w:hAnsi="Times New Roman"/>
          <w:sz w:val="20"/>
        </w:rPr>
        <w:t xml:space="preserve"> </w:t>
      </w:r>
      <w:r>
        <w:rPr>
          <w:rFonts w:ascii="Times New Roman" w:hAnsi="Times New Roman"/>
          <w:b/>
          <w:i/>
          <w:sz w:val="20"/>
        </w:rPr>
        <w:t>do so in the future.  Our prospective customers, the pharmaceutical and biotechnology companies of the world, may not perceive value in our drug rescue efforts or otherwise may choose not to collaborate with us.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ability to develop a Drug Rescue Variant is highly dependent upon the accuracy and efficiency of our </w:t>
      </w:r>
      <w:r>
        <w:rPr>
          <w:rFonts w:ascii="Times New Roman" w:hAnsi="Times New Roman"/>
          <w:i/>
          <w:sz w:val="20"/>
        </w:rPr>
        <w:t>Human Clinical Trials in a Test Tube</w:t>
      </w:r>
      <w:r>
        <w:rPr>
          <w:rFonts w:ascii="Times New Roman" w:hAnsi="Times New Roman"/>
          <w:sz w:val="20"/>
        </w:rPr>
        <w:t xml:space="preserve">TM platform, particularly our </w:t>
      </w:r>
      <w:r>
        <w:rPr>
          <w:rFonts w:ascii="Times New Roman" w:hAnsi="Times New Roman"/>
          <w:i/>
          <w:sz w:val="20"/>
        </w:rPr>
        <w:t xml:space="preserve">CardioSafe </w:t>
      </w:r>
      <w:r>
        <w:rPr>
          <w:rFonts w:ascii="Times New Roman" w:hAnsi="Times New Roman"/>
          <w:sz w:val="20"/>
        </w:rPr>
        <w:t>3D™ bioassay system. We have no operating history with respect to the development of Drug Rescue Variants and we cannot be certain we will be able to develop and license one or more Drug Rescue Variants in the future. There are a number of factors that may impact our ability to develop a Drug Rescue Variant,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0"/>
        <w:gridCol w:w="520"/>
        <w:gridCol w:w="9035"/>
      </w:tblGrid>
      <w:tr>
        <w:trPr/>
        <w:tc>
          <w:tcPr>
            <w:tcW w:w="650" w:type="dxa"/>
            <w:tcBorders/>
            <w:shd w:fill="auto" w:val="clear"/>
          </w:tcPr>
          <w:p>
            <w:pPr>
              <w:pStyle w:val="TableContents"/>
              <w:spacing w:before="0" w:after="283"/>
              <w:rPr/>
            </w:pPr>
            <w:r>
              <w:rPr/>
              <w:t xml:space="preserve">  </w:t>
            </w:r>
          </w:p>
        </w:tc>
        <w:tc>
          <w:tcPr>
            <w:tcW w:w="520" w:type="dxa"/>
            <w:tcBorders/>
            <w:shd w:fill="auto" w:val="clear"/>
          </w:tcPr>
          <w:p>
            <w:pPr>
              <w:pStyle w:val="TableContents"/>
              <w:spacing w:before="0" w:after="0"/>
              <w:ind w:left="0" w:right="0" w:hanging="0"/>
              <w:jc w:val="both"/>
              <w:rPr/>
            </w:pPr>
            <w:r>
              <w:rPr/>
              <w:t>•</w:t>
            </w:r>
          </w:p>
        </w:tc>
        <w:tc>
          <w:tcPr>
            <w:tcW w:w="90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identify and access the potential for drug rescue of once-promising small molecule drug candidates that pharmaceutical or biotechnology companies have discontinued in development due to unexpected safety concerns relating to the heart or liver. If we cannot identify once-promising drug candidates that can be rescued in an efficient and cost-effective manner, our business will be adversely affected.  And, we may choose to focus our resources on a potential drug rescue candidate the rescue of which ultimately proves to be unsuccessful.  If we are unable to identify and access suitable drug candidates for our drug rescue programs, we will not be able to generate product revenues in future periods, which likely will result in significant harm to our financial position and adversely impact our stock price.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1"/>
        <w:gridCol w:w="521"/>
        <w:gridCol w:w="9033"/>
      </w:tblGrid>
      <w:tr>
        <w:trPr/>
        <w:tc>
          <w:tcPr>
            <w:tcW w:w="651" w:type="dxa"/>
            <w:tcBorders/>
            <w:shd w:fill="auto" w:val="clear"/>
          </w:tcPr>
          <w:p>
            <w:pPr>
              <w:pStyle w:val="TableContents"/>
              <w:spacing w:before="0" w:after="283"/>
              <w:rPr/>
            </w:pPr>
            <w:r>
              <w:rPr/>
              <w:t xml:space="preserve">  </w:t>
            </w:r>
          </w:p>
        </w:tc>
        <w:tc>
          <w:tcPr>
            <w:tcW w:w="521" w:type="dxa"/>
            <w:tcBorders/>
            <w:shd w:fill="auto" w:val="clear"/>
          </w:tcPr>
          <w:p>
            <w:pPr>
              <w:pStyle w:val="TableContents"/>
              <w:spacing w:before="0" w:after="0"/>
              <w:ind w:left="0" w:right="0" w:hanging="0"/>
              <w:jc w:val="both"/>
              <w:rPr/>
            </w:pPr>
            <w:r>
              <w:rPr/>
              <w:t>•</w:t>
            </w:r>
          </w:p>
        </w:tc>
        <w:tc>
          <w:tcPr>
            <w:tcW w:w="90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extent we seek  to rescue once-promising but discontinued drug candidates that are not otherwise available for research and development based on information available in the public domain, our ability to license from third-parties drug candidates that have been discontinued in development due to unexpected heart or liver safety concerns. Because we may seek to leverage prior third-party investment in drug discovery and development of a small molecule compounds with proprietary rights held by third parties,  the success of our business may depend, in significant part, on our ability to acquire or license such discontinued compounds from third-parties.  However, such third  parties might be reluctant to enter into product acquisition or license agreements with us on commercially reasonable terms, if at all. The licensing and acquisition of proprietary small molecule compounds, even compounds that have failed in development due to heart or liver safety concerns, is a highly competitive area, and a number of more established companies are also pursuing strategies to license or acquire compounds that we may consider attractive as drug rescue candidates. These established companies have a competitive advantage over us due to their size, cash resources and greater clinical development and commercialization capabilities.  In addition, companies that perceive us to be a competitor may be unwilling to sell or license drug candidate rights to us. We have no experience in negotiating these licenses and there can be no assurances that we will be able to acquire or obtain licenses to discontinued drug rescue candidates on commercially reasonable terms, if at all. If we are unable to acquire or obtain licenses to drug candidates we seek to rescue, our business may be adversely affected.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3"/>
        <w:gridCol w:w="523"/>
        <w:gridCol w:w="9029"/>
      </w:tblGrid>
      <w:tr>
        <w:trPr/>
        <w:tc>
          <w:tcPr>
            <w:tcW w:w="653" w:type="dxa"/>
            <w:tcBorders/>
            <w:shd w:fill="auto" w:val="clear"/>
          </w:tcPr>
          <w:p>
            <w:pPr>
              <w:pStyle w:val="TableContents"/>
              <w:spacing w:before="0" w:after="283"/>
              <w:rPr/>
            </w:pPr>
            <w:r>
              <w:rPr/>
              <w:t xml:space="preserve">  </w:t>
            </w:r>
          </w:p>
        </w:tc>
        <w:tc>
          <w:tcPr>
            <w:tcW w:w="523" w:type="dxa"/>
            <w:tcBorders/>
            <w:shd w:fill="auto" w:val="clear"/>
          </w:tcPr>
          <w:p>
            <w:pPr>
              <w:pStyle w:val="TableContents"/>
              <w:spacing w:before="0" w:after="0"/>
              <w:ind w:left="0" w:right="0" w:hanging="0"/>
              <w:jc w:val="both"/>
              <w:rPr/>
            </w:pPr>
            <w:r>
              <w:rPr/>
              <w:t>•</w:t>
            </w:r>
          </w:p>
        </w:tc>
        <w:tc>
          <w:tcPr>
            <w:tcW w:w="90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medicinal chemistry collaborator’s ability to design and produce Drug Rescue Variants that are structurally related to the drug candidate that was discontinued in development due to heart or liver safety concerns. If our medicinal chemistry collaborator is unsuccessful for any reason in designing and producing Drug Rescue Variants, our business will be adversely affected.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0"/>
        <w:gridCol w:w="520"/>
        <w:gridCol w:w="9035"/>
      </w:tblGrid>
      <w:tr>
        <w:trPr/>
        <w:tc>
          <w:tcPr>
            <w:tcW w:w="650" w:type="dxa"/>
            <w:tcBorders/>
            <w:shd w:fill="auto" w:val="clear"/>
          </w:tcPr>
          <w:p>
            <w:pPr>
              <w:pStyle w:val="TableContents"/>
              <w:spacing w:before="0" w:after="283"/>
              <w:rPr/>
            </w:pPr>
            <w:r>
              <w:rPr/>
              <w:t xml:space="preserve">  </w:t>
            </w:r>
          </w:p>
        </w:tc>
        <w:tc>
          <w:tcPr>
            <w:tcW w:w="520" w:type="dxa"/>
            <w:tcBorders/>
            <w:shd w:fill="auto" w:val="clear"/>
          </w:tcPr>
          <w:p>
            <w:pPr>
              <w:pStyle w:val="TableContents"/>
              <w:spacing w:before="0" w:after="0"/>
              <w:ind w:left="0" w:right="0" w:hanging="0"/>
              <w:jc w:val="both"/>
              <w:rPr/>
            </w:pPr>
            <w:r>
              <w:rPr/>
              <w:t>•</w:t>
            </w:r>
          </w:p>
        </w:tc>
        <w:tc>
          <w:tcPr>
            <w:tcW w:w="90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execute our drug rescue programs in a timely and cost-effective manner. If our drug rescue programs are less efficient and more expensive than we expect, our business will be adversely affected.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3"/>
        <w:gridCol w:w="521"/>
        <w:gridCol w:w="9031"/>
      </w:tblGrid>
      <w:tr>
        <w:trPr/>
        <w:tc>
          <w:tcPr>
            <w:tcW w:w="653" w:type="dxa"/>
            <w:tcBorders/>
            <w:shd w:fill="auto" w:val="clear"/>
          </w:tcPr>
          <w:p>
            <w:pPr>
              <w:pStyle w:val="TableContents"/>
              <w:spacing w:before="0" w:after="283"/>
              <w:rPr/>
            </w:pPr>
            <w:r>
              <w:rPr/>
              <w:t xml:space="preserve">  </w:t>
            </w:r>
          </w:p>
        </w:tc>
        <w:tc>
          <w:tcPr>
            <w:tcW w:w="521" w:type="dxa"/>
            <w:tcBorders/>
            <w:shd w:fill="auto" w:val="clear"/>
          </w:tcPr>
          <w:p>
            <w:pPr>
              <w:pStyle w:val="TableContents"/>
              <w:spacing w:before="0" w:after="0"/>
              <w:ind w:left="0" w:right="0" w:hanging="0"/>
              <w:jc w:val="both"/>
              <w:rPr/>
            </w:pPr>
            <w:r>
              <w:rPr/>
              <w:t>•</w:t>
            </w:r>
          </w:p>
        </w:tc>
        <w:tc>
          <w:tcPr>
            <w:tcW w:w="90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Our ability to develop Drug Rescue Variants and license them to pharmaceutical and biotechnology companies. The time necessary to rescue any individual pharmaceutical product is long and can be uncertain. Only a small number of research and development programs ultimately result in commercially successful drugs. We cannot assure you that toxicity results indicated by our drug rescue testing models are indicative of results that would be achieved in future animal studies, in </w:t>
            </w:r>
            <w:r>
              <w:rPr>
                <w:rFonts w:ascii="times new roman" w:hAnsi="times new roman"/>
                <w:i/>
                <w:sz w:val="20"/>
              </w:rPr>
              <w:t xml:space="preserve">in vitro </w:t>
            </w:r>
            <w:r>
              <w:rPr>
                <w:rFonts w:ascii="times new roman" w:hAnsi="times new roman"/>
                <w:sz w:val="20"/>
              </w:rPr>
              <w:t>testing, or in clinical studies, all or some of which will be required in order to obtain regulatory approval of our Drug Rescue Variants.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0" w:name="PGBRK24"/>
      <w:bookmarkStart w:id="271" w:name="PGBRK24"/>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FTR24"/>
      <w:bookmarkStart w:id="273" w:name="FTR24"/>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4" w:name="GLFTR24"/>
      <w:bookmarkEnd w:id="2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5" w:name="PN24"/>
      <w:bookmarkEnd w:id="275"/>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HDR24"/>
      <w:bookmarkStart w:id="277" w:name="HDR24"/>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78" w:name="GLHDR24"/>
        <w:bookmarkEnd w:id="27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internal validation studies of CardioSafe 3D</w:t>
      </w:r>
      <w:r>
        <w:rPr>
          <w:rFonts w:ascii="Times New Roman" w:hAnsi="Times New Roman"/>
          <w:sz w:val="20"/>
        </w:rPr>
        <w:t> </w:t>
      </w:r>
      <w:r>
        <w:rPr>
          <w:rFonts w:ascii="Times New Roman" w:hAnsi="Times New Roman"/>
          <w:b/>
          <w:i/>
          <w:sz w:val="20"/>
        </w:rPr>
        <w:t>TM</w:t>
      </w:r>
      <w:r>
        <w:rPr>
          <w:rFonts w:ascii="Times New Roman" w:hAnsi="Times New Roman"/>
          <w:sz w:val="20"/>
        </w:rPr>
        <w:t> </w:t>
      </w:r>
      <w:r>
        <w:rPr>
          <w:rFonts w:ascii="Times New Roman" w:hAnsi="Times New Roman"/>
          <w:b/>
          <w:i/>
          <w:sz w:val="20"/>
        </w:rPr>
        <w:t>have not been subject</w:t>
      </w:r>
      <w:r>
        <w:rPr>
          <w:rFonts w:ascii="Times New Roman" w:hAnsi="Times New Roman"/>
          <w:sz w:val="20"/>
        </w:rPr>
        <w:t xml:space="preserve"> </w:t>
      </w:r>
      <w:r>
        <w:rPr>
          <w:rFonts w:ascii="Times New Roman" w:hAnsi="Times New Roman"/>
          <w:b/>
          <w:i/>
          <w:sz w:val="20"/>
        </w:rPr>
        <w:t>to peer review or third party validation.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internal validation studies, conducted to validate the ability of our </w:t>
      </w:r>
      <w:r>
        <w:rPr>
          <w:rFonts w:ascii="Times New Roman" w:hAnsi="Times New Roman"/>
          <w:i/>
          <w:sz w:val="20"/>
        </w:rPr>
        <w:t xml:space="preserve">CardioSafe 3DTM </w:t>
      </w:r>
      <w:r>
        <w:rPr>
          <w:rFonts w:ascii="Times New Roman" w:hAnsi="Times New Roman"/>
          <w:sz w:val="20"/>
        </w:rPr>
        <w:t xml:space="preserve">bioassay system to predict the cardiac effects of prospective drug rescue candidates referred to under “Business – Application of Stem Cell Technology to Drug Rescue – </w:t>
      </w:r>
      <w:r>
        <w:rPr>
          <w:rFonts w:ascii="Times New Roman" w:hAnsi="Times New Roman"/>
          <w:i/>
          <w:sz w:val="20"/>
        </w:rPr>
        <w:t>CardioSafe 3D TM</w:t>
      </w:r>
      <w:r>
        <w:rPr>
          <w:rFonts w:ascii="Times New Roman" w:hAnsi="Times New Roman"/>
          <w:sz w:val="20"/>
        </w:rPr>
        <w:t xml:space="preserve">”, have not been subject to peer review or third party validation. It is possible that the results we obtained from our internal validation studies may not be able to be replicated by third parties. If we elect to license drug rescue candidates from pharmaceutical or biotechnology companies rather than accessing information available in the public domain, and such companies cannot replicate our results, it will be difficult to negotiate and obtain licenses from such companies to drug candidates we may seek to rescue. Even if such results can be replicated, pharmaceutical and biotechnology companies may nevertheless conclude that their current drug testing models are better than our human heart cell-based bioassay system, </w:t>
      </w:r>
      <w:r>
        <w:rPr>
          <w:rFonts w:ascii="Times New Roman" w:hAnsi="Times New Roman"/>
          <w:i/>
          <w:sz w:val="20"/>
        </w:rPr>
        <w:t>CardioSafe 3DTM</w:t>
      </w:r>
      <w:r>
        <w:rPr>
          <w:rFonts w:ascii="Times New Roman" w:hAnsi="Times New Roman"/>
          <w:sz w:val="20"/>
        </w:rPr>
        <w:t>, and that it does not merit a license to the drug candidate we seek to rescue. Our business model is predicated on our ability to identify and, if information is not otherwise available in the public domain, obtain licenses from pharmaceutical and biotechnology companies to promising drug rescue candidates. If licenses are required, and if we cannot obtain licenses to suitable drug rescue candidates, our business will be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w:t>
      </w:r>
      <w:r>
        <w:rPr>
          <w:rFonts w:ascii="Times New Roman" w:hAnsi="Times New Roman"/>
          <w:sz w:val="20"/>
        </w:rPr>
        <w:t xml:space="preserve"> </w:t>
      </w:r>
      <w:r>
        <w:rPr>
          <w:rFonts w:ascii="Times New Roman" w:hAnsi="Times New Roman"/>
          <w:b/>
          <w:i/>
          <w:sz w:val="20"/>
        </w:rPr>
        <w:t>cannot say with certainty that our in vitro toxicological testing systems, including CardioSafe 3DTM</w:t>
      </w:r>
      <w:r>
        <w:rPr>
          <w:rFonts w:ascii="Times New Roman" w:hAnsi="Times New Roman"/>
          <w:b/>
          <w:sz w:val="20"/>
        </w:rPr>
        <w:t xml:space="preserve">, and, when developed and validated, </w:t>
      </w:r>
      <w:r>
        <w:rPr>
          <w:rFonts w:ascii="Times New Roman" w:hAnsi="Times New Roman"/>
          <w:b/>
          <w:i/>
          <w:sz w:val="20"/>
        </w:rPr>
        <w:t>LiverSafe 3DTM</w:t>
      </w:r>
      <w:r>
        <w:rPr>
          <w:rFonts w:ascii="Times New Roman" w:hAnsi="Times New Roman"/>
          <w:b/>
          <w:sz w:val="20"/>
        </w:rPr>
        <w:t>,</w:t>
      </w:r>
      <w:r>
        <w:rPr>
          <w:rFonts w:ascii="Times New Roman" w:hAnsi="Times New Roman"/>
          <w:sz w:val="20"/>
        </w:rPr>
        <w:t xml:space="preserve"> </w:t>
      </w:r>
      <w:r>
        <w:rPr>
          <w:rFonts w:ascii="Times New Roman" w:hAnsi="Times New Roman"/>
          <w:b/>
          <w:i/>
          <w:sz w:val="20"/>
        </w:rPr>
        <w:t>will be more efficient or accurate at predicting</w:t>
      </w:r>
      <w:r>
        <w:rPr>
          <w:rFonts w:ascii="Times New Roman" w:hAnsi="Times New Roman"/>
          <w:sz w:val="20"/>
        </w:rPr>
        <w:t xml:space="preserve"> </w:t>
      </w:r>
      <w:r>
        <w:rPr>
          <w:rFonts w:ascii="Times New Roman" w:hAnsi="Times New Roman"/>
          <w:b/>
          <w:i/>
          <w:sz w:val="20"/>
        </w:rPr>
        <w:t>the toxicity adverse drug-drug interactions of new drug candidates and Drug Rescue Variants than the nonclinical testing models currently used by</w:t>
      </w:r>
      <w:r>
        <w:rPr>
          <w:rFonts w:ascii="Times New Roman" w:hAnsi="Times New Roman"/>
          <w:sz w:val="20"/>
        </w:rPr>
        <w:t xml:space="preserve"> </w:t>
      </w:r>
      <w:r>
        <w:rPr>
          <w:rFonts w:ascii="Times New Roman" w:hAnsi="Times New Roman"/>
          <w:b/>
          <w:i/>
          <w:sz w:val="20"/>
        </w:rPr>
        <w:t>pharmaceutical companies.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success of our drug rescue model is dependent upon the human heart and liver cell-based bioassay systems we develop being more accurate, efficient and clinically predictive than animal and cellular testing models currently used in the pharmaceutical and biotechnology industries. The accuracy and efficiency of our human heart and liver cell-based bioassay systems is central to our ability to generate Drug Rescue Variants. If our bioassay systems are less accurate and less efficient than currently-used animal and cellular testing models, our business will be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If we cannot enter into and successfully manage a sufficient number of strategic collaborations with pharmaceutical and biotechnology companies, our</w:t>
      </w:r>
      <w:r>
        <w:rPr>
          <w:rFonts w:ascii="Times New Roman" w:hAnsi="Times New Roman"/>
          <w:sz w:val="20"/>
        </w:rPr>
        <w:t xml:space="preserve"> </w:t>
      </w:r>
      <w:r>
        <w:rPr>
          <w:rFonts w:ascii="Times New Roman" w:hAnsi="Times New Roman"/>
          <w:b/>
          <w:i/>
          <w:sz w:val="20"/>
        </w:rPr>
        <w:t>ability to generate Drug Rescue Variants and fund our future</w:t>
      </w:r>
      <w:r>
        <w:rPr>
          <w:rFonts w:ascii="Times New Roman" w:hAnsi="Times New Roman"/>
          <w:sz w:val="20"/>
        </w:rPr>
        <w:t xml:space="preserve"> </w:t>
      </w:r>
      <w:r>
        <w:rPr>
          <w:rFonts w:ascii="Times New Roman" w:hAnsi="Times New Roman"/>
          <w:b/>
          <w:i/>
          <w:sz w:val="20"/>
        </w:rPr>
        <w:t>operations will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future element of our drug rescue business model is to enter into strategic development and marketing collaborations with established pharmaceutical and biotechnology companies to finance or otherwise assist in the development, marketing and manufacture of Drug Rescue Variants utilizing our hPSC technology-based bioassay systems for screening heart toxicity, liver toxicity and adverse drug-drug interactions. Our goal in such collaborations will be to generate a recurring stream of revenues from upfront license fees, research and development milestone payments and royalties on commercial sales of Drug Rescue Variants. Our prospects, therefore, will depend in large part upon our ability to attract and retain pharmaceutical and biotechnology collaborators and to generate Drug Rescue Variants that meet the requirements of our prospective collaborators. In addition, our collaborators will generally have the right to abandon research and development projects and terminate applicable agreements, including funding obligations, prior to or upon the expiration of the agreed-upon research and development terms. There can be no assurance that we will be successful in establishing multiple future collaborations with pharmaceutical and biotechnology companies on acceptable terms or at all, that current or future collaborations will not terminate funding before completion of projects, that our existing or future collaborative arrangements will result in successful development and commercialization of Drug Rescue Variants or that we will derive any revenues from such arrangements. To the extent that we are unable to maintain existing or establish new strategic collaborations with pharmaceutical and biotechnology companies, it would require substantial additional capital for us to undertake research, development and commercialization activities on our own.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varying degrees for each of the drug candidates we may seek to include in our drug rescue programs , following internal studies to establish </w:t>
      </w:r>
      <w:r>
        <w:rPr>
          <w:rFonts w:ascii="Times New Roman" w:hAnsi="Times New Roman"/>
          <w:i/>
          <w:sz w:val="20"/>
        </w:rPr>
        <w:t>in vitro</w:t>
      </w:r>
      <w:r>
        <w:rPr>
          <w:rFonts w:ascii="Times New Roman" w:hAnsi="Times New Roman"/>
          <w:sz w:val="20"/>
        </w:rPr>
        <w:t xml:space="preserve"> proof of concept of the safety and efficacy of each lead Drug Rescue Variant, we expect to rely on our pharmaceutical or biotechnology company collaborators to develop, conduct Investigational New Drug-enabling studies and human clinical trials on, obtain regulatory approvals for, manufacture, market and/or commercialize the Drug Rescue Variant(s) we license to them. Such collaborators’ diligence and dedication of resources in conducting these activities will depend on, among other things, their own competitive, marketing and strategic considerations, including the relative advantages of competitive products. The failure of our collaborators to conduct, successfully and diligently, their collaborative activities relating to Drug Rescue Variants we license to them would have a material adverse effect on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9" w:name="PGBRK25"/>
      <w:bookmarkStart w:id="280" w:name="PGBRK25"/>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 w:name="FTR25"/>
      <w:bookmarkStart w:id="282" w:name="FTR25"/>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3" w:name="GLFTR25"/>
      <w:bookmarkEnd w:id="2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4" w:name="PN25"/>
      <w:bookmarkEnd w:id="284"/>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5" w:name="HDR25"/>
      <w:bookmarkStart w:id="286" w:name="HDR25"/>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87" w:name="GLHDR25"/>
        <w:bookmarkEnd w:id="28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Some of our competitors or pharmaceutical or biotechnology companies may develop technologies that are</w:t>
      </w:r>
      <w:r>
        <w:rPr>
          <w:rFonts w:ascii="Times New Roman" w:hAnsi="Times New Roman"/>
          <w:sz w:val="20"/>
        </w:rPr>
        <w:t xml:space="preserve"> </w:t>
      </w:r>
      <w:r>
        <w:rPr>
          <w:rFonts w:ascii="Times New Roman" w:hAnsi="Times New Roman"/>
          <w:b/>
          <w:i/>
          <w:sz w:val="20"/>
        </w:rPr>
        <w:t>superior to or more cost-effective than ours, which may impact the commercial</w:t>
      </w:r>
      <w:r>
        <w:rPr>
          <w:rFonts w:ascii="Times New Roman" w:hAnsi="Times New Roman"/>
          <w:sz w:val="20"/>
        </w:rPr>
        <w:t xml:space="preserve"> </w:t>
      </w:r>
      <w:r>
        <w:rPr>
          <w:rFonts w:ascii="Times New Roman" w:hAnsi="Times New Roman"/>
          <w:b/>
          <w:i/>
          <w:sz w:val="20"/>
        </w:rPr>
        <w:t>viability of our technologies and which may significantly damage our ability to</w:t>
      </w:r>
      <w:r>
        <w:rPr>
          <w:rFonts w:ascii="Times New Roman" w:hAnsi="Times New Roman"/>
          <w:sz w:val="20"/>
        </w:rPr>
        <w:t xml:space="preserve"> </w:t>
      </w:r>
      <w:r>
        <w:rPr>
          <w:rFonts w:ascii="Times New Roman" w:hAnsi="Times New Roman"/>
          <w:b/>
          <w:i/>
          <w:sz w:val="20"/>
        </w:rPr>
        <w:t>sustain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pharmaceutical and biotechnology industries are intensely competitive. Other hPSC biology-based bioassay systems and drug candidates that could compete directly with the bioassay technologies and product candidates that we seek to discover, develop and commercialize currently exist and are being developed by pharmaceutical and biotechnology companies and by academic and other research-oriented organizations.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Many of the pharmaceutical and biotechnology companies developing and marketing these competing products and technologies have significantly greater financial resources and expertise than we do in research and development, manufacturing, preclinical and clinical testing, obtaining regulatory approvals and marketing and distribution of new drug candidates. Pharmaceutical and biotechnology companies with whom we seek to collaborate also have or may develop their own competing internal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Small companies may also prove to be significant competitors, particularly through collaborative arrangements with large and established companies. Academic institutions, government agencies and other public and private research organizations are conducting research, seeking patent protection and establishing collaborative arrangements for research, clinical development and marketing of products similar to ours. These companies and institutions compete with us in recruiting and retaining qualified scientific and management personnel, obtaining collaborators and licensees, as well as in acquiring technologies complementary to our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above factors, we expect to face competition in the areas of evaluation of product efficacy and safety, the timing and scope of regulatory consents, availability of resources, reimbursement coverage, price and patent position, including potentially dominant patent positions of others.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the foregoing, our competitors may develop more effective or more affordable products, or achieve earlier patent protection or product commercialization than we do. Most significantly, competitive products may render any technologies and product candidates that we develop obsolete, which would negatively impact our business and ability to sustain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Restrictions on the use of Embryonic Stem Cells (“ES Cells”), political commentary and the ethical and</w:t>
      </w:r>
      <w:r>
        <w:rPr>
          <w:rFonts w:ascii="Times New Roman" w:hAnsi="Times New Roman"/>
          <w:sz w:val="20"/>
        </w:rPr>
        <w:t xml:space="preserve"> </w:t>
      </w:r>
      <w:r>
        <w:rPr>
          <w:rFonts w:ascii="Times New Roman" w:hAnsi="Times New Roman"/>
          <w:b/>
          <w:i/>
          <w:sz w:val="20"/>
        </w:rPr>
        <w:t>social implications of research involving ES Cells could prevent us from</w:t>
      </w:r>
      <w:r>
        <w:rPr>
          <w:rFonts w:ascii="Times New Roman" w:hAnsi="Times New Roman"/>
          <w:sz w:val="20"/>
        </w:rPr>
        <w:t xml:space="preserve"> </w:t>
      </w:r>
      <w:r>
        <w:rPr>
          <w:rFonts w:ascii="Times New Roman" w:hAnsi="Times New Roman"/>
          <w:b/>
          <w:i/>
          <w:sz w:val="20"/>
        </w:rPr>
        <w:t>developing or gaining acceptance for commercially viable products based upon such</w:t>
      </w:r>
      <w:r>
        <w:rPr>
          <w:rFonts w:ascii="Times New Roman" w:hAnsi="Times New Roman"/>
          <w:sz w:val="20"/>
        </w:rPr>
        <w:t xml:space="preserve"> </w:t>
      </w:r>
      <w:r>
        <w:rPr>
          <w:rFonts w:ascii="Times New Roman" w:hAnsi="Times New Roman"/>
          <w:b/>
          <w:i/>
          <w:sz w:val="20"/>
        </w:rPr>
        <w:t>stem cells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Some of our most important programs involve the use of ES Cells. Some believe the use of ES Cells gives rise to ethical and social issues regarding the appropriate use of these cells. Our research related to ES Cells may become the subject of adverse commentary or publicity, which could significantly harm the market price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substantially less than in years past, certain political and religious groups in the United States voice opposition to ES Cell technology and practices. All procedures we use to obtain clinical samples, and the procedures we use to isolate ES Cells, are consistent with the informed consent and ethical guidelines promulgated by the U.S. National Academy of Science, the International Society of Stem Cell Research (“</w:t>
      </w:r>
      <w:r>
        <w:rPr>
          <w:rFonts w:ascii="Times New Roman" w:hAnsi="Times New Roman"/>
          <w:i/>
          <w:sz w:val="20"/>
        </w:rPr>
        <w:t>ISSCR</w:t>
      </w:r>
      <w:r>
        <w:rPr>
          <w:rFonts w:ascii="Times New Roman" w:hAnsi="Times New Roman"/>
          <w:sz w:val="20"/>
        </w:rPr>
        <w:t xml:space="preserve">”), and the NIH. These procedures and documentation have been reviewed by an external Stem Cell Research Oversight Committee, and all cell lines we use have been approved under these guidelines. We use stem cells derived from excess fertilized eggs that have been created for clinical use in </w:t>
      </w:r>
      <w:r>
        <w:rPr>
          <w:rFonts w:ascii="Times New Roman" w:hAnsi="Times New Roman"/>
          <w:i/>
          <w:sz w:val="20"/>
        </w:rPr>
        <w:t>in vitro</w:t>
      </w:r>
      <w:r>
        <w:rPr>
          <w:rFonts w:ascii="Times New Roman" w:hAnsi="Times New Roman"/>
          <w:sz w:val="20"/>
        </w:rPr>
        <w:t xml:space="preserve"> fertilization (“</w:t>
      </w:r>
      <w:r>
        <w:rPr>
          <w:rFonts w:ascii="Times New Roman" w:hAnsi="Times New Roman"/>
          <w:i/>
          <w:sz w:val="20"/>
        </w:rPr>
        <w:t>IVF</w:t>
      </w:r>
      <w:r>
        <w:rPr>
          <w:rFonts w:ascii="Times New Roman" w:hAnsi="Times New Roman"/>
          <w:sz w:val="20"/>
        </w:rPr>
        <w:t>”) procedures and have been donated for research purposes with the informed consent of the donors after a successful IVF procedure because they are no longer desired or suitable for IVF. Many research institutions, including some of our scientific collaborators, have adopted policies regarding the ethical use of human embryonic tissue. These policies may have the effect of limiting the scope of research conducted using ES Cells, thereby impairing our ability to conduct research in this field.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8" w:name="PGBRK26"/>
      <w:bookmarkStart w:id="289" w:name="PGBRK26"/>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FTR26"/>
      <w:bookmarkStart w:id="291" w:name="FTR26"/>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2" w:name="GLFTR26"/>
      <w:bookmarkEnd w:id="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3" w:name="PN26"/>
      <w:bookmarkEnd w:id="293"/>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4" w:name="HDR26"/>
      <w:bookmarkStart w:id="295" w:name="HDR26"/>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96" w:name="GLHDR26"/>
        <w:bookmarkEnd w:id="2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U.S. government and its agencies on July 7, 2009 published guidelines for the ethical derivation of human ES Cells required for receiving federal funding for ES Cell research. All of the ES Cell lines we use meet these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 The use of embryonic or fetal tissue in research (including the derivation of ES Cells) in other countries is regulated by the government, and varies widely from country to country. These regulations may affect our ability to commercialize ES Cell-based bioassay systems.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Government-imposed restrictions with respect to use of ES Cells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iPS Cells because their derivation does not involve the use of embryonic tissues.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have assumed that the biological capabilities of Induced Pluripotent Stem Cells (“iPS Cells”) and ES Cells for in</w:t>
      </w:r>
      <w:r>
        <w:rPr>
          <w:rFonts w:ascii="Times New Roman" w:hAnsi="Times New Roman"/>
          <w:sz w:val="20"/>
        </w:rPr>
        <w:t xml:space="preserve"> </w:t>
      </w:r>
      <w:r>
        <w:rPr>
          <w:rFonts w:ascii="Times New Roman" w:hAnsi="Times New Roman"/>
          <w:b/>
          <w:i/>
          <w:sz w:val="20"/>
        </w:rPr>
        <w:t>vitro bioassay systems are likely to be comparable. If it is discovered that this assumption is</w:t>
      </w:r>
      <w:r>
        <w:rPr>
          <w:rFonts w:ascii="Times New Roman" w:hAnsi="Times New Roman"/>
          <w:sz w:val="20"/>
        </w:rPr>
        <w:t xml:space="preserve"> </w:t>
      </w:r>
      <w:r>
        <w:rPr>
          <w:rFonts w:ascii="Times New Roman" w:hAnsi="Times New Roman"/>
          <w:b/>
          <w:i/>
          <w:sz w:val="20"/>
        </w:rPr>
        <w:t>incorrect, our ability to develop our Human Clinical Trials in a Test</w:t>
      </w:r>
      <w:r>
        <w:rPr>
          <w:rFonts w:ascii="Times New Roman" w:hAnsi="Times New Roman"/>
          <w:sz w:val="20"/>
        </w:rPr>
        <w:t xml:space="preserve"> </w:t>
      </w:r>
      <w:r>
        <w:rPr>
          <w:rFonts w:ascii="Times New Roman" w:hAnsi="Times New Roman"/>
          <w:b/>
          <w:i/>
          <w:sz w:val="20"/>
        </w:rPr>
        <w:t>Tube</w:t>
      </w:r>
      <w:r>
        <w:rPr>
          <w:rFonts w:ascii="Times New Roman" w:hAnsi="Times New Roman"/>
          <w:sz w:val="20"/>
        </w:rPr>
        <w:t xml:space="preserve">TM </w:t>
      </w:r>
      <w:r>
        <w:rPr>
          <w:rFonts w:ascii="Times New Roman" w:hAnsi="Times New Roman"/>
          <w:b/>
          <w:i/>
          <w:sz w:val="20"/>
        </w:rPr>
        <w:t>platform could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use both ES Cells and iPS Cells as the basis for the continuing development of our </w:t>
      </w:r>
      <w:r>
        <w:rPr>
          <w:rFonts w:ascii="Times New Roman" w:hAnsi="Times New Roman"/>
          <w:i/>
          <w:sz w:val="20"/>
        </w:rPr>
        <w:t>Human Clinical Trials in a Test Tube</w:t>
      </w:r>
      <w:r>
        <w:rPr>
          <w:rFonts w:ascii="Times New Roman" w:hAnsi="Times New Roman"/>
          <w:sz w:val="20"/>
        </w:rPr>
        <w:t xml:space="preserve">TM platform. With respect to iPS Cells, scientists are still unsure about the clinical utility, life span, and safety of such cells, and whether such cells differ in any clinically significant ways from ES Cells. If we discover that iPS Cells will not be useful for whatever reason for our </w:t>
      </w:r>
      <w:r>
        <w:rPr>
          <w:rFonts w:ascii="Times New Roman" w:hAnsi="Times New Roman"/>
          <w:i/>
          <w:sz w:val="20"/>
        </w:rPr>
        <w:t>Human Clinical Trials in a Test Tube</w:t>
      </w:r>
      <w:r>
        <w:rPr>
          <w:rFonts w:ascii="Times New Roman" w:hAnsi="Times New Roman"/>
          <w:sz w:val="20"/>
        </w:rPr>
        <w:t xml:space="preserve">TM platform, we could be limited to using only ES Cells. This could negatively affect our ability to develop our </w:t>
      </w:r>
      <w:r>
        <w:rPr>
          <w:rFonts w:ascii="Times New Roman" w:hAnsi="Times New Roman"/>
          <w:i/>
          <w:sz w:val="20"/>
        </w:rPr>
        <w:t>Human Clinical Trials in a Test Tube</w:t>
      </w:r>
      <w:r>
        <w:rPr>
          <w:rFonts w:ascii="Times New Roman" w:hAnsi="Times New Roman"/>
          <w:sz w:val="20"/>
        </w:rPr>
        <w:t>TM platform, particularly in circumstances where it would be preferable to produce iPS Cells to reflect the effects of desired specific genetic variations.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the Regulation of Biological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Some of our products, including our or our prospective collaborators’ potential regenerative cell therapy products, may be subject to biological product regulations. During their clinical development, biological products are regulated pursuant to Investigational New Drug (“</w:t>
      </w:r>
      <w:r>
        <w:rPr>
          <w:rFonts w:ascii="Times New Roman" w:hAnsi="Times New Roman"/>
          <w:i/>
          <w:sz w:val="20"/>
        </w:rPr>
        <w:t>IND</w:t>
      </w:r>
      <w:r>
        <w:rPr>
          <w:rFonts w:ascii="Times New Roman" w:hAnsi="Times New Roman"/>
          <w:sz w:val="20"/>
        </w:rPr>
        <w:t>”) requirements. Product development and approval takes a number of years, involves the expenditure of substantial resources and is uncertain. Many biological products that appear promising ultimately do not reach the market because they cannot meet FDA or other regulatory requirements. In addition, there can be no assurance that the current regulatory framework will not change through regulatory, legislative or judicial actions or that additional regulation will not arise during our product development that may affect approval, delay the submission or review of an application, if required, or require additional expenditures by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activities required before a new biological product may be approved for marketing in the U.S. primarily begin with preclinical testing, which includes laboratory evaluation and animal studies to assess the potential safety and efficacy of the product as formulated. Results of preclinical studies are summarized in an IND application to the FDA. Human clinical trials may begin 30 days following submission of an IND application, unless the FDA requires additional time to review the application or raise questions.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Clinical testing involves the administration of the drug or biological product to healthy human volunteers or to patients under the supervision of a qualified principal investigator, usually a physician, pursuant to an FDA-reviewed protocol. Each clinical study is conducted under the auspices of an institutional review board (“</w:t>
      </w:r>
      <w:r>
        <w:rPr>
          <w:rFonts w:ascii="Times New Roman" w:hAnsi="Times New Roman"/>
          <w:i/>
          <w:sz w:val="20"/>
        </w:rPr>
        <w:t>IRB</w:t>
      </w:r>
      <w:r>
        <w:rPr>
          <w:rFonts w:ascii="Times New Roman" w:hAnsi="Times New Roman"/>
          <w:sz w:val="20"/>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consist of, primarily, testing the product’s safety in a small number of patients or healthy volunteers. In Phase II, the safety and efficacy of the product candidate is evaluated in a specific patient population. Phase III trials typically involve additional testing for safety and clinical efficacy in an expanded patient population at geographically dispersed sites. The FDA may order the temporary or permanent discontinuance of a preclinical or clinical trial at any time for a variety of reasons, particularly if safety concerns exist.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7" w:name="PGBRK27"/>
      <w:bookmarkStart w:id="298" w:name="PGBRK27"/>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FTR27"/>
      <w:bookmarkStart w:id="300" w:name="FTR27"/>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1" w:name="GLFTR27"/>
      <w:bookmarkEnd w:id="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2" w:name="PN27"/>
      <w:bookmarkEnd w:id="302"/>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3" w:name="HDR27"/>
      <w:bookmarkStart w:id="304" w:name="HDR27"/>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05" w:name="GLHDR27"/>
        <w:bookmarkEnd w:id="30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company seeking FDA approval to market a biological product must file a Biologics License Application (“</w:t>
      </w:r>
      <w:r>
        <w:rPr>
          <w:rFonts w:ascii="Times New Roman" w:hAnsi="Times New Roman"/>
          <w:i/>
          <w:sz w:val="20"/>
        </w:rPr>
        <w:t>BLA</w:t>
      </w:r>
      <w:r>
        <w:rPr>
          <w:rFonts w:ascii="Times New Roman" w:hAnsi="Times New Roman"/>
          <w:sz w:val="20"/>
        </w:rPr>
        <w:t>”). In addition to reports of the preclinical and human clinical trials conducted under the IND application, the BLA includes evidence of the product’s safety, purity, potency and efficacy, as well as manufacturing, product identification and other information. Submission of a BLA does not assure FDA approval for marketing. The application review process generally takes one to three years to complete, although reviews of drugs and biological products for life-threatening diseases may be accelerated or expedited. However, the process may take substantially longer.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FDA requires at least one and often two properly conducted, adequate and well-controlled clinical studies demonstrating efficacy with sufficient levels of statistical assurance. However, additional information may be required. Notwithstanding the submission of such data, the FDA ultimately may decide that the BLA does not satisfy the regulatory criteria for approval and not approve the application. The FDA may impose post-approval obligations, such as additional clinical tests following BLA approval to confirm safety and efficacy (Phase IV human clinical trials). The FDA may, in some circumstances, also impose restrictions on the use of the biological product that may be difficult and expensive to administer. Further, the FDA requires reporting of certain safety and other information that becomes known to a manufacturer of an approved biological product. Product approvals may be withdrawn if compliance with regulatory requirements is not maintained or if problems occur after the product reaches the market.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Prior to approving an application, the FDA will inspect the prospective manufacturer to ensure that the manufacturer conforms to the FDA’s current good manufacturing practice (“</w:t>
      </w:r>
      <w:r>
        <w:rPr>
          <w:rFonts w:ascii="Times New Roman" w:hAnsi="Times New Roman"/>
          <w:i/>
          <w:sz w:val="20"/>
        </w:rPr>
        <w:t>cGMP</w:t>
      </w:r>
      <w:r>
        <w:rPr>
          <w:rFonts w:ascii="Times New Roman" w:hAnsi="Times New Roman"/>
          <w:sz w:val="20"/>
        </w:rPr>
        <w:t>”) regulations that apply to biologics. To comply with the cGMP regulations, manufacturers must expend time, money and effort in product recordkeeping and quality control to assure that the product meets applicable specifications and other requirements. The FDA periodically inspects manufacturing facilities in the U.S. and abroad in order to assure compliance with applicable cGMP requirements. Our failure to comply with the FDA’s cGMP regulations or other FDA regulatory requirements could have a significant adverse effect on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After a product is approved for a given indication in a BLA, subsequent new indications or dosage levels for the same product are reviewed by the FDA via the filing and approval of a BLA supplement. The BLA supplement is more focused than the BLA and deals primarily with safety and effectiveness data related to the new indication or dosage. Applicants are required to comply with certain post-approval obligations, such as compliance with cGMPs.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If we fail to meet our obligations under license agreements, we may lose our rights</w:t>
      </w:r>
      <w:r>
        <w:rPr>
          <w:rFonts w:ascii="Times New Roman" w:hAnsi="Times New Roman"/>
          <w:sz w:val="20"/>
        </w:rPr>
        <w:t xml:space="preserve"> </w:t>
      </w:r>
      <w:r>
        <w:rPr>
          <w:rFonts w:ascii="Times New Roman" w:hAnsi="Times New Roman"/>
          <w:b/>
          <w:i/>
          <w:sz w:val="20"/>
        </w:rPr>
        <w:t>to key technologies on which our business depends.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depends on several critical technologies that are based in part on patents licensed from third parties. Those third-party license agreements impose obligations on us, such as payment obligations and obligations to diligently pursue development of commercial products under the licensed patents.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 If our license rights were restricted or ultimately lost, our ability to continue our business based on the affected technology would be severely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If we elect to leverage prior discovery and development of drug candidates under license arrangements with third-party pharmaceutical or biotechnology companies, or other third parties, it is uncertain what ownership rights, if any, we will obtain over intellectual</w:t>
      </w:r>
      <w:r>
        <w:rPr>
          <w:rFonts w:ascii="Times New Roman" w:hAnsi="Times New Roman"/>
          <w:sz w:val="20"/>
        </w:rPr>
        <w:t xml:space="preserve"> </w:t>
      </w:r>
      <w:r>
        <w:rPr>
          <w:rFonts w:ascii="Times New Roman" w:hAnsi="Times New Roman"/>
          <w:b/>
          <w:i/>
          <w:sz w:val="20"/>
        </w:rPr>
        <w:t>property we derive from such licenses to lead Drug Descue Variants we develop in connection with any such third-party 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instead of identifying drug candidates for our drug rescue programs based on information available to us in the public domain, we elect to negotiate and obtain licenses from pharmaceutical and biotechnology companies, or other third-parties, to drug candidates that these third-parties have discontinued in development because of unexpected heart or liver safety concerns, there can be no assurances that we will obtain ownership rights over intellectual property we derive from our licenses to the failed drug candidates or rights to Drug Rescue Variants we generate and develop as new, safer  and effective alternatives to the original failed drug candidates. If we are unable to obtain ownership rights over intellectual property related to Drug Rescue Variants we generate, or economic participation rights relating to the successful development and commercialization of such Drug Rescue Variants by potential collaborators, our business will be adversely affected.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6" w:name="PGBRK28"/>
      <w:bookmarkStart w:id="307" w:name="PGBRK28"/>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FTR28"/>
      <w:bookmarkStart w:id="309" w:name="FTR28"/>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0" w:name="GLFTR28"/>
      <w:bookmarkEnd w:id="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1" w:name="PN28"/>
      <w:bookmarkEnd w:id="311"/>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 w:name="HDR28"/>
      <w:bookmarkStart w:id="313" w:name="HDR28"/>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14" w:name="GLHDR28"/>
        <w:bookmarkEnd w:id="31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If we are not able to obtain and enforce patent protection or other commercial protection for AV-101 or our pluripotent stem cell technologies, the</w:t>
      </w:r>
      <w:r>
        <w:rPr>
          <w:rFonts w:ascii="Times New Roman" w:hAnsi="Times New Roman"/>
          <w:sz w:val="20"/>
        </w:rPr>
        <w:t xml:space="preserve"> </w:t>
      </w:r>
      <w:r>
        <w:rPr>
          <w:rFonts w:ascii="Times New Roman" w:hAnsi="Times New Roman"/>
          <w:b/>
          <w:i/>
          <w:sz w:val="20"/>
        </w:rPr>
        <w:t>value of AV-101 and our stem cell technologies and product candidates will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Commercial protection of AV-101 and our proprietary pluripotent stem cell technologies is critically important to our business. Our success will depend in large part on our ability to obtain and enforce our patents and maintain trade secrets, both in the U.S. and in other countries, and, with respect to AV-101, secure New Drug Product Exclusivity provided by the FDA under section 505(c)(3)(E) and 505(j)(5)(F) of the Federal Food, Drug, and Cosmetic Act.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 patents may not be granted, and our existing U.S. and foreign patents might not provide us with commercial benefit or might be infringed upon, invalidated or circumvented by others. In addition, the availability of patents in foreign markets, and the nature of any protection against competition that may be afforded by those patents, is often difficult to predict and vary significantly from country to country. With respect to AV-101. the principle U.S. method of use patent and its foreign counterparts have expired.  Although recently we have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patent positions of pharmaceutical and biopharmaceutical companies, including ours, are highly uncertain and involve complex legal and technical questions. In particular, legal principles for biotechnology patents in the U.S. and in other countries are evolving, and the extent to which we will be able to obtain patent coverage to protect our technology, or enforce issued patents, is uncertain.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example,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ES Cells. However, this broad interpretation is being challenged through the European Patent Office appeals system. As a result, we do not yet know whether or to what extent we will be able to obtain European patent protection for our proprietary ES Cell-based technology and systems.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Where several parties seek U.S. patent protection for the same technology, the U.S. Patent and Trademark Office (“</w:t>
      </w:r>
      <w:r>
        <w:rPr>
          <w:rFonts w:ascii="Times New Roman" w:hAnsi="Times New Roman"/>
          <w:i/>
          <w:sz w:val="20"/>
        </w:rPr>
        <w:t>U.S. PTO</w:t>
      </w:r>
      <w:r>
        <w:rPr>
          <w:rFonts w:ascii="Times New Roman" w:hAnsi="Times New Roman"/>
          <w:sz w:val="20"/>
        </w:rPr>
        <w:t>”)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ES Cells, the number of patent filings by such groups and therefore the risk of our patents or applications being drawn into interference proceedings may increase. The interference process can also be used to challenge a patent that has been issued to another party.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Outside of the U.S., certain jurisdictions, such as Europe, Japan, New Zealand and Australia, permit oppositions to be filed against the granting of patents. Because our intent is to commercialize our products internationally, securing both proprietary protection and freedom to operate outside of the U.S. is important to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5" w:name="PGBRK29"/>
      <w:bookmarkStart w:id="316" w:name="PGBRK29"/>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7" w:name="FTR29"/>
      <w:bookmarkStart w:id="318" w:name="FTR29"/>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9" w:name="GLFTR29"/>
      <w:bookmarkEnd w:id="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0" w:name="PN29"/>
      <w:bookmarkEnd w:id="320"/>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1" w:name="HDR29"/>
      <w:bookmarkStart w:id="322" w:name="HDR29"/>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3" w:name="GLHDR29"/>
        <w:bookmarkEnd w:id="3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Successful challenges to our patents through interference, opposition or re-examination proceedings could result in a loss of patent rights in the relevant jurisdiction(s). As more groups become engaged in scientific research and product development areas of hES Cells,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confidentiality agreements that are designed to protect our trade secrets could be breached, and we might not have adequate remedies for the breach. Additionally, our trade secrets and proprietary know-how might otherwise become known or be independently discovered by others, all of which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have to engage in costly litigation to enforce or protect our proprietary</w:t>
      </w:r>
      <w:r>
        <w:rPr>
          <w:rFonts w:ascii="Times New Roman" w:hAnsi="Times New Roman"/>
          <w:sz w:val="20"/>
        </w:rPr>
        <w:t xml:space="preserve"> </w:t>
      </w:r>
      <w:r>
        <w:rPr>
          <w:rFonts w:ascii="Times New Roman" w:hAnsi="Times New Roman"/>
          <w:b/>
          <w:i/>
          <w:sz w:val="20"/>
        </w:rPr>
        <w:t>technology, particularly our pluripotent stem cell technology and human heart and liver cell-based bioassay systems, or to defend</w:t>
      </w:r>
      <w:r>
        <w:rPr>
          <w:rFonts w:ascii="Times New Roman" w:hAnsi="Times New Roman"/>
          <w:sz w:val="20"/>
        </w:rPr>
        <w:t xml:space="preserve"> </w:t>
      </w:r>
      <w:r>
        <w:rPr>
          <w:rFonts w:ascii="Times New Roman" w:hAnsi="Times New Roman"/>
          <w:b/>
          <w:i/>
          <w:sz w:val="20"/>
        </w:rPr>
        <w:t>challenges to our proprietary technology by our competitors, which may harm our</w:t>
      </w:r>
      <w:r>
        <w:rPr>
          <w:rFonts w:ascii="Times New Roman" w:hAnsi="Times New Roman"/>
          <w:sz w:val="20"/>
        </w:rPr>
        <w:t xml:space="preserve"> </w:t>
      </w:r>
      <w:r>
        <w:rPr>
          <w:rFonts w:ascii="Times New Roman" w:hAnsi="Times New Roman"/>
          <w:b/>
          <w:i/>
          <w:sz w:val="20"/>
        </w:rPr>
        <w:t>business, results of operations, financial condition and cash flow.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Litigation may be necessary to protect our proprietary rights, especially our rights to our pluripotent stem cell technology and human heart and liver cell-based bioassay systems. Such litigation is expensive and would divert material resources and the time and attention of our management. We cannot be certain that we will have the required resources to pursue litigation or otherwise to protect our proprietary rights. In the event that we are unsuccessful in obtaining and enforcing patents, our business would be negatively impacted and th price of our Common Stock could decline. Further, our patents may be challenged, invalidated or circumvented, and our patent rights may not provide proprietary protection or competitive advantages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Patent litigation may also be necessary to enforce patents issued or licensed to us or to determine the scope and validity of our proprietary rights or the proprietary rights of others. We may not be successful in any patent litigation. An adverse outcome in a patent litigation, patent opposition, patent interference, or any other proceeding in a court or patent office could subject our business to significant liabilities to other parties, require disputed rights to be licensed from other parties or require us to cease using the disputed technology, any of which could severely harm our business and could cause the price of our Common Stock to decline.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be subject to litigation that will be costly to defend or pursue and uncertain</w:t>
      </w:r>
      <w:r>
        <w:rPr>
          <w:rFonts w:ascii="Times New Roman" w:hAnsi="Times New Roman"/>
          <w:sz w:val="20"/>
        </w:rPr>
        <w:t xml:space="preserve"> </w:t>
      </w:r>
      <w:r>
        <w:rPr>
          <w:rFonts w:ascii="Times New Roman" w:hAnsi="Times New Roman"/>
          <w:b/>
          <w:i/>
          <w:sz w:val="20"/>
        </w:rPr>
        <w:t>in its outcome.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may bring us into conflict with our institutional investors, licensees, licensors, or others with whom we have contractual or other business relationships, or with our competitors or others whose interests differ from ours. If we are unable to resolve such conflicts on terms that are satisfactory to all parties, we may become involved in litigation brought by or against us. Any such litigation is likely to be expensive and may require a significant amount of management’s time and attention, at the expense of other aspects of our business. The outcome of litigation is always uncertain, and in some cases could include judgments against us that require us to pay damages, enjoin us from certain activities, or otherwise affect our legal or contractual rights, which could have a significant adverse effect on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Much of the information and know-how that is critical to our business is not</w:t>
      </w:r>
      <w:r>
        <w:rPr>
          <w:rFonts w:ascii="Times New Roman" w:hAnsi="Times New Roman"/>
          <w:sz w:val="20"/>
        </w:rPr>
        <w:t xml:space="preserve"> </w:t>
      </w:r>
      <w:r>
        <w:rPr>
          <w:rFonts w:ascii="Times New Roman" w:hAnsi="Times New Roman"/>
          <w:b/>
          <w:i/>
          <w:sz w:val="20"/>
        </w:rPr>
        <w:t>patentable and we may not be able to prevent others from obtaining this information</w:t>
      </w:r>
      <w:r>
        <w:rPr>
          <w:rFonts w:ascii="Times New Roman" w:hAnsi="Times New Roman"/>
          <w:sz w:val="20"/>
        </w:rPr>
        <w:t xml:space="preserve"> </w:t>
      </w:r>
      <w:r>
        <w:rPr>
          <w:rFonts w:ascii="Times New Roman" w:hAnsi="Times New Roman"/>
          <w:b/>
          <w:i/>
          <w:sz w:val="20"/>
        </w:rPr>
        <w:t>and establishing competitive enterprises.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rely, in significant part, on trade secrets to protect our proprietary technologies, especially in circumstances that we believe patent protection is not appropriate or available. We attempt to protect our proprietary technologies in part by confidentiality agreements with our advisors, collaborators, consultants, contractors and employees. We cannot assure you that these agreements will not be breached, that we would have adequate remedies for any breach, or that our trade secrets will not otherwise become known or be independently discovered by competitors, any of which would harm our business significantly.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30"/>
      <w:bookmarkStart w:id="325" w:name="PGBRK30"/>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30"/>
      <w:bookmarkStart w:id="327" w:name="FTR30"/>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8" w:name="GLFTR30"/>
      <w:bookmarkEnd w:id="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9" w:name="PN30"/>
      <w:bookmarkEnd w:id="329"/>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 w:name="HDR30"/>
      <w:bookmarkStart w:id="331" w:name="HDR30"/>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32" w:name="GLHDR30"/>
        <w:bookmarkEnd w:id="3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may be subject to infringement claims that are costly to defend, and which may</w:t>
      </w:r>
      <w:r>
        <w:rPr>
          <w:rFonts w:ascii="Times New Roman" w:hAnsi="Times New Roman"/>
          <w:sz w:val="20"/>
        </w:rPr>
        <w:t xml:space="preserve"> </w:t>
      </w:r>
      <w:r>
        <w:rPr>
          <w:rFonts w:ascii="Times New Roman" w:hAnsi="Times New Roman"/>
          <w:b/>
          <w:i/>
          <w:sz w:val="20"/>
        </w:rPr>
        <w:t>limit our ability to use disputed technologies and prevents us from pursuing research</w:t>
      </w:r>
      <w:r>
        <w:rPr>
          <w:rFonts w:ascii="Times New Roman" w:hAnsi="Times New Roman"/>
          <w:sz w:val="20"/>
        </w:rPr>
        <w:t xml:space="preserve"> </w:t>
      </w:r>
      <w:r>
        <w:rPr>
          <w:rFonts w:ascii="Times New Roman" w:hAnsi="Times New Roman"/>
          <w:b/>
          <w:i/>
          <w:sz w:val="20"/>
        </w:rPr>
        <w:t>and development or commercialization of potential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commercial success depends significantly on our ability to operate without infringing patents and the proprietary rights of others. Our technologies may infringe on the patents or proprietary rights of others. In addition, we may become aware of discoveries and technology controlled by third parties that are advantageous to our programs. In the event our technologies infringe the rights of others or we require the use of discoveries and technologies controlled by third parties, we may be prevented from pursuing research, development or commercialization of potential products or may be required to obtain licenses to those patents or other proprietary rights or develop or obtain alternative technologies. We have obtained licenses from several universities and companies for technologies that we anticipate incorporating into our </w:t>
      </w:r>
      <w:r>
        <w:rPr>
          <w:rFonts w:ascii="Times New Roman" w:hAnsi="Times New Roman"/>
          <w:i/>
          <w:sz w:val="20"/>
        </w:rPr>
        <w:t>Human Clinical Trials in a Test Tube</w:t>
      </w:r>
      <w:r>
        <w:rPr>
          <w:rFonts w:ascii="Times New Roman" w:hAnsi="Times New Roman"/>
          <w:sz w:val="20"/>
        </w:rPr>
        <w:t>TM platform.  We may not be able to obtain a license to patented technology on commercially favorable terms, or at all. If we do not obtain a necessary license, we may need to redesign our technologies or obtain rights to alternate technologies, the research and adoption of which could cause delays in product development. In cases where we are unable to license necessary technologies, we could be prevented from developing certain potential products. Our failure to obtain alternative technologies or a license to any technology that we may require to research, develop or commercialize our product candidates would significantly and negatively affect our business and the price of our Common Stock could decline.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Development, Clinical Testing and Regulatory Approval of Drug Rescue Variants and other Drug Candidates, Biologic Candidates and Regenerative Cell Therapy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have limited experience as a corporation conducting clinical trials, or in other</w:t>
      </w:r>
      <w:r>
        <w:rPr>
          <w:rFonts w:ascii="Times New Roman" w:hAnsi="Times New Roman"/>
          <w:sz w:val="20"/>
        </w:rPr>
        <w:t xml:space="preserve"> </w:t>
      </w:r>
      <w:r>
        <w:rPr>
          <w:rFonts w:ascii="Times New Roman" w:hAnsi="Times New Roman"/>
          <w:b/>
          <w:i/>
          <w:sz w:val="20"/>
        </w:rPr>
        <w:t>areas required for the successful commercialization and marketing of Drug Rescue Variants and other drug candidates, biologic candidates or regenerative cell therapy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need to receive regulatory approval for any product candidate before it may be marketed and distributed. Such approval will require, among other things, completing carefully controlled and well-designed clinical trials demonstrating the safety and efficacy of each product candidate. This process is lengthy, expensive and uncertain. As a company, we have limited experience in conducting clinical trials. Such trials will require additional financial and management resources, collaborators with the requisite clinical experience or reliance on third party clinical investigators, contract research organizations and consultants. Relying on third parties may force us to encounter delays that are outside of our control, which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do not currently have marketing and distribution capabilities for product candidates. Developing an internal sales and distribution capability would be an expensive and time-consuming process. To market and distribute any Drug Rescue Variant and other drug candidate, biologic candidate or regenerative cell therapy product candidate we develop, we plan to enter into strategic a agreement with a third-party collaborator that would be responsible for marketing and distribution. However, these third-party collaborators may not be capable of successfully selling any of our product candidates.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Because we and our collaborators must complete lengthy and complex development and</w:t>
      </w:r>
      <w:r>
        <w:rPr>
          <w:rFonts w:ascii="Times New Roman" w:hAnsi="Times New Roman"/>
          <w:sz w:val="20"/>
        </w:rPr>
        <w:t xml:space="preserve"> </w:t>
      </w:r>
      <w:r>
        <w:rPr>
          <w:rFonts w:ascii="Times New Roman" w:hAnsi="Times New Roman"/>
          <w:b/>
          <w:i/>
          <w:sz w:val="20"/>
        </w:rPr>
        <w:t>regulatory approval processes required to market drug products in the U.S.</w:t>
      </w:r>
      <w:r>
        <w:rPr>
          <w:rFonts w:ascii="Times New Roman" w:hAnsi="Times New Roman"/>
          <w:sz w:val="20"/>
        </w:rPr>
        <w:t xml:space="preserve"> </w:t>
      </w:r>
      <w:r>
        <w:rPr>
          <w:rFonts w:ascii="Times New Roman" w:hAnsi="Times New Roman"/>
          <w:b/>
          <w:i/>
          <w:sz w:val="20"/>
        </w:rPr>
        <w:t>and other countries, we cannot predict whether or when we or our collaborators will</w:t>
      </w:r>
      <w:r>
        <w:rPr>
          <w:rFonts w:ascii="Times New Roman" w:hAnsi="Times New Roman"/>
          <w:sz w:val="20"/>
        </w:rPr>
        <w:t xml:space="preserve"> </w:t>
      </w:r>
      <w:r>
        <w:rPr>
          <w:rFonts w:ascii="Times New Roman" w:hAnsi="Times New Roman"/>
          <w:b/>
          <w:i/>
          <w:sz w:val="20"/>
        </w:rPr>
        <w:t>be permitted to commercialize Drug Rescue Variants or other drug candidates, biologic candidates or regenerative cell therapy product candidates to which</w:t>
      </w:r>
      <w:r>
        <w:rPr>
          <w:rFonts w:ascii="Times New Roman" w:hAnsi="Times New Roman"/>
          <w:sz w:val="20"/>
        </w:rPr>
        <w:t xml:space="preserve"> </w:t>
      </w:r>
      <w:r>
        <w:rPr>
          <w:rFonts w:ascii="Times New Roman" w:hAnsi="Times New Roman"/>
          <w:b/>
          <w:i/>
          <w:sz w:val="20"/>
        </w:rPr>
        <w:t>we have commercial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Federal, state and local governments in the U.S. and governments in other countries have significant regulations in place that govern many of our activities and may prevent us from creating commercially viable products derived from our drug rescue, drug development and regenerative cell therapy programs.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3" w:name="PGBRK31"/>
      <w:bookmarkStart w:id="334" w:name="PGBRK31"/>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5" w:name="FTR31"/>
      <w:bookmarkStart w:id="336" w:name="FTR31"/>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7" w:name="GLFTR31"/>
      <w:bookmarkEnd w:id="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8" w:name="PN31"/>
      <w:bookmarkEnd w:id="338"/>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9" w:name="HDR31"/>
      <w:bookmarkStart w:id="340" w:name="HDR31"/>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41" w:name="GLHDR31"/>
        <w:bookmarkEnd w:id="34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The regulatory process, particularly for drug and biologic candidates, is uncertain, can take many years and requires the expenditure of substantial resources. Any Drug Rescue Variant or other drug candidate, biologic candidate or regenerative cell therapy product candidate that we or our collaborators develop must receive all relevant regulatory agency approvals before it may be marketed in the U.S. or other countries. Biological drugs and non-biological drugs are rigorously regulated. In particular, human pharmaceutical therapeutic product candidates are subject to rigorous preclinical and clinical testing and other requirements by the FDA in the U.S. and similar health authorities in other countries in order to demonstrate safety and efficacy. Because any Drug Rescue Variant or other drug candidate, biologic candidate or regenerative cell therapy product candidate we develop, or collaborate with others to develop, are expected to involve the application of new technologies or are based upon new therapeutic approaches, they may be subject to substantial additional review by various government regulatory authorities, and, as a result, the process of obtaining regulatory approvals for them may proceed more slowly than for drug or biologic candidates based upon more conventional technologies. We may never obtain regulatory approval to market a Drug Rescue Variant or other drug candidate, biologic candidate or regenerative cell therapy product candidate.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Data obtained from preclinical and clinical activities is susceptible to varying interpretations that could delay, limit or prevent regulatory agency approvals. In addition, delays or rejections may be encountered as a result of changes in regulatory agency policy during the period of product development and/or the period of review of any application for regulatory agency approval for a drug or biologic candidate. Delays in obtaining regulatory agency approvals could significantly harm the marketing of any product that we or our collaborators develop, impose costly procedures upon our activities or the activities of our collaborators, diminish any competitive advantages that we or our collaborators may attain, or adversely affect our ability to receive royalties and generate revenues and profits.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we obtain regulatory agency approval for a new drug, biologic or regenerative cell therapy product, this approval may entail limitations on the indicated uses for which it can be marketed that could limit the potential commercial use of the product. Additionally, approved products and their manufacturers are subject to continual review, and discovery of previously unknown problems with a product or its manufacturer may result in restrictions on the product or manufacturer, including withdrawal of the product from the market. The sale by us or our collaborators of any commercially viable product will be subject to government regulation from several standpoints, including the processes of manufacturing, advertising and promoting, selling and marketing, labeling and distribution. Failure to comply with regulatory requirements can result in severe civil and criminal penalties, including but not limited to product recall or seizure, injunction against product manufacture, distribution, sales and marketing and criminal prosecution. The imposition of any of these penalties could significantly impair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Entry into clinical trials with one or more drug candidates, biologic candidates or regenerative cell therapy product candidates may not result in any</w:t>
      </w:r>
      <w:r>
        <w:rPr>
          <w:rFonts w:ascii="Times New Roman" w:hAnsi="Times New Roman"/>
          <w:sz w:val="20"/>
        </w:rPr>
        <w:t xml:space="preserve"> </w:t>
      </w:r>
      <w:r>
        <w:rPr>
          <w:rFonts w:ascii="Times New Roman" w:hAnsi="Times New Roman"/>
          <w:b/>
          <w:i/>
          <w:sz w:val="20"/>
        </w:rPr>
        <w:t>commercially viable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may never generate revenues from product sales because of a variety of risks inherent in our business, including the following risks: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5"/>
        <w:gridCol w:w="9650"/>
      </w:tblGrid>
      <w:tr>
        <w:trPr/>
        <w:tc>
          <w:tcPr>
            <w:tcW w:w="555" w:type="dxa"/>
            <w:tcBorders/>
            <w:shd w:fill="auto" w:val="clear"/>
          </w:tcPr>
          <w:p>
            <w:pPr>
              <w:pStyle w:val="TableContents"/>
              <w:spacing w:before="0" w:after="0"/>
              <w:ind w:left="0" w:right="0" w:hanging="0"/>
              <w:jc w:val="center"/>
              <w:rPr/>
            </w:pPr>
            <w:r>
              <w:rPr/>
              <w:t>•</w:t>
            </w:r>
          </w:p>
        </w:tc>
        <w:tc>
          <w:tcPr>
            <w:tcW w:w="96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clinical trials may not demonstrate the safety and efficacy of our Drug Rescue Variants or other drug candidates, biologic candidates or regenerative cell therapy product candidates;;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8"/>
        <w:gridCol w:w="9647"/>
      </w:tblGrid>
      <w:tr>
        <w:trPr/>
        <w:tc>
          <w:tcPr>
            <w:tcW w:w="558" w:type="dxa"/>
            <w:tcBorders/>
            <w:shd w:fill="auto" w:val="clear"/>
          </w:tcPr>
          <w:p>
            <w:pPr>
              <w:pStyle w:val="TableContents"/>
              <w:spacing w:before="0" w:after="0"/>
              <w:ind w:left="0" w:right="0" w:hanging="0"/>
              <w:jc w:val="center"/>
              <w:rPr/>
            </w:pPr>
            <w:r>
              <w:rPr/>
              <w:t>•</w:t>
            </w:r>
          </w:p>
        </w:tc>
        <w:tc>
          <w:tcPr>
            <w:tcW w:w="96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completion of clinical trials may be delayed, or costs of clinical trials may exceed anticipated amounts;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5"/>
        <w:gridCol w:w="9650"/>
      </w:tblGrid>
      <w:tr>
        <w:trPr/>
        <w:tc>
          <w:tcPr>
            <w:tcW w:w="555" w:type="dxa"/>
            <w:tcBorders/>
            <w:shd w:fill="auto" w:val="clear"/>
          </w:tcPr>
          <w:p>
            <w:pPr>
              <w:pStyle w:val="TableContents"/>
              <w:spacing w:before="0" w:after="0"/>
              <w:ind w:left="0" w:right="0" w:hanging="0"/>
              <w:jc w:val="center"/>
              <w:rPr/>
            </w:pPr>
            <w:r>
              <w:rPr/>
              <w:t>•</w:t>
            </w:r>
          </w:p>
        </w:tc>
        <w:tc>
          <w:tcPr>
            <w:tcW w:w="96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may not be able to obtain regulatory approval of our Drug Rescue Variants or other drug candidates, biologic candidates or regenerative cell therapy product candidates; or may experience delays in obtaining such approval;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ind w:left="0" w:right="0" w:hanging="0"/>
              <w:jc w:val="center"/>
              <w:rPr/>
            </w:pPr>
            <w:r>
              <w:rPr/>
              <w:t>•</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may not be able to manufacture our Drug Rescue Variants or other drug candidates, biologic candidates or regenerative cell therapy product candidates economically on a commercial scale;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5"/>
        <w:gridCol w:w="9650"/>
      </w:tblGrid>
      <w:tr>
        <w:trPr/>
        <w:tc>
          <w:tcPr>
            <w:tcW w:w="555" w:type="dxa"/>
            <w:tcBorders/>
            <w:shd w:fill="auto" w:val="clear"/>
          </w:tcPr>
          <w:p>
            <w:pPr>
              <w:pStyle w:val="TableContents"/>
              <w:spacing w:before="0" w:after="0"/>
              <w:ind w:left="0" w:right="0" w:hanging="0"/>
              <w:jc w:val="center"/>
              <w:rPr/>
            </w:pPr>
            <w:r>
              <w:rPr/>
              <w:t>•</w:t>
            </w:r>
          </w:p>
        </w:tc>
        <w:tc>
          <w:tcPr>
            <w:tcW w:w="96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and any licensees of ours may not be able to successfully market our Drug Rescue Variants or other drug candidates, biologic candidates or regenerative cell therapy product candidates;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5"/>
        <w:gridCol w:w="9650"/>
      </w:tblGrid>
      <w:tr>
        <w:trPr/>
        <w:tc>
          <w:tcPr>
            <w:tcW w:w="555" w:type="dxa"/>
            <w:tcBorders/>
            <w:shd w:fill="auto" w:val="clear"/>
          </w:tcPr>
          <w:p>
            <w:pPr>
              <w:pStyle w:val="TableContents"/>
              <w:spacing w:before="0" w:after="0"/>
              <w:ind w:left="0" w:right="0" w:hanging="0"/>
              <w:jc w:val="center"/>
              <w:rPr/>
            </w:pPr>
            <w:r>
              <w:rPr/>
              <w:t>•</w:t>
            </w:r>
          </w:p>
        </w:tc>
        <w:tc>
          <w:tcPr>
            <w:tcW w:w="96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physicians may not prescribe our products, or patients or third party payors may not accept our Drug Rescue Variants or other drug candidates, biologic candidates or regenerative cell therapy product candidates;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5"/>
        <w:gridCol w:w="9650"/>
      </w:tblGrid>
      <w:tr>
        <w:trPr/>
        <w:tc>
          <w:tcPr>
            <w:tcW w:w="555" w:type="dxa"/>
            <w:tcBorders/>
            <w:shd w:fill="auto" w:val="clear"/>
          </w:tcPr>
          <w:p>
            <w:pPr>
              <w:pStyle w:val="TableContents"/>
              <w:spacing w:before="0" w:after="0"/>
              <w:ind w:left="0" w:right="0" w:hanging="0"/>
              <w:jc w:val="center"/>
              <w:rPr/>
            </w:pPr>
            <w:r>
              <w:rPr/>
              <w:t>•</w:t>
            </w:r>
          </w:p>
        </w:tc>
        <w:tc>
          <w:tcPr>
            <w:tcW w:w="96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others may have proprietary rights which prevent us from marketing our Drug Rescue Variants or other drug candidates, biologic candidates or regenerative cell therapy product candidates;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ind w:left="0" w:right="0" w:hanging="0"/>
              <w:jc w:val="center"/>
              <w:rPr/>
            </w:pPr>
            <w:r>
              <w:rPr/>
              <w:t>•</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competitors may sell similar, superior or lower-cost products.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42" w:name="PGBRK32"/>
      <w:bookmarkStart w:id="343" w:name="PGBRK32"/>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44" w:name="FTR32"/>
      <w:bookmarkStart w:id="345" w:name="FTR32"/>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46" w:name="GLFTR32"/>
      <w:bookmarkEnd w:id="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7" w:name="PN32"/>
      <w:bookmarkEnd w:id="347"/>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48" w:name="HDR32"/>
      <w:bookmarkStart w:id="349" w:name="HDR32"/>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350" w:name="GLHDR32"/>
        <w:bookmarkEnd w:id="3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To be successful, our Drug Rescue Variants, drug candidates, biologic candidates and regenerative cell therapy product candidates must be accepted by the healthcare</w:t>
      </w:r>
      <w:r>
        <w:rPr>
          <w:rFonts w:ascii="Times New Roman" w:hAnsi="Times New Roman"/>
          <w:sz w:val="20"/>
        </w:rPr>
        <w:t xml:space="preserve"> </w:t>
      </w:r>
      <w:r>
        <w:rPr>
          <w:rFonts w:ascii="Times New Roman" w:hAnsi="Times New Roman"/>
          <w:b/>
          <w:i/>
          <w:sz w:val="20"/>
        </w:rPr>
        <w:t>community, which can be very slow to adopt or unreceptive to new technologies and</w:t>
      </w:r>
      <w:r>
        <w:rPr>
          <w:rFonts w:ascii="Times New Roman" w:hAnsi="Times New Roman"/>
          <w:sz w:val="20"/>
        </w:rPr>
        <w:t xml:space="preserve"> </w:t>
      </w:r>
      <w:r>
        <w:rPr>
          <w:rFonts w:ascii="Times New Roman" w:hAnsi="Times New Roman"/>
          <w:b/>
          <w:i/>
          <w:sz w:val="20"/>
        </w:rPr>
        <w:t>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Drug Rescue Variants, drug candidates, biologic candidates and regenerative cell therapy product candidates, if developed and approved for marketing, may not achieve market acceptance because hospitals, physicians, patients or the medical community in general may decide not to accept and utilize these products. The Drug Rescue Variants, drug candidates, biologic candidates and regenerative cell therapy product candidates that we may attempt to develop may represent substantial departures from established treatment methods and will compete with a number of conventional drugs and therapies manufactured and marketed by major pharmaceutical and biotechnology companies. The degree of market acceptance of any of our product candidates will depend on a number of factors,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tcPr>
          <w:p>
            <w:pPr>
              <w:pStyle w:val="TableContents"/>
              <w:spacing w:before="0" w:after="0"/>
              <w:ind w:left="0" w:right="0" w:hanging="0"/>
              <w:jc w:val="center"/>
              <w:rPr/>
            </w:pPr>
            <w:r>
              <w:rPr/>
              <w:t>•</w:t>
            </w:r>
          </w:p>
        </w:tc>
        <w:tc>
          <w:tcPr>
            <w:tcW w:w="95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establishment and demonstration to the medical community of the clinical efficacy and safety of our Drug Rescue Variants, drug candidates, biologic candidates and regenerative cell therapy product candidates;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0" w:hanging="0"/>
              <w:jc w:val="center"/>
              <w:rPr/>
            </w:pPr>
            <w:r>
              <w:rPr/>
              <w:t>•</w:t>
            </w:r>
          </w:p>
        </w:tc>
        <w:tc>
          <w:tcPr>
            <w:tcW w:w="95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create product candidates that are superior to alternatives currently on the market;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8"/>
        <w:gridCol w:w="9597"/>
      </w:tblGrid>
      <w:tr>
        <w:trPr/>
        <w:tc>
          <w:tcPr>
            <w:tcW w:w="608" w:type="dxa"/>
            <w:tcBorders/>
            <w:shd w:fill="auto" w:val="clear"/>
          </w:tcPr>
          <w:p>
            <w:pPr>
              <w:pStyle w:val="TableContents"/>
              <w:spacing w:before="0" w:after="0"/>
              <w:ind w:left="0" w:right="0" w:hanging="0"/>
              <w:jc w:val="center"/>
              <w:rPr/>
            </w:pPr>
            <w:r>
              <w:rPr/>
              <w:t>•</w:t>
            </w:r>
          </w:p>
        </w:tc>
        <w:tc>
          <w:tcPr>
            <w:tcW w:w="95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establish in the medical community the potential advantage of our treatments over alternative treatment methods;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tcPr>
          <w:p>
            <w:pPr>
              <w:pStyle w:val="TableContents"/>
              <w:spacing w:before="0" w:after="0"/>
              <w:ind w:left="0" w:right="0" w:hanging="0"/>
              <w:jc w:val="center"/>
              <w:rPr/>
            </w:pPr>
            <w:r>
              <w:rPr/>
              <w:t>•</w:t>
            </w:r>
          </w:p>
        </w:tc>
        <w:tc>
          <w:tcPr>
            <w:tcW w:w="95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reimbursement policies of government and third-party payors.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healthcare community does not accept our developed Drug Rescue Variants, drug candidates, biologic candidates or  regenerative cell therapy product candidates for any of the foregoing reasons, or for any other reason, our business would be materially harmed.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Dependence on Third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reliance on the activities of our non-employee advisors, consultants, research</w:t>
      </w:r>
      <w:r>
        <w:rPr>
          <w:rFonts w:ascii="Times New Roman" w:hAnsi="Times New Roman"/>
          <w:sz w:val="20"/>
        </w:rPr>
        <w:t xml:space="preserve"> </w:t>
      </w:r>
      <w:r>
        <w:rPr>
          <w:rFonts w:ascii="Times New Roman" w:hAnsi="Times New Roman"/>
          <w:b/>
          <w:i/>
          <w:sz w:val="20"/>
        </w:rPr>
        <w:t>institutions and scientific contractors, whose activities are not wholly within our</w:t>
      </w:r>
      <w:r>
        <w:rPr>
          <w:rFonts w:ascii="Times New Roman" w:hAnsi="Times New Roman"/>
          <w:sz w:val="20"/>
        </w:rPr>
        <w:t xml:space="preserve"> </w:t>
      </w:r>
      <w:r>
        <w:rPr>
          <w:rFonts w:ascii="Times New Roman" w:hAnsi="Times New Roman"/>
          <w:b/>
          <w:i/>
          <w:sz w:val="20"/>
        </w:rPr>
        <w:t>control, may lead to delays in development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rely upon and have relationships with scientific consultants at academic and other institutions, some of whom conduct research at our request, and other advisors, including former pharmaceutical company executives, contractors and consultants with expertise in drug discovery, drug development, medicinal chemistry, regulatory strategy, corporate development or other matters. These parties are not our employees and may have commitments to, or consulting or advisory contracts with, other entities that may limit their availability to us. We have limited control over the activities of our advisors, consultants and contractors and, except as otherwise required by our collaboration and consulting agreements, can expect only limited amounts of their time to be dedicated to our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we have formed, and anticipate forming additional, sponsored research collaborations with academic and other research institutions throughout the world. We are highly dependent on these sponsored research collaborations for the development of our intellectual property. These research facilities may have commitments to other commercial and non-commercial entities. There can also be no assurances that any intellectual property will be created from our sponsored research collaborations and, even if it is created, that the intellectual property will have any value or application to our business. We have limited control over the operations of these laboratories and can expect only limited amounts of their time to be dedicated to our research goals.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any third party with whom we have or enter into a relationship is unable or refuses to contribute to projects on which we need their help, our ability to advance our technologies and develop our product candidates could be significantly harmed.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1" w:name="PGBRK33"/>
      <w:bookmarkStart w:id="352" w:name="PGBRK33"/>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3" w:name="FTR33"/>
      <w:bookmarkStart w:id="354" w:name="FTR33"/>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5" w:name="GLFTR33"/>
      <w:bookmarkEnd w:id="3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6" w:name="PN33"/>
      <w:bookmarkEnd w:id="356"/>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HDR33"/>
      <w:bookmarkStart w:id="358" w:name="HDR33"/>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59" w:name="GLHDR33"/>
        <w:bookmarkEnd w:id="35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stem cell technology-based drug rescue business model involves reliance on strategic collaborations with third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stem cell technology-based business model contemplates making arrangements with third parties: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0" w:hanging="0"/>
              <w:jc w:val="center"/>
              <w:rPr/>
            </w:pPr>
            <w:r>
              <w:rPr/>
              <w:t>•</w:t>
            </w:r>
          </w:p>
        </w:tc>
        <w:tc>
          <w:tcPr>
            <w:tcW w:w="95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identify, in the public domain or elsewhere, and access failed drug candidates to rescue and develop;</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tcPr>
          <w:p>
            <w:pPr>
              <w:pStyle w:val="TableContents"/>
              <w:spacing w:before="0" w:after="0"/>
              <w:ind w:left="0" w:right="0" w:hanging="0"/>
              <w:jc w:val="center"/>
              <w:rPr/>
            </w:pPr>
            <w:r>
              <w:rPr/>
              <w:t>•</w:t>
            </w:r>
          </w:p>
        </w:tc>
        <w:tc>
          <w:tcPr>
            <w:tcW w:w="95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license lead Drug Rescue Variants that we develop;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tcPr>
          <w:p>
            <w:pPr>
              <w:pStyle w:val="TableContents"/>
              <w:spacing w:before="0" w:after="0"/>
              <w:ind w:left="0" w:right="0" w:hanging="0"/>
              <w:jc w:val="center"/>
              <w:rPr/>
            </w:pPr>
            <w:r>
              <w:rPr/>
              <w:t>•</w:t>
            </w:r>
          </w:p>
        </w:tc>
        <w:tc>
          <w:tcPr>
            <w:tcW w:w="95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perform stem cell research and development and supply contract services, such as medicinal chemistry, that is our key to our future success.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key component of our strategy is developing a “drug rescue ecosystem” by entering into collaborative arrangements with pharmaceutical and biotechnology companies, academic institutions, contract research and development and regulatory service organizations  and others for certain aspects of ourresearch and development programs. There can be no assurance, however, that we will be able to maintain our current collaborations or establish additional collaborations on favorable terms, if at all, or that our current or future collaborative arrangements will be successful.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Should any collaborator fail to develop or commercialize successfully any Drug Rescue Variant, drug candidate or biologic candidate to which it has rights from us, or any of the collaborator’s drug candidate or biologic candidate to which we may have rights, our business may be adversely affected. In addition, while we believe that collaborators will have sufficient economic motivation to continue their funding, there can be no assurance that any of these collaborations will be continued or result in successfully commercialized product candidates. Failure of a collaborator to continue funding any particular program, or our inability to provide our collaborator with required funding, could delay or halt the development or commercialization of any technology or product candidates arising out of such programs. In addition, there can be no assurance that the collaborators will not pursue alternative technologies, change strategy, re-allocate resources, terminate our agreement, develop alternative product candidates either on their own or in collaboration with others, including our competitors.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a conflict of interest arises between us and one or more of our collaborators, they may act in their own self-interest and not in our interest or in the interest of our shareholders. Some of our collaborators are conducting, and any of our future collaborators may conduct, multiple product candidate development efforts within the disease area that is the subject of collaboration with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Given these risks, our current and future collaborative efforts with third parties may not be successful. Failure of these efforts could require us to devote additional internal resources to the activities currently performed, or to be performed, by third parties, to seek alternative third-party collaborators, or to delay product candidate development or commercialization, which could have a material adverse effect on our business, financial conditions or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depend on key scientific and management personnel and collaborators for the</w:t>
      </w:r>
      <w:r>
        <w:rPr>
          <w:rFonts w:ascii="Times New Roman" w:hAnsi="Times New Roman"/>
          <w:sz w:val="20"/>
        </w:rPr>
        <w:t xml:space="preserve"> </w:t>
      </w:r>
      <w:r>
        <w:rPr>
          <w:rFonts w:ascii="Times New Roman" w:hAnsi="Times New Roman"/>
          <w:b/>
          <w:i/>
          <w:sz w:val="20"/>
        </w:rPr>
        <w:t>implementation of our business plan, the loss of whom would slow our ability to</w:t>
      </w:r>
      <w:r>
        <w:rPr>
          <w:rFonts w:ascii="Times New Roman" w:hAnsi="Times New Roman"/>
          <w:sz w:val="20"/>
        </w:rPr>
        <w:t xml:space="preserve"> </w:t>
      </w:r>
      <w:r>
        <w:rPr>
          <w:rFonts w:ascii="Times New Roman" w:hAnsi="Times New Roman"/>
          <w:b/>
          <w:i/>
          <w:sz w:val="20"/>
        </w:rPr>
        <w:t>conduct research and develop and impair our ability to compete.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future success depends to a significant extent on the skills, experience and efforts of our executive officers and key employees on our scientific staff. Competition for personnel, especially scientific personnel, is intense and we may be unable to retain our current personnel, attract or assimilate other highly qualified management and scientific personnel in the future. The loss of any or all of these individuals would result in a significant loss in the knowledge and experience that we, as an organization, possess and could harm our business and might significantly delay or prevent the achievement of research, development or business objectives. Our management and key employees can terminate their employment with us at any time.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0" w:name="PGBRK34"/>
      <w:bookmarkStart w:id="361" w:name="PGBRK34"/>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2" w:name="FTR34"/>
      <w:bookmarkStart w:id="363" w:name="FTR34"/>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4" w:name="GLFTR34"/>
      <w:bookmarkEnd w:id="3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5" w:name="PN34"/>
      <w:bookmarkEnd w:id="365"/>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6" w:name="HDR34"/>
      <w:bookmarkStart w:id="367" w:name="HDR34"/>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68" w:name="GLHDR34"/>
        <w:bookmarkEnd w:id="36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rely on numerous consultants, strategic advisors and strategic collaborators, especially our long-term strategic collaboration with Dr. Gordon Keller, who assists us in formulating our stem cell research and development strategies. We face intense competition for qualified individuals from numerous pharmaceutical, biopharmaceutical and biotechnology companies, as well as academic and other research institutions. We may not be able to attract and retain these individuals on acceptable terms. Failure to do so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the current term of our sponsored research collaboration agreement with UHN and our co-founder, Dr. Gordon Keller, does not expire until September 2017, and our intention is to renew and extend the agreement beyond 2017, there can be no assurances that we will be able to renew or extend the agreement beyond 2017 on mutually agreeable terms, if at all. Additionally, there can be no assurances that we will receive any invention notices or secure a license to any intellectual property resulting from such sponsored research.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will need to hire additional highly specialized, skilled personnel to achieve our</w:t>
      </w:r>
      <w:r>
        <w:rPr>
          <w:rFonts w:ascii="Times New Roman" w:hAnsi="Times New Roman"/>
          <w:sz w:val="20"/>
        </w:rPr>
        <w:t xml:space="preserve"> </w:t>
      </w:r>
      <w:r>
        <w:rPr>
          <w:rFonts w:ascii="Times New Roman" w:hAnsi="Times New Roman"/>
          <w:b/>
          <w:i/>
          <w:sz w:val="20"/>
        </w:rPr>
        <w:t>business plan. Our inability to hire qualified personnel in a timely manner will harm</w:t>
      </w:r>
      <w:r>
        <w:rPr>
          <w:rFonts w:ascii="Times New Roman" w:hAnsi="Times New Roman"/>
          <w:sz w:val="20"/>
        </w:rPr>
        <w:t xml:space="preserve"> </w:t>
      </w:r>
      <w:r>
        <w:rPr>
          <w:rFonts w:ascii="Times New Roman" w:hAnsi="Times New Roman"/>
          <w:b/>
          <w:i/>
          <w:sz w:val="20"/>
        </w:rPr>
        <w:t>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ability to execute on our business plan will depend on the talents and efforts of highly skilled individuals with specialized training in the field of stem cell research and bioassay development, as well as </w:t>
      </w:r>
      <w:r>
        <w:rPr>
          <w:rFonts w:ascii="Times New Roman" w:hAnsi="Times New Roman"/>
          <w:i/>
          <w:sz w:val="20"/>
        </w:rPr>
        <w:t>in vitro</w:t>
      </w:r>
      <w:r>
        <w:rPr>
          <w:rFonts w:ascii="Times New Roman" w:hAnsi="Times New Roman"/>
          <w:sz w:val="20"/>
        </w:rPr>
        <w:t xml:space="preserve"> drug candidate screening and nonclinical and clinical development. Our future success depends on our ability to identify, hire and retain these highly skilled personnel during our early stages of development. Competition in our industry for qualified employees with the specialized training we require is intense. In addition, our compensation arrangements may not always be successful in attracting the new employees we require. Our ability to execute our drug rescue business model effectively depends on our ability to attract these new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Our research and development activities involve the controlled use of hazardous materials, and improper handling of these materials</w:t>
      </w:r>
      <w:r>
        <w:rPr>
          <w:rFonts w:ascii="Times New Roman" w:hAnsi="Times New Roman"/>
          <w:sz w:val="20"/>
        </w:rPr>
        <w:t xml:space="preserve"> </w:t>
      </w:r>
      <w:r>
        <w:rPr>
          <w:rFonts w:ascii="Times New Roman" w:hAnsi="Times New Roman"/>
          <w:b/>
          <w:i/>
          <w:sz w:val="20"/>
        </w:rPr>
        <w:t>by our employees or agents could expose us to significant legal and financial</w:t>
      </w:r>
      <w:r>
        <w:rPr>
          <w:rFonts w:ascii="Times New Roman" w:hAnsi="Times New Roman"/>
          <w:sz w:val="20"/>
        </w:rPr>
        <w:t xml:space="preserve"> </w:t>
      </w:r>
      <w:r>
        <w:rPr>
          <w:rFonts w:ascii="Times New Roman" w:hAnsi="Times New Roman"/>
          <w:b/>
          <w:i/>
          <w:sz w:val="20"/>
        </w:rPr>
        <w:t>penalties.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research and development activities involve the controlled use of hazardous materials, chemicals and various radioactive compounds. As a consequence, we are subject to numerous environmental and safety laws and regulations, including those governing laboratory procedures exposure to blood-borne pathogens and the handling of bio-hazardous materials. We may be required to incur significant costs to comply with current or future environmental laws and regulations and may be adversely affected by the cost of compliance with these laws and regulations.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believe that our safety procedures for using, handling, storing and disposing of hazardous materials comply with the standards prescribed by state and federal regulations, the risk of accidental contamination or injury from these materials cannot be eliminated. In the event of such an accident, state or federal authorities could curtail our use of these materials and we could be liable for any civil damages that result, the cost of which could be substantial. Further, any failure by us to control the use, disposal, removal or storage, or to adequately restrict the discharge, or assist in the cleanup, of hazardous chemicals or hazardous, infectious or toxic substances could subject us to significant liabilities, including joint and several liability under certain statutes. Any such liability could exceed our resources and could have a material adverse effect on our business, financial condition and results of operations. Additionally, an accident could damage our research and manufacturing facilities and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 federal, state and local laws and regulations affecting us may be adopted in the future. We may incur substantial costs to comply with these laws and regulations and substantial fines or penalties if we violate any of these laws or regulations.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not be able to obtain or maintain sufficient insurance on commercially</w:t>
      </w:r>
      <w:r>
        <w:rPr>
          <w:rFonts w:ascii="Times New Roman" w:hAnsi="Times New Roman"/>
          <w:sz w:val="20"/>
        </w:rPr>
        <w:t xml:space="preserve"> </w:t>
      </w:r>
      <w:r>
        <w:rPr>
          <w:rFonts w:ascii="Times New Roman" w:hAnsi="Times New Roman"/>
          <w:b/>
          <w:i/>
          <w:sz w:val="20"/>
        </w:rPr>
        <w:t>reasonable terms or with adequate coverage against potential liabilities in order to</w:t>
      </w:r>
      <w:r>
        <w:rPr>
          <w:rFonts w:ascii="Times New Roman" w:hAnsi="Times New Roman"/>
          <w:sz w:val="20"/>
        </w:rPr>
        <w:t xml:space="preserve"> </w:t>
      </w:r>
      <w:r>
        <w:rPr>
          <w:rFonts w:ascii="Times New Roman" w:hAnsi="Times New Roman"/>
          <w:b/>
          <w:i/>
          <w:sz w:val="20"/>
        </w:rPr>
        <w:t>protect ourselves against product liability claims.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exposes us to potential product liability risks that are inherent in the testing, manufacturing and marketing of human therapeutic products and testing technologies. We may become subject to product liability claims if the use of our potential products is alleged to have injured subjects or patients. This risk exists for product candidates tested in human clinical trials as well as potential products that are sold commercially. In addition, product liability insurance is becoming increasingly expensive. As a result, we may not be able to obtain or maintain product liability insurance in the future on acceptable terms or with adequate coverage against potential liabilities that could have a material adverse effect on our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9" w:name="PGBRK35"/>
      <w:bookmarkStart w:id="370" w:name="PGBRK35"/>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 w:name="FTR35"/>
      <w:bookmarkStart w:id="372" w:name="FTR35"/>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3" w:name="GLFTR35"/>
      <w:bookmarkEnd w:id="3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4" w:name="PN35"/>
      <w:bookmarkEnd w:id="374"/>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HDR35"/>
      <w:bookmarkStart w:id="376" w:name="HDR35"/>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77" w:name="GLHDR35"/>
        <w:bookmarkEnd w:id="3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business is subject to the risks of earthquakes, fire, floods and other natural</w:t>
      </w:r>
      <w:r>
        <w:rPr>
          <w:rFonts w:ascii="Times New Roman" w:hAnsi="Times New Roman"/>
          <w:sz w:val="20"/>
        </w:rPr>
        <w:t xml:space="preserve"> </w:t>
      </w:r>
      <w:r>
        <w:rPr>
          <w:rFonts w:ascii="Times New Roman" w:hAnsi="Times New Roman"/>
          <w:b/>
          <w:i/>
          <w:sz w:val="20"/>
        </w:rPr>
        <w:t>catastrophic events, and to interruption by man-made problems such as computer</w:t>
      </w:r>
      <w:r>
        <w:rPr>
          <w:rFonts w:ascii="Times New Roman" w:hAnsi="Times New Roman"/>
          <w:sz w:val="20"/>
        </w:rPr>
        <w:t xml:space="preserve"> </w:t>
      </w:r>
      <w:r>
        <w:rPr>
          <w:rFonts w:ascii="Times New Roman" w:hAnsi="Times New Roman"/>
          <w:b/>
          <w:i/>
          <w:sz w:val="20"/>
        </w:rPr>
        <w:t>viruses or terrorism.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corporate headquarters are located in the San Francisco Bay Area, a region known for seismic activity. A significant natural disaster, such as an earthquake, fire or a flood, could harm our business. In addition, our servers are vulnerable to computer viruses, break-ins and similar disruptions from unauthorized tampering with our computer systems. In addition, acts of terrorism or war could cause disruptions in our business or the economy as a whole.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select and develop product candidates that fail.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may select for development and expend considerable resources including time and money on product candidates that fail to complete trials, obtain regulatory approval or achieve sufficient sales, if any, to be profitable</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Additional Risks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principal institutional stockholders own a significant percentage of our stock</w:t>
      </w:r>
      <w:r>
        <w:rPr>
          <w:rFonts w:ascii="Times New Roman" w:hAnsi="Times New Roman"/>
          <w:sz w:val="20"/>
        </w:rPr>
        <w:t xml:space="preserve"> </w:t>
      </w:r>
      <w:r>
        <w:rPr>
          <w:rFonts w:ascii="Times New Roman" w:hAnsi="Times New Roman"/>
          <w:b/>
          <w:i/>
          <w:sz w:val="20"/>
        </w:rPr>
        <w:t>and will be able to exercise significant influence.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current principal institutional stockholders, Platinum Long Term Growth Fund, Cato BioVentures and their respective affiliates own, and Autilion AG is anticipated to own, a significant percentage of our outstanding capital stock. Accordingly, these stockholders may be able to determine the composition of a majority of our Board of Directors, retain the voting power to approve certain matters requiring stockholder approval, and continue to have significant influence over our affairs. This concentration of ownership could have the effect of delaying or preventing a change in our control. See Item 12, “Security Ownership of Certain Beneficial Owners and Management and Related Stockholder Matters,” for further information about the ownership of our capital stock by our executive officers, directors, and principal shareholders.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When we require future capital, we may not be able to secure additional funding in</w:t>
      </w:r>
      <w:r>
        <w:rPr>
          <w:rFonts w:ascii="Times New Roman" w:hAnsi="Times New Roman"/>
          <w:sz w:val="20"/>
        </w:rPr>
        <w:t xml:space="preserve"> </w:t>
      </w:r>
      <w:r>
        <w:rPr>
          <w:rFonts w:ascii="Times New Roman" w:hAnsi="Times New Roman"/>
          <w:b/>
          <w:i/>
          <w:sz w:val="20"/>
        </w:rPr>
        <w:t>order to expand our operations and develop new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expect to seek opportunities to raise additional funds from public and private stock offerings, issuance of promissory notes or debentures, borrowings under lease lines of credit, corporate partnering arrangements, or other sources. This additional financing may not be available on a timely basis on terms acceptable to us, or at all. Additional financing may be dilutive to stockholders or may require us to grant a lender a security interest in our assets. The amount of money we will need will depend on many factors, including:</w:t>
      </w:r>
    </w:p>
    <w:p>
      <w:pPr>
        <w:pStyle w:val="TextBody"/>
        <w:spacing w:before="0" w:after="0"/>
        <w:ind w:left="0" w:right="0" w:hanging="0"/>
        <w:jc w:val="both"/>
        <w:rPr/>
      </w:pPr>
      <w:r>
        <w:rPr/>
        <w:t> </w:t>
      </w:r>
    </w:p>
    <w:p>
      <w:pPr>
        <w:pStyle w:val="TextBody"/>
        <w:spacing w:before="0" w:after="0"/>
        <w:ind w:left="0" w:right="0" w:hanging="0"/>
        <w:jc w:val="both"/>
        <w:rPr/>
      </w:pPr>
      <w:r>
        <w:rPr/>
        <w:t>        •           </w:t>
      </w:r>
      <w:r>
        <w:rPr>
          <w:rFonts w:ascii="Times New Roman" w:hAnsi="Times New Roman"/>
          <w:sz w:val="20"/>
        </w:rPr>
        <w:t>revenues generated, if any;</w:t>
      </w:r>
    </w:p>
    <w:p>
      <w:pPr>
        <w:pStyle w:val="TextBody"/>
        <w:spacing w:before="0" w:after="0"/>
        <w:ind w:left="0" w:right="0" w:hanging="0"/>
        <w:jc w:val="both"/>
        <w:rPr/>
      </w:pPr>
      <w:r>
        <w:rPr/>
        <w:t> </w:t>
      </w:r>
    </w:p>
    <w:p>
      <w:pPr>
        <w:pStyle w:val="TextBody"/>
        <w:spacing w:before="0" w:after="0"/>
        <w:ind w:left="0" w:right="0" w:hanging="0"/>
        <w:jc w:val="both"/>
        <w:rPr/>
      </w:pPr>
      <w:r>
        <w:rPr/>
        <w:t>        •           </w:t>
      </w:r>
      <w:r>
        <w:rPr>
          <w:rFonts w:ascii="Times New Roman" w:hAnsi="Times New Roman"/>
          <w:sz w:val="20"/>
        </w:rPr>
        <w:t>development expenses incurred;</w:t>
      </w:r>
    </w:p>
    <w:p>
      <w:pPr>
        <w:pStyle w:val="TextBody"/>
        <w:spacing w:before="0" w:after="0"/>
        <w:ind w:left="0" w:right="0" w:hanging="0"/>
        <w:jc w:val="both"/>
        <w:rPr/>
      </w:pPr>
      <w:r>
        <w:rPr/>
        <w:t> </w:t>
      </w:r>
    </w:p>
    <w:p>
      <w:pPr>
        <w:pStyle w:val="TextBody"/>
        <w:spacing w:before="0" w:after="0"/>
        <w:ind w:left="0" w:right="0" w:hanging="0"/>
        <w:jc w:val="both"/>
        <w:rPr/>
      </w:pPr>
      <w:r>
        <w:rPr/>
        <w:t>        •           </w:t>
      </w:r>
      <w:r>
        <w:rPr>
          <w:rFonts w:ascii="Times New Roman" w:hAnsi="Times New Roman"/>
          <w:sz w:val="20"/>
        </w:rPr>
        <w:t>the commercial success of our drug rescue and other research and development efforts; and</w:t>
      </w:r>
    </w:p>
    <w:p>
      <w:pPr>
        <w:pStyle w:val="TextBody"/>
        <w:spacing w:before="0" w:after="0"/>
        <w:ind w:left="0" w:right="0" w:hanging="0"/>
        <w:jc w:val="both"/>
        <w:rPr/>
      </w:pPr>
      <w:r>
        <w:rPr/>
        <w:t> </w:t>
      </w:r>
    </w:p>
    <w:p>
      <w:pPr>
        <w:pStyle w:val="TextBody"/>
        <w:spacing w:before="0" w:after="0"/>
        <w:ind w:left="0" w:right="0" w:hanging="0"/>
        <w:jc w:val="both"/>
        <w:rPr/>
      </w:pPr>
      <w:r>
        <w:rPr/>
        <w:t>        •           </w:t>
      </w:r>
      <w:r>
        <w:rPr>
          <w:rFonts w:ascii="Times New Roman" w:hAnsi="Times New Roman"/>
          <w:sz w:val="20"/>
        </w:rPr>
        <w:t>the emergence of competing scientific and technological developments.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adequate funds are not available, we may have to delay or reduce the scope of our drug rescue and development of our product candidates and technologies or license to third parties the rights to commercialize products or technologies that we would otherwise seek to commercialize ourselves. We may also have to reduce collaboration efforts, including sponsored research collaborations. Any of these results would materially harm our business, financial condition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 w:name="PGBRK36"/>
      <w:bookmarkStart w:id="379" w:name="PGBRK36"/>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FTR36"/>
      <w:bookmarkStart w:id="381" w:name="FTR36"/>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2" w:name="GLFTR36"/>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3" w:name="PN36"/>
      <w:bookmarkEnd w:id="383"/>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HDR36"/>
      <w:bookmarkStart w:id="385" w:name="HDR36"/>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86" w:name="GLHDR36"/>
        <w:bookmarkEnd w:id="3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market price of our common stock has been volatile and may fluctuate significantly in response to many factors, some of which are beyond our control and may be unrelated to our performance.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anticipate that the market price of our common stock will fluctuate significantly in response to many factors, some of which are unpredictable, beyond our control and unrelated to our performance, including specific factors such as the announcement of new products or product enhancements by us or our competitors, developments concerning intellectual property rights and regulatory approvals, quarterly variations in our and our competitors’ results of operations, changes in earnings estimates or recommendations by any securities analysts, developments in our industry, strategic actions by us or our competitors, such as acquisitions or restructurings, new laws or regulations or new interpretations of existing laws or regulations applicable to our business, the public’s reaction to our press releases, our other public announcements and our filings with the SEC, changes in accounting standards, policies, guidance, interpretations or principles, our inability to raise additional capital as needed, substantial sales of common stock underlying warrants or preferred stock, sales of common stock or other securities by us or our management team, and general market conditions and other factors, including factors unrelated to our own operating performance or the condition or prospects of the biotechnology industry.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Further, the stock market in general, and securities of micro-cap and small-cap companies in particular, frequently experience extreme price and volume fluctuations. Continued broad market fluctuations could result in extreme volatility in the price of our common stock, which could cause a decline in the value of our common stock. You should also be aware that price volatility is likely to be worse if the trading volume of our common stock is 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There may not ever be an active market for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Although our common stock is quoted on the OTC Bulletin Board, the trading of our common stock may be extremely sporadic. For example, several days may pass before any shares are traded. There can be no assurance that an active market for our common stock will develop. Accordingly, investors must bear the economic risk of an investment in our common stock for an indefinite period of time.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Because we became a public company by means of a strategic reverse merger, we may not be able to</w:t>
      </w:r>
      <w:r>
        <w:rPr>
          <w:rFonts w:ascii="Times New Roman" w:hAnsi="Times New Roman"/>
          <w:sz w:val="20"/>
        </w:rPr>
        <w:t xml:space="preserve"> </w:t>
      </w:r>
      <w:r>
        <w:rPr>
          <w:rFonts w:ascii="Times New Roman" w:hAnsi="Times New Roman"/>
          <w:b/>
          <w:i/>
          <w:sz w:val="20"/>
        </w:rPr>
        <w:t>attract the</w:t>
      </w:r>
      <w:r>
        <w:rPr>
          <w:rFonts w:ascii="Times New Roman" w:hAnsi="Times New Roman"/>
          <w:sz w:val="20"/>
        </w:rPr>
        <w:t xml:space="preserve"> </w:t>
      </w:r>
      <w:r>
        <w:rPr>
          <w:rFonts w:ascii="Times New Roman" w:hAnsi="Times New Roman"/>
          <w:b/>
          <w:i/>
          <w:sz w:val="20"/>
        </w:rPr>
        <w:t>attention of investors or major brokerage firms.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Because we became a public company by means of a strategic reverse merger transaction in May 2011 rather than through a traditional firmly-underwritten initial public offering involving an investment banking or brokerage firm, securities analysts or major brokerage firms may not provide coverage of us because there may be limited incentive to recommend the purchase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Because we became a public company as a result of a strategic reverse merger with a public shell, unknown liabilities may adversely affect our financial condition.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became a public company by means of a strategic reverse merger with a public shell. While management conducted extensive due diligence prior to consummating our strategic reverse merger in May 2011, in the event the public shell contained undisclosed liabilities, and management was unable to address or otherwise offset such liabilities, such liabilities may materially, and adversely affect our financial condition.  As a result of the risks associated with unknown liabilities, potential investors may be unsure or unwilling to invest in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will incur significant costs to ensure compliance with corporate governance, federal securities law and accounting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becoming a public company by means of a strategic reverse merger in May 2011, we are subject to the periodic reporting and other requirements of the federal securities laws, rules and regulations.  We have incurred and will incur significant costs to comply with such requirements, including accounting and related auditing costs, and costs to comply with corporate governance and other costs of operating a public company. The filing and internal control reporting requirements imposed by federal securities laws, rules and regulations are rigorous and we may not be able to meet them, resulting in a possible decline in the price of our common stock and our inability to obtain future financing.  Any failure to comply or adequately comply with federal securities laws, rules or regulations could subject us to fines or regulatory actions, which may materially adversely affect our business, results of operations and financial condition.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7" w:name="PGBRK37"/>
      <w:bookmarkStart w:id="388" w:name="PGBRK37"/>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 w:name="FTR37"/>
      <w:bookmarkStart w:id="390" w:name="FTR37"/>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1" w:name="GLFTR37"/>
      <w:bookmarkEnd w:id="3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2" w:name="PN37"/>
      <w:bookmarkEnd w:id="392"/>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HDR37"/>
      <w:bookmarkStart w:id="394" w:name="HDR37"/>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95" w:name="GLHDR37"/>
        <w:bookmarkEnd w:id="3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compliance with the Sarbanes-Oxley Act and SEC rules concerning internal controls</w:t>
      </w:r>
      <w:r>
        <w:rPr>
          <w:rFonts w:ascii="Times New Roman" w:hAnsi="Times New Roman"/>
          <w:sz w:val="20"/>
        </w:rPr>
        <w:t xml:space="preserve"> </w:t>
      </w:r>
      <w:r>
        <w:rPr>
          <w:rFonts w:ascii="Times New Roman" w:hAnsi="Times New Roman"/>
          <w:b/>
          <w:i/>
          <w:sz w:val="20"/>
        </w:rPr>
        <w:t>may be time consuming, difficult and costly.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team has limited experience as officers of a publicly-traded company, and prior to May 2011, we did not operate as a publicly-traded company. It may be time consuming, difficult and costly for us to implement and maintain the internal controls and reporting procedures required by the Sarbanes-Oxley Act. If we are unable to comply with the Sarbanes-Oxley Act’s internal controls and disclosure requirements, we may not be able to obtain the independent registered public accounting firm attestations that the Sarbanes-Oxley Act requires certain publicly-traded companies to obtain. If it is determined that we have a material weakness in our internal control over financial reporting, or if our independent registered accounting firm is unable to provide an unqualified attestation report on our internal controls when required, we could incur additional costs and suffer adverse publicity and other consequences of any such determination, investors could lose confidence in our financial information and the price of our common stock could decline.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cannot assure you that our common stock will be liquid</w:t>
      </w:r>
      <w:r>
        <w:rPr>
          <w:rFonts w:ascii="Times New Roman" w:hAnsi="Times New Roman"/>
          <w:sz w:val="20"/>
        </w:rPr>
        <w:t xml:space="preserve"> </w:t>
      </w:r>
      <w:r>
        <w:rPr>
          <w:rFonts w:ascii="Times New Roman" w:hAnsi="Times New Roman"/>
          <w:b/>
          <w:i/>
          <w:sz w:val="20"/>
        </w:rPr>
        <w:t>or that our common stock will become listed on the New York Stock Exchange, a NASDAQ OMX market, or other similar exchanges.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do not yet meet the initial listing standards of the New York Stock Exchange, the NASDAQ Global Market, or other similar exchanges. Until our common stock is listed on a broader exchange, we anticipate that it will remain quoted on the OTC Bulletin Board, another over-the-counter quotation system, or in the “pink sheets.” In those venues, however, investors may find it difficult to obtain accurate quotations as to the market value of our common stock. In addition, if we failed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would also make it more difficult to raise additional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There may be additional issuances of shares of preferred stock in the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Following approval by our stockholders in October 2011, our Articles of Incorporation now permit us to issue up to 10.0 million shares of preferred stock and our Board has authorized the issuance of 500,000 shares of Series A Convertible Preferred Stock, all of which shares are outstanding at March 31, 2013.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common stock may be considered a “penny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we became a publicly-traded company in May 2011, our common stock has traded on the OTC Bulletin Board at a price of less than $5.00 per share. The Securities and Exchange Commission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listed on the OTC Bulletin Board, investors may find it difficult to obtain accurate quotations of the stock, and may find few buyers to purchase such stock and few market makers to support its price.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6" w:name="PGBRK38"/>
      <w:bookmarkStart w:id="397" w:name="PGBRK38"/>
      <w:bookmarkEnd w:id="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8" w:name="FTR38"/>
      <w:bookmarkStart w:id="399" w:name="FTR38"/>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0" w:name="GLFTR38"/>
      <w:bookmarkEnd w:id="4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1" w:name="PN38"/>
      <w:bookmarkEnd w:id="401"/>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 w:name="HDR38"/>
      <w:bookmarkStart w:id="403" w:name="HDR38"/>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04" w:name="GLHDR38"/>
        <w:bookmarkEnd w:id="4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do not intend to pay cash dividends on our common stock in the foreseeable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never declared or paid any dividends on our shares of common stock and we do not currently anticipate paying any such dividends in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be at risk of securities class action litigation that could result in substantial</w:t>
      </w:r>
      <w:r>
        <w:rPr>
          <w:rFonts w:ascii="Times New Roman" w:hAnsi="Times New Roman"/>
          <w:sz w:val="20"/>
        </w:rPr>
        <w:t xml:space="preserve"> </w:t>
      </w:r>
      <w:r>
        <w:rPr>
          <w:rFonts w:ascii="Times New Roman" w:hAnsi="Times New Roman"/>
          <w:b/>
          <w:i/>
          <w:sz w:val="20"/>
        </w:rPr>
        <w:t>costs and divert management’s attention and resources.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past, securities class action litigation has been brought against a company following periods of volatility in the market place of its securities. Due to the potential volatility of our stock price, we may be the target of securities litigation in the future. Securities litigation could result in substantial costs and divert management’s attention and resources.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405" w:name="it1b234p2it5j"/>
      <w:bookmarkEnd w:id="405"/>
      <w:r>
        <w:rPr>
          <w:rFonts w:ascii="Times New Roman" w:hAnsi="Times New Roman"/>
          <w:b/>
          <w:sz w:val="20"/>
        </w:rPr>
        <w:t>Item 1B.  Unresolved Staff Comments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disclosures in this section are not required since we qualify as a smaller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2.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headquarters are located at 384 Oyster Point Boulevard, No. 8, South San Francisco, California 94080-1967, where we occupy approximately 6,900 square feet of office and lab space under a lease expiring on June 30, 2013.   In April 2013, we entered into a four-year lease of laboratory and headquarters office space at 343 Allerton Avenue, South San Francisco, California 94080.  Our occupancy at that location is anticipated to commence in August 2013.  We believe our new facilities at 343 Allerton Avenue, South San Francisco, California will be suitable and adequate for our current and future needs.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time to time, we may become involved in claims and other legal matters arising in the ordinary course of business. We are not presently involved in any legal proceedings nor do we know of any legal proceedings which are threatened or contemplated.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4.  Mine Safety Disclosures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5.  Market for Registrant’s Common Equity, Related Stockholder Matters and Issuer Purchases of Equity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Market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21, 2011 our common stock began trading on the OTC Bulletin Board under the symbol “VSTA.”  There was no established trading market for our common stock prior to that date.  On May 23, 2011 our directors approved a 2-for-1 stock split. The stock split became effective on the OTC Bulletin Board on June 21,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6" w:name="PGBRK39"/>
      <w:bookmarkStart w:id="407" w:name="PGBRK39"/>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FTR39"/>
      <w:bookmarkStart w:id="409" w:name="FTR39"/>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10" w:name="GLFTR39"/>
      <w:bookmarkEnd w:id="4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1" w:name="PN39"/>
      <w:bookmarkEnd w:id="411"/>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HDR39"/>
      <w:bookmarkStart w:id="413" w:name="HDR39"/>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14" w:name="GLHDR39"/>
        <w:bookmarkEnd w:id="41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Shown below is the range of high and low closing prices for our common stock for the periods indicated as reported by the OTC Bulletin Board.  The market quotations reflect inter-dealer prices, without retail mark-up, mark-down or commissions and may not necessarily represent actual transactions.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83"/>
        <w:gridCol w:w="110"/>
        <w:gridCol w:w="125"/>
        <w:gridCol w:w="961"/>
        <w:gridCol w:w="110"/>
        <w:gridCol w:w="110"/>
        <w:gridCol w:w="125"/>
        <w:gridCol w:w="961"/>
        <w:gridCol w:w="120"/>
      </w:tblGrid>
      <w:tr>
        <w:trPr/>
        <w:tc>
          <w:tcPr>
            <w:tcW w:w="758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20" w:type="dxa"/>
            <w:tcBorders/>
            <w:shd w:fill="auto" w:val="clear"/>
            <w:vAlign w:val="bottom"/>
          </w:tcPr>
          <w:p>
            <w:pPr>
              <w:pStyle w:val="TableContents"/>
              <w:spacing w:before="0" w:after="283"/>
              <w:jc w:val="left"/>
              <w:rPr/>
            </w:pPr>
            <w:r>
              <w:rPr/>
              <w:t> </w:t>
            </w:r>
          </w:p>
        </w:tc>
      </w:tr>
      <w:tr>
        <w:trPr/>
        <w:tc>
          <w:tcPr>
            <w:tcW w:w="7583"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Year Ending March 31, 2013</w:t>
            </w:r>
          </w:p>
        </w:tc>
        <w:tc>
          <w:tcPr>
            <w:tcW w:w="11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First quarter ending June 30, 2012</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120" w:type="dxa"/>
            <w:tcBorders/>
            <w:shd w:fill="CCEEFF" w:val="clear"/>
            <w:vAlign w:val="bottom"/>
          </w:tcPr>
          <w:p>
            <w:pPr>
              <w:pStyle w:val="TableContents"/>
              <w:spacing w:before="0" w:after="283"/>
              <w:jc w:val="left"/>
              <w:rPr/>
            </w:pPr>
            <w:r>
              <w:rPr/>
              <w:t> </w:t>
            </w:r>
          </w:p>
        </w:tc>
      </w:tr>
      <w:tr>
        <w:trPr/>
        <w:tc>
          <w:tcPr>
            <w:tcW w:w="758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Second quarter ending September 30, 2012</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0.51</w:t>
            </w:r>
          </w:p>
        </w:tc>
        <w:tc>
          <w:tcPr>
            <w:tcW w:w="120" w:type="dxa"/>
            <w:tcBorders/>
            <w:shd w:fill="FFFFFF"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Third quarter ending December 31, 2012</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0" w:type="dxa"/>
            <w:tcBorders/>
            <w:shd w:fill="CCEEFF" w:val="clear"/>
            <w:vAlign w:val="bottom"/>
          </w:tcPr>
          <w:p>
            <w:pPr>
              <w:pStyle w:val="TableContents"/>
              <w:spacing w:before="0" w:after="283"/>
              <w:jc w:val="left"/>
              <w:rPr/>
            </w:pPr>
            <w:r>
              <w:rPr/>
              <w:t> </w:t>
            </w:r>
          </w:p>
        </w:tc>
      </w:tr>
      <w:tr>
        <w:trPr/>
        <w:tc>
          <w:tcPr>
            <w:tcW w:w="758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Fourth quarter ending March 31, 2013</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20" w:type="dxa"/>
            <w:tcBorders/>
            <w:shd w:fill="FFFFFF"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7583"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Year Ending March 31, 2012</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First quarter ending June 30, 2011 (from June 21, 2011)</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0" w:type="dxa"/>
            <w:tcBorders/>
            <w:shd w:fill="CCEEFF" w:val="clear"/>
            <w:vAlign w:val="bottom"/>
          </w:tcPr>
          <w:p>
            <w:pPr>
              <w:pStyle w:val="TableContents"/>
              <w:spacing w:before="0" w:after="283"/>
              <w:jc w:val="left"/>
              <w:rPr/>
            </w:pPr>
            <w:r>
              <w:rPr/>
              <w:t> </w:t>
            </w:r>
          </w:p>
        </w:tc>
      </w:tr>
      <w:tr>
        <w:trPr/>
        <w:tc>
          <w:tcPr>
            <w:tcW w:w="758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Second quarter ending September 30, 2011</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120" w:type="dxa"/>
            <w:tcBorders/>
            <w:shd w:fill="FFFFFF"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Third quarter ending December 31, 2011</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0" w:type="dxa"/>
            <w:tcBorders/>
            <w:shd w:fill="CCEEFF" w:val="clear"/>
            <w:vAlign w:val="bottom"/>
          </w:tcPr>
          <w:p>
            <w:pPr>
              <w:pStyle w:val="TableContents"/>
              <w:spacing w:before="0" w:after="283"/>
              <w:jc w:val="left"/>
              <w:rPr/>
            </w:pPr>
            <w:r>
              <w:rPr/>
              <w:t> </w:t>
            </w:r>
          </w:p>
        </w:tc>
      </w:tr>
      <w:tr>
        <w:trPr/>
        <w:tc>
          <w:tcPr>
            <w:tcW w:w="758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Fourth quarter ending March 31, 2012</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10, 2013 the closing price of our common stock on the OTC Bulletin Board was $0.60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July 10, 2013, we had 21,265,967 shares of common stock outstanding and 350 stockholders of record.  On the same date, one stockholder held all 500,000 outstanding restricted shares of our Series A Preferred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Dividend Policy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paid any dividends in the past and we do not anticipate that we will pay dividends in the foreseeable future.  Covenants in certain of our debt agreements prohibit us from paying dividends while the debt remains outstanding.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Issuer Purchase of Equity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repurchases of our common stock during the fiscal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Equity Grants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options to purchase a total of 4,912,604 restricted shares of our common stock are outstanding at a weighted average exercise price of $1.32 per share, of which 4,227,436 options are vested and exercisable at a weighted average exercise price of $1.35 per share and 687,168 are unvested and not exercisable at a weighted average exercise price of $1.12 per share. These options were issued under our 2008 Plan and our 1999 Plan, each as described below. At March 31, 2013, an additional 257,867 shares remain available for future equity grants under our 2008 Plan.</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532"/>
        <w:gridCol w:w="106"/>
        <w:gridCol w:w="111"/>
        <w:gridCol w:w="1674"/>
        <w:gridCol w:w="106"/>
        <w:gridCol w:w="106"/>
        <w:gridCol w:w="427"/>
        <w:gridCol w:w="1860"/>
        <w:gridCol w:w="106"/>
        <w:gridCol w:w="106"/>
        <w:gridCol w:w="127"/>
        <w:gridCol w:w="1816"/>
        <w:gridCol w:w="128"/>
      </w:tblGrid>
      <w:tr>
        <w:trPr/>
        <w:tc>
          <w:tcPr>
            <w:tcW w:w="3532" w:type="dxa"/>
            <w:tcBorders>
              <w:bottom w:val="single" w:sz="12" w:space="0" w:color="000000"/>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Plan category</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785"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to be issued upon</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 options,</w:t>
            </w:r>
          </w:p>
          <w:p>
            <w:pPr>
              <w:pStyle w:val="TableContents"/>
              <w:spacing w:before="0" w:after="0"/>
              <w:ind w:left="0" w:right="36" w:hanging="0"/>
              <w:jc w:val="center"/>
              <w:rPr>
                <w:rFonts w:ascii="times new roman" w:hAnsi="times new roman"/>
                <w:b/>
                <w:sz w:val="20"/>
              </w:rPr>
            </w:pPr>
            <w:r>
              <w:rPr>
                <w:rFonts w:ascii="times new roman" w:hAnsi="times new roman"/>
                <w:b/>
                <w:sz w:val="20"/>
              </w:rPr>
              <w:t>warrants 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2287"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Weighted-average</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price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warrants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(b)</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943"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sz w:val="20"/>
              </w:rPr>
            </w:pPr>
            <w:r>
              <w:rPr>
                <w:rFonts w:ascii="times new roman" w:hAnsi="times new roman"/>
                <w:b/>
                <w:sz w:val="20"/>
              </w:rPr>
              <w:t>remaining available for</w:t>
            </w:r>
            <w:r>
              <w:rPr>
                <w:rFonts w:ascii="times new roman" w:hAnsi="times new roman"/>
                <w:sz w:val="20"/>
              </w:rPr>
              <w:t xml:space="preserve"> </w:t>
            </w:r>
            <w:r>
              <w:rPr>
                <w:rFonts w:ascii="times new roman" w:hAnsi="times new roman"/>
                <w:b/>
                <w:sz w:val="20"/>
              </w:rPr>
              <w:t>future issuance under</w:t>
            </w:r>
            <w:r>
              <w:rPr>
                <w:rFonts w:ascii="times new roman" w:hAnsi="times new roman"/>
                <w:sz w:val="20"/>
              </w:rPr>
              <w:t xml:space="preserve"> </w:t>
            </w:r>
            <w:r>
              <w:rPr>
                <w:rFonts w:ascii="times new roman" w:hAnsi="times new roman"/>
                <w:b/>
                <w:sz w:val="20"/>
              </w:rPr>
              <w:t>equity compensation plans</w:t>
            </w:r>
          </w:p>
          <w:p>
            <w:pPr>
              <w:pStyle w:val="TableContents"/>
              <w:spacing w:before="0" w:after="0"/>
              <w:ind w:left="0" w:right="36" w:hanging="0"/>
              <w:jc w:val="center"/>
              <w:rPr>
                <w:rFonts w:ascii="times new roman" w:hAnsi="times new roman"/>
                <w:b/>
                <w:sz w:val="20"/>
              </w:rPr>
            </w:pPr>
            <w:r>
              <w:rPr>
                <w:rFonts w:ascii="times new roman" w:hAnsi="times new roman"/>
                <w:b/>
                <w:sz w:val="20"/>
              </w:rPr>
              <w:t>(excluding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reflected in column (a))</w:t>
            </w:r>
          </w:p>
          <w:p>
            <w:pPr>
              <w:pStyle w:val="TableContents"/>
              <w:spacing w:before="0" w:after="0"/>
              <w:ind w:left="0" w:right="36" w:hanging="0"/>
              <w:jc w:val="center"/>
              <w:rPr>
                <w:rFonts w:ascii="times new roman" w:hAnsi="times new roman"/>
                <w:b/>
                <w:sz w:val="20"/>
              </w:rPr>
            </w:pPr>
            <w:r>
              <w:rPr>
                <w:rFonts w:ascii="times new roman" w:hAnsi="times new roman"/>
                <w:b/>
                <w:sz w:val="20"/>
              </w:rPr>
              <w:t>(c)</w:t>
            </w:r>
          </w:p>
        </w:tc>
        <w:tc>
          <w:tcPr>
            <w:tcW w:w="128" w:type="dxa"/>
            <w:tcBorders/>
            <w:shd w:fill="auto" w:val="clear"/>
            <w:tcMar>
              <w:bottom w:w="0" w:type="dxa"/>
            </w:tcMar>
            <w:vAlign w:val="bottom"/>
          </w:tcPr>
          <w:p>
            <w:pPr>
              <w:pStyle w:val="TableContents"/>
              <w:spacing w:before="0" w:after="283"/>
              <w:jc w:val="left"/>
              <w:rPr/>
            </w:pPr>
            <w:r>
              <w:rPr/>
              <w:t xml:space="preserve">  </w:t>
            </w:r>
          </w:p>
        </w:tc>
      </w:tr>
      <w:tr>
        <w:trPr/>
        <w:tc>
          <w:tcPr>
            <w:tcW w:w="3532"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4"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4,442,133</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1860"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1.33</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27" w:type="dxa"/>
            <w:tcBorders/>
            <w:shd w:fill="CCEEFF" w:val="clear"/>
            <w:tcMar>
              <w:bottom w:w="0" w:type="dxa"/>
            </w:tcMar>
            <w:vAlign w:val="bottom"/>
          </w:tcPr>
          <w:p>
            <w:pPr>
              <w:pStyle w:val="TableContents"/>
              <w:spacing w:before="0" w:after="283"/>
              <w:jc w:val="left"/>
              <w:rPr/>
            </w:pPr>
            <w:r>
              <w:rPr/>
              <w:t xml:space="preserve">  </w:t>
            </w:r>
          </w:p>
        </w:tc>
        <w:tc>
          <w:tcPr>
            <w:tcW w:w="1816"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257,867</w:t>
            </w:r>
          </w:p>
        </w:tc>
        <w:tc>
          <w:tcPr>
            <w:tcW w:w="128" w:type="dxa"/>
            <w:tcBorders/>
            <w:shd w:fill="CCEEFF" w:val="clear"/>
            <w:tcMar>
              <w:bottom w:w="0" w:type="dxa"/>
            </w:tcMar>
            <w:vAlign w:val="bottom"/>
          </w:tcPr>
          <w:p>
            <w:pPr>
              <w:pStyle w:val="TableContents"/>
              <w:spacing w:before="0" w:after="283"/>
              <w:jc w:val="left"/>
              <w:rPr/>
            </w:pPr>
            <w:r>
              <w:rPr/>
              <w:t xml:space="preserve">  </w:t>
            </w:r>
          </w:p>
        </w:tc>
      </w:tr>
      <w:tr>
        <w:trPr/>
        <w:tc>
          <w:tcPr>
            <w:tcW w:w="3532"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11" w:type="dxa"/>
            <w:tcBorders>
              <w:bottom w:val="single" w:sz="12" w:space="0" w:color="000000"/>
            </w:tcBorders>
            <w:shd w:fill="FFFFFF" w:val="clear"/>
            <w:vAlign w:val="bottom"/>
          </w:tcPr>
          <w:p>
            <w:pPr>
              <w:pStyle w:val="TableContents"/>
              <w:spacing w:before="0" w:after="283"/>
              <w:jc w:val="left"/>
              <w:rPr/>
            </w:pPr>
            <w:r>
              <w:rPr/>
              <w:t xml:space="preserve">  </w:t>
            </w:r>
          </w:p>
        </w:tc>
        <w:tc>
          <w:tcPr>
            <w:tcW w:w="1674"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470,471</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427" w:type="dxa"/>
            <w:tcBorders/>
            <w:shd w:fill="FFFFFF" w:val="clear"/>
            <w:tcMar>
              <w:bottom w:w="0" w:type="dxa"/>
            </w:tcMar>
            <w:vAlign w:val="bottom"/>
          </w:tcPr>
          <w:p>
            <w:pPr>
              <w:pStyle w:val="TableContents"/>
              <w:spacing w:before="0" w:after="283"/>
              <w:jc w:val="left"/>
              <w:rPr/>
            </w:pPr>
            <w:r>
              <w:rPr/>
              <w:t xml:space="preserve">  </w:t>
            </w:r>
          </w:p>
        </w:tc>
        <w:tc>
          <w:tcPr>
            <w:tcW w:w="1860"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1.21</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27" w:type="dxa"/>
            <w:tcBorders>
              <w:bottom w:val="single" w:sz="12" w:space="0" w:color="000000"/>
            </w:tcBorders>
            <w:shd w:fill="FFFFFF" w:val="clear"/>
            <w:vAlign w:val="bottom"/>
          </w:tcPr>
          <w:p>
            <w:pPr>
              <w:pStyle w:val="TableContents"/>
              <w:spacing w:before="0" w:after="283"/>
              <w:jc w:val="left"/>
              <w:rPr/>
            </w:pPr>
            <w:r>
              <w:rPr/>
              <w:t xml:space="preserve">  </w:t>
            </w:r>
          </w:p>
        </w:tc>
        <w:tc>
          <w:tcPr>
            <w:tcW w:w="1816"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w:t>
            </w:r>
          </w:p>
        </w:tc>
        <w:tc>
          <w:tcPr>
            <w:tcW w:w="128" w:type="dxa"/>
            <w:tcBorders/>
            <w:shd w:fill="FFFFFF" w:val="clear"/>
            <w:tcMar>
              <w:bottom w:w="0" w:type="dxa"/>
            </w:tcMar>
            <w:vAlign w:val="bottom"/>
          </w:tcPr>
          <w:p>
            <w:pPr>
              <w:pStyle w:val="TableContents"/>
              <w:spacing w:before="0" w:after="283"/>
              <w:rPr/>
            </w:pPr>
            <w:r>
              <w:rPr/>
              <w:t xml:space="preserve">  </w:t>
            </w:r>
          </w:p>
        </w:tc>
      </w:tr>
      <w:tr>
        <w:trPr/>
        <w:tc>
          <w:tcPr>
            <w:tcW w:w="3532"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Total</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bottom w:val="double" w:sz="8" w:space="0" w:color="000000"/>
            </w:tcBorders>
            <w:shd w:fill="CCEEFF" w:val="clear"/>
            <w:vAlign w:val="bottom"/>
          </w:tcPr>
          <w:p>
            <w:pPr>
              <w:pStyle w:val="TableContents"/>
              <w:spacing w:before="0" w:after="283"/>
              <w:jc w:val="left"/>
              <w:rPr/>
            </w:pPr>
            <w:r>
              <w:rPr/>
              <w:t xml:space="preserve">  </w:t>
            </w:r>
          </w:p>
        </w:tc>
        <w:tc>
          <w:tcPr>
            <w:tcW w:w="1674"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4,912,604</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1860"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1.32</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27" w:type="dxa"/>
            <w:tcBorders>
              <w:bottom w:val="double" w:sz="8" w:space="0" w:color="000000"/>
            </w:tcBorders>
            <w:shd w:fill="CCEEFF" w:val="clear"/>
            <w:vAlign w:val="bottom"/>
          </w:tcPr>
          <w:p>
            <w:pPr>
              <w:pStyle w:val="TableContents"/>
              <w:spacing w:before="0" w:after="283"/>
              <w:jc w:val="left"/>
              <w:rPr/>
            </w:pPr>
            <w:r>
              <w:rPr/>
              <w:t xml:space="preserve">  </w:t>
            </w:r>
          </w:p>
        </w:tc>
        <w:tc>
          <w:tcPr>
            <w:tcW w:w="1816"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257,867</w:t>
            </w:r>
          </w:p>
        </w:tc>
        <w:tc>
          <w:tcPr>
            <w:tcW w:w="128" w:type="dxa"/>
            <w:tcBorders/>
            <w:shd w:fill="CCEEFF" w:val="clear"/>
            <w:tcMar>
              <w:bottom w:w="0" w:type="dxa"/>
            </w:tcMar>
            <w:vAlign w:val="bottom"/>
          </w:tcPr>
          <w:p>
            <w:pPr>
              <w:pStyle w:val="TableContents"/>
              <w:spacing w:before="0" w:after="283"/>
              <w:jc w:val="left"/>
              <w:rPr/>
            </w:pPr>
            <w:r>
              <w:rPr/>
              <w:t xml:space="preserve">  </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15" w:name="PGBRK40"/>
      <w:bookmarkStart w:id="416" w:name="PGBRK40"/>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17" w:name="FTR40"/>
      <w:bookmarkStart w:id="418" w:name="FTR40"/>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19" w:name="GLFTR40"/>
      <w:bookmarkEnd w:id="4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0" w:name="PN40"/>
      <w:bookmarkEnd w:id="420"/>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21" w:name="HDR40"/>
      <w:bookmarkStart w:id="422" w:name="HDR40"/>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423" w:name="GLHDR40"/>
        <w:bookmarkEnd w:id="4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2008 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Shareholders of VistaGen California adopted our 2008 Plan on December 19, 2008.  We assumed the 2008 Plan in connection with the Merger.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Times New Roman" w:hAnsi="Times New Roman"/>
          <w:i/>
          <w:sz w:val="20"/>
        </w:rPr>
        <w:t>Code</w:t>
      </w:r>
      <w:r>
        <w:rPr>
          <w:rFonts w:ascii="Times New Roman" w:hAnsi="Times New Roman"/>
          <w:sz w:val="20"/>
        </w:rPr>
        <w:t>”), is 5,000,000.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parent or subsidiary of us, the exercise price of any incentive stock option granted must not be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424" w:name="eolPage71"/>
      <w:bookmarkEnd w:id="424"/>
      <w:r>
        <w:rPr>
          <w:rFonts w:ascii="Times New Roman" w:hAnsi="Times New Roman"/>
          <w:sz w:val="20"/>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by will and by the laws of descent and distribution;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16" w:hanging="0"/>
              <w:jc w:val="center"/>
              <w:rPr/>
            </w:pPr>
            <w:r>
              <w:rPr/>
              <w:t>•</w:t>
            </w:r>
          </w:p>
        </w:tc>
        <w:tc>
          <w:tcPr>
            <w:tcW w:w="959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during the lifetime of the participant, to the extent and in the manner authorized by the Administrator by gift or pursuant to a domestic relations order to members of the participant’s immediate family.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2008 Plan permits the designation of beneficiaries by holders of awards, including incentive 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5" w:name="PGBRK41"/>
      <w:bookmarkStart w:id="426" w:name="PGBRK41"/>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7" w:name="FTR41"/>
      <w:bookmarkStart w:id="428" w:name="FTR41"/>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9" w:name="GLFTR41"/>
      <w:bookmarkEnd w:id="4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0" w:name="PN41"/>
      <w:bookmarkEnd w:id="430"/>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HDR41"/>
      <w:bookmarkStart w:id="432" w:name="HDR41"/>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33" w:name="GLHDR41"/>
        <w:bookmarkEnd w:id="43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2"/>
        <w:gridCol w:w="643"/>
        <w:gridCol w:w="8920"/>
      </w:tblGrid>
      <w:tr>
        <w:trPr/>
        <w:tc>
          <w:tcPr>
            <w:tcW w:w="642" w:type="dxa"/>
            <w:tcBorders/>
            <w:shd w:fill="auto" w:val="clear"/>
          </w:tcPr>
          <w:p>
            <w:pPr>
              <w:pStyle w:val="TableContents"/>
              <w:spacing w:before="0" w:after="283"/>
              <w:jc w:val="left"/>
              <w:rPr/>
            </w:pPr>
            <w:r>
              <w:rPr/>
              <w:t xml:space="preserve">  </w:t>
            </w:r>
          </w:p>
        </w:tc>
        <w:tc>
          <w:tcPr>
            <w:tcW w:w="643" w:type="dxa"/>
            <w:tcBorders/>
            <w:shd w:fill="auto" w:val="clear"/>
          </w:tcPr>
          <w:p>
            <w:pPr>
              <w:pStyle w:val="TableContents"/>
              <w:spacing w:before="0" w:after="0"/>
              <w:ind w:left="0" w:right="16" w:hanging="0"/>
              <w:jc w:val="left"/>
              <w:rPr/>
            </w:pPr>
            <w:r>
              <w:rPr/>
              <w:t>•</w:t>
            </w:r>
          </w:p>
        </w:tc>
        <w:tc>
          <w:tcPr>
            <w:tcW w:w="892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increase in share price;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5"/>
        <w:gridCol w:w="8916"/>
      </w:tblGrid>
      <w:tr>
        <w:trPr/>
        <w:tc>
          <w:tcPr>
            <w:tcW w:w="644"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earnings per share;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4"/>
        <w:gridCol w:w="8917"/>
      </w:tblGrid>
      <w:tr>
        <w:trPr/>
        <w:tc>
          <w:tcPr>
            <w:tcW w:w="644"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total shareholder return;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operating margin;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4"/>
        <w:gridCol w:w="8917"/>
      </w:tblGrid>
      <w:tr>
        <w:trPr/>
        <w:tc>
          <w:tcPr>
            <w:tcW w:w="644"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gross margin;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return on equity;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return on assets;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714"/>
        <w:gridCol w:w="8879"/>
      </w:tblGrid>
      <w:tr>
        <w:trPr/>
        <w:tc>
          <w:tcPr>
            <w:tcW w:w="612" w:type="dxa"/>
            <w:tcBorders/>
            <w:shd w:fill="auto" w:val="clear"/>
          </w:tcPr>
          <w:p>
            <w:pPr>
              <w:pStyle w:val="TableContents"/>
              <w:spacing w:before="0" w:after="283"/>
              <w:jc w:val="left"/>
              <w:rPr/>
            </w:pPr>
            <w:r>
              <w:rPr/>
              <w:t xml:space="preserve">  </w:t>
            </w:r>
          </w:p>
        </w:tc>
        <w:tc>
          <w:tcPr>
            <w:tcW w:w="714" w:type="dxa"/>
            <w:tcBorders/>
            <w:shd w:fill="auto" w:val="clear"/>
          </w:tcPr>
          <w:p>
            <w:pPr>
              <w:pStyle w:val="TableContents"/>
              <w:spacing w:before="0" w:after="0"/>
              <w:ind w:left="0" w:right="16" w:hanging="0"/>
              <w:jc w:val="left"/>
              <w:rPr/>
            </w:pPr>
            <w:r>
              <w:rPr/>
              <w:t>•</w:t>
            </w:r>
          </w:p>
        </w:tc>
        <w:tc>
          <w:tcPr>
            <w:tcW w:w="887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return on investment;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operating income;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net operating income;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4"/>
        <w:gridCol w:w="8917"/>
      </w:tblGrid>
      <w:tr>
        <w:trPr/>
        <w:tc>
          <w:tcPr>
            <w:tcW w:w="644"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pre-tax profit;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cash flow;</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revenue;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3"/>
        <w:gridCol w:w="8919"/>
      </w:tblGrid>
      <w:tr>
        <w:trPr/>
        <w:tc>
          <w:tcPr>
            <w:tcW w:w="643" w:type="dxa"/>
            <w:tcBorders/>
            <w:shd w:fill="auto" w:val="clear"/>
          </w:tcPr>
          <w:p>
            <w:pPr>
              <w:pStyle w:val="TableContents"/>
              <w:spacing w:before="0" w:after="283"/>
              <w:jc w:val="left"/>
              <w:rPr/>
            </w:pPr>
            <w:r>
              <w:rPr/>
              <w:t xml:space="preserve">  </w:t>
            </w:r>
          </w:p>
        </w:tc>
        <w:tc>
          <w:tcPr>
            <w:tcW w:w="643" w:type="dxa"/>
            <w:tcBorders/>
            <w:shd w:fill="auto" w:val="clear"/>
          </w:tcPr>
          <w:p>
            <w:pPr>
              <w:pStyle w:val="TableContents"/>
              <w:spacing w:before="0" w:after="0"/>
              <w:ind w:left="0" w:right="16" w:hanging="0"/>
              <w:jc w:val="left"/>
              <w:rPr/>
            </w:pPr>
            <w:r>
              <w:rPr/>
              <w:t>•</w:t>
            </w:r>
          </w:p>
        </w:tc>
        <w:tc>
          <w:tcPr>
            <w:tcW w:w="891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expenses;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earnings before interest, taxes and depreciation;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2"/>
        <w:gridCol w:w="643"/>
        <w:gridCol w:w="8920"/>
      </w:tblGrid>
      <w:tr>
        <w:trPr/>
        <w:tc>
          <w:tcPr>
            <w:tcW w:w="642" w:type="dxa"/>
            <w:tcBorders/>
            <w:shd w:fill="auto" w:val="clear"/>
          </w:tcPr>
          <w:p>
            <w:pPr>
              <w:pStyle w:val="TableContents"/>
              <w:spacing w:before="0" w:after="283"/>
              <w:jc w:val="left"/>
              <w:rPr/>
            </w:pPr>
            <w:r>
              <w:rPr/>
              <w:t xml:space="preserve">  </w:t>
            </w:r>
          </w:p>
        </w:tc>
        <w:tc>
          <w:tcPr>
            <w:tcW w:w="643" w:type="dxa"/>
            <w:tcBorders/>
            <w:shd w:fill="auto" w:val="clear"/>
          </w:tcPr>
          <w:p>
            <w:pPr>
              <w:pStyle w:val="TableContents"/>
              <w:spacing w:before="0" w:after="0"/>
              <w:ind w:left="0" w:right="16" w:hanging="0"/>
              <w:jc w:val="left"/>
              <w:rPr/>
            </w:pPr>
            <w:r>
              <w:rPr/>
              <w:t>•</w:t>
            </w:r>
          </w:p>
        </w:tc>
        <w:tc>
          <w:tcPr>
            <w:tcW w:w="892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economic value added;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market share.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Subject to any required action by our shareholders,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4" w:name="PGBRK42"/>
      <w:bookmarkStart w:id="435" w:name="PGBRK42"/>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FTR42"/>
      <w:bookmarkStart w:id="437" w:name="FTR42"/>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8" w:name="GLFTR42"/>
      <w:bookmarkEnd w:id="4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9" w:name="PN42"/>
      <w:bookmarkEnd w:id="439"/>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HDR42"/>
      <w:bookmarkStart w:id="441" w:name="HDR42"/>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42" w:name="GLHDR42"/>
        <w:bookmarkEnd w:id="4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our 2008 Plan, a Corporate Transaction is generally defined as: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8"/>
        <w:gridCol w:w="9597"/>
      </w:tblGrid>
      <w:tr>
        <w:trPr/>
        <w:tc>
          <w:tcPr>
            <w:tcW w:w="608" w:type="dxa"/>
            <w:tcBorders/>
            <w:shd w:fill="auto" w:val="clear"/>
          </w:tcPr>
          <w:p>
            <w:pPr>
              <w:pStyle w:val="TableContents"/>
              <w:spacing w:before="0" w:after="0"/>
              <w:ind w:left="0" w:right="0" w:hanging="0"/>
              <w:jc w:val="center"/>
              <w:rPr/>
            </w:pPr>
            <w:r>
              <w:rPr/>
              <w:t>•</w:t>
            </w:r>
          </w:p>
        </w:tc>
        <w:tc>
          <w:tcPr>
            <w:tcW w:w="959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16" w:hanging="0"/>
              <w:jc w:val="center"/>
              <w:rPr/>
            </w:pPr>
            <w:r>
              <w:rPr/>
              <w:t>•</w:t>
            </w:r>
          </w:p>
        </w:tc>
        <w:tc>
          <w:tcPr>
            <w:tcW w:w="959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sale, transfer or other disposition of all or substantially all of the assets of our Corporation;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16" w:hanging="0"/>
              <w:jc w:val="center"/>
              <w:rPr/>
            </w:pPr>
            <w:r>
              <w:rPr/>
              <w:t>•</w:t>
            </w:r>
          </w:p>
        </w:tc>
        <w:tc>
          <w:tcPr>
            <w:tcW w:w="959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merger or consolidation in which our Corporation is not the surviving entity; or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2"/>
        <w:gridCol w:w="9593"/>
      </w:tblGrid>
      <w:tr>
        <w:trPr/>
        <w:tc>
          <w:tcPr>
            <w:tcW w:w="612" w:type="dxa"/>
            <w:tcBorders/>
            <w:shd w:fill="auto" w:val="clear"/>
          </w:tcPr>
          <w:p>
            <w:pPr>
              <w:pStyle w:val="TableContents"/>
              <w:spacing w:before="0" w:after="0"/>
              <w:ind w:left="0" w:right="16" w:hanging="0"/>
              <w:jc w:val="center"/>
              <w:rPr/>
            </w:pPr>
            <w:r>
              <w:rPr/>
              <w:t>•</w:t>
            </w:r>
          </w:p>
        </w:tc>
        <w:tc>
          <w:tcPr>
            <w:tcW w:w="959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complete liquidation or dissolution.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we have options to purchase an aggregate of 4,442,133 restricted shares of common stock outstanding under our 2008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1999 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California’s Board of Directors adopted the 1999 Plan on December 6, 1999.  The 1999 Plan has terminated under its own terms, and as a result, no awards may currently be granted under the 1999 Plan. However, the options and awards that have already been granted pursuant to the 1999 Plan remain operative.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3" w:name="PGBRK43"/>
      <w:bookmarkStart w:id="444" w:name="PGBRK43"/>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 w:name="FTR43"/>
      <w:bookmarkStart w:id="446" w:name="FTR43"/>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7" w:name="GLFTR43"/>
      <w:bookmarkEnd w:id="4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8" w:name="PN43"/>
      <w:bookmarkEnd w:id="448"/>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 w:name="HDR43"/>
      <w:bookmarkStart w:id="450" w:name="HDR43"/>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51" w:name="GLHDR43"/>
        <w:bookmarkEnd w:id="45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1999 Plan permitted VistaGen California to make grants of incentive stock options, non-qualified stock options and restricted stock awards. VistaGen California initially reserved 450,000 restricted shares of its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we have options outstanding under our 1999 Plan to purchase an aggregate of 470,471 restricted shares of our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three years preceding the date of this report, we issued the following securities which were not registered under the Securities Act of 1933, as amended (the “</w:t>
      </w:r>
      <w:r>
        <w:rPr>
          <w:rFonts w:ascii="Times New Roman" w:hAnsi="Times New Roman"/>
          <w:i/>
          <w:sz w:val="20"/>
        </w:rPr>
        <w:t>Securities Act</w:t>
      </w:r>
      <w:r>
        <w:rPr>
          <w:rFonts w:ascii="Times New Roman" w:hAnsi="Times New Roman"/>
          <w:sz w:val="20"/>
        </w:rPr>
        <w:t>”) and that have not been previously reported in a Quarterly Report on Form 10-Q or a Current Report on Form 8-K: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2" w:name="PGBRK44"/>
      <w:bookmarkStart w:id="453" w:name="PGBRK44"/>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4" w:name="FTR44"/>
      <w:bookmarkStart w:id="455" w:name="FTR44"/>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6" w:name="GLFTR44"/>
      <w:bookmarkEnd w:id="4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7" w:name="PN44"/>
      <w:bookmarkEnd w:id="457"/>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8" w:name="HDR44"/>
      <w:bookmarkStart w:id="459" w:name="HDR44"/>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60" w:name="GLHDR44"/>
        <w:bookmarkEnd w:id="46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2012 Private Placement of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Between January 2013 and March 2013, we sold 1,415,074 Units in a private placement to 25 accredited investors and received cash proceeds of $657,537 and settled outstanding amounts payable for professional fees in lieu of cash payment for services in the amount of $50,000.  We sold the Units for $0.50 per Unit, with each Unit consisting of one restricted share of our common stock and a five-year warrant to purchase one half (1/2) of one restricted share of our common stock at an exercise price of $1.50 per share.  We have used the proceeds from the sale of the Units for general corporate purposes.  We offered and sold the Units in transactions exempt from registration under the Securities Act, in reliance on Section 4(2) thereof and Rule 506 of Regulation D thereunder.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bookmarkStart w:id="461" w:name="it67j1"/>
      <w:bookmarkEnd w:id="461"/>
      <w:r>
        <w:rPr>
          <w:rFonts w:ascii="Times New Roman" w:hAnsi="Times New Roman"/>
          <w:sz w:val="20"/>
        </w:rPr>
        <w:t>I</w:t>
      </w:r>
      <w:bookmarkStart w:id="462" w:name="it67j"/>
      <w:bookmarkEnd w:id="462"/>
      <w:r>
        <w:rPr>
          <w:rFonts w:ascii="Times New Roman" w:hAnsi="Times New Roman"/>
          <w:b/>
          <w:sz w:val="20"/>
        </w:rPr>
        <w:t>tem 6.  Selected Financial Data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disclosures in this section are not required since we qualify as a smaller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  Management’s Discussion and Analysis of Financial Condition and Results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contains forward-looking statements that are based on the current beliefs of our management, as well as current assumptions made by, and information currently available to, our management. All statements contained in the discussion below, other than statements that are purely historical, are forward-looking statements. These forward-looking statements are subject to risks and uncertainties that could cause our future actual results, performance or achievements to differ materially from those expressed in, or implied by, any such forward-looking statements as a result of certain factors, including, but not limited to, those risks and uncertainties discussed in this section, as well as in the section entitled “Risk Factors,” and elsewhere in our other filings with the SEC.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 See “Cautionary Note Regarding Forward-Looking Statements” elsewhere in this Annual Report on Form 10-K.</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and in our other filings with the Securities and Exchange Commission. Further, even if our product candidates appear promising at various stages of development, our share price may decrease such that we are unable to raise additional capital without dilution or other terms that may be unacceptable to our management, Board of Directors and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Investors are cautioned not to place undue reliance on the forward-looking statements contained herein. Additionally, unless otherwise stated, the forward-looking statements contained in this report are made as of the date of this report, and we have no intention and undertake no obligation to update or revise any forward-looking statements, whether as a result of new information, future events or otherwise,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Business 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applying human pluripotent stem cell technology for drug rescue and regenerative cell therapy.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3" w:name="PGBRK45"/>
      <w:bookmarkStart w:id="464" w:name="PGBRK45"/>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FTR45"/>
      <w:bookmarkStart w:id="466" w:name="FTR45"/>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7" w:name="GLFTR45"/>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8" w:name="PN45"/>
      <w:bookmarkEnd w:id="468"/>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HDR45"/>
      <w:bookmarkStart w:id="470" w:name="HDR45"/>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71" w:name="GLHDR45"/>
        <w:bookmarkEnd w:id="4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Drug rescue involves the combination of human pluripotent stem cell technology with modern medicinal chemistry to generate new chemical variants (“</w:t>
      </w:r>
      <w:r>
        <w:rPr>
          <w:rFonts w:ascii="Times New Roman" w:hAnsi="Times New Roman"/>
          <w:i/>
          <w:sz w:val="20"/>
        </w:rPr>
        <w:t>Drug Rescue Variants</w:t>
      </w:r>
      <w:r>
        <w:rPr>
          <w:rFonts w:ascii="Times New Roman" w:hAnsi="Times New Roman"/>
          <w:sz w:val="20"/>
        </w:rPr>
        <w:t xml:space="preserve">”) of promising small molecule drug candidates that pharmaceutical or biotechnology companies have discontinued during development due to unexpected safety concerns involving the heart and/or liver. We anticipate that our stem cell technology platform, </w:t>
      </w:r>
      <w:r>
        <w:rPr>
          <w:rFonts w:ascii="Times New Roman" w:hAnsi="Times New Roman"/>
          <w:i/>
          <w:sz w:val="20"/>
        </w:rPr>
        <w:t>Human Clinical Trials in a Test Tube</w:t>
      </w:r>
      <w:r>
        <w:rPr>
          <w:rFonts w:ascii="Times New Roman" w:hAnsi="Times New Roman"/>
          <w:smallCaps/>
          <w:sz w:val="20"/>
        </w:rPr>
        <w:t>tm</w:t>
      </w:r>
      <w:r>
        <w:rPr>
          <w:rFonts w:ascii="Times New Roman" w:hAnsi="Times New Roman"/>
          <w:sz w:val="20"/>
        </w:rPr>
        <w:t xml:space="preserve">, will allow us to assess the heart and liver toxicity profile of new drug candidates with greater speed and precision than </w:t>
      </w:r>
      <w:r>
        <w:rPr>
          <w:rFonts w:ascii="Times New Roman" w:hAnsi="Times New Roman"/>
          <w:i/>
          <w:sz w:val="20"/>
        </w:rPr>
        <w:t>in vitro</w:t>
      </w:r>
      <w:r>
        <w:rPr>
          <w:rFonts w:ascii="Times New Roman" w:hAnsi="Times New Roman"/>
          <w:sz w:val="20"/>
        </w:rPr>
        <w:t xml:space="preserve"> techniques and technologies currently used in the drug development process.  Our drug rescue model is designed to leverage both substantial prior third-party investment in discovery and development of once-promising drug candidates which ultimately were discontinued prior to market approval and the predictive toxicology and other drug development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 is based on a combination of proprietary and exclusively licensed stem cell technologies, including technologies developed over the last 20 years by VistaGen California’s co-founder and Canadian scientist, Dr. Gordon Keller, and Dr. Ralph Snodgrass, VistaGen California’s co-founder, and our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for drug rescue and development. Dr. Snodgrass has over 20 years of experience in both academia and industry in the development and application of stem cell differentiation systems for drug discovery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With mature heart cells produced from stem cells, we have developed </w:t>
      </w:r>
      <w:r>
        <w:rPr>
          <w:rFonts w:ascii="Times New Roman" w:hAnsi="Times New Roman"/>
          <w:i/>
          <w:sz w:val="20"/>
        </w:rPr>
        <w:t>CardioSafe 3D</w:t>
      </w:r>
      <w:r>
        <w:rPr>
          <w:rFonts w:ascii="Times New Roman" w:hAnsi="Times New Roman"/>
          <w:sz w:val="20"/>
        </w:rPr>
        <w:t xml:space="preserve"> ™, a three-dimensional (“3D”) bioassay system. We believe </w:t>
      </w:r>
      <w:r>
        <w:rPr>
          <w:rFonts w:ascii="Times New Roman" w:hAnsi="Times New Roman"/>
          <w:i/>
          <w:sz w:val="20"/>
        </w:rPr>
        <w:t>CardioSafe 3D</w:t>
      </w:r>
      <w:r>
        <w:rPr>
          <w:rFonts w:ascii="Times New Roman" w:hAnsi="Times New Roman"/>
          <w:sz w:val="20"/>
        </w:rPr>
        <w:t xml:space="preserve"> ™ is capable of predicting the </w:t>
      </w:r>
      <w:r>
        <w:rPr>
          <w:rFonts w:ascii="Times New Roman" w:hAnsi="Times New Roman"/>
          <w:i/>
          <w:sz w:val="20"/>
        </w:rPr>
        <w:t>in vivo</w:t>
      </w:r>
      <w:r>
        <w:rPr>
          <w:rFonts w:ascii="Times New Roman" w:hAnsi="Times New Roman"/>
          <w:sz w:val="20"/>
        </w:rPr>
        <w:t xml:space="preserve"> cardiac effects, both toxic and non-toxic, of small molecule drug candidates before they are tested in humans. Our immediate goal is to leverage </w:t>
      </w:r>
      <w:r>
        <w:rPr>
          <w:rFonts w:ascii="Times New Roman" w:hAnsi="Times New Roman"/>
          <w:i/>
          <w:sz w:val="20"/>
        </w:rPr>
        <w:t>CardioSafe 3D</w:t>
      </w:r>
      <w:r>
        <w:rPr>
          <w:rFonts w:ascii="Times New Roman" w:hAnsi="Times New Roman"/>
          <w:sz w:val="20"/>
        </w:rPr>
        <w:t xml:space="preserve"> ™ to generate and monetize a pipeline of small molecule drug candidates through drug rescue collaborations. We intend to expand our drug rescue capabilities by developing </w:t>
      </w:r>
      <w:r>
        <w:rPr>
          <w:rFonts w:ascii="Times New Roman" w:hAnsi="Times New Roman"/>
          <w:i/>
          <w:sz w:val="20"/>
        </w:rPr>
        <w:t>LiverSafe 3D</w:t>
      </w:r>
      <w:r>
        <w:rPr>
          <w:rFonts w:ascii="Times New Roman" w:hAnsi="Times New Roman"/>
          <w:sz w:val="20"/>
        </w:rPr>
        <w:t xml:space="preserve"> ™, a human liver cell-based bioassay system for assessing potential liver toxicity and adverse drug-drug interactions.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parallel with our drug rescue activities, we plan to advance pilot nonclinical development of regenerative cell therapy programs focused on blood, cartilage, heart, liver and pancreas cells. Each of these regenerative cell therapy programs is based on the proprietary differentiation and production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grant funding from the U.S. National Institutes of Health (“NIH”), we have successfully completed Phase 1 development of AV-101 during calendar 2012.  AV-101 is an orally available small molecule prodrug candidate aimed at the multi-billion dollar neurological disease and disorders market, including neuropathic pain, a serious and chronic condition causing pain after an injury or disease of the peripheral or central nervous system. Neuropathic pain affects approximately 1.8 million people in the U.S. alone. To date, we have been awarded over $8.8 million of grant funding from the NIH for non-clinical and Phase I 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immediate plan is to utilize the vast amount of information available in the public domain with respect to potential small molecule drug candidates for inclusion in our drug rescue programs.  We may also seek to acquire rights to drug rescue candidates that third-parties, including academic research institutions and biotechnology, medicinal chemistry and pharmaceutical companies have discontinued due to unexpected safety concerns involving the heart and/or liver.  In connection with our drug rescue programs, we will collaborate with contract medicinal chemistry and other third parties to generate and assess the therapeutics and commercial potential of each Drug Rescue Variant we generate. We plan to have economic participation rights in each Drug Rescue Variant we are able to generate in connection with our projected drug rescue programs.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2" w:name="PGBRK46"/>
      <w:bookmarkStart w:id="473" w:name="PGBRK46"/>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 w:name="FTR46"/>
      <w:bookmarkStart w:id="475" w:name="FTR46"/>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6" w:name="GLFTR46"/>
      <w:bookmarkEnd w:id="4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7" w:name="PN46"/>
      <w:bookmarkEnd w:id="477"/>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 w:name="HDR46"/>
      <w:bookmarkStart w:id="479" w:name="HDR46"/>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80" w:name="GLHDR46"/>
        <w:bookmarkEnd w:id="48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Merger</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rPr>
        <w:t>VistaGen Therapeutics, Inc., a California corporation (“</w:t>
      </w:r>
      <w:r>
        <w:rPr>
          <w:rFonts w:ascii="Times New Roman" w:hAnsi="Times New Roman"/>
          <w:i/>
          <w:sz w:val="20"/>
        </w:rPr>
        <w:t>VistaGen California</w:t>
      </w:r>
      <w:r>
        <w:rPr>
          <w:rFonts w:ascii="Times New Roman" w:hAnsi="Times New Roman"/>
          <w:sz w:val="20"/>
        </w:rPr>
        <w:t>”) is a wholly-owned subsidiary of the Company.  VistaGen California was incorporated in California on May 26, 1998 . Excaliber Enterprises, Ltd. (</w:t>
      </w:r>
      <w:r>
        <w:rPr>
          <w:rFonts w:ascii="Times New Roman" w:hAnsi="Times New Roman"/>
          <w:i/>
          <w:sz w:val="20"/>
        </w:rPr>
        <w:t>Excaliber</w:t>
      </w:r>
      <w:r>
        <w:rPr>
          <w:rFonts w:ascii="Times New Roman" w:hAnsi="Times New Roman"/>
          <w:sz w:val="20"/>
        </w:rPr>
        <w:t>), a publicly-held company (formerly OTCBB:EXCA), was incorporated under the laws of the State of Nevada on October 6, 2005.  After being unable to generate material revenues based on its original business plan, Excaliber became inactive in 2007.  In May 2011, after assessing the prospects associated with its original business plan and the business opportunities associated with a strategic merger with an established, privately-held, biotechnology company seeking the potential advantages of being a publicly-held company, Excaliber’s Board of Directors agreed to pursue a strategic merger with VistaGen California.</w:t>
      </w: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pursuant to a strategic merger transaction with VistaGen California, Excaliber acquired all outstanding shares of VistaGen California in exchange for 6,836,452 restricted shares of Excaliber’s common stock (the “</w:t>
      </w:r>
      <w:r>
        <w:rPr>
          <w:rFonts w:ascii="Times New Roman" w:hAnsi="Times New Roman"/>
          <w:i/>
          <w:sz w:val="20"/>
        </w:rPr>
        <w:t>Merger</w:t>
      </w:r>
      <w:r>
        <w:rPr>
          <w:rFonts w:ascii="Times New Roman" w:hAnsi="Times New Roman"/>
          <w:sz w:val="20"/>
        </w:rPr>
        <w:t>”), and Excaliber assumed all of VistaGen California’s pre-Merger obligations to contingently issue restricted shares of common stock in accordance with VistaGen California’s stock option agreements, warrant agreements, and a convertible promissory note.  In connection with the Merger, Excaliber repurchased 5,064,207 shares of Excaliber common stock from two of its stockholders for a nominal amount, resulting in a total of 784,500 shares of Excaliber common stock outstanding at the date of the Merger.  The 6,836,452 restricted shares issued to VistaGen California stockholders in connection with the Merger represented approximately 90% of Excaliber’s outstanding shares of common stock after the closing of the Merger.  As a result of the Merger, the biotechnology business of VistaGen California became the operating business of Excaliber. Shortly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481" w:name="list23"/>
      <w:bookmarkStart w:id="482" w:name="list23"/>
      <w:bookmarkEnd w:id="482"/>
    </w:p>
    <w:tbl>
      <w:tblPr>
        <w:tblW w:w="5000" w:type="pct"/>
        <w:jc w:val="left"/>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the pre-Merger directors of VistaGen California was appointed as a director of Excaliber;</w:t>
            </w:r>
          </w:p>
        </w:tc>
      </w:tr>
    </w:tbl>
    <w:p>
      <w:pPr>
        <w:pStyle w:val="Normal"/>
        <w:spacing w:before="0" w:after="0"/>
        <w:rPr>
          <w:sz w:val="4"/>
          <w:szCs w:val="4"/>
        </w:rPr>
      </w:pPr>
      <w:r>
        <w:rPr>
          <w:sz w:val="4"/>
          <w:szCs w:val="4"/>
        </w:rPr>
      </w:r>
      <w:bookmarkStart w:id="483" w:name="list24"/>
      <w:bookmarkStart w:id="484" w:name="list24"/>
      <w:bookmarkEnd w:id="484"/>
    </w:p>
    <w:tbl>
      <w:tblPr>
        <w:tblW w:w="5000" w:type="pct"/>
        <w:jc w:val="left"/>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pre-Merger directors and officers of Excaliber resigned as officers and directors of Excaliber;</w:t>
            </w:r>
          </w:p>
        </w:tc>
      </w:tr>
    </w:tbl>
    <w:p>
      <w:pPr>
        <w:pStyle w:val="Normal"/>
        <w:spacing w:before="0" w:after="0"/>
        <w:rPr>
          <w:sz w:val="4"/>
          <w:szCs w:val="4"/>
        </w:rPr>
      </w:pPr>
      <w:r>
        <w:rPr>
          <w:sz w:val="4"/>
          <w:szCs w:val="4"/>
        </w:rPr>
      </w:r>
      <w:bookmarkStart w:id="485" w:name="list25"/>
      <w:bookmarkStart w:id="486" w:name="list25"/>
      <w:bookmarkEnd w:id="486"/>
    </w:p>
    <w:tbl>
      <w:tblPr>
        <w:tblW w:w="5000" w:type="pct"/>
        <w:jc w:val="left"/>
        <w:tblInd w:w="0" w:type="dxa"/>
        <w:tblCellMar>
          <w:top w:w="0" w:type="dxa"/>
          <w:left w:w="0" w:type="dxa"/>
          <w:bottom w:w="0" w:type="dxa"/>
          <w:right w:w="0" w:type="dxa"/>
        </w:tblCellMar>
      </w:tblPr>
      <w:tblGrid>
        <w:gridCol w:w="135"/>
        <w:gridCol w:w="10070"/>
      </w:tblGrid>
      <w:tr>
        <w:trPr/>
        <w:tc>
          <w:tcPr>
            <w:tcW w:w="135"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VistaGen California’s pre-Merger officers was appointed an officer of like tenor of Excaliber;</w:t>
            </w:r>
          </w:p>
        </w:tc>
      </w:tr>
    </w:tbl>
    <w:p>
      <w:pPr>
        <w:pStyle w:val="Normal"/>
        <w:spacing w:before="0" w:after="0"/>
        <w:rPr>
          <w:sz w:val="4"/>
          <w:szCs w:val="4"/>
        </w:rPr>
      </w:pPr>
      <w:r>
        <w:rPr>
          <w:sz w:val="4"/>
          <w:szCs w:val="4"/>
        </w:rPr>
      </w:r>
      <w:bookmarkStart w:id="487" w:name="list26"/>
      <w:bookmarkStart w:id="488" w:name="list26"/>
      <w:bookmarkEnd w:id="488"/>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post-Merger directors of Excaliber (consisting of the pre-Merger directors of VistaGen California) approved a two-for-one (2:1) stock split of Excaliber’s common stock;</w:t>
            </w:r>
          </w:p>
        </w:tc>
      </w:tr>
    </w:tbl>
    <w:p>
      <w:pPr>
        <w:pStyle w:val="Normal"/>
        <w:spacing w:before="0" w:after="0"/>
        <w:rPr>
          <w:sz w:val="4"/>
          <w:szCs w:val="4"/>
        </w:rPr>
      </w:pPr>
      <w:r>
        <w:rPr>
          <w:sz w:val="4"/>
          <w:szCs w:val="4"/>
        </w:rPr>
      </w:r>
      <w:bookmarkStart w:id="489" w:name="list27"/>
      <w:bookmarkStart w:id="490" w:name="list27"/>
      <w:bookmarkEnd w:id="490"/>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post-Merger directors of Excaliber approved an increase in the number of shares of common stock Excaliber was authorized to issue from 200 million to 400 million shares, (see Note 9, </w:t>
            </w:r>
            <w:r>
              <w:rPr>
                <w:rFonts w:ascii="Times New Roman" w:hAnsi="Times New Roman"/>
                <w:i/>
                <w:sz w:val="20"/>
              </w:rPr>
              <w:t xml:space="preserve">Capital Stock, </w:t>
            </w:r>
            <w:r>
              <w:rPr>
                <w:rFonts w:ascii="Times New Roman" w:hAnsi="Times New Roman"/>
                <w:sz w:val="20"/>
              </w:rPr>
              <w:t>to the Consolidated Financial Statements included in Item 8 of this Annual Report on Form 10-K);</w:t>
            </w:r>
          </w:p>
        </w:tc>
      </w:tr>
    </w:tbl>
    <w:p>
      <w:pPr>
        <w:pStyle w:val="Normal"/>
        <w:spacing w:before="0" w:after="0"/>
        <w:rPr>
          <w:sz w:val="4"/>
          <w:szCs w:val="4"/>
        </w:rPr>
      </w:pPr>
      <w:r>
        <w:rPr>
          <w:sz w:val="4"/>
          <w:szCs w:val="4"/>
        </w:rPr>
      </w:r>
      <w:bookmarkStart w:id="491" w:name="list28"/>
      <w:bookmarkStart w:id="492" w:name="list28"/>
      <w:bookmarkEnd w:id="492"/>
    </w:p>
    <w:tbl>
      <w:tblPr>
        <w:tblW w:w="5000" w:type="pct"/>
        <w:jc w:val="left"/>
        <w:tblInd w:w="0" w:type="dxa"/>
        <w:tblCellMar>
          <w:top w:w="0" w:type="dxa"/>
          <w:left w:w="0" w:type="dxa"/>
          <w:bottom w:w="0" w:type="dxa"/>
          <w:right w:w="0" w:type="dxa"/>
        </w:tblCellMar>
      </w:tblPr>
      <w:tblGrid>
        <w:gridCol w:w="196"/>
        <w:gridCol w:w="10009"/>
      </w:tblGrid>
      <w:tr>
        <w:trPr/>
        <w:tc>
          <w:tcPr>
            <w:tcW w:w="196"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name was changed to “VistaGen Therapeutics, Inc.”; and</w:t>
            </w:r>
          </w:p>
        </w:tc>
      </w:tr>
    </w:tbl>
    <w:p>
      <w:pPr>
        <w:pStyle w:val="Normal"/>
        <w:spacing w:before="0" w:after="0"/>
        <w:rPr>
          <w:sz w:val="4"/>
          <w:szCs w:val="4"/>
        </w:rPr>
      </w:pPr>
      <w:r>
        <w:rPr>
          <w:sz w:val="4"/>
          <w:szCs w:val="4"/>
        </w:rPr>
      </w:r>
      <w:bookmarkStart w:id="493" w:name="list29"/>
      <w:bookmarkStart w:id="494" w:name="list29"/>
      <w:bookmarkEnd w:id="494"/>
    </w:p>
    <w:tbl>
      <w:tblPr>
        <w:tblW w:w="5000" w:type="pct"/>
        <w:jc w:val="left"/>
        <w:tblInd w:w="0" w:type="dxa"/>
        <w:tblCellMar>
          <w:top w:w="0" w:type="dxa"/>
          <w:left w:w="0" w:type="dxa"/>
          <w:bottom w:w="0" w:type="dxa"/>
          <w:right w:w="0" w:type="dxa"/>
        </w:tblCellMar>
      </w:tblPr>
      <w:tblGrid>
        <w:gridCol w:w="147"/>
        <w:gridCol w:w="10058"/>
      </w:tblGrid>
      <w:tr>
        <w:trPr/>
        <w:tc>
          <w:tcPr>
            <w:tcW w:w="147"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VistaGen California's fiscal year-end of March 31 was adopted as Excaliber’s fiscal year-end.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California, as the accounting acquirer in the Merger, recorded the Merger as the issuance of stock for the net monetary assets of Excaliber, accompanied by a recapitalization.  This accounting for the Merger was identical to that resulting from a reverse acquisition, except that no goodwill or other intangible assets were recorded.  A total of 1,569,000 shares of common stock, representing the 784,500 shares held by stockholders of Excaliber immediately prior to the Merger and effected for the post-Merger two-for-one (2:1) stock split mentioned above, have been retroactively reflected as outstanding for the period prior to the Merger in the fiscal year ended March 31, 2012 for purposes of determining basic and diluted loss per common share in the Consolidated Statements of Operations and Comprehensive Income of the Company included in Item 8 of this Form 10-K.  Additionally, the accompanying Consolidated Balance Sheets of the Company retroactively reflect the authorized capital stock and $0.001 par value of Excaliber’s common stock and the two-for one (2:1) stock split after the Merger.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included in this discussion and in the Consolidated Financial Statements of the Company included in Item 8 of this Form 10-K represent the activity of VistaGen California for the pre-Merger portion of fiscal 2012 and the consolidated activity of VistaGen California and Excaliber from May 11, 2011 (the date of the Merger) through March 31, 2013.  The activities and results of operations of Excaliber in the pre-Merger period presented were not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5" w:name="PGBRK47"/>
      <w:bookmarkStart w:id="496" w:name="PGBRK47"/>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 w:name="FTR47"/>
      <w:bookmarkStart w:id="498" w:name="FTR47"/>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9" w:name="GLFTR47"/>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0" w:name="PN47"/>
      <w:bookmarkEnd w:id="500"/>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 w:name="HDR47"/>
      <w:bookmarkStart w:id="502" w:name="HDR47"/>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03" w:name="GLHDR47"/>
        <w:bookmarkEnd w:id="5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Primary Merger-Related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Immediately preceding and concurrent with the Merger:</w:t>
      </w:r>
    </w:p>
    <w:p>
      <w:pPr>
        <w:pStyle w:val="TextBody"/>
        <w:spacing w:before="0" w:after="0"/>
        <w:ind w:left="0" w:right="0" w:hanging="0"/>
        <w:rPr/>
      </w:pPr>
      <w:r>
        <w:rPr/>
      </w:r>
    </w:p>
    <w:p>
      <w:pPr>
        <w:pStyle w:val="Normal"/>
        <w:spacing w:before="0" w:after="0"/>
        <w:rPr>
          <w:sz w:val="4"/>
          <w:szCs w:val="4"/>
        </w:rPr>
      </w:pPr>
      <w:r>
        <w:rPr>
          <w:sz w:val="4"/>
          <w:szCs w:val="4"/>
        </w:rPr>
      </w:r>
      <w:bookmarkStart w:id="504" w:name="list30"/>
      <w:bookmarkStart w:id="505" w:name="list30"/>
      <w:bookmarkEnd w:id="505"/>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VistaGen California sold 2,216,106 Units, consisting of one restricted share of VistaGen's common stock and a three-year warrant to purchase one-fourth (1/4) of one restricted share of VistaGen common stock at an exercise price of $2.50 per share, at a price of $1.75 per Unit in a private placement for aggregate gross offering proceeds of $3,878,197, including $2,369,194 in cash (“</w:t>
            </w:r>
            <w:r>
              <w:rPr>
                <w:rFonts w:ascii="Times New Roman" w:hAnsi="Times New Roman"/>
                <w:i/>
                <w:sz w:val="20"/>
              </w:rPr>
              <w:t>2011 Private Placement</w:t>
            </w:r>
            <w:r>
              <w:rPr>
                <w:rFonts w:ascii="Times New Roman" w:hAnsi="Times New Roman"/>
                <w:sz w:val="20"/>
              </w:rPr>
              <w:t>”).  The restricted shares and warrants issued in the 2011 Private Placement became restricted shares and warrants of the Company upon consummation of the Merger;</w:t>
            </w:r>
          </w:p>
        </w:tc>
      </w:tr>
    </w:tbl>
    <w:p>
      <w:pPr>
        <w:pStyle w:val="Normal"/>
        <w:spacing w:before="0" w:after="0"/>
        <w:rPr>
          <w:sz w:val="4"/>
          <w:szCs w:val="4"/>
        </w:rPr>
      </w:pPr>
      <w:r>
        <w:rPr>
          <w:sz w:val="4"/>
          <w:szCs w:val="4"/>
        </w:rPr>
      </w:r>
      <w:bookmarkStart w:id="506" w:name="list31"/>
      <w:bookmarkStart w:id="507" w:name="list31"/>
      <w:bookmarkEnd w:id="507"/>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Holders of certain promissory notes issued by VistaGen California from 2006 through 2010 converted their notes totaling $6,174,793, including principal and accrued but unpaid interest, into 3,528,290 Units at $1.75 per Unit.  These Units were the same Units issued in connection with the 2011 Private Placement. The restricted shares and warrants issued upon the conversion of such promissory notes became restricted shares and warrants of the Company upon consummation of the Merger; and   </w:t>
            </w:r>
          </w:p>
        </w:tc>
      </w:tr>
    </w:tbl>
    <w:p>
      <w:pPr>
        <w:pStyle w:val="Normal"/>
        <w:spacing w:before="0" w:after="0"/>
        <w:rPr>
          <w:sz w:val="4"/>
          <w:szCs w:val="4"/>
        </w:rPr>
      </w:pPr>
      <w:r>
        <w:rPr>
          <w:sz w:val="4"/>
          <w:szCs w:val="4"/>
        </w:rPr>
      </w:r>
      <w:bookmarkStart w:id="508" w:name="list32"/>
      <w:bookmarkStart w:id="509" w:name="list32"/>
      <w:bookmarkEnd w:id="509"/>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holders of VistaGen California's then-outstanding preferred stock converted all 2,884,655 of their restricted shares of VistaGen California preferred stock into 2,884,655 restricted shares of VistaGen California common stock, all of which shares became restricted shares of the Company upon consummation of the Merger.  See Note 8, </w:t>
            </w:r>
            <w:r>
              <w:rPr>
                <w:rFonts w:ascii="Times New Roman" w:hAnsi="Times New Roman"/>
                <w:i/>
                <w:sz w:val="20"/>
              </w:rPr>
              <w:t>Convertible Promissory Notes and other Notes Payable</w:t>
            </w:r>
            <w:r>
              <w:rPr>
                <w:rFonts w:ascii="Times New Roman" w:hAnsi="Times New Roman"/>
                <w:sz w:val="20"/>
              </w:rPr>
              <w:t xml:space="preserve"> and Note 9, </w:t>
            </w:r>
            <w:r>
              <w:rPr>
                <w:rFonts w:ascii="Times New Roman" w:hAnsi="Times New Roman"/>
                <w:i/>
                <w:sz w:val="20"/>
              </w:rPr>
              <w:t xml:space="preserve">Capital Stock, </w:t>
            </w:r>
            <w:r>
              <w:rPr>
                <w:rFonts w:ascii="Times New Roman" w:hAnsi="Times New Roman"/>
                <w:sz w:val="20"/>
              </w:rPr>
              <w:t>to the Consolidated Financial Statements included in Item 8 of this Form 10-K for a further description of these transactions.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2013, we had an accumulated deficit of $67.7 million. Our net loss for the years ended March 31, 2013 and 2012 was $12.9 million and $12.2 million, respectively. We expect these conditions to continue for the foreseeable future as we expand our drug rescue activities and the capabilities of our </w:t>
      </w:r>
      <w:r>
        <w:rPr>
          <w:rFonts w:ascii="Times New Roman" w:hAnsi="Times New Roman"/>
          <w:i/>
          <w:sz w:val="20"/>
        </w:rPr>
        <w:t>Human Clinical Trials in a Test Tube</w:t>
      </w:r>
      <w:r>
        <w:rPr>
          <w:rFonts w:ascii="Times New Roman" w:hAnsi="Times New Roman"/>
          <w:sz w:val="20"/>
        </w:rPr>
        <w:t>™ platform.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Summary of Fiscal Year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the fiscal year ending March 31, 2013, we have continued to expand the capabilities of </w:t>
      </w:r>
      <w:r>
        <w:rPr>
          <w:rFonts w:ascii="Times New Roman" w:hAnsi="Times New Roman"/>
          <w:i/>
          <w:sz w:val="20"/>
        </w:rPr>
        <w:t xml:space="preserve">CardioSafe </w:t>
      </w:r>
      <w:r>
        <w:rPr>
          <w:rFonts w:ascii="Times New Roman" w:hAnsi="Times New Roman"/>
          <w:sz w:val="20"/>
        </w:rPr>
        <w:t xml:space="preserve">3D™ and develop and validate </w:t>
      </w:r>
      <w:r>
        <w:rPr>
          <w:rFonts w:ascii="Times New Roman" w:hAnsi="Times New Roman"/>
          <w:i/>
          <w:sz w:val="20"/>
        </w:rPr>
        <w:t xml:space="preserve">LiverSafe </w:t>
      </w:r>
      <w:r>
        <w:rPr>
          <w:rFonts w:ascii="Times New Roman" w:hAnsi="Times New Roman"/>
          <w:sz w:val="20"/>
        </w:rPr>
        <w:t>3D™.  Additionally, we have continued to advance our review of prospective drug rescue candidates and successfully completed Phase 1 clinical development of AV-101.  We also directed concentrated effort to finalizing and analyzing the AV-101 Phase 1b clinical trial results and preparing final clinical study reports required under the terms of our NIH grant awards.  Our executive management has been significantly focused on providing sufficient operating capital to advance our research and development objectives while meeting our continuing operational needs. To that end, in June 2012 and October 2012 we entered into agreements with Platinum Long Term Growth VII, LLC (“</w:t>
      </w:r>
      <w:r>
        <w:rPr>
          <w:rFonts w:ascii="Times New Roman" w:hAnsi="Times New Roman"/>
          <w:i/>
          <w:sz w:val="20"/>
        </w:rPr>
        <w:t>Platinum</w:t>
      </w:r>
      <w:r>
        <w:rPr>
          <w:rFonts w:ascii="Times New Roman" w:hAnsi="Times New Roman"/>
          <w:sz w:val="20"/>
        </w:rPr>
        <w:t>”) pursuant to which we received an aggregate of $3.25 million in cash proceeds from the issuance of senior secured convertible promissory notes and related warrants to purchase 3.25 million restricted shares of our common stock. Subject to certain adjustments, these notes are convertible into restricted shares of our common stock at a conversion price of $0.50 per share and the warrants are exercisable at an exercise price of $0.50 per share.  Further, we modified Platinum’s exchange rights with respect to the 500,000 restricted shares of our Series A preferred stock that it holds.  Additionally, we entered into strategic debt restructuring agreements with certain long-term service providers and research and development collaborators to modify the payment requirements of our liabilities to them by significantly reducing the monthly cash payment requirements or, in several cases, to entirely restructure the liability so that it is now payable only in restricted shares of our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0" w:name="PGBRK48"/>
      <w:bookmarkStart w:id="511" w:name="PGBRK48"/>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 w:name="FTR48"/>
      <w:bookmarkStart w:id="513" w:name="FTR48"/>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4" w:name="GLFTR48"/>
      <w:bookmarkEnd w:id="5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5" w:name="PN48"/>
      <w:bookmarkEnd w:id="515"/>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6" w:name="HDR48"/>
      <w:bookmarkStart w:id="517" w:name="HDR48"/>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18" w:name="GLHDR48"/>
        <w:bookmarkEnd w:id="51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2012, we entered into such a strategic debt restructuring agreement with Morrison &amp; Foerster (“</w:t>
      </w:r>
      <w:r>
        <w:rPr>
          <w:rFonts w:ascii="Times New Roman" w:hAnsi="Times New Roman"/>
          <w:i/>
          <w:sz w:val="20"/>
        </w:rPr>
        <w:t>M&amp;F</w:t>
      </w:r>
      <w:r>
        <w:rPr>
          <w:rFonts w:ascii="Times New Roman" w:hAnsi="Times New Roman"/>
          <w:sz w:val="20"/>
        </w:rPr>
        <w:t>”), our former general corporate  counsel and continuing intellectual property counsel.  Pursuant to the M&amp;F strategic debt restructuring agreement, we converted approximately $1.4 million of our then-existing promissory note debt to M&amp;F into a new unsecured promissory note payable only in restricted shares of our common stock in connection with M&amp;F’s future exercise of a warrant to purchase approximately 1.4 million shares of our common stock at $1.00 per share, provided, however, that M&amp;F has the option to require us to repay the note in cash upon a change of control or event of default, as both are defined in the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October 2012, we entered into similar strategic debt restructuring agreements with Cato Research Ltd. (“</w:t>
      </w:r>
      <w:r>
        <w:rPr>
          <w:rFonts w:ascii="Times New Roman" w:hAnsi="Times New Roman"/>
          <w:i/>
          <w:sz w:val="20"/>
        </w:rPr>
        <w:t>CRL</w:t>
      </w:r>
      <w:r>
        <w:rPr>
          <w:rFonts w:ascii="Times New Roman" w:hAnsi="Times New Roman"/>
          <w:sz w:val="20"/>
        </w:rPr>
        <w:t>”), our CRO collaborator for development of AV-101, and University Health Network (“</w:t>
      </w:r>
      <w:r>
        <w:rPr>
          <w:rFonts w:ascii="Times New Roman" w:hAnsi="Times New Roman"/>
          <w:i/>
          <w:sz w:val="20"/>
        </w:rPr>
        <w:t>UHN</w:t>
      </w:r>
      <w:r>
        <w:rPr>
          <w:rFonts w:ascii="Times New Roman" w:hAnsi="Times New Roman"/>
          <w:sz w:val="20"/>
        </w:rPr>
        <w:t xml:space="preserve">”), our long-term stem cell research and development collaborator in Canada, in which we converted approximately $1.0 million of existing accounts payable debt owed to CRL and approximately $0.55 million of existing accounts payable debt owed to UHN into new notes payable only in restricted shares of our common stock in connection with future warrant exercises by CRL and UHN to purchase approximately 1,000,000 and 550,000 restricted shares of our common stock, respectively, at $1.00 per share. Additionally, we reduced the current monthly unsecured promissory note payment requirements with respect to existing debt of $1.0 million owed to M&amp;F and $0.3 million owed to Cato Holding Company.  The Platinum, M&amp;F, CRL and UHN debt restructuring transactions are described in greater detail in Note 8, </w:t>
      </w:r>
      <w:r>
        <w:rPr>
          <w:rFonts w:ascii="Times New Roman" w:hAnsi="Times New Roman"/>
          <w:i/>
          <w:sz w:val="20"/>
        </w:rPr>
        <w:t>Convertible Promissory Notes and Other Notes Payable</w:t>
      </w:r>
      <w:r>
        <w:rPr>
          <w:rFonts w:ascii="Times New Roman" w:hAnsi="Times New Roman"/>
          <w:sz w:val="20"/>
        </w:rPr>
        <w:t xml:space="preserve"> and Note 9, </w:t>
      </w:r>
      <w:r>
        <w:rPr>
          <w:rFonts w:ascii="Times New Roman" w:hAnsi="Times New Roman"/>
          <w:i/>
          <w:sz w:val="20"/>
        </w:rPr>
        <w:t>Capital Stock,</w:t>
      </w:r>
      <w:r>
        <w:rPr>
          <w:rFonts w:ascii="Times New Roman" w:hAnsi="Times New Roman"/>
          <w:sz w:val="20"/>
        </w:rPr>
        <w:t xml:space="preserve"> in the Consolidated Financial Statements included in Item 8 of this Annual Report on Form 10-K.  The accounting for these transactions resulted in the recognition in the financial statements for fiscal 2013 of (i) non-cash losses attributable to certain of the debt modifications (loss on early extinguishment of debt); (ii) liabilities related to certain of the warrants issued and potentially issuable to Platinum and the related non-cash expense attributable to the change in the fair value of the warrant liability during the period; (iii) non-cash interest expense attributable to the discounts recorded with respect to the Platinum, M&amp;F, CRL and UHN promissory notes; and (iv) a deemed dividend with respect to the modification of the exchange rights for the shares of our Series A Preferred stock held by Platinum and the related prospective issuance of a five-year warrant to purchase restricted shares of our common stock upon Platinum's exercise of its Series A Preferred Stock exchange rights.  These transactions and agreements, including the conversion of certain promissory notes into shares of restricted common stock, the exercise of warrants to purchase restricted common stock or Platinum’s exercise of its exchange rights with respect to the shares of our Series A Preferred stock it holds, will potentially require the issuance of a significant number of restricted shares of our common stock at various points in the future, which may be substantially dilutive to our existing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results of our operations for the fiscal years ended March 31, 2013 and 2012 (amounts in $000):</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479"/>
        <w:gridCol w:w="109"/>
        <w:gridCol w:w="125"/>
        <w:gridCol w:w="1011"/>
        <w:gridCol w:w="114"/>
        <w:gridCol w:w="109"/>
        <w:gridCol w:w="125"/>
        <w:gridCol w:w="1011"/>
        <w:gridCol w:w="122"/>
      </w:tblGrid>
      <w:tr>
        <w:trPr/>
        <w:tc>
          <w:tcPr>
            <w:tcW w:w="747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9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 Ended March 31,</w:t>
            </w:r>
          </w:p>
        </w:tc>
        <w:tc>
          <w:tcPr>
            <w:tcW w:w="122" w:type="dxa"/>
            <w:tcBorders/>
            <w:shd w:fill="auto" w:val="clear"/>
            <w:vAlign w:val="bottom"/>
          </w:tcPr>
          <w:p>
            <w:pPr>
              <w:pStyle w:val="TableContents"/>
              <w:spacing w:before="0" w:after="283"/>
              <w:jc w:val="left"/>
              <w:rPr/>
            </w:pPr>
            <w:r>
              <w:rPr/>
              <w:t> </w:t>
            </w:r>
          </w:p>
        </w:tc>
      </w:tr>
      <w:tr>
        <w:trPr/>
        <w:tc>
          <w:tcPr>
            <w:tcW w:w="747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2" w:type="dxa"/>
            <w:tcBorders/>
            <w:shd w:fill="auto" w:val="clear"/>
            <w:vAlign w:val="bottom"/>
          </w:tcPr>
          <w:p>
            <w:pPr>
              <w:pStyle w:val="TableContents"/>
              <w:spacing w:before="0" w:after="283"/>
              <w:jc w:val="left"/>
              <w:rPr/>
            </w:pPr>
            <w:r>
              <w:rPr/>
              <w:t> </w:t>
            </w:r>
          </w:p>
        </w:tc>
      </w:tr>
      <w:tr>
        <w:trPr/>
        <w:tc>
          <w:tcPr>
            <w:tcW w:w="747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74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9" w:type="dxa"/>
            <w:tcBorders/>
            <w:shd w:fill="auto" w:val="clear"/>
            <w:vAlign w:val="bottom"/>
          </w:tcPr>
          <w:p>
            <w:pPr>
              <w:pStyle w:val="TableContents"/>
              <w:spacing w:before="0" w:after="283"/>
              <w:jc w:val="left"/>
              <w:rPr/>
            </w:pPr>
            <w:r>
              <w:rPr/>
              <w:t> </w:t>
            </w:r>
          </w:p>
        </w:tc>
        <w:tc>
          <w:tcPr>
            <w:tcW w:w="1136" w:type="dxa"/>
            <w:gridSpan w:val="2"/>
            <w:tcBorders/>
            <w:shd w:fill="auto" w:val="clear"/>
            <w:vAlign w:val="bottom"/>
          </w:tcPr>
          <w:p>
            <w:pPr>
              <w:pStyle w:val="TableContents"/>
              <w:spacing w:before="0" w:after="0"/>
              <w:ind w:left="0" w:right="0" w:hanging="0"/>
              <w:jc w:val="left"/>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136" w:type="dxa"/>
            <w:gridSpan w:val="2"/>
            <w:tcBorders/>
            <w:shd w:fill="auto" w:val="clear"/>
            <w:vAlign w:val="bottom"/>
          </w:tcPr>
          <w:p>
            <w:pPr>
              <w:pStyle w:val="TableContents"/>
              <w:spacing w:before="0" w:after="0"/>
              <w:ind w:left="0" w:right="0" w:hanging="0"/>
              <w:jc w:val="left"/>
              <w:rPr/>
            </w:pPr>
            <w:r>
              <w:rPr/>
              <w:t> </w:t>
            </w:r>
          </w:p>
        </w:tc>
        <w:tc>
          <w:tcPr>
            <w:tcW w:w="122" w:type="dxa"/>
            <w:tcBorders/>
            <w:shd w:fill="auto"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22"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3,431</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22"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w:t>
            </w:r>
          </w:p>
        </w:tc>
        <w:tc>
          <w:tcPr>
            <w:tcW w:w="122" w:type="dxa"/>
            <w:tcBorders/>
            <w:shd w:fill="FFFFFF"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6,993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10,386</w:t>
            </w:r>
          </w:p>
        </w:tc>
        <w:tc>
          <w:tcPr>
            <w:tcW w:w="122"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(6,793</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(9,044</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 in warrant and put and note extension option liabilities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(1,636</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(3,568</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income</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(12,883</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(12,208</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(12,887</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(12,210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Deemed dividend on Series A Preferred Stock</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(10,193</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(23,080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(12,210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519" w:name="PGBRK49"/>
      <w:bookmarkStart w:id="520" w:name="PGBRK49"/>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521" w:name="FTR49"/>
      <w:bookmarkStart w:id="522" w:name="FTR49"/>
      <w:bookmarkEnd w:id="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23" w:name="GLFTR49"/>
      <w:bookmarkEnd w:id="5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4" w:name="PN49"/>
      <w:bookmarkEnd w:id="524"/>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525" w:name="HDR49"/>
      <w:bookmarkStart w:id="526" w:name="HDR49"/>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527" w:name="GLHDR49"/>
        <w:bookmarkEnd w:id="52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Revenue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primary sources of revenue for the fiscal years ended March 31, 2013 and 2012 were government grant awards from the NIH to pursue the development of AV-101 and from California Institute of Regenerative Medicine (“</w:t>
      </w:r>
      <w:r>
        <w:rPr>
          <w:rFonts w:ascii="Times New Roman" w:hAnsi="Times New Roman"/>
          <w:i/>
          <w:sz w:val="20"/>
        </w:rPr>
        <w:t>CIRM</w:t>
      </w:r>
      <w:r>
        <w:rPr>
          <w:rFonts w:ascii="Times New Roman" w:hAnsi="Times New Roman"/>
          <w:sz w:val="20"/>
        </w:rPr>
        <w:t>”) to develop our bioassay system for predictive liver toxicology and drug metabolism drug screening, and from a strategic research contract with third parties.  Our AV-101 grant from NIH accounted for 94% and 87% of our total revenue for fiscal year 2013 and 2012, respectively.  The NIH grant expired in its normal course on June 30, 2012 and has not been extended or renewed.  Our CIRM grant terminated in September 2011 and accounted for 6% of our total revenue in fiscal year 2012.  Government grant revenue typically reimburses us for expenses incurred in the subject research area plus a nominal allocation or fee to cover our related administrative and infrastructure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 represented approximately 49% and 52% of our operating expenses for the years ended March 31, 2013 and 2012, respectively.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0"/>
              <w:ind w:left="0" w:right="16" w:hanging="0"/>
              <w:jc w:val="center"/>
              <w:rPr/>
            </w:pPr>
            <w:r>
              <w:rPr/>
              <w:t>•</w:t>
            </w:r>
          </w:p>
        </w:tc>
        <w:tc>
          <w:tcPr>
            <w:tcW w:w="96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salaries, benefits, including stock-based compensation costs, travel and related expense for personnel associated with research and development activities;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0"/>
              <w:ind w:left="0" w:right="16" w:hanging="0"/>
              <w:jc w:val="center"/>
              <w:rPr/>
            </w:pPr>
            <w:r>
              <w:rPr/>
              <w:t>•</w:t>
            </w:r>
          </w:p>
        </w:tc>
        <w:tc>
          <w:tcPr>
            <w:tcW w:w="969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fees paid to contract research organizations and other professional service providers for services related to the conduct and analysis of clinical trials and other development activities;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16" w:hanging="0"/>
              <w:jc w:val="center"/>
              <w:rPr/>
            </w:pPr>
            <w:r>
              <w:rPr/>
              <w:t>•</w:t>
            </w:r>
          </w:p>
        </w:tc>
        <w:tc>
          <w:tcPr>
            <w:tcW w:w="969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fees paid to third parties for access to licensed technology and costs associated with securing and maintaining patents related to our internally generated inventions: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16" w:hanging="0"/>
              <w:jc w:val="center"/>
              <w:rPr/>
            </w:pPr>
            <w:r>
              <w:rPr/>
              <w:t>•</w:t>
            </w:r>
          </w:p>
        </w:tc>
        <w:tc>
          <w:tcPr>
            <w:tcW w:w="969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laboratory supplies and materials;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16" w:hanging="0"/>
              <w:jc w:val="center"/>
              <w:rPr/>
            </w:pPr>
            <w:r>
              <w:rPr/>
              <w:t>•</w:t>
            </w:r>
          </w:p>
        </w:tc>
        <w:tc>
          <w:tcPr>
            <w:tcW w:w="969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leasing and depreciation of laboratory equipment; and</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16" w:hanging="0"/>
              <w:jc w:val="center"/>
              <w:rPr/>
            </w:pPr>
            <w:r>
              <w:rPr/>
              <w:t>•</w:t>
            </w:r>
          </w:p>
        </w:tc>
        <w:tc>
          <w:tcPr>
            <w:tcW w:w="969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allocated costs of facilities and infrastructure.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  Following the Merger in May 2011, we increased our administrative headcount and engaged certain consulting services to meet our obligations as a public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Other Expenses, Net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incurred interest expense on the outstanding balance of our convertible promissory notes issued beginning in 2006, substantially all of which were converted into Units consisting of restricted common stock and warrants in May 2011 at a price of $1.75 per Unit in connection with the Merger.  We also incurred interest expense on the May 2011 Platinum Note prior to its exchange into our Series A Preferred Stock in December 2011, on the Senior Secured Convertible Promissory Notes issued to Platinum in October 2012 and in February 2013 and March 2013, and on various notes issued to certain service providers during the years ended March 31, 2011 and 2012 and on the new and modified notes issued to M&amp;F, CRL and UHN during the year ended March 31,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8" w:name="PGBRK50"/>
      <w:bookmarkStart w:id="529" w:name="PGBRK50"/>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0" w:name="FTR50"/>
      <w:bookmarkStart w:id="531" w:name="FTR50"/>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32" w:name="GLFTR50"/>
      <w:bookmarkEnd w:id="5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3" w:name="PN50"/>
      <w:bookmarkEnd w:id="533"/>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4" w:name="HDR50"/>
      <w:bookmarkStart w:id="535" w:name="HDR50"/>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36" w:name="GLHDR50"/>
        <w:bookmarkEnd w:id="53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recorded non-cash expense in fiscal 2013 and 2012 related to the change in the fair values of the derivatives associated with various promissory notes issued to Platinum prior to fiscal 2012 and during fiscal 2013.  In fiscal 2013, we recorded non-cash losses on early extinguishment of debt in connection with the modification of certain promissory notes issued to Platinum, Morrison &amp; Foerster, Cato Holding Company and to investors in convertible promissory notes issued in February 2012 as well as in connection with the settlement of accounts payable by issuing promissory notes to Cato Research Ltd and University Health Network, In fiscal 2012, we recorded a non-cash loss on early extinguishment of debt related to the exchange of the Platinum Note into shares of our Series A Preferred Stock under the terms of a note and warrant exchange agreement.  In fiscal 2013, we also recorded a non-cash deemed dividend related to the modification of the exchange rights of our Series A Preferred Stock held by Platinum, including the impact of the prospective issuance of a five-year warrant to purchase restricted shares of our common stock upon Platinum's exercise of its Series A Preferred Stock exchange rights.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Critical Accounting Policies and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Times New Roman" w:hAnsi="Times New Roman"/>
          <w:i/>
          <w:sz w:val="20"/>
        </w:rPr>
        <w:t>GAAP</w:t>
      </w:r>
      <w:r>
        <w:rPr>
          <w:rFonts w:ascii="Times New Roman" w:hAnsi="Times New Roman"/>
          <w:sz w:val="20"/>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Revenue Recognition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revenues consist primarily of revenues from government grant awards and strategic collaborations.  We recognize revenue under the provisions of the Securities and Exchange Commission issued Staff Accounting Bulletin 104, Topic 13, </w:t>
      </w:r>
      <w:r>
        <w:rPr>
          <w:rFonts w:ascii="Times New Roman" w:hAnsi="Times New Roman"/>
          <w:i/>
          <w:sz w:val="20"/>
        </w:rPr>
        <w:t>Revenue Recognition Revised and Updated</w:t>
      </w:r>
      <w:r>
        <w:rPr>
          <w:rFonts w:ascii="Times New Roman" w:hAnsi="Times New Roman"/>
          <w:sz w:val="20"/>
        </w:rPr>
        <w:t xml:space="preserve"> (“</w:t>
      </w:r>
      <w:r>
        <w:rPr>
          <w:rFonts w:ascii="Times New Roman" w:hAnsi="Times New Roman"/>
          <w:i/>
          <w:sz w:val="20"/>
        </w:rPr>
        <w:t>SAB 104</w:t>
      </w:r>
      <w:r>
        <w:rPr>
          <w:rFonts w:ascii="Times New Roman" w:hAnsi="Times New Roman"/>
          <w:sz w:val="20"/>
        </w:rPr>
        <w:t>”) and Accounting Standards Codification (“</w:t>
      </w:r>
      <w:r>
        <w:rPr>
          <w:rFonts w:ascii="Times New Roman" w:hAnsi="Times New Roman"/>
          <w:i/>
          <w:sz w:val="20"/>
        </w:rPr>
        <w:t>ASC</w:t>
      </w:r>
      <w:r>
        <w:rPr>
          <w:rFonts w:ascii="Times New Roman" w:hAnsi="Times New Roman"/>
          <w:sz w:val="20"/>
        </w:rPr>
        <w:t xml:space="preserve">”) 605-25, </w:t>
      </w:r>
      <w:r>
        <w:rPr>
          <w:rFonts w:ascii="Times New Roman" w:hAnsi="Times New Roman"/>
          <w:i/>
          <w:sz w:val="20"/>
        </w:rPr>
        <w:t>Revenue Arrangements-Multiple Element Arrangements</w:t>
      </w:r>
      <w:r>
        <w:rPr>
          <w:rFonts w:ascii="Times New Roman" w:hAnsi="Times New Roman"/>
          <w:sz w:val="20"/>
        </w:rPr>
        <w:t xml:space="preserve"> (“</w:t>
      </w:r>
      <w:r>
        <w:rPr>
          <w:rFonts w:ascii="Times New Roman" w:hAnsi="Times New Roman"/>
          <w:i/>
          <w:sz w:val="20"/>
        </w:rPr>
        <w:t>ASC 605-25</w:t>
      </w:r>
      <w:r>
        <w:rPr>
          <w:rFonts w:ascii="Times New Roman" w:hAnsi="Times New Roman"/>
          <w:sz w:val="20"/>
        </w:rPr>
        <w:t>”). Revenue for arrangements not having multiple deliverables, as outlined in ASC 605-25, is recognized once costs are incurred and collectability is reasonably assured.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537" w:name="hangingindent"/>
      <w:bookmarkStart w:id="538" w:name="hangingindent"/>
      <w:bookmarkEnd w:id="538"/>
    </w:p>
    <w:tbl>
      <w:tblPr>
        <w:tblW w:w="5000" w:type="pct"/>
        <w:jc w:val="center"/>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ind w:left="0" w:right="0" w:hanging="0"/>
              <w:jc w:val="center"/>
              <w:rPr/>
            </w:pPr>
            <w:r>
              <w:rPr/>
              <w:t>•</w:t>
            </w:r>
          </w:p>
        </w:tc>
        <w:tc>
          <w:tcPr>
            <w:tcW w:w="100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9" w:name="PGBRK51"/>
      <w:bookmarkStart w:id="540" w:name="PGBRK51"/>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FTR51"/>
      <w:bookmarkStart w:id="542" w:name="FTR51"/>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3" w:name="GLFTR51"/>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4" w:name="PN51"/>
      <w:bookmarkEnd w:id="544"/>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HDR51"/>
      <w:bookmarkStart w:id="546" w:name="HDR51"/>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47" w:name="GLHDR51"/>
        <w:bookmarkEnd w:id="5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548" w:name="hangingindent1"/>
      <w:bookmarkStart w:id="549" w:name="hangingindent1"/>
      <w:bookmarkEnd w:id="549"/>
    </w:p>
    <w:tbl>
      <w:tblPr>
        <w:tblW w:w="5000" w:type="pct"/>
        <w:jc w:val="center"/>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ind w:left="0" w:right="0" w:hanging="0"/>
              <w:jc w:val="center"/>
              <w:rPr/>
            </w:pPr>
            <w:r>
              <w:rPr/>
              <w:t>•</w:t>
            </w:r>
          </w:p>
        </w:tc>
        <w:tc>
          <w:tcPr>
            <w:tcW w:w="100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550" w:name="hangingindent2"/>
      <w:bookmarkStart w:id="551" w:name="hangingindent2"/>
      <w:bookmarkEnd w:id="551"/>
    </w:p>
    <w:tbl>
      <w:tblPr>
        <w:tblW w:w="5000" w:type="pct"/>
        <w:jc w:val="center"/>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ind w:left="0" w:right="0" w:hanging="0"/>
              <w:jc w:val="center"/>
              <w:rPr/>
            </w:pPr>
            <w:r>
              <w:rPr/>
              <w:t>•</w:t>
            </w:r>
          </w:p>
        </w:tc>
        <w:tc>
          <w:tcPr>
            <w:tcW w:w="100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 awards, which support our research efforts on specific projects, generally provide for reimbursement of approved costs as defined in the terms of grant awards. We recognize grant revenue when associated project costs are incurred.</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Impairment of Long-Lived Assets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ASC 360-10</w:t>
      </w:r>
      <w:r>
        <w:rPr>
          <w:rFonts w:ascii="Times New Roman" w:hAnsi="Times New Roman"/>
          <w:i/>
          <w:sz w:val="20"/>
        </w:rPr>
        <w:t>, Property, Plant &amp; Equipment—Overall</w:t>
      </w:r>
      <w:r>
        <w:rPr>
          <w:rFonts w:ascii="Times New Roman" w:hAnsi="Times New Roman"/>
          <w:sz w:val="20"/>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account for stock-based payment arrangements in accordance with ASC 718, </w:t>
      </w:r>
      <w:r>
        <w:rPr>
          <w:rFonts w:ascii="Times New Roman" w:hAnsi="Times New Roman"/>
          <w:i/>
          <w:sz w:val="20"/>
        </w:rPr>
        <w:t>Compensation-Stock Compensation</w:t>
      </w:r>
      <w:r>
        <w:rPr>
          <w:rFonts w:ascii="Times New Roman" w:hAnsi="Times New Roman"/>
          <w:sz w:val="20"/>
        </w:rPr>
        <w:t xml:space="preserve"> and ASC 505-50, </w:t>
      </w:r>
      <w:r>
        <w:rPr>
          <w:rFonts w:ascii="Times New Roman" w:hAnsi="Times New Roman"/>
          <w:i/>
          <w:sz w:val="20"/>
        </w:rPr>
        <w:t>Equity-Equity Based Payments to Non-Employees</w:t>
      </w:r>
      <w:r>
        <w:rPr>
          <w:rFonts w:ascii="Times New Roman" w:hAnsi="Times New Roman"/>
          <w:sz w:val="20"/>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pStyle w:val="TextBody"/>
        <w:spacing w:before="0" w:after="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2" w:name="PGBRK52"/>
      <w:bookmarkStart w:id="553" w:name="PGBRK52"/>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4" w:name="FTR52"/>
      <w:bookmarkStart w:id="555" w:name="FTR52"/>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6" w:name="GLFTR52"/>
      <w:bookmarkEnd w:id="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7" w:name="PN52"/>
      <w:bookmarkEnd w:id="557"/>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8" w:name="HDR52"/>
      <w:bookmarkStart w:id="559" w:name="HDR52"/>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60" w:name="GLHDR52"/>
        <w:bookmarkEnd w:id="56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Recent Accounting Pronouncements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See Note 3 to the consolidated financial statements included in Item 8 in this Annual Report on Form 10-K for</w:t>
      </w:r>
      <w:bookmarkStart w:id="561" w:name="FIS_RESULTS_OF_OPERATIONS"/>
      <w:bookmarkEnd w:id="561"/>
      <w:r>
        <w:rPr>
          <w:rFonts w:ascii="Times New Roman" w:hAnsi="Times New Roman"/>
          <w:sz w:val="20"/>
        </w:rPr>
        <w:t xml:space="preserve"> information on recent accounting pronouncements.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Years Ended March 31, 2013 and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compares our primary revenue sources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559"/>
        <w:gridCol w:w="111"/>
        <w:gridCol w:w="127"/>
        <w:gridCol w:w="950"/>
        <w:gridCol w:w="111"/>
        <w:gridCol w:w="111"/>
        <w:gridCol w:w="127"/>
        <w:gridCol w:w="989"/>
        <w:gridCol w:w="120"/>
      </w:tblGrid>
      <w:tr>
        <w:trPr/>
        <w:tc>
          <w:tcPr>
            <w:tcW w:w="755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241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 Ended March 31,</w:t>
            </w:r>
          </w:p>
        </w:tc>
        <w:tc>
          <w:tcPr>
            <w:tcW w:w="120" w:type="dxa"/>
            <w:tcBorders/>
            <w:shd w:fill="auto" w:val="clear"/>
            <w:vAlign w:val="bottom"/>
          </w:tcPr>
          <w:p>
            <w:pPr>
              <w:pStyle w:val="TableContents"/>
              <w:spacing w:before="0" w:after="283"/>
              <w:jc w:val="left"/>
              <w:rPr/>
            </w:pPr>
            <w:r>
              <w:rPr/>
              <w:t> </w:t>
            </w:r>
          </w:p>
        </w:tc>
      </w:tr>
      <w:tr>
        <w:trPr/>
        <w:tc>
          <w:tcPr>
            <w:tcW w:w="755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0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0" w:type="dxa"/>
            <w:tcBorders/>
            <w:shd w:fill="auto" w:val="clear"/>
            <w:vAlign w:val="bottom"/>
          </w:tcPr>
          <w:p>
            <w:pPr>
              <w:pStyle w:val="TableContents"/>
              <w:spacing w:before="0" w:after="283"/>
              <w:jc w:val="left"/>
              <w:rPr/>
            </w:pPr>
            <w:r>
              <w:rPr/>
              <w:t> </w:t>
            </w:r>
          </w:p>
        </w:tc>
      </w:tr>
      <w:tr>
        <w:trPr/>
        <w:tc>
          <w:tcPr>
            <w:tcW w:w="755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077"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16"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75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1,163</w:t>
            </w:r>
          </w:p>
        </w:tc>
        <w:tc>
          <w:tcPr>
            <w:tcW w:w="120" w:type="dxa"/>
            <w:tcBorders/>
            <w:shd w:fill="CCEEFF" w:val="clear"/>
            <w:vAlign w:val="bottom"/>
          </w:tcPr>
          <w:p>
            <w:pPr>
              <w:pStyle w:val="TableContents"/>
              <w:spacing w:before="0" w:after="283"/>
              <w:jc w:val="left"/>
              <w:rPr/>
            </w:pPr>
            <w:r>
              <w:rPr/>
              <w:t> </w:t>
            </w:r>
          </w:p>
        </w:tc>
      </w:tr>
      <w:tr>
        <w:trPr/>
        <w:tc>
          <w:tcPr>
            <w:tcW w:w="75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 grant</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0" w:type="dxa"/>
            <w:tcBorders/>
            <w:shd w:fill="FFFFFF" w:val="clear"/>
            <w:vAlign w:val="bottom"/>
          </w:tcPr>
          <w:p>
            <w:pPr>
              <w:pStyle w:val="TableContents"/>
              <w:spacing w:before="0" w:after="283"/>
              <w:jc w:val="left"/>
              <w:rPr/>
            </w:pPr>
            <w:r>
              <w:rPr/>
              <w:t> </w:t>
            </w:r>
          </w:p>
        </w:tc>
      </w:tr>
      <w:tr>
        <w:trPr/>
        <w:tc>
          <w:tcPr>
            <w:tcW w:w="75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11"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0" w:type="dxa"/>
            <w:tcBorders/>
            <w:shd w:fill="CCEEFF" w:val="clear"/>
            <w:vAlign w:val="bottom"/>
          </w:tcPr>
          <w:p>
            <w:pPr>
              <w:pStyle w:val="TableContents"/>
              <w:spacing w:before="0" w:after="283"/>
              <w:jc w:val="left"/>
              <w:rPr/>
            </w:pPr>
            <w:r>
              <w:rPr/>
              <w:t> </w:t>
            </w:r>
          </w:p>
        </w:tc>
      </w:tr>
      <w:tr>
        <w:trPr/>
        <w:tc>
          <w:tcPr>
            <w:tcW w:w="7559"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75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11"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Although limited project work on AV-101 continued through fiscal 2013, we reported no grant revenue from the NIH grant after the first quarter of fiscal 2013, as the grant expired in its normal course at June 30, 2012.  We had drawn the maximum amount available under the grant award prior to its expiration.  Our work under the California Institute of Regenerative Medicine ("</w:t>
      </w:r>
      <w:r>
        <w:rPr>
          <w:rFonts w:ascii="Times New Roman" w:hAnsi="Times New Roman"/>
          <w:i/>
          <w:sz w:val="20"/>
        </w:rPr>
        <w:t>CIRM</w:t>
      </w:r>
      <w:r>
        <w:rPr>
          <w:rFonts w:ascii="Times New Roman" w:hAnsi="Times New Roman"/>
          <w:sz w:val="20"/>
        </w:rPr>
        <w:t>") grant was completed in the quarter ended September 30, 2011. Revenue associated with our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 decreased by 36% to $3.4 million in fiscal 2013 compared to $5.4 million in fiscal 2012.  The following table compares the primary components of research and development expense between the periods (in $000):</w:t>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7514"/>
        <w:gridCol w:w="109"/>
        <w:gridCol w:w="126"/>
        <w:gridCol w:w="996"/>
        <w:gridCol w:w="109"/>
        <w:gridCol w:w="109"/>
        <w:gridCol w:w="126"/>
        <w:gridCol w:w="996"/>
        <w:gridCol w:w="120"/>
      </w:tblGrid>
      <w:tr>
        <w:trPr/>
        <w:tc>
          <w:tcPr>
            <w:tcW w:w="75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6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Fiscal Years Ended March 31, </w:t>
            </w:r>
          </w:p>
        </w:tc>
        <w:tc>
          <w:tcPr>
            <w:tcW w:w="120" w:type="dxa"/>
            <w:tcBorders/>
            <w:shd w:fill="auto" w:val="clear"/>
            <w:vAlign w:val="bottom"/>
          </w:tcPr>
          <w:p>
            <w:pPr>
              <w:pStyle w:val="TableContents"/>
              <w:spacing w:before="0" w:after="283"/>
              <w:jc w:val="left"/>
              <w:rPr/>
            </w:pPr>
            <w:r>
              <w:rPr/>
              <w:t> </w:t>
            </w:r>
          </w:p>
        </w:tc>
      </w:tr>
      <w:tr>
        <w:trPr/>
        <w:tc>
          <w:tcPr>
            <w:tcW w:w="75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0" w:type="dxa"/>
            <w:tcBorders/>
            <w:shd w:fill="auto" w:val="clear"/>
            <w:vAlign w:val="bottom"/>
          </w:tcPr>
          <w:p>
            <w:pPr>
              <w:pStyle w:val="TableContents"/>
              <w:spacing w:before="0" w:after="283"/>
              <w:jc w:val="left"/>
              <w:rPr/>
            </w:pPr>
            <w:r>
              <w:rPr/>
              <w:t> </w:t>
            </w:r>
          </w:p>
        </w:tc>
      </w:tr>
      <w:tr>
        <w:trPr/>
        <w:tc>
          <w:tcPr>
            <w:tcW w:w="75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pPr>
            <w:r>
              <w:rPr/>
              <w:t>792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862</w:t>
            </w:r>
          </w:p>
        </w:tc>
        <w:tc>
          <w:tcPr>
            <w:tcW w:w="120" w:type="dxa"/>
            <w:tcBorders/>
            <w:shd w:fill="CCEEFF" w:val="clear"/>
            <w:vAlign w:val="bottom"/>
          </w:tcPr>
          <w:p>
            <w:pPr>
              <w:pStyle w:val="TableContents"/>
              <w:spacing w:before="0" w:after="283"/>
              <w:jc w:val="left"/>
              <w:rPr/>
            </w:pPr>
            <w:r>
              <w:rPr/>
              <w:t> </w:t>
            </w:r>
          </w:p>
        </w:tc>
      </w:tr>
      <w:tr>
        <w:trPr/>
        <w:tc>
          <w:tcPr>
            <w:tcW w:w="75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477</w:t>
            </w:r>
          </w:p>
        </w:tc>
        <w:tc>
          <w:tcPr>
            <w:tcW w:w="120" w:type="dxa"/>
            <w:tcBorders/>
            <w:shd w:fill="FFFFFF"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466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830</w:t>
            </w:r>
          </w:p>
        </w:tc>
        <w:tc>
          <w:tcPr>
            <w:tcW w:w="120" w:type="dxa"/>
            <w:tcBorders/>
            <w:shd w:fill="CCEEFF" w:val="clear"/>
            <w:vAlign w:val="bottom"/>
          </w:tcPr>
          <w:p>
            <w:pPr>
              <w:pStyle w:val="TableContents"/>
              <w:spacing w:before="0" w:after="283"/>
              <w:jc w:val="left"/>
              <w:rPr/>
            </w:pPr>
            <w:r>
              <w:rPr/>
              <w:t> </w:t>
            </w:r>
          </w:p>
        </w:tc>
      </w:tr>
      <w:tr>
        <w:trPr/>
        <w:tc>
          <w:tcPr>
            <w:tcW w:w="75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Consulting services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r>
              <w:rPr>
                <w:rFonts w:ascii="times new roman" w:hAnsi="times new roman"/>
                <w:sz w:val="20"/>
              </w:rPr>
              <w:t>14</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20" w:type="dxa"/>
            <w:tcBorders/>
            <w:shd w:fill="CCEEFF" w:val="clear"/>
            <w:vAlign w:val="bottom"/>
          </w:tcPr>
          <w:p>
            <w:pPr>
              <w:pStyle w:val="TableContents"/>
              <w:spacing w:before="0" w:after="283"/>
              <w:jc w:val="left"/>
              <w:rPr/>
            </w:pPr>
            <w:r>
              <w:rPr/>
              <w:t> </w:t>
            </w:r>
          </w:p>
        </w:tc>
      </w:tr>
      <w:tr>
        <w:trPr/>
        <w:tc>
          <w:tcPr>
            <w:tcW w:w="10085"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20" w:type="dxa"/>
            <w:tcBorders/>
            <w:shd w:fill="FFFFFF"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1,079</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2,191</w:t>
            </w:r>
          </w:p>
        </w:tc>
        <w:tc>
          <w:tcPr>
            <w:tcW w:w="120" w:type="dxa"/>
            <w:tcBorders/>
            <w:shd w:fill="CCEEFF" w:val="clear"/>
            <w:vAlign w:val="bottom"/>
          </w:tcPr>
          <w:p>
            <w:pPr>
              <w:pStyle w:val="TableContents"/>
              <w:spacing w:before="0" w:after="283"/>
              <w:jc w:val="left"/>
              <w:rPr/>
            </w:pPr>
            <w:r>
              <w:rPr/>
              <w:t> </w:t>
            </w:r>
          </w:p>
        </w:tc>
      </w:tr>
      <w:tr>
        <w:trPr/>
        <w:tc>
          <w:tcPr>
            <w:tcW w:w="75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0" w:type="dxa"/>
            <w:tcBorders/>
            <w:shd w:fill="FFFFFF"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w:t>
            </w:r>
          </w:p>
        </w:tc>
        <w:tc>
          <w:tcPr>
            <w:tcW w:w="120" w:type="dxa"/>
            <w:tcBorders/>
            <w:shd w:fill="CCEEFF" w:val="clear"/>
            <w:vAlign w:val="bottom"/>
          </w:tcPr>
          <w:p>
            <w:pPr>
              <w:pStyle w:val="TableContents"/>
              <w:spacing w:before="0" w:after="283"/>
              <w:jc w:val="left"/>
              <w:rPr/>
            </w:pPr>
            <w:r>
              <w:rPr/>
              <w:t> </w:t>
            </w:r>
          </w:p>
        </w:tc>
      </w:tr>
      <w:tr>
        <w:trPr/>
        <w:tc>
          <w:tcPr>
            <w:tcW w:w="75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1,372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2,638</w:t>
            </w:r>
          </w:p>
        </w:tc>
        <w:tc>
          <w:tcPr>
            <w:tcW w:w="120" w:type="dxa"/>
            <w:tcBorders/>
            <w:shd w:fill="FFFFFF"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0" w:type="dxa"/>
            <w:tcBorders/>
            <w:shd w:fill="CCEEFF" w:val="clear"/>
            <w:vAlign w:val="bottom"/>
          </w:tcPr>
          <w:p>
            <w:pPr>
              <w:pStyle w:val="TableContents"/>
              <w:spacing w:before="0" w:after="283"/>
              <w:jc w:val="left"/>
              <w:rPr/>
            </w:pPr>
            <w:r>
              <w:rPr/>
              <w:t> </w:t>
            </w:r>
          </w:p>
        </w:tc>
      </w:tr>
      <w:tr>
        <w:trPr/>
        <w:tc>
          <w:tcPr>
            <w:tcW w:w="75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0" w:type="dxa"/>
            <w:tcBorders/>
            <w:shd w:fill="FFFFFF" w:val="clear"/>
            <w:vAlign w:val="bottom"/>
          </w:tcPr>
          <w:p>
            <w:pPr>
              <w:pStyle w:val="TableContents"/>
              <w:spacing w:before="0" w:after="283"/>
              <w:jc w:val="left"/>
              <w:rPr/>
            </w:pPr>
            <w:r>
              <w:rPr/>
              <w:t> </w:t>
            </w:r>
          </w:p>
        </w:tc>
      </w:tr>
      <w:tr>
        <w:trPr/>
        <w:tc>
          <w:tcPr>
            <w:tcW w:w="75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pPr>
            <w:r>
              <w:rPr/>
              <w:t> </w:t>
            </w: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pPr>
            <w:r>
              <w:rPr/>
              <w:t> </w:t>
            </w:r>
            <w:r>
              <w:rPr>
                <w:rFonts w:ascii="times new roman" w:hAnsi="times new roman"/>
                <w:sz w:val="20"/>
              </w:rPr>
              <w:t>101</w:t>
            </w:r>
          </w:p>
        </w:tc>
        <w:tc>
          <w:tcPr>
            <w:tcW w:w="120" w:type="dxa"/>
            <w:tcBorders/>
            <w:shd w:fill="CCEEFF" w:val="clear"/>
            <w:vAlign w:val="bottom"/>
          </w:tcPr>
          <w:p>
            <w:pPr>
              <w:pStyle w:val="TableContents"/>
              <w:spacing w:before="0" w:after="283"/>
              <w:jc w:val="left"/>
              <w:rPr/>
            </w:pPr>
            <w:r>
              <w:rPr/>
              <w:t> </w:t>
            </w:r>
          </w:p>
        </w:tc>
      </w:tr>
      <w:tr>
        <w:trPr/>
        <w:tc>
          <w:tcPr>
            <w:tcW w:w="75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3,431</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20" w:type="dxa"/>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62" w:name="PGBRK53"/>
      <w:bookmarkStart w:id="563" w:name="PGBRK53"/>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64" w:name="FTR53"/>
      <w:bookmarkStart w:id="565" w:name="FTR53"/>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66" w:name="GLFTR53"/>
      <w:bookmarkEnd w:id="5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7" w:name="PN53"/>
      <w:bookmarkEnd w:id="567"/>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68" w:name="HDR53"/>
      <w:bookmarkStart w:id="569" w:name="HDR53"/>
      <w:bookmarkEnd w:id="5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570" w:name="GLHDR53"/>
        <w:bookmarkEnd w:id="5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br/>
      </w:r>
      <w:r>
        <w:rPr>
          <w:rFonts w:ascii="Times New Roman" w:hAnsi="Times New Roman"/>
          <w:sz w:val="20"/>
        </w:rPr>
        <w:t>Salary and benefits expense decreased primarily as a result of salary reductions taken voluntarily by the Company’s senior management during the last three quarters of fiscal 2013 and the absence in fiscal 2013 of a compensation bonus granted in fiscal 2012, partially offset by the costs attributable to new scientific personnel added since June 2011.  Stock-based compensation increased in fiscal 2013 compared to fiscal 2012 primarily as a result of recognizing (i) the expense resulting from the October 2012 modification of certain stock option grants having exercise prices between $1.13 per share and $2.58 per share made to certain scientific employees and consultants in prior years to reduce the exercise price to $0.75 per share and (ii) the March 2013 grant to our Chief Scientific Officer of a ten-year warrant to purchase 1,000,000 shares of our common stock at an exercise price of $0.64 per share. Partially offsetting this increase was the expense impact of certain option grants made in prior years that became fully-vested late in fiscal year 2012 or in the first quarter of fiscal 2013, requiring little, if any, expense during fiscal 2013.  Sponsored research in both fiscal 2013 and fiscal 2012 reflects the continuation of our long-term stem cell research collaboration with Dr. Gordon Keller’s laboratory in accordance with modifications to our collaboration agreement with UHN made in the third and fourth quarters of fiscal 2012 and in a further modification effective beginning in the third quarter of fiscal 2013.  Additionally, fiscal 2012 expense for sponsored research at UHN included a non-cash grant of our common stock valued at $175,000 made in May 2011. Technology license expense decreased in fiscal 2013 reflecting reduced costs for patent prosecution and protection that we are required to fund under the terms of certain of our license agreements. We recognize these costs as they are passed on to us by the licensors and they do not occur ratably throughout the year or between years. We began a Phase 1b clinical trial of AV-101 early in calendar 2012 and completed it late in calendar 2012, with expenses during the second half of fiscal 2013 primarily reflecting the costs associated with finalizing and analyzing the Phase 1b clinical trial results and preparing final clinical study reports required under the terms of the NIH grant, primarily through third-party collaborators, including Cato Research Ltd.  AV-101 expenses in fiscal 2012 included the costs of preparing for the clinical trial and other primarily grant-reimbursable efforts conducted by Cato Research Ltd. and other third-party collaborators.  The CIRM grant expired at the end of September 2011 and grant-related effort on that project has ceased.  We do not track internal research and development expenses, including compensation costs, by project as we do not currently believe that such project accounting is required given the level and overlap of project resources, including staffing, that are dedicated to our research and development projects. Warrant modification expense in fiscal 2012 relates to the non-cash expense we recorded as a result of the December 2011 Agreement Regarding Payment of Invoices and Warrant Exercises between the Company and Cato Holding Company (“</w:t>
      </w:r>
      <w:r>
        <w:rPr>
          <w:rFonts w:ascii="Times New Roman" w:hAnsi="Times New Roman"/>
          <w:i/>
          <w:sz w:val="20"/>
        </w:rPr>
        <w:t>CHC</w:t>
      </w:r>
      <w:r>
        <w:rPr>
          <w:rFonts w:ascii="Times New Roman" w:hAnsi="Times New Roman"/>
          <w:sz w:val="20"/>
        </w:rPr>
        <w:t>”), Cato Research Ltd. (“</w:t>
      </w:r>
      <w:r>
        <w:rPr>
          <w:rFonts w:ascii="Times New Roman" w:hAnsi="Times New Roman"/>
          <w:i/>
          <w:sz w:val="20"/>
        </w:rPr>
        <w:t>CRL</w:t>
      </w:r>
      <w:r>
        <w:rPr>
          <w:rFonts w:ascii="Times New Roman" w:hAnsi="Times New Roman"/>
          <w:sz w:val="20"/>
        </w:rPr>
        <w:t>”) and certain CHC affiliates pursuant to which CHC and the CHC affiliates exercised warrants at discounted exercise prices to purchase an aggregate of 492,541 restricted shares of our common stock and we received $60,200 cash, and, in lieu of cash payment for certain of the warrant exercises, settled outstanding liabilities of $245,300 for past services received from CRL and prepaid $226,400 for future services that were received from CRL.</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General and administrative expense decreased by 29% to $3.6 million in fiscal 2013 compared to $5.0 million in fiscal 2012.  The following table compares the primary components of general and administrative expense between the periods (in $000):</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46"/>
        <w:gridCol w:w="110"/>
        <w:gridCol w:w="126"/>
        <w:gridCol w:w="980"/>
        <w:gridCol w:w="110"/>
        <w:gridCol w:w="110"/>
        <w:gridCol w:w="126"/>
        <w:gridCol w:w="980"/>
        <w:gridCol w:w="117"/>
      </w:tblGrid>
      <w:tr>
        <w:trPr/>
        <w:tc>
          <w:tcPr>
            <w:tcW w:w="754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17" w:type="dxa"/>
            <w:tcBorders/>
            <w:shd w:fill="auto" w:val="clear"/>
            <w:vAlign w:val="bottom"/>
          </w:tcPr>
          <w:p>
            <w:pPr>
              <w:pStyle w:val="TableContents"/>
              <w:spacing w:before="0" w:after="283"/>
              <w:jc w:val="left"/>
              <w:rPr/>
            </w:pPr>
            <w:r>
              <w:rPr/>
              <w:t> </w:t>
            </w:r>
          </w:p>
        </w:tc>
      </w:tr>
      <w:tr>
        <w:trPr/>
        <w:tc>
          <w:tcPr>
            <w:tcW w:w="754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7" w:type="dxa"/>
            <w:tcBorders/>
            <w:shd w:fill="auto" w:val="clear"/>
            <w:vAlign w:val="bottom"/>
          </w:tcPr>
          <w:p>
            <w:pPr>
              <w:pStyle w:val="TableContents"/>
              <w:spacing w:before="0" w:after="283"/>
              <w:jc w:val="left"/>
              <w:rPr/>
            </w:pPr>
            <w:r>
              <w:rPr/>
              <w:t> </w:t>
            </w:r>
          </w:p>
        </w:tc>
      </w:tr>
      <w:tr>
        <w:trPr/>
        <w:tc>
          <w:tcPr>
            <w:tcW w:w="754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6"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754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117" w:type="dxa"/>
            <w:tcBorders/>
            <w:shd w:fill="CCEEFF" w:val="clear"/>
            <w:vAlign w:val="bottom"/>
          </w:tcPr>
          <w:p>
            <w:pPr>
              <w:pStyle w:val="TableContents"/>
              <w:spacing w:before="0" w:after="283"/>
              <w:jc w:val="left"/>
              <w:rPr/>
            </w:pPr>
            <w:r>
              <w:rPr/>
              <w:t> </w:t>
            </w:r>
          </w:p>
        </w:tc>
      </w:tr>
      <w:tr>
        <w:trPr/>
        <w:tc>
          <w:tcPr>
            <w:tcW w:w="75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1,114</w:t>
            </w:r>
          </w:p>
        </w:tc>
        <w:tc>
          <w:tcPr>
            <w:tcW w:w="117" w:type="dxa"/>
            <w:tcBorders/>
            <w:shd w:fill="FFFFFF" w:val="clear"/>
            <w:vAlign w:val="bottom"/>
          </w:tcPr>
          <w:p>
            <w:pPr>
              <w:pStyle w:val="TableContents"/>
              <w:spacing w:before="0" w:after="283"/>
              <w:jc w:val="left"/>
              <w:rPr/>
            </w:pPr>
            <w:r>
              <w:rPr/>
              <w:t> </w:t>
            </w:r>
          </w:p>
        </w:tc>
      </w:tr>
      <w:tr>
        <w:trPr/>
        <w:tc>
          <w:tcPr>
            <w:tcW w:w="754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w:t>
            </w:r>
          </w:p>
        </w:tc>
        <w:tc>
          <w:tcPr>
            <w:tcW w:w="117" w:type="dxa"/>
            <w:tcBorders/>
            <w:shd w:fill="CCEEFF" w:val="clear"/>
            <w:vAlign w:val="bottom"/>
          </w:tcPr>
          <w:p>
            <w:pPr>
              <w:pStyle w:val="TableContents"/>
              <w:spacing w:before="0" w:after="283"/>
              <w:jc w:val="left"/>
              <w:rPr/>
            </w:pPr>
            <w:r>
              <w:rPr/>
              <w:t> </w:t>
            </w:r>
          </w:p>
        </w:tc>
      </w:tr>
      <w:tr>
        <w:trPr/>
        <w:tc>
          <w:tcPr>
            <w:tcW w:w="75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17" w:type="dxa"/>
            <w:tcBorders/>
            <w:shd w:fill="FFFFFF" w:val="clear"/>
            <w:vAlign w:val="bottom"/>
          </w:tcPr>
          <w:p>
            <w:pPr>
              <w:pStyle w:val="TableContents"/>
              <w:spacing w:before="0" w:after="283"/>
              <w:jc w:val="left"/>
              <w:rPr/>
            </w:pPr>
            <w:r>
              <w:rPr/>
              <w:t> </w:t>
            </w:r>
          </w:p>
        </w:tc>
      </w:tr>
      <w:tr>
        <w:trPr/>
        <w:tc>
          <w:tcPr>
            <w:tcW w:w="754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117" w:type="dxa"/>
            <w:tcBorders/>
            <w:shd w:fill="CCEEFF" w:val="clear"/>
            <w:vAlign w:val="bottom"/>
          </w:tcPr>
          <w:p>
            <w:pPr>
              <w:pStyle w:val="TableContents"/>
              <w:spacing w:before="0" w:after="283"/>
              <w:jc w:val="left"/>
              <w:rPr/>
            </w:pPr>
            <w:r>
              <w:rPr/>
              <w:t> </w:t>
            </w:r>
          </w:p>
        </w:tc>
      </w:tr>
      <w:tr>
        <w:trPr/>
        <w:tc>
          <w:tcPr>
            <w:tcW w:w="75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17" w:type="dxa"/>
            <w:tcBorders/>
            <w:shd w:fill="FFFFFF" w:val="clear"/>
            <w:vAlign w:val="bottom"/>
          </w:tcPr>
          <w:p>
            <w:pPr>
              <w:pStyle w:val="TableContents"/>
              <w:spacing w:before="0" w:after="283"/>
              <w:jc w:val="left"/>
              <w:rPr/>
            </w:pPr>
            <w:r>
              <w:rPr/>
              <w:t> </w:t>
            </w:r>
          </w:p>
        </w:tc>
      </w:tr>
      <w:tr>
        <w:trPr/>
        <w:tc>
          <w:tcPr>
            <w:tcW w:w="754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17" w:type="dxa"/>
            <w:tcBorders/>
            <w:shd w:fill="CCEEFF" w:val="clear"/>
            <w:vAlign w:val="bottom"/>
          </w:tcPr>
          <w:p>
            <w:pPr>
              <w:pStyle w:val="TableContents"/>
              <w:spacing w:before="0" w:after="283"/>
              <w:jc w:val="left"/>
              <w:rPr/>
            </w:pPr>
            <w:r>
              <w:rPr/>
              <w:t> </w:t>
            </w:r>
          </w:p>
        </w:tc>
      </w:tr>
      <w:tr>
        <w:trPr/>
        <w:tc>
          <w:tcPr>
            <w:tcW w:w="75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17" w:type="dxa"/>
            <w:tcBorders/>
            <w:shd w:fill="FFFFFF" w:val="clear"/>
            <w:vAlign w:val="bottom"/>
          </w:tcPr>
          <w:p>
            <w:pPr>
              <w:pStyle w:val="TableContents"/>
              <w:spacing w:before="0" w:after="283"/>
              <w:jc w:val="left"/>
              <w:rPr/>
            </w:pPr>
            <w:r>
              <w:rPr/>
              <w:t> </w:t>
            </w:r>
          </w:p>
        </w:tc>
      </w:tr>
      <w:tr>
        <w:trPr/>
        <w:tc>
          <w:tcPr>
            <w:tcW w:w="754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117" w:type="dxa"/>
            <w:tcBorders/>
            <w:shd w:fill="CCEEFF" w:val="clear"/>
            <w:vAlign w:val="bottom"/>
          </w:tcPr>
          <w:p>
            <w:pPr>
              <w:pStyle w:val="TableContents"/>
              <w:spacing w:before="0" w:after="283"/>
              <w:jc w:val="left"/>
              <w:rPr/>
            </w:pPr>
            <w:r>
              <w:rPr/>
              <w:t> </w:t>
            </w:r>
          </w:p>
        </w:tc>
      </w:tr>
      <w:tr>
        <w:trPr/>
        <w:tc>
          <w:tcPr>
            <w:tcW w:w="75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w:t>
            </w:r>
          </w:p>
        </w:tc>
        <w:tc>
          <w:tcPr>
            <w:tcW w:w="11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17" w:type="dxa"/>
            <w:tcBorders/>
            <w:shd w:fill="FFFFFF" w:val="clear"/>
            <w:vAlign w:val="bottom"/>
          </w:tcPr>
          <w:p>
            <w:pPr>
              <w:pStyle w:val="TableContents"/>
              <w:spacing w:before="0" w:after="283"/>
              <w:jc w:val="left"/>
              <w:rPr/>
            </w:pPr>
            <w:r>
              <w:rPr/>
              <w:t> </w:t>
            </w:r>
          </w:p>
        </w:tc>
      </w:tr>
      <w:tr>
        <w:trPr/>
        <w:tc>
          <w:tcPr>
            <w:tcW w:w="7546"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75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1" w:name="PGBRK54"/>
      <w:bookmarkStart w:id="572" w:name="PGBRK54"/>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3" w:name="FTR54"/>
      <w:bookmarkStart w:id="574" w:name="FTR54"/>
      <w:bookmarkEnd w:id="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75" w:name="GLFTR54"/>
      <w:bookmarkEnd w:id="5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6" w:name="PN54"/>
      <w:bookmarkEnd w:id="576"/>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7" w:name="HDR54"/>
      <w:bookmarkStart w:id="578" w:name="HDR54"/>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79" w:name="GLHDR54"/>
        <w:bookmarkEnd w:id="5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decrease in salaries and benefits expense in fiscal 2013 compared with fiscal 2012 results primarily from our May 2011 forgiveness, in conjunction with our going-public transaction, of notes receivable from certain officers in the aggregate amount of $185,000, plus an accrual for related tax gross-ups aggregating $136,000 to which they remain entitled, which we recorded as compensation expense.  Partially offsetting that decrease is the impact of converting certain current employees from consulting status during fiscal 2012 to employee status in fiscal 2013.  Stock-based compensation expense decreased in fiscal 2013 as option grants of significant size and expense made in prior years became fully-vested in the second half of fiscal 2012, requiring no additional expense in fiscal 2013. Partially offsetting that decrease is the impact of recognizing (i) the expense resulting from the October 2012 modification of certain stock option grants having exercise prices between $1.13 per share and $2.58 per share made to certain administrative employees and business consultants in prior years to reduce the exercise price to $0.75 per share and (ii) the March 2013 grant to our senior management and independent members of our Board of Directors of ten-year warrants to purchase an aggregate of 2,000,000 restricted shares of our common stock at an exercise price of $0.64 per share. Legal, accounting and other professional fees in fiscal 2012 included significant one-time charges related to the Merger and going-public transaction and positioning the Company for its initial public and SEC reporting status.  Expense recorded in the current year reflects more normalized levels.  Since becoming a public reporting and publicly-traded company, we have engaged certain third parties to provide us with investor relations services and to conduct market awareness initiatives that were not necessary as a private company.  A portion of the compensation that we have provided to certain of these providers has been in the form of grants of restricted common stock or warrants to purchase restricted common stock.  In those situations, we have expensed the grant date fair value of the restricted stock or warrants ratably over the term of the underlying contract, all of which have been completed at March 31, 2013.  Additionally, we incurred non-cash warrant modification expense totaling $507,000 in fiscal 2013 related to reducing the exercise price of certain outstanding warrants to purchase our common stock, as described in Note 9 to the Consolidated Financial Statements included in Item 8 of this report. In fiscal 2012, we incurred non-cash warrant modification expense of $641,000 related to reducing the exercise price and, in some cases, extending the term, of certain outstanding warrants to purchase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expenses, net includes interest expense, net of interest income, in both years, and the non-cash impact of changes in the fair value of the warrant liabilities related to warrants issued or issuable to Platinum as a result of the October 2012 Agreement in fiscal 2013 and of the derivatives treated as liabilities resulting from the issuance of prior notes and warrants to Platinum in fiscal 2012.  Other expenses, net also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during fiscal 2013, and the cancellation of a $4.0 million note issued to Platinum and Platinum’s related exercise of warrants and exchange of restricted shares of our common stock into restricted shares of our Series A preferred stock during fiscal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compares the primary components of net interest expense between the periods (in $000):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520"/>
        <w:gridCol w:w="110"/>
        <w:gridCol w:w="127"/>
        <w:gridCol w:w="984"/>
        <w:gridCol w:w="116"/>
        <w:gridCol w:w="110"/>
        <w:gridCol w:w="127"/>
        <w:gridCol w:w="984"/>
        <w:gridCol w:w="127"/>
      </w:tblGrid>
      <w:tr>
        <w:trPr/>
        <w:tc>
          <w:tcPr>
            <w:tcW w:w="752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48"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 Ended</w:t>
            </w:r>
          </w:p>
        </w:tc>
        <w:tc>
          <w:tcPr>
            <w:tcW w:w="127" w:type="dxa"/>
            <w:tcBorders/>
            <w:shd w:fill="auto" w:val="clear"/>
            <w:vAlign w:val="bottom"/>
          </w:tcPr>
          <w:p>
            <w:pPr>
              <w:pStyle w:val="TableContents"/>
              <w:spacing w:before="0" w:after="283"/>
              <w:jc w:val="left"/>
              <w:rPr/>
            </w:pPr>
            <w:r>
              <w:rPr/>
              <w:t> </w:t>
            </w:r>
          </w:p>
        </w:tc>
      </w:tr>
      <w:tr>
        <w:trPr/>
        <w:tc>
          <w:tcPr>
            <w:tcW w:w="752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4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7" w:type="dxa"/>
            <w:tcBorders/>
            <w:shd w:fill="auto" w:val="clear"/>
            <w:vAlign w:val="bottom"/>
          </w:tcPr>
          <w:p>
            <w:pPr>
              <w:pStyle w:val="TableContents"/>
              <w:spacing w:before="0" w:after="283"/>
              <w:jc w:val="left"/>
              <w:rPr/>
            </w:pPr>
            <w:r>
              <w:rPr/>
              <w:t> </w:t>
            </w:r>
          </w:p>
        </w:tc>
      </w:tr>
      <w:tr>
        <w:trPr/>
        <w:tc>
          <w:tcPr>
            <w:tcW w:w="752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7" w:type="dxa"/>
            <w:tcBorders/>
            <w:shd w:fill="auto" w:val="clear"/>
            <w:vAlign w:val="bottom"/>
          </w:tcPr>
          <w:p>
            <w:pPr>
              <w:pStyle w:val="TableContents"/>
              <w:spacing w:before="0" w:after="283"/>
              <w:jc w:val="left"/>
              <w:rPr/>
            </w:pPr>
            <w:r>
              <w:rPr/>
              <w:t> </w:t>
            </w:r>
          </w:p>
        </w:tc>
      </w:tr>
      <w:tr>
        <w:trPr/>
        <w:tc>
          <w:tcPr>
            <w:tcW w:w="752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r>
      <w:tr>
        <w:trPr/>
        <w:tc>
          <w:tcPr>
            <w:tcW w:w="75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1,887</w:t>
            </w:r>
          </w:p>
        </w:tc>
        <w:tc>
          <w:tcPr>
            <w:tcW w:w="127" w:type="dxa"/>
            <w:tcBorders/>
            <w:shd w:fill="CCEEFF" w:val="clear"/>
            <w:vAlign w:val="bottom"/>
          </w:tcPr>
          <w:p>
            <w:pPr>
              <w:pStyle w:val="TableContents"/>
              <w:spacing w:before="0" w:after="283"/>
              <w:jc w:val="left"/>
              <w:rPr/>
            </w:pPr>
            <w:r>
              <w:rPr/>
              <w:t> </w:t>
            </w:r>
          </w:p>
        </w:tc>
      </w:tr>
      <w:tr>
        <w:trPr/>
        <w:tc>
          <w:tcPr>
            <w:tcW w:w="1007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for fair value of replacement warrants issued in connection</w:t>
            </w:r>
          </w:p>
        </w:tc>
        <w:tc>
          <w:tcPr>
            <w:tcW w:w="127" w:type="dxa"/>
            <w:tcBorders/>
            <w:shd w:fill="FFFFFF" w:val="clear"/>
            <w:vAlign w:val="bottom"/>
          </w:tcPr>
          <w:p>
            <w:pPr>
              <w:pStyle w:val="TableContents"/>
              <w:spacing w:before="0" w:after="283"/>
              <w:jc w:val="left"/>
              <w:rPr/>
            </w:pPr>
            <w:r>
              <w:rPr/>
              <w:t> </w:t>
            </w:r>
          </w:p>
        </w:tc>
      </w:tr>
      <w:tr>
        <w:trPr/>
        <w:tc>
          <w:tcPr>
            <w:tcW w:w="75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exercise of modified warrants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r>
      <w:tr>
        <w:trPr/>
        <w:tc>
          <w:tcPr>
            <w:tcW w:w="1007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related to losses on accounts payable settled by issuance</w:t>
            </w:r>
          </w:p>
        </w:tc>
        <w:tc>
          <w:tcPr>
            <w:tcW w:w="127" w:type="dxa"/>
            <w:tcBorders/>
            <w:shd w:fill="CCEEFF" w:val="clear"/>
            <w:vAlign w:val="bottom"/>
          </w:tcPr>
          <w:p>
            <w:pPr>
              <w:pStyle w:val="TableContents"/>
              <w:spacing w:before="0" w:after="283"/>
              <w:jc w:val="left"/>
              <w:rPr/>
            </w:pPr>
            <w:r>
              <w:rPr/>
              <w:t> </w:t>
            </w:r>
          </w:p>
        </w:tc>
      </w:tr>
      <w:tr>
        <w:trPr/>
        <w:tc>
          <w:tcPr>
            <w:tcW w:w="75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of common stock or notes payable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1007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for investment banker warrants related to February 2012 Convertible</w:t>
            </w:r>
          </w:p>
        </w:tc>
        <w:tc>
          <w:tcPr>
            <w:tcW w:w="127" w:type="dxa"/>
            <w:tcBorders/>
            <w:shd w:fill="FFFFFF" w:val="clear"/>
            <w:vAlign w:val="bottom"/>
          </w:tcPr>
          <w:p>
            <w:pPr>
              <w:pStyle w:val="TableContents"/>
              <w:spacing w:before="0" w:after="283"/>
              <w:jc w:val="left"/>
              <w:rPr/>
            </w:pPr>
            <w:r>
              <w:rPr/>
              <w:t> </w:t>
            </w:r>
          </w:p>
        </w:tc>
      </w:tr>
      <w:tr>
        <w:trPr/>
        <w:tc>
          <w:tcPr>
            <w:tcW w:w="75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r>
      <w:tr>
        <w:trPr/>
        <w:tc>
          <w:tcPr>
            <w:tcW w:w="1007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for legal fees related to issuance of Senior Secured Promissory</w:t>
            </w:r>
          </w:p>
        </w:tc>
        <w:tc>
          <w:tcPr>
            <w:tcW w:w="127" w:type="dxa"/>
            <w:tcBorders/>
            <w:shd w:fill="CCEEFF" w:val="clear"/>
            <w:vAlign w:val="bottom"/>
          </w:tcPr>
          <w:p>
            <w:pPr>
              <w:pStyle w:val="TableContents"/>
              <w:spacing w:before="0" w:after="283"/>
              <w:jc w:val="left"/>
              <w:rPr/>
            </w:pPr>
            <w:r>
              <w:rPr/>
              <w:t> </w:t>
            </w:r>
          </w:p>
        </w:tc>
      </w:tr>
      <w:tr>
        <w:trPr/>
        <w:tc>
          <w:tcPr>
            <w:tcW w:w="75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to Platinum under June and October 2012 agreements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75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7" w:type="dxa"/>
            <w:tcBorders/>
            <w:shd w:fill="FFFFFF" w:val="clear"/>
            <w:vAlign w:val="bottom"/>
          </w:tcPr>
          <w:p>
            <w:pPr>
              <w:pStyle w:val="TableContents"/>
              <w:spacing w:before="0" w:after="283"/>
              <w:jc w:val="left"/>
              <w:rPr/>
            </w:pPr>
            <w:r>
              <w:rPr/>
              <w:t> </w:t>
            </w:r>
          </w:p>
        </w:tc>
      </w:tr>
      <w:tr>
        <w:trPr/>
        <w:tc>
          <w:tcPr>
            <w:tcW w:w="7520"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1,894</w:t>
            </w:r>
          </w:p>
        </w:tc>
        <w:tc>
          <w:tcPr>
            <w:tcW w:w="127" w:type="dxa"/>
            <w:tcBorders/>
            <w:shd w:fill="CCEEFF" w:val="clear"/>
            <w:vAlign w:val="bottom"/>
          </w:tcPr>
          <w:p>
            <w:pPr>
              <w:pStyle w:val="TableContents"/>
              <w:spacing w:before="0" w:after="283"/>
              <w:jc w:val="left"/>
              <w:rPr/>
            </w:pPr>
            <w:r>
              <w:rPr/>
              <w:t> </w:t>
            </w:r>
          </w:p>
        </w:tc>
      </w:tr>
      <w:tr>
        <w:trPr/>
        <w:tc>
          <w:tcPr>
            <w:tcW w:w="75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r>
      <w:tr>
        <w:trPr/>
        <w:tc>
          <w:tcPr>
            <w:tcW w:w="75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20"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75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27" w:type="dxa"/>
            <w:tcBorders/>
            <w:shd w:fill="CCEEFF" w:val="clear"/>
            <w:vAlign w:val="bottom"/>
          </w:tcPr>
          <w:p>
            <w:pPr>
              <w:pStyle w:val="TableContents"/>
              <w:spacing w:before="0" w:after="283"/>
              <w:jc w:val="left"/>
              <w:rPr/>
            </w:pPr>
            <w:r>
              <w:rPr/>
              <w:t> </w:t>
            </w:r>
          </w:p>
        </w:tc>
      </w:tr>
    </w:tbl>
    <w:p>
      <w:pPr>
        <w:pStyle w:val="TextBody"/>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580" w:name="PGBRK55"/>
      <w:bookmarkStart w:id="581" w:name="PGBRK55"/>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582" w:name="FTR55"/>
      <w:bookmarkStart w:id="583" w:name="FTR55"/>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84" w:name="GLFTR55"/>
      <w:bookmarkEnd w:id="5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5" w:name="PN55"/>
      <w:bookmarkEnd w:id="585"/>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586" w:name="HDR55"/>
      <w:bookmarkStart w:id="587" w:name="HDR55"/>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588" w:name="GLHDR55"/>
        <w:bookmarkEnd w:id="58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reduction of interest expense applicable to promissory notes and amortization of the related discounts primarily reflects the effect of the December 2011 conversion to equity of $4.0 million principal amount of 10% convertible notes plus accrued interest issued to Platinum prior to fiscal 2012, including the amortization of related note discounts.  Further, in April and May 2011, other convertible notes and accrued interest outstanding prior to the Merger were converted into restricted common stock at the time of the Merger. Offsetting these reductions is the accrued interest and discount amortization recorded for the July 2012 through March 2013 issuance and restructuring of an aggregate of $3.3 million of 10% senior secured convertible notes to Platinum and the restructuring of an additional $3.9 million of debt into new convertible notes to other service providers including Morrison &amp; Foerster, Cato Research Ltd., and University Health Network.  Additionally, during the quarter ended September 30, 2012, we issued restricted shares of our common stock and a note payable in settlement of certain past due accounts payable liabilities and recognized losses aggregating $80,000 based on the fair value of the restricted stock and note issued compared to the recorded liability. In fiscal 2013, we recognized interest income related to the restructuring of the May 2011 note receivable we accepted for the purchase of shares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conjunction with the issuance, pursuant to the October 2012 Agreement, of the Senior Secured Convertible Promissory Notes and related Exchange Warrant and Investment Warrants to Platinum in October 2012, February 2013 and March 2013 (as described more completely in Note 8, </w:t>
      </w:r>
      <w:r>
        <w:rPr>
          <w:rFonts w:ascii="Times New Roman" w:hAnsi="Times New Roman"/>
          <w:i/>
          <w:sz w:val="20"/>
        </w:rPr>
        <w:t>Convertible Promissory Notes and Other Notes Payable</w:t>
      </w:r>
      <w:r>
        <w:rPr>
          <w:rFonts w:ascii="Times New Roman" w:hAnsi="Times New Roman"/>
          <w:sz w:val="20"/>
        </w:rPr>
        <w:t xml:space="preserve"> in the Consolidated Financial Statements included in Item 8 of this Annual Report on Form 10-K), and the potential issuance of the Series A Exchange Warrant to Platinum (as described in Note 9, </w:t>
      </w:r>
      <w:r>
        <w:rPr>
          <w:rFonts w:ascii="Times New Roman" w:hAnsi="Times New Roman"/>
          <w:i/>
          <w:sz w:val="20"/>
        </w:rPr>
        <w:t>Capital Stock</w:t>
      </w:r>
      <w:r>
        <w:rPr>
          <w:rFonts w:ascii="Times New Roman" w:hAnsi="Times New Roman"/>
          <w:sz w:val="20"/>
        </w:rPr>
        <w:t xml:space="preserve"> in the Consolidated Financial Statements included in Item 8 of this Annual Report on Form 10-K), we determined that the warrants included certain exercise price adjustment features requiring the warrants to be treated as liabilities.  We recorded the warrant liability at its estimated fair value as of the date of warrant issuance or contract execution.  During fiscal 2013, we recognized non-cash expense of $1.6 million related to the increase in the estimated fair value of these liabilities, which resulted primarily from the increase in the market price of our common stock related to the anticipated exercise price of the warrants.  The $78,000 of non-cash expense recognized in fiscal year 2012 related to the termination of liability treatment for certain derivatives associated with earlier notes and warrants issued to Platinum as a result of our going-public transaction.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recognized non-cash losses on the early extinguishment of debt in the aggregate amount of $3.6 million in fiscal  2013 as a result of the restructuring of notes payable to Platinum and Cato Holding Company, and the restructuring of accounts payable to Cato Research, Ltd. and University Health Network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8, </w:t>
      </w:r>
      <w:r>
        <w:rPr>
          <w:rFonts w:ascii="Times New Roman" w:hAnsi="Times New Roman"/>
          <w:i/>
          <w:sz w:val="20"/>
        </w:rPr>
        <w:t>Convertible Promissory Notes and Other Notes Payable,</w:t>
      </w:r>
      <w:r>
        <w:rPr>
          <w:rFonts w:ascii="Times New Roman" w:hAnsi="Times New Roman"/>
          <w:sz w:val="20"/>
        </w:rPr>
        <w:t xml:space="preserve"> in the Consolidated Financial Statements included in Item 8 of this report.  In fiscal 2012, we recognized a non-cash loss of $1.2 million on the early extinguishment of debt in connection with the cancellation of a $4.0 million note and related accrued interest issued to Platinum and Platinum’s related exercise of warrants and exchange of shares of our common stock into shares of our Series A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October 2012, in connection with the Note and Exchange Agreement we entered with Platinum, as described in Note 8, </w:t>
      </w:r>
      <w:r>
        <w:rPr>
          <w:rFonts w:ascii="Times New Roman" w:hAnsi="Times New Roman"/>
          <w:i/>
          <w:sz w:val="20"/>
        </w:rPr>
        <w:t>Convertible Promissory Notes and Other Notes Payable,</w:t>
      </w:r>
      <w:r>
        <w:rPr>
          <w:rFonts w:ascii="Times New Roman" w:hAnsi="Times New Roman"/>
          <w:sz w:val="20"/>
        </w:rPr>
        <w:t xml:space="preserve"> and Note 9, </w:t>
      </w:r>
      <w:r>
        <w:rPr>
          <w:rFonts w:ascii="Times New Roman" w:hAnsi="Times New Roman"/>
          <w:i/>
          <w:sz w:val="20"/>
        </w:rPr>
        <w:t>Capital Stock</w:t>
      </w:r>
      <w:r>
        <w:rPr>
          <w:rFonts w:ascii="Times New Roman" w:hAnsi="Times New Roman"/>
          <w:sz w:val="20"/>
        </w:rPr>
        <w:t>, in the Consolidated Financial Statements included in this report, we recorded a non-cash deemed dividend of $10.2 million as a result of the modification of the exchange rights for the Series A Preferred Stock held by Platinum and the related prospective issuance of a five-year warrant to purchase restricted shares of our common stock upon Platinum’s exercise of its Series A Preferred Stock exchange rights.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9" w:name="PGBRK56"/>
      <w:bookmarkStart w:id="590" w:name="PGBRK56"/>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FTR56"/>
      <w:bookmarkStart w:id="592" w:name="FTR56"/>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3" w:name="GLFTR56"/>
      <w:bookmarkEnd w:id="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4" w:name="PN56"/>
      <w:bookmarkEnd w:id="594"/>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5" w:name="HDR56"/>
      <w:bookmarkStart w:id="596" w:name="HDR56"/>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97" w:name="GLHDR56"/>
        <w:bookmarkEnd w:id="59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bookmarkStart w:id="598" w:name="FIS_UNIDENTIFIED_TABLE_5"/>
      <w:bookmarkEnd w:id="598"/>
      <w:r>
        <w:rPr>
          <w:rFonts w:ascii="Times New Roman" w:hAnsi="Times New Roman"/>
          <w:sz w:val="20"/>
        </w:rPr>
        <w:t>At March 31, 2013, we had cash and cash equivalents of $638,100 and our current liabilities exceeded our current assets by $1.7 million. However, in April 2013, we entered into a Securities Purchase Agreement pursuant to which, as amended, we have agreed to sell, and Autilion, AG, a company organized and existing under the laws of Switzerland (“</w:t>
      </w:r>
      <w:r>
        <w:rPr>
          <w:rFonts w:ascii="Times New Roman" w:hAnsi="Times New Roman"/>
          <w:i/>
          <w:sz w:val="20"/>
        </w:rPr>
        <w:t>Autilion</w:t>
      </w:r>
      <w:r>
        <w:rPr>
          <w:rFonts w:ascii="Times New Roman" w:hAnsi="Times New Roman"/>
          <w:sz w:val="20"/>
        </w:rPr>
        <w:t>”), has agreed to purchase, 72.0 million restricted shares of our common stock for $0.50 per share resulting in aggregate gross proceeds to us of $36.0 million, in a series of tranches scheduled to close between June 27, 2013 and September 30, 2013 (the “</w:t>
      </w:r>
      <w:r>
        <w:rPr>
          <w:rFonts w:ascii="Times New Roman" w:hAnsi="Times New Roman"/>
          <w:i/>
          <w:sz w:val="20"/>
        </w:rPr>
        <w:t>Autilion Financing</w:t>
      </w:r>
      <w:r>
        <w:rPr>
          <w:rFonts w:ascii="Times New Roman" w:hAnsi="Times New Roman"/>
          <w:sz w:val="20"/>
        </w:rPr>
        <w:t>”).  The Autilion Financing also provides for the election to our Board of Directors of a designee of Autilion.  Through the date of this report, we have completed a nominal initial closing of the Autilion Financing. During our fiscal year ended March 31, 2013, we financed our operations primarily through the issuance of $3.3 million of 10% Senior Secured Convertible Promissory Notes to Platinum, the sale of Units consisting of common stock and five-year warrants to purchase common stock that generated approximately $1.1 million of cash proceeds, and the exercise of warrants, most of which were modified to reduce their original exercise prices, that generated approximately $0.3 million of cash proceeds.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inception in May 1998, we have financed our operations, technology development and technology acquisitions primarily through the issuance and sale of equity and equity-linked securities for cash consideration and convertible promissory notes and short-term promissory notes, as well as from government research grant awards and strategic collaboration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anticipate that our cash expenditures during the next twelve months will be approximately $4.0 million to $6.0 million.  We believe that our current cash and cash equivalents, combined with the expected cash proceeds from the Autilion Financing, will enable us to fund our operations well beyond the next twelve months.  Additionally, we may supplement those funds to meet our cash needs and fund our working capital requirements through a combination of additional private placements of our securities, which may include both debt and equity securities, stem cell technology-based research and development collaborations, stem cell technology and drug candidate license fees and government grant awards. Since our inception, we have demonstrated the ability to manage our costs aggressively and increase our operating efficiencies while advancing our stem cell technology platform and AV-101 development programs.  To further advance drug rescue applications of our stem cell technology platform, as well as support our operating activities, we plan to continue to manage our monthly operating costs associated with salaries and benefits, regulatory and public company consulting, contract research and development, legal, accounting and other working capital costs carefully.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Although we have been successful since May 1998 with raising sufficient capital, and we will continue to pursue additional financing opportunities, as and when required, to meet our business objectives, there can be no assurance that additional capital will be available to us in sufficient amounts, on terms favorable to us, and without substantial dilution to our current stockholders, if at all. If we are unable to complete the Autilion Financing or one or more private placements, or otherwise obtain sufficient financing through strategic collaborations or government grant awards, we will be required to delay, scale back or discontinue certain drug rescue and/or research and development activities, and this will adversely affect our ability to operate as a going concern and could cause our stock price to decline. If we obtain additional strategic financing by selling our equity or debt securities, including sales of our common stock pursuant to the completion of the Autilion Financing, substantial dilution to our existing stockholders will result. Our future working capital requirements will depend on many factors, including, without limitation, the scope and nature of our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9" w:name="PGBRK57"/>
      <w:bookmarkStart w:id="600" w:name="PGBRK57"/>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1" w:name="FTR57"/>
      <w:bookmarkStart w:id="602" w:name="FTR57"/>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03" w:name="GLFTR57"/>
      <w:bookmarkEnd w:id="6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4" w:name="PN57"/>
      <w:bookmarkEnd w:id="604"/>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5" w:name="HDR57"/>
      <w:bookmarkStart w:id="606" w:name="HDR57"/>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07" w:name="GLHDR57"/>
        <w:bookmarkEnd w:id="6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i/>
          <w:sz w:val="20"/>
        </w:rPr>
      </w:pPr>
      <w:r>
        <w:rPr>
          <w:rFonts w:ascii="Times New Roman" w:hAnsi="Times New Roman"/>
          <w:i/>
          <w:sz w:val="20"/>
        </w:rPr>
        <w:t>Cash and Cash Equivalents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83"/>
        <w:gridCol w:w="110"/>
        <w:gridCol w:w="127"/>
        <w:gridCol w:w="1003"/>
        <w:gridCol w:w="116"/>
        <w:gridCol w:w="110"/>
        <w:gridCol w:w="127"/>
        <w:gridCol w:w="1003"/>
        <w:gridCol w:w="126"/>
      </w:tblGrid>
      <w:tr>
        <w:trPr/>
        <w:tc>
          <w:tcPr>
            <w:tcW w:w="748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8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 Ended</w:t>
            </w:r>
          </w:p>
        </w:tc>
        <w:tc>
          <w:tcPr>
            <w:tcW w:w="126" w:type="dxa"/>
            <w:tcBorders/>
            <w:shd w:fill="auto" w:val="clear"/>
            <w:vAlign w:val="bottom"/>
          </w:tcPr>
          <w:p>
            <w:pPr>
              <w:pStyle w:val="TableContents"/>
              <w:spacing w:before="0" w:after="283"/>
              <w:jc w:val="left"/>
              <w:rPr/>
            </w:pPr>
            <w:r>
              <w:rPr/>
              <w:t> </w:t>
            </w:r>
          </w:p>
        </w:tc>
      </w:tr>
      <w:tr>
        <w:trPr/>
        <w:tc>
          <w:tcPr>
            <w:tcW w:w="748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8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6" w:type="dxa"/>
            <w:tcBorders/>
            <w:shd w:fill="auto" w:val="clear"/>
            <w:vAlign w:val="bottom"/>
          </w:tcPr>
          <w:p>
            <w:pPr>
              <w:pStyle w:val="TableContents"/>
              <w:spacing w:before="0" w:after="283"/>
              <w:jc w:val="left"/>
              <w:rPr/>
            </w:pPr>
            <w:r>
              <w:rPr/>
              <w:t> </w:t>
            </w:r>
          </w:p>
        </w:tc>
      </w:tr>
      <w:tr>
        <w:trPr/>
        <w:tc>
          <w:tcPr>
            <w:tcW w:w="748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6" w:type="dxa"/>
            <w:tcBorders/>
            <w:shd w:fill="auto" w:val="clear"/>
            <w:vAlign w:val="bottom"/>
          </w:tcPr>
          <w:p>
            <w:pPr>
              <w:pStyle w:val="TableContents"/>
              <w:spacing w:before="0" w:after="283"/>
              <w:jc w:val="left"/>
              <w:rPr/>
            </w:pPr>
            <w:r>
              <w:rPr/>
              <w:t> </w:t>
            </w:r>
          </w:p>
        </w:tc>
      </w:tr>
      <w:tr>
        <w:trPr/>
        <w:tc>
          <w:tcPr>
            <w:tcW w:w="748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48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(3,463</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(3,566</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 including warrant exercises and sale of Units in 2012 and sale of Units in 2011</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4,156</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3,540</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bookmarkStart w:id="608" w:name="FIS_CONTROL_AND_PROCEDURES"/>
      <w:bookmarkStart w:id="609" w:name="F59177E10VQ_HTM_F59177110"/>
      <w:bookmarkEnd w:id="608"/>
      <w:bookmarkEnd w:id="609"/>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7A.  Quantitative and Qualitative Disclosures About Market Risk</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disclosures in this section are not required since we qualify as a smaller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610" w:name="it7a8j"/>
      <w:bookmarkEnd w:id="610"/>
      <w:r>
        <w:rPr>
          <w:rFonts w:ascii="Times New Roman" w:hAnsi="Times New Roman"/>
          <w:b/>
          <w:sz w:val="20"/>
        </w:rPr>
        <w:t>Item 8.  Financial Statements and Supplementary Data</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8506"/>
        <w:gridCol w:w="1699"/>
      </w:tblGrid>
      <w:tr>
        <w:trPr/>
        <w:tc>
          <w:tcPr>
            <w:tcW w:w="8506" w:type="dxa"/>
            <w:tcBorders/>
            <w:shd w:fill="auto" w:val="clear"/>
          </w:tcPr>
          <w:p>
            <w:pPr>
              <w:pStyle w:val="TableContents"/>
              <w:spacing w:before="0" w:after="283"/>
              <w:jc w:val="left"/>
              <w:rPr/>
            </w:pPr>
            <w:r>
              <w:rPr/>
              <w:t xml:space="preserve">  </w:t>
            </w:r>
          </w:p>
        </w:tc>
        <w:tc>
          <w:tcPr>
            <w:tcW w:w="169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506" w:type="dxa"/>
            <w:tcBorders/>
            <w:shd w:fill="CCEEFF" w:val="clear"/>
          </w:tcPr>
          <w:p>
            <w:pPr>
              <w:pStyle w:val="TableContents"/>
              <w:spacing w:before="0" w:after="0"/>
              <w:ind w:left="0" w:right="0" w:hanging="0"/>
              <w:jc w:val="left"/>
              <w:rPr/>
            </w:pPr>
            <w:hyperlink w:anchor="reportj">
              <w:r>
                <w:rPr>
                  <w:rStyle w:val="InternetLink"/>
                  <w:rFonts w:ascii="times new roman" w:hAnsi="times new roman"/>
                  <w:sz w:val="20"/>
                </w:rPr>
                <w:t>Report of Independent Registered Public Accounting Firm</w:t>
              </w:r>
            </w:hyperlink>
          </w:p>
        </w:tc>
        <w:tc>
          <w:tcPr>
            <w:tcW w:w="169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58</w:t>
            </w:r>
          </w:p>
        </w:tc>
      </w:tr>
      <w:tr>
        <w:trPr/>
        <w:tc>
          <w:tcPr>
            <w:tcW w:w="8506" w:type="dxa"/>
            <w:tcBorders/>
            <w:shd w:fill="FFFFFF" w:val="clear"/>
          </w:tcPr>
          <w:p>
            <w:pPr>
              <w:pStyle w:val="TableContents"/>
              <w:spacing w:before="0" w:after="0"/>
              <w:ind w:left="0" w:right="0" w:hanging="0"/>
              <w:jc w:val="left"/>
              <w:rPr/>
            </w:pPr>
            <w:hyperlink w:anchor="bsj">
              <w:r>
                <w:rPr>
                  <w:rStyle w:val="InternetLink"/>
                  <w:rFonts w:ascii="times new roman" w:hAnsi="times new roman"/>
                  <w:sz w:val="20"/>
                </w:rPr>
                <w:t>Consolidated Balance Sheets</w:t>
              </w:r>
            </w:hyperlink>
          </w:p>
        </w:tc>
        <w:tc>
          <w:tcPr>
            <w:tcW w:w="1699"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59</w:t>
            </w:r>
          </w:p>
        </w:tc>
      </w:tr>
      <w:tr>
        <w:trPr/>
        <w:tc>
          <w:tcPr>
            <w:tcW w:w="8506" w:type="dxa"/>
            <w:tcBorders/>
            <w:shd w:fill="CCEEFF" w:val="clear"/>
          </w:tcPr>
          <w:p>
            <w:pPr>
              <w:pStyle w:val="TableContents"/>
              <w:spacing w:before="0" w:after="0"/>
              <w:ind w:left="0" w:right="0" w:hanging="0"/>
              <w:jc w:val="left"/>
              <w:rPr/>
            </w:pPr>
            <w:hyperlink w:anchor="stopcompj">
              <w:r>
                <w:rPr>
                  <w:rStyle w:val="InternetLink"/>
                  <w:rFonts w:ascii="times new roman" w:hAnsi="times new roman"/>
                  <w:sz w:val="20"/>
                </w:rPr>
                <w:t>Consolidated Statements of Operations and Comprehensive Loss</w:t>
              </w:r>
            </w:hyperlink>
          </w:p>
        </w:tc>
        <w:tc>
          <w:tcPr>
            <w:tcW w:w="169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r>
      <w:tr>
        <w:trPr/>
        <w:tc>
          <w:tcPr>
            <w:tcW w:w="8506" w:type="dxa"/>
            <w:tcBorders/>
            <w:shd w:fill="FFFFFF" w:val="clear"/>
          </w:tcPr>
          <w:p>
            <w:pPr>
              <w:pStyle w:val="TableContents"/>
              <w:spacing w:before="0" w:after="0"/>
              <w:ind w:left="0" w:right="0" w:hanging="0"/>
              <w:jc w:val="left"/>
              <w:rPr/>
            </w:pPr>
            <w:hyperlink w:anchor="cftablej">
              <w:r>
                <w:rPr>
                  <w:rStyle w:val="InternetLink"/>
                  <w:rFonts w:ascii="times new roman" w:hAnsi="times new roman"/>
                  <w:sz w:val="20"/>
                </w:rPr>
                <w:t>Consolidated Statements of Cash Flows</w:t>
              </w:r>
            </w:hyperlink>
          </w:p>
        </w:tc>
        <w:tc>
          <w:tcPr>
            <w:tcW w:w="1699"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61</w:t>
            </w:r>
          </w:p>
        </w:tc>
      </w:tr>
      <w:tr>
        <w:trPr/>
        <w:tc>
          <w:tcPr>
            <w:tcW w:w="8506" w:type="dxa"/>
            <w:tcBorders/>
            <w:shd w:fill="CCEEFF" w:val="clear"/>
          </w:tcPr>
          <w:p>
            <w:pPr>
              <w:pStyle w:val="TableContents"/>
              <w:spacing w:before="0" w:after="0"/>
              <w:ind w:left="0" w:right="0" w:hanging="0"/>
              <w:jc w:val="left"/>
              <w:rPr/>
            </w:pPr>
            <w:hyperlink w:anchor="prefstockj">
              <w:r>
                <w:rPr>
                  <w:rStyle w:val="InternetLink"/>
                  <w:rFonts w:ascii="times new roman" w:hAnsi="times new roman"/>
                  <w:sz w:val="20"/>
                </w:rPr>
                <w:t>Consolidated Statements of Preferred Stock</w:t>
              </w:r>
            </w:hyperlink>
          </w:p>
        </w:tc>
        <w:tc>
          <w:tcPr>
            <w:tcW w:w="169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r>
      <w:tr>
        <w:trPr/>
        <w:tc>
          <w:tcPr>
            <w:tcW w:w="8506" w:type="dxa"/>
            <w:tcBorders/>
            <w:shd w:fill="FFFFFF" w:val="clear"/>
          </w:tcPr>
          <w:p>
            <w:pPr>
              <w:pStyle w:val="TableContents"/>
              <w:spacing w:before="0" w:after="0"/>
              <w:ind w:left="0" w:right="0" w:hanging="0"/>
              <w:jc w:val="left"/>
              <w:rPr/>
            </w:pPr>
            <w:hyperlink w:anchor="stockdefj">
              <w:r>
                <w:rPr>
                  <w:rStyle w:val="InternetLink"/>
                  <w:rFonts w:ascii="times new roman" w:hAnsi="times new roman"/>
                  <w:sz w:val="20"/>
                </w:rPr>
                <w:t>Consolidated Statements of Stockholders' Deficit</w:t>
              </w:r>
            </w:hyperlink>
          </w:p>
        </w:tc>
        <w:tc>
          <w:tcPr>
            <w:tcW w:w="1699"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64</w:t>
            </w:r>
          </w:p>
        </w:tc>
      </w:tr>
      <w:tr>
        <w:trPr/>
        <w:tc>
          <w:tcPr>
            <w:tcW w:w="8506" w:type="dxa"/>
            <w:tcBorders/>
            <w:shd w:fill="CCEEFF" w:val="clear"/>
          </w:tcPr>
          <w:p>
            <w:pPr>
              <w:pStyle w:val="TableContents"/>
              <w:spacing w:before="0" w:after="0"/>
              <w:ind w:left="0" w:right="0" w:hanging="0"/>
              <w:jc w:val="left"/>
              <w:rPr/>
            </w:pPr>
            <w:hyperlink w:anchor="notesj">
              <w:r>
                <w:rPr>
                  <w:rStyle w:val="InternetLink"/>
                  <w:rFonts w:ascii="times new roman" w:hAnsi="times new roman"/>
                  <w:sz w:val="20"/>
                </w:rPr>
                <w:t>Notes to Consolidated Financial Statements</w:t>
              </w:r>
            </w:hyperlink>
          </w:p>
        </w:tc>
        <w:tc>
          <w:tcPr>
            <w:tcW w:w="169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68</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1" w:name="PGBRK58"/>
      <w:bookmarkStart w:id="612" w:name="PGBRK58"/>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3" w:name="FTR58"/>
      <w:bookmarkStart w:id="614" w:name="FTR58"/>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5" w:name="GLFTR58"/>
      <w:bookmarkEnd w:id="6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6" w:name="PN58"/>
      <w:bookmarkEnd w:id="616"/>
      <w:r>
        <w:rPr>
          <w:rFonts w:ascii="Times New Roman" w:hAnsi="Times New Roman"/>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7" w:name="HDR58"/>
      <w:bookmarkStart w:id="618" w:name="HDR58"/>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19" w:name="GLHDR58"/>
        <w:bookmarkEnd w:id="61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620" w:name="reportj"/>
      <w:bookmarkEnd w:id="620"/>
      <w:r>
        <w:rPr>
          <w:rFonts w:ascii="Times New Roman" w:hAnsi="Times New Roman"/>
          <w:b/>
          <w:sz w:val="20"/>
          <w:u w:val="single"/>
        </w:rPr>
        <w:t>REPORT OF INDEPENDENT REGISTERED PUBLIC ACCOUNTING FIRM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w:t>
      </w: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left"/>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t> </w:t>
      </w:r>
    </w:p>
    <w:p>
      <w:pPr>
        <w:pStyle w:val="TextBody"/>
        <w:spacing w:before="0" w:after="0"/>
        <w:ind w:left="0" w:right="0" w:hanging="0"/>
        <w:jc w:val="both"/>
        <w:rPr/>
      </w:pPr>
      <w:bookmarkStart w:id="621" w:name="TAB2"/>
      <w:bookmarkEnd w:id="621"/>
      <w:r>
        <w:rPr>
          <w:spacing w:val="180"/>
        </w:rPr>
        <w:t>   </w:t>
      </w:r>
      <w:r>
        <w:rPr/>
        <w:t> </w:t>
      </w:r>
      <w:r>
        <w:rPr>
          <w:rFonts w:ascii="Times New Roman" w:hAnsi="Times New Roman"/>
          <w:sz w:val="20"/>
        </w:rPr>
        <w:t>We have audited the accompanying consolidated balance sheets of VistaGen Therapeutics, Inc. (a development stage company) as of March 31, 2013 and 2012 and the related consolidated statements of operations and comprehensive loss, cash flows, preferred stock, and stockholders’ deficit for the years then ended, and for the period from May 26, 1998 (inception) through March 31, 2013. These financial statements are the responsibility of the Company's management. Our responsibility is to express an opinion on these consolidated financial statements based on our audits.</w:t>
      </w:r>
    </w:p>
    <w:p>
      <w:pPr>
        <w:pStyle w:val="TextBody"/>
        <w:spacing w:before="0" w:after="0"/>
        <w:ind w:left="0" w:right="0" w:hanging="0"/>
        <w:rPr/>
      </w:pPr>
      <w:r>
        <w:rPr/>
        <w:t> </w:t>
      </w:r>
    </w:p>
    <w:p>
      <w:pPr>
        <w:pStyle w:val="TextBody"/>
        <w:spacing w:before="0" w:after="0"/>
        <w:ind w:left="0" w:right="0" w:hanging="0"/>
        <w:jc w:val="both"/>
        <w:rPr/>
      </w:pPr>
      <w:bookmarkStart w:id="622" w:name="TAB21"/>
      <w:bookmarkEnd w:id="622"/>
      <w:r>
        <w:rPr>
          <w:spacing w:val="180"/>
        </w:rPr>
        <w:t>   </w:t>
      </w:r>
      <w:r>
        <w:rPr/>
        <w:t> </w:t>
      </w:r>
      <w:r>
        <w:rPr>
          <w:rFonts w:ascii="Times New Roman" w:hAnsi="Times New Roman"/>
          <w:sz w:val="20"/>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pStyle w:val="TextBody"/>
        <w:spacing w:before="0" w:after="0"/>
        <w:ind w:left="0" w:right="0" w:hanging="0"/>
        <w:rPr/>
      </w:pPr>
      <w:r>
        <w:rPr/>
        <w:t> </w:t>
      </w:r>
    </w:p>
    <w:p>
      <w:pPr>
        <w:pStyle w:val="TextBody"/>
        <w:spacing w:before="0" w:after="0"/>
        <w:ind w:left="0" w:right="0" w:hanging="0"/>
        <w:jc w:val="both"/>
        <w:rPr/>
      </w:pPr>
      <w:bookmarkStart w:id="623" w:name="TAB22"/>
      <w:bookmarkEnd w:id="623"/>
      <w:r>
        <w:rPr>
          <w:spacing w:val="180"/>
        </w:rPr>
        <w:t>   </w:t>
      </w:r>
      <w:r>
        <w:rPr/>
        <w:t> </w:t>
      </w:r>
      <w:r>
        <w:rPr>
          <w:rFonts w:ascii="Times New Roman" w:hAnsi="Times New Roman"/>
          <w:sz w:val="20"/>
        </w:rPr>
        <w:t>In our opinion, the consolidated financial statements referred to above present fairly, in all material respects, the consolidated financial position of VistaGen Therapeutics, Inc. (a development stage company) at March 31, 2013 and 2012, and the consolidated results of its operations and its cash flows for the years then ended, and for the period from May 26, 1998 (inception) through March 31, 2013, in conformity with U.S. generally accepted accounting principles.</w:t>
      </w:r>
    </w:p>
    <w:p>
      <w:pPr>
        <w:pStyle w:val="TextBody"/>
        <w:spacing w:before="0" w:after="0"/>
        <w:ind w:left="0" w:right="0" w:hanging="0"/>
        <w:rPr/>
      </w:pPr>
      <w:r>
        <w:rPr/>
        <w:t> </w:t>
      </w:r>
    </w:p>
    <w:p>
      <w:pPr>
        <w:pStyle w:val="TextBody"/>
        <w:spacing w:before="0" w:after="0"/>
        <w:ind w:left="0" w:right="0" w:hanging="0"/>
        <w:jc w:val="both"/>
        <w:rPr/>
      </w:pPr>
      <w:bookmarkStart w:id="624" w:name="TAB23"/>
      <w:bookmarkEnd w:id="624"/>
      <w:r>
        <w:rPr>
          <w:spacing w:val="180"/>
        </w:rPr>
        <w:t>   </w:t>
      </w:r>
      <w:r>
        <w:rPr/>
        <w:t> </w:t>
      </w:r>
      <w:r>
        <w:rPr>
          <w:rFonts w:ascii="Times New Roman" w:hAnsi="Times New Roman"/>
          <w:sz w:val="20"/>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OUM &amp; CO. LLP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San Francisco, California</w:t>
      </w:r>
    </w:p>
    <w:p>
      <w:pPr>
        <w:pStyle w:val="TextBody"/>
        <w:spacing w:before="0" w:after="0"/>
        <w:ind w:left="0" w:right="0" w:hanging="0"/>
        <w:jc w:val="left"/>
        <w:rPr>
          <w:rFonts w:ascii="Times New Roman" w:hAnsi="Times New Roman"/>
          <w:sz w:val="20"/>
        </w:rPr>
      </w:pPr>
      <w:r>
        <w:rPr>
          <w:rFonts w:ascii="Times New Roman" w:hAnsi="Times New Roman"/>
          <w:sz w:val="20"/>
        </w:rPr>
        <w:t>July 17, 2013</w:t>
      </w:r>
    </w:p>
    <w:p>
      <w:pPr>
        <w:pStyle w:val="TextBody"/>
        <w:spacing w:before="0" w:after="0"/>
        <w:ind w:left="0" w:right="0" w:hanging="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5" w:name="PGBRK59"/>
      <w:bookmarkStart w:id="626" w:name="PGBRK59"/>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7" w:name="FTR59"/>
      <w:bookmarkStart w:id="628" w:name="FTR59"/>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29" w:name="GLFTR59"/>
      <w:bookmarkEnd w:id="6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0" w:name="PN59"/>
      <w:bookmarkEnd w:id="630"/>
      <w:r>
        <w:rPr>
          <w:rFonts w:ascii="Times New Roman" w:hAnsi="Times New Roman"/>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1" w:name="HDR59"/>
      <w:bookmarkStart w:id="632" w:name="HDR59"/>
      <w:bookmarkEnd w:id="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33" w:name="GLHDR59"/>
        <w:bookmarkEnd w:id="63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634" w:name="bsj"/>
      <w:bookmarkEnd w:id="63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amounts)</w:t>
      </w:r>
    </w:p>
    <w:tbl>
      <w:tblPr>
        <w:tblW w:w="5000" w:type="pct"/>
        <w:jc w:val="left"/>
        <w:tblInd w:w="0" w:type="dxa"/>
        <w:tblCellMar>
          <w:top w:w="0" w:type="dxa"/>
          <w:left w:w="0" w:type="dxa"/>
          <w:bottom w:w="0" w:type="dxa"/>
          <w:right w:w="0" w:type="dxa"/>
        </w:tblCellMar>
      </w:tblPr>
      <w:tblGrid>
        <w:gridCol w:w="7318"/>
        <w:gridCol w:w="106"/>
        <w:gridCol w:w="125"/>
        <w:gridCol w:w="1097"/>
        <w:gridCol w:w="112"/>
        <w:gridCol w:w="106"/>
        <w:gridCol w:w="125"/>
        <w:gridCol w:w="1097"/>
        <w:gridCol w:w="119"/>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center"/>
              <w:rPr/>
            </w:pPr>
            <w:r>
              <w:rPr/>
              <w:t> </w:t>
            </w:r>
            <w:r>
              <w:rPr>
                <w:rFonts w:ascii="times new roman" w:hAnsi="times new roman"/>
                <w:b/>
                <w:sz w:val="20"/>
              </w:rPr>
              <w:t>ASSETS</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Unbilled contract payments receivable</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671,800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238,100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Security deposits and other assets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Total assets</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881,500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1,750,800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342,900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582,500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Total current liabilities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2,414,300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3,182,500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8646"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convertible promissory notes, net of discount of $1,963,100 at March 31, 2013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and accrued interest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1,425,700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promissory notes, net of discount of $499,300 at March 31, 2012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net of discount of $1,142,600 at March 31, 2013 and $228,900 at March 31, 2012</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2,091,800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2,684,300</w:t>
            </w:r>
          </w:p>
        </w:tc>
        <w:tc>
          <w:tcPr>
            <w:tcW w:w="119" w:type="dxa"/>
            <w:tcBorders/>
            <w:shd w:fill="CCEEFF" w:val="clear"/>
            <w:vAlign w:val="bottom"/>
          </w:tcPr>
          <w:p>
            <w:pPr>
              <w:pStyle w:val="TableContents"/>
              <w:spacing w:before="0" w:after="283"/>
              <w:jc w:val="left"/>
              <w:rPr/>
            </w:pPr>
            <w:r>
              <w:rPr/>
              <w:t> </w:t>
            </w:r>
          </w:p>
        </w:tc>
      </w:tr>
      <w:tr>
        <w:trPr/>
        <w:tc>
          <w:tcPr>
            <w:tcW w:w="8646"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parties, net of discount of $147,200 at March 31, 2013 and $24,300 at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March 31, 2012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107,700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liability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officers’ compensation</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Total non-current liabilities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11,023,600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2,864,700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Total liabilities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13,437,900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6,047,200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8646"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$0.001 par value; 10,000,000 shares, including 500,000 Series A shares, authorized</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8646" w:type="dxa"/>
            <w:gridSpan w:val="4"/>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at March 31, 2013 and 2012; 500,000 and 437,055 Series A shares issued and outstanding at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March 31, 2013 and 2012, respectively</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19" w:type="dxa"/>
            <w:tcBorders/>
            <w:shd w:fill="FFFFFF" w:val="clear"/>
            <w:vAlign w:val="bottom"/>
          </w:tcPr>
          <w:p>
            <w:pPr>
              <w:pStyle w:val="TableContents"/>
              <w:spacing w:before="0" w:after="283"/>
              <w:jc w:val="left"/>
              <w:rPr/>
            </w:pPr>
            <w:r>
              <w:rPr/>
              <w:t> </w:t>
            </w:r>
          </w:p>
        </w:tc>
      </w:tr>
      <w:tr>
        <w:trPr/>
        <w:tc>
          <w:tcPr>
            <w:tcW w:w="8646"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at March 31, 2013 and 2012;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23,480,169 and 18,704,267 shares issued at March 31, 2013 and March 31, 2012,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59,266,000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119" w:type="dxa"/>
            <w:tcBorders/>
            <w:shd w:fill="FFFFFF" w:val="clear"/>
            <w:vAlign w:val="bottom"/>
          </w:tcPr>
          <w:p>
            <w:pPr>
              <w:pStyle w:val="TableContents"/>
              <w:spacing w:before="0" w:after="283"/>
              <w:jc w:val="left"/>
              <w:rPr/>
            </w:pPr>
            <w:r>
              <w:rPr/>
              <w:t> </w:t>
            </w:r>
          </w:p>
        </w:tc>
      </w:tr>
      <w:tr>
        <w:trPr/>
        <w:tc>
          <w:tcPr>
            <w:tcW w:w="8646"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Treasury stock, at cost, 2,713,308 and 2,083,858 shares of common stock held at March 31, 2013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and March 31, 2012,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receivable from sale of common stock</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development stage</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Total stockholders’ deficit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(12,556,400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Total liabilities and stockholders’ deficit</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881,500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5" w:name="PGBRK60"/>
      <w:bookmarkStart w:id="636" w:name="PGBRK60"/>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7" w:name="FTR60"/>
      <w:bookmarkStart w:id="638" w:name="FTR60"/>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39" w:name="GLFTR60"/>
      <w:bookmarkEnd w:id="6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0" w:name="PN60"/>
      <w:bookmarkEnd w:id="640"/>
      <w:r>
        <w:rPr>
          <w:rFonts w:ascii="Times New Roman" w:hAnsi="Times New Roman"/>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1" w:name="HDR60"/>
      <w:bookmarkStart w:id="642" w:name="HDR60"/>
      <w:bookmarkEnd w:id="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43" w:name="GLHDR60"/>
        <w:bookmarkEnd w:id="64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644" w:name="stopcompj"/>
      <w:bookmarkEnd w:id="64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 AND COMPREHENSIVE LOSS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tbl>
      <w:tblPr>
        <w:tblW w:w="5000" w:type="pct"/>
        <w:jc w:val="left"/>
        <w:tblInd w:w="0" w:type="dxa"/>
        <w:tblCellMar>
          <w:top w:w="0" w:type="dxa"/>
          <w:left w:w="0" w:type="dxa"/>
          <w:bottom w:w="0" w:type="dxa"/>
          <w:right w:w="0" w:type="dxa"/>
        </w:tblCellMar>
      </w:tblPr>
      <w:tblGrid>
        <w:gridCol w:w="5916"/>
        <w:gridCol w:w="102"/>
        <w:gridCol w:w="125"/>
        <w:gridCol w:w="1090"/>
        <w:gridCol w:w="109"/>
        <w:gridCol w:w="102"/>
        <w:gridCol w:w="125"/>
        <w:gridCol w:w="1090"/>
        <w:gridCol w:w="109"/>
        <w:gridCol w:w="102"/>
        <w:gridCol w:w="125"/>
        <w:gridCol w:w="1089"/>
        <w:gridCol w:w="121"/>
      </w:tblGrid>
      <w:tr>
        <w:trPr/>
        <w:tc>
          <w:tcPr>
            <w:tcW w:w="59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1" w:type="dxa"/>
            <w:tcBorders/>
            <w:shd w:fill="auto" w:val="clear"/>
            <w:vAlign w:val="bottom"/>
          </w:tcPr>
          <w:p>
            <w:pPr>
              <w:pStyle w:val="TableContents"/>
              <w:spacing w:before="0" w:after="283"/>
              <w:jc w:val="left"/>
              <w:rPr/>
            </w:pPr>
            <w:r>
              <w:rPr/>
              <w:t> </w:t>
            </w:r>
          </w:p>
        </w:tc>
      </w:tr>
      <w:tr>
        <w:trPr/>
        <w:tc>
          <w:tcPr>
            <w:tcW w:w="59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1" w:type="dxa"/>
            <w:tcBorders/>
            <w:shd w:fill="auto" w:val="clear"/>
            <w:vAlign w:val="bottom"/>
          </w:tcPr>
          <w:p>
            <w:pPr>
              <w:pStyle w:val="TableContents"/>
              <w:spacing w:before="0" w:after="283"/>
              <w:jc w:val="left"/>
              <w:rPr/>
            </w:pPr>
            <w:r>
              <w:rPr/>
              <w:t> </w:t>
            </w:r>
          </w:p>
        </w:tc>
      </w:tr>
      <w:tr>
        <w:trPr/>
        <w:tc>
          <w:tcPr>
            <w:tcW w:w="59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1" w:type="dxa"/>
            <w:tcBorders/>
            <w:shd w:fill="auto" w:val="clear"/>
            <w:vAlign w:val="bottom"/>
          </w:tcPr>
          <w:p>
            <w:pPr>
              <w:pStyle w:val="TableContents"/>
              <w:spacing w:before="0" w:after="283"/>
              <w:jc w:val="left"/>
              <w:rPr/>
            </w:pPr>
            <w:r>
              <w:rPr/>
              <w:t> </w:t>
            </w:r>
          </w:p>
        </w:tc>
      </w:tr>
      <w:tr>
        <w:trPr/>
        <w:tc>
          <w:tcPr>
            <w:tcW w:w="59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750" w:type="dxa"/>
            <w:gridSpan w:val="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 March 31,</w:t>
            </w:r>
          </w:p>
        </w:tc>
        <w:tc>
          <w:tcPr>
            <w:tcW w:w="102"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1" w:type="dxa"/>
            <w:tcBorders/>
            <w:shd w:fill="auto" w:val="clear"/>
            <w:vAlign w:val="bottom"/>
          </w:tcPr>
          <w:p>
            <w:pPr>
              <w:pStyle w:val="TableContents"/>
              <w:spacing w:before="0" w:after="283"/>
              <w:jc w:val="left"/>
              <w:rPr/>
            </w:pPr>
            <w:r>
              <w:rPr/>
              <w:t> </w:t>
            </w:r>
          </w:p>
        </w:tc>
      </w:tr>
      <w:tr>
        <w:trPr/>
        <w:tc>
          <w:tcPr>
            <w:tcW w:w="59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1" w:type="dxa"/>
            <w:tcBorders/>
            <w:shd w:fill="auto" w:val="clear"/>
            <w:vAlign w:val="bottom"/>
          </w:tcPr>
          <w:p>
            <w:pPr>
              <w:pStyle w:val="TableContents"/>
              <w:spacing w:before="0" w:after="283"/>
              <w:jc w:val="left"/>
              <w:rPr/>
            </w:pPr>
            <w:r>
              <w:rPr/>
              <w:t> </w:t>
            </w:r>
          </w:p>
        </w:tc>
      </w:tr>
      <w:tr>
        <w:trPr/>
        <w:tc>
          <w:tcPr>
            <w:tcW w:w="591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 revenue</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1,342,200</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12,963,100</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Collaboration revenue</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2,283,600</w:t>
            </w:r>
          </w:p>
        </w:tc>
        <w:tc>
          <w:tcPr>
            <w:tcW w:w="121"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1,123,500</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Total revenues</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1,342,200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16,370,200</w:t>
            </w:r>
          </w:p>
        </w:tc>
        <w:tc>
          <w:tcPr>
            <w:tcW w:w="121"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3,430,800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5,388,600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29,555,700</w:t>
            </w:r>
          </w:p>
        </w:tc>
        <w:tc>
          <w:tcPr>
            <w:tcW w:w="121"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Acquired in-process research and development</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3,562,700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4,997,000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30,681,100</w:t>
            </w:r>
          </w:p>
        </w:tc>
        <w:tc>
          <w:tcPr>
            <w:tcW w:w="121"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Total operating expenses</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6,993,500</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10,385,600</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67,760,000</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(6,793,100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(9,043,400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(51,389,800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(920,700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(1,893,200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(10,362,200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warrant and put and note extension option liabilities</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(1,635,800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(1,217,300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early extinguishment of debt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(3,567,800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(4,761,300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34,400</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81,900</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(12,883,000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(12,207,900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(67,648,700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(12,886,700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on Series A Preferred stock</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(10,193,200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(10,193,200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(23,079,900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(77,862,400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attributable to common stockholders per common share</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8768" w:type="dxa"/>
            <w:gridSpan w:val="9"/>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 basic and diluted net</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loss attributable to common stockholders per common share</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18,108,444</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14,736,651</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Comprehensive loss</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(12,886,700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5" w:name="PGBRK61"/>
      <w:bookmarkStart w:id="646" w:name="PGBRK61"/>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7" w:name="FTR61"/>
      <w:bookmarkStart w:id="648" w:name="FTR61"/>
      <w:bookmarkEnd w:id="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49" w:name="GLFTR61"/>
      <w:bookmarkEnd w:id="6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0" w:name="PN61"/>
      <w:bookmarkEnd w:id="650"/>
      <w:r>
        <w:rPr>
          <w:rFonts w:ascii="Times New Roman" w:hAnsi="Times New Roman"/>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1" w:name="HDR61"/>
      <w:bookmarkStart w:id="652" w:name="HDR61"/>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53" w:name="GLHDR61"/>
        <w:bookmarkEnd w:id="6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654" w:name="cftablej"/>
      <w:bookmarkEnd w:id="65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w:t>
      </w:r>
    </w:p>
    <w:tbl>
      <w:tblPr>
        <w:tblW w:w="5000" w:type="pct"/>
        <w:jc w:val="left"/>
        <w:tblInd w:w="0" w:type="dxa"/>
        <w:tblCellMar>
          <w:top w:w="0" w:type="dxa"/>
          <w:left w:w="0" w:type="dxa"/>
          <w:bottom w:w="0" w:type="dxa"/>
          <w:right w:w="0" w:type="dxa"/>
        </w:tblCellMar>
      </w:tblPr>
      <w:tblGrid>
        <w:gridCol w:w="5872"/>
        <w:gridCol w:w="104"/>
        <w:gridCol w:w="126"/>
        <w:gridCol w:w="1100"/>
        <w:gridCol w:w="111"/>
        <w:gridCol w:w="104"/>
        <w:gridCol w:w="126"/>
        <w:gridCol w:w="1100"/>
        <w:gridCol w:w="111"/>
        <w:gridCol w:w="104"/>
        <w:gridCol w:w="126"/>
        <w:gridCol w:w="1100"/>
        <w:gridCol w:w="121"/>
      </w:tblGrid>
      <w:tr>
        <w:trPr/>
        <w:tc>
          <w:tcPr>
            <w:tcW w:w="5872"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21" w:type="dxa"/>
            <w:tcBorders/>
            <w:shd w:fill="auto" w:val="clear"/>
            <w:vAlign w:val="bottom"/>
          </w:tcPr>
          <w:p>
            <w:pPr>
              <w:pStyle w:val="TableContents"/>
              <w:spacing w:before="0" w:after="283"/>
              <w:jc w:val="left"/>
              <w:rPr/>
            </w:pPr>
            <w:r>
              <w:rPr/>
              <w:t> </w:t>
            </w:r>
          </w:p>
        </w:tc>
      </w:tr>
      <w:tr>
        <w:trPr/>
        <w:tc>
          <w:tcPr>
            <w:tcW w:w="5872"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1" w:type="dxa"/>
            <w:tcBorders/>
            <w:shd w:fill="auto" w:val="clear"/>
            <w:vAlign w:val="bottom"/>
          </w:tcPr>
          <w:p>
            <w:pPr>
              <w:pStyle w:val="TableContents"/>
              <w:spacing w:before="0" w:after="283"/>
              <w:jc w:val="left"/>
              <w:rPr/>
            </w:pPr>
            <w:r>
              <w:rPr/>
              <w:t> </w:t>
            </w:r>
          </w:p>
        </w:tc>
      </w:tr>
      <w:tr>
        <w:trPr/>
        <w:tc>
          <w:tcPr>
            <w:tcW w:w="5872"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667" w:type="dxa"/>
            <w:gridSpan w:val="6"/>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1" w:type="dxa"/>
            <w:tcBorders/>
            <w:shd w:fill="auto" w:val="clear"/>
            <w:vAlign w:val="bottom"/>
          </w:tcPr>
          <w:p>
            <w:pPr>
              <w:pStyle w:val="TableContents"/>
              <w:spacing w:before="0" w:after="283"/>
              <w:jc w:val="left"/>
              <w:rPr/>
            </w:pPr>
            <w:r>
              <w:rPr/>
              <w:t> </w:t>
            </w:r>
          </w:p>
        </w:tc>
      </w:tr>
      <w:tr>
        <w:trPr/>
        <w:tc>
          <w:tcPr>
            <w:tcW w:w="5872"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66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w:t>
            </w:r>
          </w:p>
          <w:p>
            <w:pPr>
              <w:pStyle w:val="TableContents"/>
              <w:spacing w:before="0" w:after="0"/>
              <w:jc w:val="center"/>
              <w:rPr>
                <w:rFonts w:ascii="times new roman" w:hAnsi="times new roman"/>
                <w:b/>
                <w:sz w:val="20"/>
              </w:rPr>
            </w:pPr>
            <w:r>
              <w:rPr>
                <w:rFonts w:ascii="times new roman" w:hAnsi="times new roman"/>
                <w:b/>
                <w:sz w:val="20"/>
              </w:rPr>
              <w:t>March 31,</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March 31, </w:t>
            </w:r>
          </w:p>
        </w:tc>
        <w:tc>
          <w:tcPr>
            <w:tcW w:w="121" w:type="dxa"/>
            <w:tcBorders/>
            <w:shd w:fill="auto" w:val="clear"/>
            <w:vAlign w:val="bottom"/>
          </w:tcPr>
          <w:p>
            <w:pPr>
              <w:pStyle w:val="TableContents"/>
              <w:spacing w:before="0" w:after="283"/>
              <w:jc w:val="left"/>
              <w:rPr/>
            </w:pPr>
            <w:r>
              <w:rPr/>
              <w:t> </w:t>
            </w:r>
          </w:p>
        </w:tc>
      </w:tr>
      <w:tr>
        <w:trPr/>
        <w:tc>
          <w:tcPr>
            <w:tcW w:w="5872"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1" w:type="dxa"/>
            <w:tcBorders/>
            <w:shd w:fill="auto" w:val="clear"/>
            <w:vAlign w:val="bottom"/>
          </w:tcPr>
          <w:p>
            <w:pPr>
              <w:pStyle w:val="TableContents"/>
              <w:spacing w:before="0" w:after="283"/>
              <w:jc w:val="left"/>
              <w:rPr/>
            </w:pPr>
            <w:r>
              <w:rPr/>
              <w:t> </w:t>
            </w:r>
          </w:p>
        </w:tc>
      </w:tr>
      <w:tr>
        <w:trPr/>
        <w:tc>
          <w:tcPr>
            <w:tcW w:w="5872"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(12,886,700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Adjustments to reconcile net loss to net cash used in operating activities: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777,500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imputed discount on non-interest bearing notes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7%, 7.5% and 10% notes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214,500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473,700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Platinum notes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909,000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3,562,100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August 2010 short-term notes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February 2012 12% convertible notes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3,567,800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4,761,300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settlements of accounts payable</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 in warrant and put and note term extension option liabilities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1,635,800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1,217,200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5,595,600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Expense related to modification of warrants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508,200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741,700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1,249,900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Series C preferred stock, common stock, and warrants</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granted for services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925,400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prior to the Merger</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2,225,500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2,225,500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following the Merger</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warrants granted for services and interest following the Merger</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183,800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564,500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748,300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additional warrants granted pursuant to exercises of modified</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warrants (fiscal year 2013) and under Discounted Warrant Exercise</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Program (fiscal year 2012)</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138,100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common stock issued for note term modification</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income on note receivable for stock purchase</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Consulting services by related parties settled by issuing promissory notes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Gain on sale of assets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Unbilled contract payments receivable</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46,200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41,700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and accrued expenses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1,432,200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744,300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15,918,500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revenues</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in operating activities</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(3,463,200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(3,565,800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(20,971,700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investing activities: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equipment, net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(135,400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(32,400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(816,200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in investing activities</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(135,400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(32,400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(816,200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financing activities: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common stock and warrants, including units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1,185,100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2,679,200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3,985,100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preferred stock and warrants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4,198,600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exercise of modified warrants (fiscal 2013) and under</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Discounted Warrant Exercise Program (fiscal 2012)</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262,100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1,166,300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1,428,400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notes under line of credit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7% note payable to founding stockholder</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7% convertible notes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10% convertible notes and warrants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Platinum notes and warrants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3,222,100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6,922,100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2008/2010 notes and warrants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2006/2007 notes and warrants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7% notes payable</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August 2010 short-term notes and warrants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February 2012 12% convertible notes and warrants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466,500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466,500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Repayment of capital lease obligations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(117,400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Repayment of notes</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(496,700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(757,600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(1,829,100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cash provided by financing activities</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4,155,700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3,539,900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22,426,000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increase (decrease) in cash and cash equivalents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557,100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at beginning of period</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end of period</w:t>
            </w:r>
          </w:p>
        </w:tc>
        <w:tc>
          <w:tcPr>
            <w:tcW w:w="104"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Supplemental disclosure of cash flow activities: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0"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87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paid for interest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225,900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265,400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665,600</w:t>
            </w:r>
          </w:p>
        </w:tc>
        <w:tc>
          <w:tcPr>
            <w:tcW w:w="121" w:type="dxa"/>
            <w:tcBorders/>
            <w:shd w:fill="CCEEFF" w:val="clear"/>
            <w:vAlign w:val="bottom"/>
          </w:tcPr>
          <w:p>
            <w:pPr>
              <w:pStyle w:val="TableContents"/>
              <w:spacing w:before="0" w:after="283"/>
              <w:jc w:val="left"/>
              <w:rPr/>
            </w:pPr>
            <w:r>
              <w:rPr/>
              <w:t> </w:t>
            </w:r>
          </w:p>
        </w:tc>
      </w:tr>
      <w:tr>
        <w:trPr/>
        <w:tc>
          <w:tcPr>
            <w:tcW w:w="587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paid for income taxes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3,681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20,481</w:t>
            </w:r>
          </w:p>
        </w:tc>
        <w:tc>
          <w:tcPr>
            <w:tcW w:w="121"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55" w:name="PGBRK62"/>
      <w:bookmarkStart w:id="656" w:name="PGBRK62"/>
      <w:bookmarkEnd w:id="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57" w:name="FTR62"/>
      <w:bookmarkStart w:id="658" w:name="FTR62"/>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59" w:name="GLFTR62"/>
      <w:bookmarkEnd w:id="6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0" w:name="PN62"/>
      <w:bookmarkEnd w:id="660"/>
      <w:r>
        <w:rPr>
          <w:rFonts w:ascii="Times New Roman" w:hAnsi="Times New Roma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61" w:name="HDR62"/>
      <w:bookmarkStart w:id="662" w:name="HDR62"/>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663" w:name="GLHDR62"/>
        <w:bookmarkEnd w:id="66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664" w:name="cfj"/>
      <w:bookmarkEnd w:id="66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amounts)</w:t>
      </w:r>
    </w:p>
    <w:tbl>
      <w:tblPr>
        <w:tblW w:w="5000" w:type="pct"/>
        <w:jc w:val="left"/>
        <w:tblInd w:w="0" w:type="dxa"/>
        <w:tblCellMar>
          <w:top w:w="0" w:type="dxa"/>
          <w:left w:w="0" w:type="dxa"/>
          <w:bottom w:w="0" w:type="dxa"/>
          <w:right w:w="0" w:type="dxa"/>
        </w:tblCellMar>
      </w:tblPr>
      <w:tblGrid>
        <w:gridCol w:w="5961"/>
        <w:gridCol w:w="105"/>
        <w:gridCol w:w="126"/>
        <w:gridCol w:w="1052"/>
        <w:gridCol w:w="105"/>
        <w:gridCol w:w="105"/>
        <w:gridCol w:w="126"/>
        <w:gridCol w:w="1086"/>
        <w:gridCol w:w="105"/>
        <w:gridCol w:w="105"/>
        <w:gridCol w:w="126"/>
        <w:gridCol w:w="1086"/>
        <w:gridCol w:w="117"/>
      </w:tblGrid>
      <w:tr>
        <w:trPr/>
        <w:tc>
          <w:tcPr>
            <w:tcW w:w="5961"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17" w:type="dxa"/>
            <w:tcBorders/>
            <w:shd w:fill="auto" w:val="clear"/>
            <w:vAlign w:val="bottom"/>
          </w:tcPr>
          <w:p>
            <w:pPr>
              <w:pStyle w:val="TableContents"/>
              <w:spacing w:before="0" w:after="283"/>
              <w:jc w:val="left"/>
              <w:rPr/>
            </w:pPr>
            <w:r>
              <w:rPr/>
              <w:t> </w:t>
            </w:r>
          </w:p>
        </w:tc>
      </w:tr>
      <w:tr>
        <w:trPr/>
        <w:tc>
          <w:tcPr>
            <w:tcW w:w="5961"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17" w:type="dxa"/>
            <w:tcBorders/>
            <w:shd w:fill="auto" w:val="clear"/>
            <w:vAlign w:val="bottom"/>
          </w:tcPr>
          <w:p>
            <w:pPr>
              <w:pStyle w:val="TableContents"/>
              <w:spacing w:before="0" w:after="283"/>
              <w:jc w:val="left"/>
              <w:rPr/>
            </w:pPr>
            <w:r>
              <w:rPr/>
              <w:t> </w:t>
            </w:r>
          </w:p>
        </w:tc>
      </w:tr>
      <w:tr>
        <w:trPr/>
        <w:tc>
          <w:tcPr>
            <w:tcW w:w="5961"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17" w:type="dxa"/>
            <w:tcBorders/>
            <w:shd w:fill="auto" w:val="clear"/>
            <w:vAlign w:val="bottom"/>
          </w:tcPr>
          <w:p>
            <w:pPr>
              <w:pStyle w:val="TableContents"/>
              <w:spacing w:before="0" w:after="283"/>
              <w:jc w:val="left"/>
              <w:rPr/>
            </w:pPr>
            <w:r>
              <w:rPr/>
              <w:t> </w:t>
            </w:r>
          </w:p>
        </w:tc>
      </w:tr>
      <w:tr>
        <w:trPr/>
        <w:tc>
          <w:tcPr>
            <w:tcW w:w="5961"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600"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17" w:type="dxa"/>
            <w:tcBorders/>
            <w:shd w:fill="auto" w:val="clear"/>
            <w:vAlign w:val="bottom"/>
          </w:tcPr>
          <w:p>
            <w:pPr>
              <w:pStyle w:val="TableContents"/>
              <w:spacing w:before="0" w:after="283"/>
              <w:jc w:val="left"/>
              <w:rPr/>
            </w:pPr>
            <w:r>
              <w:rPr/>
              <w:t> </w:t>
            </w:r>
          </w:p>
        </w:tc>
      </w:tr>
      <w:tr>
        <w:trPr/>
        <w:tc>
          <w:tcPr>
            <w:tcW w:w="5961"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60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7" w:type="dxa"/>
            <w:tcBorders/>
            <w:shd w:fill="auto" w:val="clear"/>
            <w:vAlign w:val="bottom"/>
          </w:tcPr>
          <w:p>
            <w:pPr>
              <w:pStyle w:val="TableContents"/>
              <w:spacing w:before="0" w:after="283"/>
              <w:jc w:val="left"/>
              <w:rPr/>
            </w:pPr>
            <w:r>
              <w:rPr/>
              <w:t> </w:t>
            </w:r>
          </w:p>
        </w:tc>
      </w:tr>
      <w:tr>
        <w:trPr/>
        <w:tc>
          <w:tcPr>
            <w:tcW w:w="5961"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7" w:type="dxa"/>
            <w:tcBorders/>
            <w:shd w:fill="auto" w:val="clear"/>
            <w:vAlign w:val="bottom"/>
          </w:tcPr>
          <w:p>
            <w:pPr>
              <w:pStyle w:val="TableContents"/>
              <w:spacing w:before="0" w:after="283"/>
              <w:jc w:val="left"/>
              <w:rPr/>
            </w:pPr>
            <w:r>
              <w:rPr/>
              <w:t> </w:t>
            </w:r>
          </w:p>
        </w:tc>
      </w:tr>
      <w:tr>
        <w:trPr/>
        <w:tc>
          <w:tcPr>
            <w:tcW w:w="5961" w:type="dxa"/>
            <w:tcBorders/>
            <w:shd w:fill="auto" w:val="clear"/>
            <w:vAlign w:val="bottom"/>
          </w:tcPr>
          <w:p>
            <w:pPr>
              <w:pStyle w:val="TableContents"/>
              <w:spacing w:before="0" w:after="0"/>
              <w:ind w:left="0" w:right="0" w:hanging="0"/>
              <w:jc w:val="left"/>
              <w:rPr/>
            </w:pPr>
            <w:r>
              <w:rPr/>
              <w:t> </w:t>
            </w:r>
            <w:r>
              <w:rPr>
                <w:rFonts w:ascii="times new roman" w:hAnsi="times new roman"/>
                <w:sz w:val="20"/>
              </w:rPr>
              <w:t>Supplemental disclosure of noncash activities:</w:t>
            </w:r>
          </w:p>
        </w:tc>
        <w:tc>
          <w:tcPr>
            <w:tcW w:w="105"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Forgiveness of accrued compensation and accrued interest</w:t>
            </w:r>
          </w:p>
        </w:tc>
        <w:tc>
          <w:tcPr>
            <w:tcW w:w="105" w:type="dxa"/>
            <w:tcBorders/>
            <w:shd w:fill="CCEEFF" w:val="clear"/>
            <w:vAlign w:val="bottom"/>
          </w:tcPr>
          <w:p>
            <w:pPr>
              <w:pStyle w:val="TableContents"/>
              <w:spacing w:before="0" w:after="283"/>
              <w:rPr/>
            </w:pPr>
            <w:r>
              <w:rPr/>
              <w:t> </w:t>
            </w:r>
          </w:p>
        </w:tc>
        <w:tc>
          <w:tcPr>
            <w:tcW w:w="1178" w:type="dxa"/>
            <w:gridSpan w:val="2"/>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12" w:type="dxa"/>
            <w:gridSpan w:val="2"/>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12" w:type="dxa"/>
            <w:gridSpan w:val="2"/>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payable to officers transferred to equity</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Exercise of warrants and options in exchange for debt cancellation</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112,800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Settlement of accrued and prepaid interest by issuance of</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Series C Preferred Stock</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10% notes payable, net of discount, and</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related accrued interest of $408,600 into Series C Preferred stock</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2,050,300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Series B-1 Preferred stock for acquired in-process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7% notes payable, net of discount, and</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related accrued interest of $3,800 into Series B Preferred stock</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508,000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Conversion of accounts payable into convertible promissory notes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893,700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accounts payable into note payable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1,558,500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4,368,800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Conversion of accounts payable into common stock</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275,400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1,927,300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accrued interest on convertible promissory</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notes into common stock</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921,400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Notes receivable from sale of common stock to related parties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upon exercise of options and warrants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Capital lease obligations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139,700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Recognition of put option and note term extension option liabilities upon</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Original Platinum Notes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Incremental fair value of put option and note term extension</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 liabilities from debt modifications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479,400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Incremental fair value of note conversion option from debt modification</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1,891,200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Incremental fair value of warrant from debt modifications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276,700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Recognition of warrant liability upon adoption of new accounting standard</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151,300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warrants issued with August 2010 short term notes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130,900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 upon issuance of August 2010 short term notes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320,000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warrants issued with February 2012 12 % convertible notes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542,000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542,000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 upon issuance of February 2012 12% convertible notes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495,200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495,200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2006/2007 and 2008/2010 Notes into Units,</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including accrued interest of $1,365,600</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6,174,800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6,174,800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283"/>
              <w:jc w:val="left"/>
              <w:rPr/>
            </w:pPr>
            <w:r>
              <w:rPr/>
              <w:t> </w:t>
            </w:r>
            <w:r>
              <w:rPr>
                <w:rFonts w:ascii="times new roman" w:hAnsi="times new roman"/>
                <w:sz w:val="20"/>
              </w:rPr>
              <w:t>Conversion of all series of pre-Merger preferred stock into Units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2011 Platinum Note into Series A Preferred stock,</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including accrued interest of $611,100 and conversion premium</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5,763,900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5,763,900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Conversion of 7% note payable and accrued interest of $11,500 into common stock and warrants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Conversion of accounts payable to Morrison &amp; Foerster, McCarthy Tetrault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and Desjardins into notes payable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1,603,400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1,603,400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 and cancellation premium converted into 2011 Private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Placement Units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interest on Cato Holding Company note converted to note payable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 settled in December 2011 and May/June 2012 warrant exercises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267,600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280,100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Insurance premiums settled by issuing note payable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88,500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198,600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Conversion of accrued interest and fees on February 2012 Notes into 2012</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Private Placement Units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92,900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92,900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interest on July and August 2012 Notes to Platinum converted into</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Exchange Note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 settled by issuance of stock or notes payable and stock</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104,900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104,900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converted into 2012 Private Placement Units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Recognition of warrant liability upon issuance to Platinum of October 2012</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Exchange Note and October 2012, February 2013 and March 2013</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Investment Notes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1,690,000</w:t>
            </w:r>
          </w:p>
        </w:tc>
        <w:tc>
          <w:tcPr>
            <w:tcW w:w="117" w:type="dxa"/>
            <w:tcBorders/>
            <w:shd w:fill="CCEE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Recognition of warrant liability for potential issuance to Platinum of Series A</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9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Exchange Warrant under the terms of the October 2012 Agreement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5" w:name="PGBRK63"/>
      <w:bookmarkStart w:id="666" w:name="PGBRK63"/>
      <w:bookmarkEnd w:id="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7" w:name="FTR63"/>
      <w:bookmarkStart w:id="668" w:name="FTR63"/>
      <w:bookmarkEnd w:id="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69" w:name="GLFTR63"/>
      <w:bookmarkEnd w:id="6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0" w:name="PN63"/>
      <w:bookmarkEnd w:id="670"/>
      <w:r>
        <w:rPr>
          <w:rFonts w:ascii="Times New Roman" w:hAnsi="Times New Roman"/>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1" w:name="HDR63"/>
      <w:bookmarkStart w:id="672" w:name="HDR63"/>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73" w:name="GLHDR63"/>
        <w:bookmarkEnd w:id="67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674" w:name="prefstockj"/>
      <w:bookmarkEnd w:id="67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PREFERRED STOCK</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2013</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265"/>
        <w:gridCol w:w="91"/>
        <w:gridCol w:w="91"/>
        <w:gridCol w:w="1012"/>
        <w:gridCol w:w="101"/>
        <w:gridCol w:w="91"/>
        <w:gridCol w:w="125"/>
        <w:gridCol w:w="935"/>
        <w:gridCol w:w="101"/>
        <w:gridCol w:w="91"/>
        <w:gridCol w:w="124"/>
        <w:gridCol w:w="1012"/>
        <w:gridCol w:w="101"/>
        <w:gridCol w:w="91"/>
        <w:gridCol w:w="125"/>
        <w:gridCol w:w="1012"/>
        <w:gridCol w:w="101"/>
        <w:gridCol w:w="91"/>
        <w:gridCol w:w="125"/>
        <w:gridCol w:w="1012"/>
        <w:gridCol w:w="100"/>
        <w:gridCol w:w="91"/>
        <w:gridCol w:w="125"/>
        <w:gridCol w:w="1067"/>
        <w:gridCol w:w="125"/>
      </w:tblGrid>
      <w:tr>
        <w:trPr/>
        <w:tc>
          <w:tcPr>
            <w:tcW w:w="2265" w:type="dxa"/>
            <w:tcBorders/>
            <w:shd w:fill="auto" w:val="clear"/>
            <w:vAlign w:val="bottom"/>
          </w:tcPr>
          <w:p>
            <w:pPr>
              <w:pStyle w:val="TableContents"/>
              <w:spacing w:before="0" w:after="283"/>
              <w:rPr/>
            </w:pPr>
            <w:r>
              <w:rPr/>
              <w:t xml:space="preserve">  </w:t>
            </w:r>
          </w:p>
        </w:tc>
        <w:tc>
          <w:tcPr>
            <w:tcW w:w="91"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6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B</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B-1</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C</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2265" w:type="dxa"/>
            <w:tcBorders/>
            <w:shd w:fill="auto" w:val="clear"/>
            <w:vAlign w:val="bottom"/>
          </w:tcPr>
          <w:p>
            <w:pPr>
              <w:pStyle w:val="TableContents"/>
              <w:spacing w:before="0" w:after="0"/>
              <w:ind w:left="0" w:right="0" w:hanging="0"/>
              <w:jc w:val="left"/>
              <w:rPr/>
            </w:pPr>
            <w:r>
              <w:rPr/>
              <w:t> </w:t>
            </w:r>
          </w:p>
        </w:tc>
        <w:tc>
          <w:tcPr>
            <w:tcW w:w="91"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6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25" w:type="dxa"/>
            <w:tcBorders/>
            <w:shd w:fill="auto" w:val="clear"/>
            <w:vAlign w:val="bottom"/>
          </w:tcPr>
          <w:p>
            <w:pPr>
              <w:pStyle w:val="TableContents"/>
              <w:spacing w:before="0" w:after="283"/>
              <w:jc w:val="left"/>
              <w:rPr/>
            </w:pPr>
            <w:r>
              <w:rPr/>
              <w:t> </w:t>
            </w:r>
          </w:p>
        </w:tc>
      </w:tr>
      <w:tr>
        <w:trPr/>
        <w:tc>
          <w:tcPr>
            <w:tcW w:w="2265" w:type="dxa"/>
            <w:tcBorders/>
            <w:shd w:fill="auto" w:val="clear"/>
            <w:vAlign w:val="bottom"/>
          </w:tcPr>
          <w:p>
            <w:pPr>
              <w:pStyle w:val="TableContents"/>
              <w:spacing w:before="0" w:after="0"/>
              <w:ind w:left="0" w:right="0" w:hanging="0"/>
              <w:jc w:val="left"/>
              <w:rPr/>
            </w:pPr>
            <w:r>
              <w:rPr/>
              <w:t> </w:t>
            </w:r>
          </w:p>
        </w:tc>
        <w:tc>
          <w:tcPr>
            <w:tcW w:w="91" w:type="dxa"/>
            <w:tcBorders/>
            <w:shd w:fill="auto" w:val="clear"/>
            <w:vAlign w:val="bottom"/>
          </w:tcPr>
          <w:p>
            <w:pPr>
              <w:pStyle w:val="TableContents"/>
              <w:spacing w:before="0" w:after="283"/>
              <w:rPr/>
            </w:pPr>
            <w:r>
              <w:rPr/>
              <w:t> </w:t>
            </w:r>
          </w:p>
        </w:tc>
        <w:tc>
          <w:tcPr>
            <w:tcW w:w="11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25" w:type="dxa"/>
            <w:tcBorders/>
            <w:shd w:fill="auto"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May 26, 1998 (inception)</w:t>
            </w:r>
          </w:p>
        </w:tc>
        <w:tc>
          <w:tcPr>
            <w:tcW w:w="91"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A preferred stock</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$2.302 per share for cash, net of</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costs of $24,000</w:t>
            </w:r>
          </w:p>
        </w:tc>
        <w:tc>
          <w:tcPr>
            <w:tcW w:w="91" w:type="dxa"/>
            <w:tcBorders/>
            <w:shd w:fill="FFFFFF" w:val="clear"/>
            <w:vAlign w:val="bottom"/>
          </w:tcPr>
          <w:p>
            <w:pPr>
              <w:pStyle w:val="TableContents"/>
              <w:spacing w:before="0" w:after="283"/>
              <w:jc w:val="right"/>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429,350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2000</w:t>
            </w:r>
          </w:p>
        </w:tc>
        <w:tc>
          <w:tcPr>
            <w:tcW w:w="91"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429,350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A preferred stock</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$2.302 per share for cash, net of</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costs of $5,500</w:t>
            </w:r>
          </w:p>
        </w:tc>
        <w:tc>
          <w:tcPr>
            <w:tcW w:w="91"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2,580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B preferred stock</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$5.545 per share for cash,</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447"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including conversion of $575,000 face</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value of 7% convertible notes plus</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of $3,800, net of</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unamortized discount of $70,800 and</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costs of $39,800</w:t>
            </w:r>
          </w:p>
        </w:tc>
        <w:tc>
          <w:tcPr>
            <w:tcW w:w="91" w:type="dxa"/>
            <w:tcBorders/>
            <w:shd w:fill="CCEEFF" w:val="clear"/>
            <w:vAlign w:val="bottom"/>
          </w:tcPr>
          <w:p>
            <w:pPr>
              <w:pStyle w:val="TableContents"/>
              <w:spacing w:before="0" w:after="283"/>
              <w:jc w:val="right"/>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316,282</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1,643,300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1,643,300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2001</w:t>
            </w:r>
          </w:p>
        </w:tc>
        <w:tc>
          <w:tcPr>
            <w:tcW w:w="91"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748,212</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1,643,300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2,608,000</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B preferred stock</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$5.545 per share for cash, net of</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costs of $97,200</w:t>
            </w:r>
          </w:p>
        </w:tc>
        <w:tc>
          <w:tcPr>
            <w:tcW w:w="91" w:type="dxa"/>
            <w:tcBorders/>
            <w:shd w:fill="CCEEFF" w:val="clear"/>
            <w:vAlign w:val="bottom"/>
          </w:tcPr>
          <w:p>
            <w:pPr>
              <w:pStyle w:val="TableContents"/>
              <w:spacing w:before="0" w:after="283"/>
              <w:jc w:val="right"/>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199,286</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1,007,800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1,007,800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2002 and 2003</w:t>
            </w:r>
          </w:p>
        </w:tc>
        <w:tc>
          <w:tcPr>
            <w:tcW w:w="91"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947,498</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3,615,800</w:t>
            </w:r>
          </w:p>
        </w:tc>
        <w:tc>
          <w:tcPr>
            <w:tcW w:w="125" w:type="dxa"/>
            <w:tcBorders/>
            <w:shd w:fill="FFFFFF" w:val="clear"/>
            <w:vAlign w:val="bottom"/>
          </w:tcPr>
          <w:p>
            <w:pPr>
              <w:pStyle w:val="TableContents"/>
              <w:spacing w:before="0" w:after="283"/>
              <w:jc w:val="left"/>
              <w:rPr/>
            </w:pPr>
            <w:r>
              <w:rPr/>
              <w:t> </w:t>
            </w:r>
          </w:p>
        </w:tc>
      </w:tr>
      <w:tr>
        <w:trPr/>
        <w:tc>
          <w:tcPr>
            <w:tcW w:w="2447"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B-1 preferred stock</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$5.545 for acquired in-process</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1" w:type="dxa"/>
            <w:tcBorders/>
            <w:shd w:fill="CCEEFF" w:val="clear"/>
            <w:vAlign w:val="bottom"/>
          </w:tcPr>
          <w:p>
            <w:pPr>
              <w:pStyle w:val="TableContents"/>
              <w:spacing w:before="0" w:after="283"/>
              <w:jc w:val="right"/>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1,356,750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2004</w:t>
            </w:r>
          </w:p>
        </w:tc>
        <w:tc>
          <w:tcPr>
            <w:tcW w:w="91"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2,304,248</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11,139,000</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C preferred stock</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$6.00 per share for cash, including</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447"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$1,655,000 face value of</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notes plus accrued</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447"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of $408,600, net of unamortized note discount of $13,200</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 issuance costs of $27,200</w:t>
            </w:r>
          </w:p>
        </w:tc>
        <w:tc>
          <w:tcPr>
            <w:tcW w:w="91"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390,327</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2,301,500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2,301,500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 issued in connection with Series C preferred</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w:t>
            </w:r>
          </w:p>
        </w:tc>
        <w:tc>
          <w:tcPr>
            <w:tcW w:w="91" w:type="dxa"/>
            <w:tcBorders/>
            <w:shd w:fill="FFFFFF" w:val="clear"/>
            <w:vAlign w:val="bottom"/>
          </w:tcPr>
          <w:p>
            <w:pPr>
              <w:pStyle w:val="TableContents"/>
              <w:spacing w:before="0" w:after="283"/>
              <w:jc w:val="right"/>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2005</w:t>
            </w:r>
          </w:p>
        </w:tc>
        <w:tc>
          <w:tcPr>
            <w:tcW w:w="91"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2,694,575</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2,276,000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13,415,000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C preferred stock</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$6.00 per share for cash, net of</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costs of $20,700</w:t>
            </w:r>
          </w:p>
        </w:tc>
        <w:tc>
          <w:tcPr>
            <w:tcW w:w="91"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143,331</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839,300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839,300</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C preferred stock</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$6.00 per share for services and in</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payment of interest on line of credit</w:t>
            </w:r>
          </w:p>
        </w:tc>
        <w:tc>
          <w:tcPr>
            <w:tcW w:w="91" w:type="dxa"/>
            <w:tcBorders/>
            <w:shd w:fill="CCEEFF" w:val="clear"/>
            <w:vAlign w:val="bottom"/>
          </w:tcPr>
          <w:p>
            <w:pPr>
              <w:pStyle w:val="TableContents"/>
              <w:spacing w:before="0" w:after="283"/>
              <w:jc w:val="right"/>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46,749</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280,500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280,500</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2006 through</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2011</w:t>
            </w:r>
          </w:p>
        </w:tc>
        <w:tc>
          <w:tcPr>
            <w:tcW w:w="91"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3,395,800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25" w:type="dxa"/>
            <w:tcBorders/>
            <w:shd w:fill="FFFF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all series of preferred stock into VistaGen common stock in</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connection with the Merger</w:t>
            </w:r>
          </w:p>
        </w:tc>
        <w:tc>
          <w:tcPr>
            <w:tcW w:w="91" w:type="dxa"/>
            <w:tcBorders/>
            <w:shd w:fill="CCEEFF" w:val="clear"/>
            <w:vAlign w:val="bottom"/>
          </w:tcPr>
          <w:p>
            <w:pPr>
              <w:pStyle w:val="TableContents"/>
              <w:spacing w:before="0" w:after="283"/>
              <w:jc w:val="right"/>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(3,395,800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2012 and 2013</w:t>
            </w:r>
          </w:p>
        </w:tc>
        <w:tc>
          <w:tcPr>
            <w:tcW w:w="91" w:type="dxa"/>
            <w:tcBorders/>
            <w:shd w:fill="FFFFFF" w:val="clear"/>
            <w:vAlign w:val="bottom"/>
          </w:tcPr>
          <w:p>
            <w:pPr>
              <w:pStyle w:val="TableContents"/>
              <w:spacing w:before="0" w:after="283"/>
              <w:jc w:val="right"/>
              <w:rPr/>
            </w:pPr>
            <w:r>
              <w:rPr/>
              <w:t> </w:t>
            </w:r>
          </w:p>
        </w:tc>
        <w:tc>
          <w:tcPr>
            <w:tcW w:w="9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675" w:name="PGBRK64"/>
      <w:bookmarkStart w:id="676" w:name="PGBRK64"/>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77" w:name="FTR64"/>
      <w:bookmarkStart w:id="678" w:name="FTR64"/>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9" w:name="GLFTR64"/>
      <w:bookmarkEnd w:id="6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0" w:name="PN64"/>
      <w:bookmarkEnd w:id="680"/>
      <w:r>
        <w:rPr>
          <w:rFonts w:ascii="Times New Roman" w:hAnsi="Times New Roman"/>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81" w:name="HDR64"/>
      <w:bookmarkStart w:id="682" w:name="HDR64"/>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83" w:name="GLHDR64"/>
        <w:bookmarkEnd w:id="68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84" w:name="stockdefj"/>
      <w:bookmarkEnd w:id="68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2013</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tbl>
      <w:tblPr>
        <w:tblW w:w="5000" w:type="pct"/>
        <w:jc w:val="left"/>
        <w:tblInd w:w="0" w:type="dxa"/>
        <w:tblCellMar>
          <w:top w:w="0" w:type="dxa"/>
          <w:left w:w="0" w:type="dxa"/>
          <w:bottom w:w="0" w:type="dxa"/>
          <w:right w:w="0" w:type="dxa"/>
        </w:tblCellMar>
      </w:tblPr>
      <w:tblGrid>
        <w:gridCol w:w="951"/>
        <w:gridCol w:w="61"/>
        <w:gridCol w:w="254"/>
        <w:gridCol w:w="350"/>
        <w:gridCol w:w="110"/>
        <w:gridCol w:w="110"/>
        <w:gridCol w:w="436"/>
        <w:gridCol w:w="272"/>
        <w:gridCol w:w="61"/>
        <w:gridCol w:w="61"/>
        <w:gridCol w:w="60"/>
        <w:gridCol w:w="856"/>
        <w:gridCol w:w="61"/>
        <w:gridCol w:w="61"/>
        <w:gridCol w:w="143"/>
        <w:gridCol w:w="565"/>
        <w:gridCol w:w="61"/>
        <w:gridCol w:w="61"/>
        <w:gridCol w:w="141"/>
        <w:gridCol w:w="792"/>
        <w:gridCol w:w="81"/>
        <w:gridCol w:w="61"/>
        <w:gridCol w:w="496"/>
        <w:gridCol w:w="332"/>
        <w:gridCol w:w="60"/>
        <w:gridCol w:w="61"/>
        <w:gridCol w:w="579"/>
        <w:gridCol w:w="384"/>
        <w:gridCol w:w="61"/>
        <w:gridCol w:w="61"/>
        <w:gridCol w:w="126"/>
        <w:gridCol w:w="1021"/>
        <w:gridCol w:w="81"/>
        <w:gridCol w:w="61"/>
        <w:gridCol w:w="126"/>
        <w:gridCol w:w="1021"/>
        <w:gridCol w:w="126"/>
      </w:tblGrid>
      <w:tr>
        <w:trPr/>
        <w:tc>
          <w:tcPr>
            <w:tcW w:w="951" w:type="dxa"/>
            <w:tcBorders/>
            <w:shd w:fill="auto" w:val="clear"/>
            <w:vAlign w:val="bottom"/>
          </w:tcPr>
          <w:p>
            <w:pPr>
              <w:pStyle w:val="TableContents"/>
              <w:spacing w:before="0" w:after="283"/>
              <w:rPr/>
            </w:pPr>
            <w:r>
              <w:rPr/>
              <w:t xml:space="preserve">  </w:t>
            </w:r>
          </w:p>
        </w:tc>
        <w:tc>
          <w:tcPr>
            <w:tcW w:w="61" w:type="dxa"/>
            <w:tcBorders/>
            <w:shd w:fill="auto" w:val="clear"/>
            <w:vAlign w:val="bottom"/>
          </w:tcPr>
          <w:p>
            <w:pPr>
              <w:pStyle w:val="TableContents"/>
              <w:spacing w:before="0" w:after="283"/>
              <w:rPr/>
            </w:pPr>
            <w:r>
              <w:rPr/>
              <w:t> </w:t>
            </w:r>
          </w:p>
        </w:tc>
        <w:tc>
          <w:tcPr>
            <w:tcW w:w="60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70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0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903"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p>
            <w:pPr>
              <w:pStyle w:val="TableContents"/>
              <w:spacing w:before="0" w:after="0"/>
              <w:ind w:left="0" w:right="0" w:hanging="0"/>
              <w:jc w:val="center"/>
              <w:rPr>
                <w:rFonts w:ascii="times new roman" w:hAnsi="times new roman"/>
                <w:b/>
                <w:sz w:val="20"/>
              </w:rPr>
            </w:pPr>
            <w:r>
              <w:rPr>
                <w:rFonts w:ascii="times new roman" w:hAnsi="times new roman"/>
                <w:b/>
                <w:sz w:val="20"/>
              </w:rPr>
              <w:t>Receivable</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p>
            <w:pPr>
              <w:pStyle w:val="TableContents"/>
              <w:spacing w:before="0" w:after="0"/>
              <w:jc w:val="center"/>
              <w:rPr>
                <w:rFonts w:ascii="times new roman" w:hAnsi="times new roman"/>
                <w:b/>
                <w:sz w:val="20"/>
              </w:rPr>
            </w:pPr>
            <w:r>
              <w:rPr>
                <w:rFonts w:ascii="times new roman" w:hAnsi="times new roman"/>
                <w:b/>
                <w:sz w:val="20"/>
              </w:rPr>
              <w:t>Accumulated</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95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32" w:type="dxa"/>
            <w:gridSpan w:val="6"/>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xml:space="preserve">Series A Preferred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746" w:type="dxa"/>
            <w:gridSpan w:val="6"/>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center"/>
              <w:rPr/>
            </w:pPr>
            <w:r>
              <w:rPr/>
              <w:t> </w:t>
            </w:r>
          </w:p>
        </w:tc>
        <w:tc>
          <w:tcPr>
            <w:tcW w:w="93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Additional</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2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center"/>
              <w:rPr/>
            </w:pPr>
            <w:r>
              <w:rPr/>
              <w:t> </w:t>
            </w:r>
          </w:p>
        </w:tc>
        <w:tc>
          <w:tcPr>
            <w:tcW w:w="963" w:type="dxa"/>
            <w:gridSpan w:val="2"/>
            <w:tcBorders/>
            <w:shd w:fill="auto" w:val="clear"/>
            <w:vAlign w:val="bottom"/>
          </w:tcPr>
          <w:p>
            <w:pPr>
              <w:pStyle w:val="TableContents"/>
              <w:spacing w:before="0" w:after="283"/>
              <w:jc w:val="center"/>
              <w:rPr>
                <w:b/>
              </w:rPr>
            </w:pPr>
            <w:r>
              <w:rPr>
                <w:b/>
              </w:rPr>
              <w:t>from</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center"/>
              <w:rPr/>
            </w:pPr>
            <w:r>
              <w:rPr/>
              <w:t> </w:t>
            </w:r>
          </w:p>
        </w:tc>
        <w:tc>
          <w:tcPr>
            <w:tcW w:w="114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During the</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center"/>
              <w:rPr/>
            </w:pPr>
            <w:r>
              <w:rPr/>
              <w:t> </w:t>
            </w:r>
          </w:p>
        </w:tc>
        <w:tc>
          <w:tcPr>
            <w:tcW w:w="114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26" w:type="dxa"/>
            <w:tcBorders/>
            <w:shd w:fill="auto" w:val="clear"/>
            <w:vAlign w:val="bottom"/>
          </w:tcPr>
          <w:p>
            <w:pPr>
              <w:pStyle w:val="TableContents"/>
              <w:spacing w:before="0" w:after="283"/>
              <w:jc w:val="left"/>
              <w:rPr/>
            </w:pPr>
            <w:r>
              <w:rPr/>
              <w:t> </w:t>
            </w:r>
          </w:p>
        </w:tc>
      </w:tr>
      <w:tr>
        <w:trPr/>
        <w:tc>
          <w:tcPr>
            <w:tcW w:w="951" w:type="dxa"/>
            <w:tcBorders/>
            <w:shd w:fill="auto" w:val="clear"/>
            <w:vAlign w:val="bottom"/>
          </w:tcPr>
          <w:p>
            <w:pPr>
              <w:pStyle w:val="TableContents"/>
              <w:spacing w:before="0" w:after="283"/>
              <w:rPr/>
            </w:pPr>
            <w:r>
              <w:rPr/>
              <w:t xml:space="preserve">  </w:t>
            </w:r>
          </w:p>
        </w:tc>
        <w:tc>
          <w:tcPr>
            <w:tcW w:w="61" w:type="dxa"/>
            <w:tcBorders/>
            <w:shd w:fill="auto" w:val="clear"/>
            <w:vAlign w:val="bottom"/>
          </w:tcPr>
          <w:p>
            <w:pPr>
              <w:pStyle w:val="TableContents"/>
              <w:spacing w:before="0" w:after="283"/>
              <w:rPr/>
            </w:pPr>
            <w:r>
              <w:rPr/>
              <w:t> </w:t>
            </w:r>
          </w:p>
        </w:tc>
        <w:tc>
          <w:tcPr>
            <w:tcW w:w="15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74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3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Paid-in</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60"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Sale of</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Development</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Stockholders’</w:t>
            </w:r>
          </w:p>
        </w:tc>
        <w:tc>
          <w:tcPr>
            <w:tcW w:w="126" w:type="dxa"/>
            <w:tcBorders/>
            <w:shd w:fill="auto" w:val="clear"/>
            <w:vAlign w:val="bottom"/>
          </w:tcPr>
          <w:p>
            <w:pPr>
              <w:pStyle w:val="TableContents"/>
              <w:spacing w:before="0" w:after="283"/>
              <w:jc w:val="left"/>
              <w:rPr/>
            </w:pPr>
            <w:r>
              <w:rPr/>
              <w:t> </w:t>
            </w:r>
          </w:p>
        </w:tc>
      </w:tr>
      <w:tr>
        <w:trPr/>
        <w:tc>
          <w:tcPr>
            <w:tcW w:w="951" w:type="dxa"/>
            <w:tcBorders/>
            <w:shd w:fill="auto" w:val="clear"/>
            <w:vAlign w:val="bottom"/>
          </w:tcPr>
          <w:p>
            <w:pPr>
              <w:pStyle w:val="TableContents"/>
              <w:spacing w:before="0" w:after="283"/>
              <w:rPr/>
            </w:pPr>
            <w:r>
              <w:rPr/>
              <w:t xml:space="preserve">  </w:t>
            </w:r>
          </w:p>
        </w:tc>
        <w:tc>
          <w:tcPr>
            <w:tcW w:w="61" w:type="dxa"/>
            <w:tcBorders/>
            <w:shd w:fill="auto" w:val="clear"/>
            <w:vAlign w:val="bottom"/>
          </w:tcPr>
          <w:p>
            <w:pPr>
              <w:pStyle w:val="TableContents"/>
              <w:spacing w:before="0" w:after="283"/>
              <w:rPr/>
            </w:pPr>
            <w:r>
              <w:rPr/>
              <w:t> </w:t>
            </w:r>
          </w:p>
        </w:tc>
        <w:tc>
          <w:tcPr>
            <w:tcW w:w="6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7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left"/>
              <w:rPr/>
            </w:pPr>
            <w:r>
              <w:rPr/>
              <w:t> </w:t>
            </w:r>
          </w:p>
        </w:tc>
        <w:tc>
          <w:tcPr>
            <w:tcW w:w="7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126" w:type="dxa"/>
            <w:tcBorders/>
            <w:shd w:fill="auto"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May 26, 1998</w:t>
            </w:r>
          </w:p>
        </w:tc>
        <w:tc>
          <w:tcPr>
            <w:tcW w:w="61" w:type="dxa"/>
            <w:tcBorders/>
            <w:shd w:fill="CCEEFF" w:val="clear"/>
            <w:vAlign w:val="bottom"/>
          </w:tcPr>
          <w:p>
            <w:pPr>
              <w:pStyle w:val="TableContents"/>
              <w:spacing w:before="0" w:after="283"/>
              <w:rPr/>
            </w:pPr>
            <w:r>
              <w:rPr/>
              <w:t> </w:t>
            </w:r>
          </w:p>
        </w:tc>
        <w:tc>
          <w:tcPr>
            <w:tcW w:w="604" w:type="dxa"/>
            <w:gridSpan w:val="2"/>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708" w:type="dxa"/>
            <w:gridSpan w:val="2"/>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916" w:type="dxa"/>
            <w:gridSpan w:val="2"/>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708" w:type="dxa"/>
            <w:gridSpan w:val="2"/>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933" w:type="dxa"/>
            <w:gridSpan w:val="2"/>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828"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963" w:type="dxa"/>
            <w:gridSpan w:val="2"/>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47" w:type="dxa"/>
            <w:gridSpan w:val="2"/>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47"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(inception)</w:t>
            </w:r>
          </w:p>
        </w:tc>
        <w:tc>
          <w:tcPr>
            <w:tcW w:w="61" w:type="dxa"/>
            <w:tcBorders/>
            <w:shd w:fill="CCEEFF" w:val="clear"/>
            <w:vAlign w:val="bottom"/>
          </w:tcPr>
          <w:p>
            <w:pPr>
              <w:pStyle w:val="TableContents"/>
              <w:spacing w:before="0" w:after="283"/>
              <w:rPr/>
            </w:pPr>
            <w:r>
              <w:rPr/>
              <w:t> </w:t>
            </w:r>
          </w:p>
        </w:tc>
        <w:tc>
          <w:tcPr>
            <w:tcW w:w="604" w:type="dxa"/>
            <w:gridSpan w:val="2"/>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708" w:type="dxa"/>
            <w:gridSpan w:val="2"/>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Initial sale of common stock for cash to Founder</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the Merger</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1,569,000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1999</w:t>
            </w:r>
          </w:p>
        </w:tc>
        <w:tc>
          <w:tcPr>
            <w:tcW w:w="61" w:type="dxa"/>
            <w:tcBorders/>
            <w:shd w:fill="CCEEFF" w:val="clear"/>
            <w:vAlign w:val="bottom"/>
          </w:tcPr>
          <w:p>
            <w:pPr>
              <w:pStyle w:val="TableContents"/>
              <w:spacing w:before="0" w:after="283"/>
              <w:jc w:val="right"/>
              <w:rPr/>
            </w:pPr>
            <w:r>
              <w:rPr/>
              <w:t> </w:t>
            </w:r>
          </w:p>
        </w:tc>
        <w:tc>
          <w:tcPr>
            <w:tcW w:w="2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(230,900</w:t>
            </w:r>
          </w:p>
        </w:tc>
        <w:tc>
          <w:tcPr>
            <w:tcW w:w="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(230,900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FFFFFF" w:val="clear"/>
            <w:vAlign w:val="bottom"/>
          </w:tcPr>
          <w:p>
            <w:pPr>
              <w:pStyle w:val="TableContents"/>
              <w:spacing w:before="0" w:after="283"/>
              <w:rPr/>
            </w:pPr>
            <w:r>
              <w:rPr/>
              <w:t xml:space="preserve">  </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1999</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2,573,000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(230,900</w:t>
            </w:r>
          </w:p>
        </w:tc>
        <w:tc>
          <w:tcPr>
            <w:tcW w:w="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(225,500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FFFFFF" w:val="clear"/>
            <w:vAlign w:val="bottom"/>
          </w:tcPr>
          <w:p>
            <w:pPr>
              <w:pStyle w:val="TableContents"/>
              <w:spacing w:before="0" w:after="283"/>
              <w:rPr/>
            </w:pPr>
            <w:r>
              <w:rPr/>
              <w:t xml:space="preserve">  </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Sale of common stock for cash</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104,375</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21,800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21,900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2000</w:t>
            </w:r>
          </w:p>
        </w:tc>
        <w:tc>
          <w:tcPr>
            <w:tcW w:w="61" w:type="dxa"/>
            <w:tcBorders/>
            <w:shd w:fill="FFFFFF" w:val="clear"/>
            <w:vAlign w:val="bottom"/>
          </w:tcPr>
          <w:p>
            <w:pPr>
              <w:pStyle w:val="TableContents"/>
              <w:spacing w:before="0" w:after="283"/>
              <w:jc w:val="right"/>
              <w:rPr/>
            </w:pPr>
            <w:r>
              <w:rPr/>
              <w:t>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2000</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2,877,375</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83,900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(930,900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(844,100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1616"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13,100</w:t>
            </w:r>
          </w:p>
        </w:tc>
        <w:tc>
          <w:tcPr>
            <w:tcW w:w="126" w:type="dxa"/>
            <w:tcBorders/>
            <w:shd w:fill="FFFFFF" w:val="clear"/>
            <w:vAlign w:val="bottom"/>
          </w:tcPr>
          <w:p>
            <w:pPr>
              <w:pStyle w:val="TableContents"/>
              <w:spacing w:before="0" w:after="283"/>
              <w:jc w:val="left"/>
              <w:rPr/>
            </w:pPr>
            <w:r>
              <w:rPr/>
              <w:t> </w:t>
            </w:r>
          </w:p>
        </w:tc>
      </w:tr>
      <w:tr>
        <w:trPr/>
        <w:tc>
          <w:tcPr>
            <w:tcW w:w="2544"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1266" w:type="dxa"/>
            <w:gridSpan w:val="3"/>
            <w:tcBorders/>
            <w:shd w:fill="CCEEFF" w:val="clear"/>
            <w:vAlign w:val="bottom"/>
          </w:tcPr>
          <w:p>
            <w:pPr>
              <w:pStyle w:val="TableContents"/>
              <w:spacing w:before="0" w:after="0"/>
              <w:ind w:left="0" w:right="0" w:hanging="0"/>
              <w:jc w:val="left"/>
              <w:rPr/>
            </w:pPr>
            <w:r>
              <w:rPr/>
              <w:t> </w:t>
            </w:r>
            <w:r>
              <w:rPr>
                <w:rFonts w:ascii="times new roman" w:hAnsi="times new roman"/>
                <w:sz w:val="20"/>
              </w:rPr>
              <w:t>7% convertible notes</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2001</w:t>
            </w:r>
          </w:p>
        </w:tc>
        <w:tc>
          <w:tcPr>
            <w:tcW w:w="61" w:type="dxa"/>
            <w:tcBorders/>
            <w:shd w:fill="FFFFFF" w:val="clear"/>
            <w:vAlign w:val="bottom"/>
          </w:tcPr>
          <w:p>
            <w:pPr>
              <w:pStyle w:val="TableContents"/>
              <w:spacing w:before="0" w:after="283"/>
              <w:jc w:val="right"/>
              <w:rPr/>
            </w:pPr>
            <w:r>
              <w:rPr/>
              <w:t>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(1,809,000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(1,809,000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2001</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2,991,375</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225,700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(2,739,900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(2,511,200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25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1999</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1266"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1,511</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33,100</w:t>
            </w:r>
          </w:p>
        </w:tc>
        <w:tc>
          <w:tcPr>
            <w:tcW w:w="126" w:type="dxa"/>
            <w:tcBorders/>
            <w:shd w:fill="CCEEFF" w:val="clear"/>
            <w:vAlign w:val="bottom"/>
          </w:tcPr>
          <w:p>
            <w:pPr>
              <w:pStyle w:val="TableContents"/>
              <w:spacing w:before="0" w:after="283"/>
              <w:jc w:val="left"/>
              <w:rPr/>
            </w:pPr>
            <w:r>
              <w:rPr/>
              <w:t> </w:t>
            </w:r>
          </w:p>
        </w:tc>
      </w:tr>
      <w:tr>
        <w:trPr/>
        <w:tc>
          <w:tcPr>
            <w:tcW w:w="25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1266"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notes</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126" w:type="dxa"/>
            <w:tcBorders/>
            <w:shd w:fill="FFFFFF" w:val="clear"/>
            <w:vAlign w:val="bottom"/>
          </w:tcPr>
          <w:p>
            <w:pPr>
              <w:pStyle w:val="TableContents"/>
              <w:spacing w:before="0" w:after="283"/>
              <w:jc w:val="left"/>
              <w:rPr/>
            </w:pPr>
            <w:r>
              <w:rPr/>
              <w:t> </w:t>
            </w:r>
          </w:p>
        </w:tc>
      </w:tr>
      <w:tr>
        <w:trPr/>
        <w:tc>
          <w:tcPr>
            <w:tcW w:w="1266"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2002</w:t>
            </w:r>
          </w:p>
        </w:tc>
        <w:tc>
          <w:tcPr>
            <w:tcW w:w="3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(2,113,000</w:t>
            </w:r>
          </w:p>
        </w:tc>
        <w:tc>
          <w:tcPr>
            <w:tcW w:w="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(2,113,000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FFFFFF" w:val="clear"/>
            <w:vAlign w:val="bottom"/>
          </w:tcPr>
          <w:p>
            <w:pPr>
              <w:pStyle w:val="TableContents"/>
              <w:spacing w:before="0" w:after="283"/>
              <w:rPr/>
            </w:pPr>
            <w:r>
              <w:rPr/>
              <w:t xml:space="preserve">  </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2002</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2,992,886</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266,600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(4,852,900</w:t>
            </w:r>
          </w:p>
        </w:tc>
        <w:tc>
          <w:tcPr>
            <w:tcW w:w="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(4,583,300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FFFFFF" w:val="clear"/>
            <w:vAlign w:val="bottom"/>
          </w:tcPr>
          <w:p>
            <w:pPr>
              <w:pStyle w:val="TableContents"/>
              <w:spacing w:before="0" w:after="283"/>
              <w:rPr/>
            </w:pPr>
            <w:r>
              <w:rPr/>
              <w:t xml:space="preserve">  </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2544"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1999</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1266"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46,500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46,500</w:t>
            </w:r>
          </w:p>
        </w:tc>
        <w:tc>
          <w:tcPr>
            <w:tcW w:w="126" w:type="dxa"/>
            <w:tcBorders/>
            <w:shd w:fill="FFFFFF" w:val="clear"/>
            <w:vAlign w:val="bottom"/>
          </w:tcPr>
          <w:p>
            <w:pPr>
              <w:pStyle w:val="TableContents"/>
              <w:spacing w:before="0" w:after="283"/>
              <w:jc w:val="left"/>
              <w:rPr/>
            </w:pPr>
            <w:r>
              <w:rPr/>
              <w:t> </w:t>
            </w:r>
          </w:p>
        </w:tc>
      </w:tr>
      <w:tr>
        <w:trPr/>
        <w:tc>
          <w:tcPr>
            <w:tcW w:w="2544"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1266" w:type="dxa"/>
            <w:gridSpan w:val="3"/>
            <w:tcBorders/>
            <w:shd w:fill="CCEEFF" w:val="clear"/>
            <w:vAlign w:val="bottom"/>
          </w:tcPr>
          <w:p>
            <w:pPr>
              <w:pStyle w:val="TableContents"/>
              <w:spacing w:before="0" w:after="0"/>
              <w:ind w:left="0" w:right="0" w:hanging="0"/>
              <w:jc w:val="left"/>
              <w:rPr/>
            </w:pPr>
            <w:r>
              <w:rPr/>
              <w:t> </w:t>
            </w:r>
            <w:r>
              <w:rPr>
                <w:rFonts w:ascii="times new roman" w:hAnsi="times new roman"/>
                <w:sz w:val="20"/>
              </w:rPr>
              <w:t>10% convertible notes</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2003</w:t>
            </w:r>
          </w:p>
        </w:tc>
        <w:tc>
          <w:tcPr>
            <w:tcW w:w="61" w:type="dxa"/>
            <w:tcBorders/>
            <w:shd w:fill="FFFFFF" w:val="clear"/>
            <w:vAlign w:val="bottom"/>
          </w:tcPr>
          <w:p>
            <w:pPr>
              <w:pStyle w:val="TableContents"/>
              <w:spacing w:before="0" w:after="283"/>
              <w:jc w:val="right"/>
              <w:rPr/>
            </w:pPr>
            <w:r>
              <w:rPr/>
              <w:t>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(502,600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(502,600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2003</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3,007,886</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404,900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(5,355,500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(4,947,600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25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1999</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2,925</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126" w:type="dxa"/>
            <w:tcBorders/>
            <w:shd w:fill="CCEEFF" w:val="clear"/>
            <w:vAlign w:val="bottom"/>
          </w:tcPr>
          <w:p>
            <w:pPr>
              <w:pStyle w:val="TableContents"/>
              <w:spacing w:before="0" w:after="283"/>
              <w:jc w:val="left"/>
              <w:rPr/>
            </w:pPr>
            <w:r>
              <w:rPr/>
              <w:t> </w:t>
            </w:r>
          </w:p>
        </w:tc>
      </w:tr>
      <w:tr>
        <w:trPr/>
        <w:tc>
          <w:tcPr>
            <w:tcW w:w="25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1266"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notes</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2004</w:t>
            </w:r>
          </w:p>
        </w:tc>
        <w:tc>
          <w:tcPr>
            <w:tcW w:w="61" w:type="dxa"/>
            <w:tcBorders/>
            <w:shd w:fill="CCEEFF" w:val="clear"/>
            <w:vAlign w:val="bottom"/>
          </w:tcPr>
          <w:p>
            <w:pPr>
              <w:pStyle w:val="TableContents"/>
              <w:spacing w:before="0" w:after="283"/>
              <w:jc w:val="right"/>
              <w:rPr/>
            </w:pPr>
            <w:r>
              <w:rPr/>
              <w:t> </w:t>
            </w:r>
          </w:p>
        </w:tc>
        <w:tc>
          <w:tcPr>
            <w:tcW w:w="2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(8,755,500</w:t>
            </w:r>
          </w:p>
        </w:tc>
        <w:tc>
          <w:tcPr>
            <w:tcW w:w="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(8,755,500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FFFFFF" w:val="clear"/>
            <w:vAlign w:val="bottom"/>
          </w:tcPr>
          <w:p>
            <w:pPr>
              <w:pStyle w:val="TableContents"/>
              <w:spacing w:before="0" w:after="283"/>
              <w:rPr/>
            </w:pPr>
            <w:r>
              <w:rPr/>
              <w:t xml:space="preserve">  </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2004</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3,010,811</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419,100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(14,111,000</w:t>
            </w:r>
          </w:p>
        </w:tc>
        <w:tc>
          <w:tcPr>
            <w:tcW w:w="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(13,688,900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FFFFFF" w:val="clear"/>
            <w:vAlign w:val="bottom"/>
          </w:tcPr>
          <w:p>
            <w:pPr>
              <w:pStyle w:val="TableContents"/>
              <w:spacing w:before="0" w:after="283"/>
              <w:rPr/>
            </w:pPr>
            <w:r>
              <w:rPr/>
              <w:t xml:space="preserve">  </w:t>
            </w:r>
          </w:p>
        </w:tc>
        <w:tc>
          <w:tcPr>
            <w:tcW w:w="61"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2544"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1999</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1012" w:type="dxa"/>
            <w:gridSpan w:val="2"/>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10,708</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w:t>
            </w:r>
          </w:p>
        </w:tc>
        <w:tc>
          <w:tcPr>
            <w:tcW w:w="126" w:type="dxa"/>
            <w:tcBorders/>
            <w:shd w:fill="CCEEFF" w:val="clear"/>
            <w:vAlign w:val="bottom"/>
          </w:tcPr>
          <w:p>
            <w:pPr>
              <w:pStyle w:val="TableContents"/>
              <w:spacing w:before="0" w:after="283"/>
              <w:jc w:val="left"/>
              <w:rPr/>
            </w:pPr>
            <w:r>
              <w:rPr/>
              <w:t> </w:t>
            </w:r>
          </w:p>
        </w:tc>
      </w:tr>
      <w:tr>
        <w:trPr/>
        <w:tc>
          <w:tcPr>
            <w:tcW w:w="25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1266"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C preferred stock</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2005</w:t>
            </w:r>
          </w:p>
        </w:tc>
        <w:tc>
          <w:tcPr>
            <w:tcW w:w="61" w:type="dxa"/>
            <w:tcBorders/>
            <w:shd w:fill="FFFFFF" w:val="clear"/>
            <w:vAlign w:val="bottom"/>
          </w:tcPr>
          <w:p>
            <w:pPr>
              <w:pStyle w:val="TableContents"/>
              <w:spacing w:before="0" w:after="283"/>
              <w:jc w:val="right"/>
              <w:rPr/>
            </w:pPr>
            <w:r>
              <w:rPr/>
              <w:t>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(1,082,800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(1,082,800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2005</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3,021,519</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450,900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(15,193,800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(14,739,900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25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1999</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61" w:type="dxa"/>
            <w:tcBorders/>
            <w:shd w:fill="FFFFFF" w:val="clear"/>
            <w:vAlign w:val="bottom"/>
          </w:tcPr>
          <w:p>
            <w:pPr>
              <w:pStyle w:val="TableContents"/>
              <w:spacing w:before="0" w:after="283"/>
              <w:jc w:val="right"/>
              <w:rPr/>
            </w:pPr>
            <w:r>
              <w:rPr/>
              <w:t> </w:t>
            </w:r>
          </w:p>
        </w:tc>
        <w:tc>
          <w:tcPr>
            <w:tcW w:w="254" w:type="dxa"/>
            <w:tcBorders/>
            <w:shd w:fill="FFFFFF" w:val="clear"/>
            <w:vAlign w:val="bottom"/>
          </w:tcPr>
          <w:p>
            <w:pPr>
              <w:pStyle w:val="TableContents"/>
              <w:spacing w:before="0" w:after="283"/>
              <w:jc w:val="left"/>
              <w:rPr/>
            </w:pPr>
            <w:r>
              <w:rPr/>
              <w:t> </w:t>
            </w:r>
          </w:p>
        </w:tc>
        <w:tc>
          <w:tcPr>
            <w:tcW w:w="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shd w:fill="FFFFFF" w:val="clear"/>
            <w:vAlign w:val="bottom"/>
          </w:tcPr>
          <w:p>
            <w:pPr>
              <w:pStyle w:val="TableContents"/>
              <w:spacing w:before="0" w:after="283"/>
              <w:jc w:val="left"/>
              <w:rPr/>
            </w:pPr>
            <w:r>
              <w:rPr/>
              <w:t> </w:t>
            </w:r>
          </w:p>
        </w:tc>
        <w:tc>
          <w:tcPr>
            <w:tcW w:w="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14,604</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126" w:type="dxa"/>
            <w:tcBorders/>
            <w:shd w:fill="FFFFFF" w:val="clear"/>
            <w:vAlign w:val="bottom"/>
          </w:tcPr>
          <w:p>
            <w:pPr>
              <w:pStyle w:val="TableContents"/>
              <w:spacing w:before="0" w:after="283"/>
              <w:jc w:val="left"/>
              <w:rPr/>
            </w:pPr>
            <w:r>
              <w:rPr/>
              <w:t> </w:t>
            </w:r>
          </w:p>
        </w:tc>
      </w:tr>
      <w:tr>
        <w:trPr/>
        <w:tc>
          <w:tcPr>
            <w:tcW w:w="9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1"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2006</w:t>
            </w:r>
          </w:p>
        </w:tc>
        <w:tc>
          <w:tcPr>
            <w:tcW w:w="61" w:type="dxa"/>
            <w:tcBorders/>
            <w:shd w:fill="FFFFFF" w:val="clear"/>
            <w:vAlign w:val="bottom"/>
          </w:tcPr>
          <w:p>
            <w:pPr>
              <w:pStyle w:val="TableContents"/>
              <w:spacing w:before="0" w:after="283"/>
              <w:jc w:val="right"/>
              <w:rPr/>
            </w:pPr>
            <w:r>
              <w:rPr/>
              <w:t>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(1,772,100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(1,772,100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951" w:type="dxa"/>
            <w:tcBorders/>
            <w:shd w:fill="CCEEFF" w:val="clear"/>
            <w:vAlign w:val="bottom"/>
          </w:tcPr>
          <w:p>
            <w:pPr>
              <w:pStyle w:val="TableContents"/>
              <w:spacing w:before="0" w:after="283"/>
              <w:rPr/>
            </w:pPr>
            <w:r>
              <w:rPr/>
              <w:t xml:space="preserve">  </w:t>
            </w:r>
          </w:p>
        </w:tc>
        <w:tc>
          <w:tcPr>
            <w:tcW w:w="61"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 </w:t>
            </w:r>
          </w:p>
        </w:tc>
        <w:tc>
          <w:tcPr>
            <w:tcW w:w="35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 </w:t>
            </w:r>
          </w:p>
        </w:tc>
        <w:tc>
          <w:tcPr>
            <w:tcW w:w="272"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8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9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2006</w:t>
            </w:r>
          </w:p>
        </w:tc>
        <w:tc>
          <w:tcPr>
            <w:tcW w:w="61" w:type="dxa"/>
            <w:tcBorders/>
            <w:shd w:fill="FFFFFF" w:val="clear"/>
            <w:vAlign w:val="bottom"/>
          </w:tcPr>
          <w:p>
            <w:pPr>
              <w:pStyle w:val="TableContents"/>
              <w:spacing w:before="0" w:after="283"/>
              <w:jc w:val="right"/>
              <w:rPr/>
            </w:pPr>
            <w:r>
              <w:rPr/>
              <w:t>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43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3,036,123</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460,800</w:t>
            </w:r>
          </w:p>
        </w:tc>
        <w:tc>
          <w:tcPr>
            <w:tcW w:w="8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left"/>
              <w:rPr/>
            </w:pPr>
            <w:r>
              <w:rPr/>
              <w:t> </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(16,965,900</w:t>
            </w:r>
          </w:p>
        </w:tc>
        <w:tc>
          <w:tcPr>
            <w:tcW w:w="8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(16,502,100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rFonts w:ascii="times new roman" w:hAnsi="times new roman"/>
          <w:sz w:val="20"/>
        </w:rPr>
      </w:pPr>
      <w:r>
        <w:rPr>
          <w:rFonts w:ascii="times new roman" w:hAnsi="times new roman"/>
          <w:sz w:val="20"/>
        </w:rPr>
        <w:t>(continued)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685" w:name="PGBRK65"/>
      <w:bookmarkStart w:id="686" w:name="PGBRK65"/>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87" w:name="FTR65"/>
      <w:bookmarkStart w:id="688" w:name="FTR65"/>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89" w:name="GLFTR65"/>
      <w:bookmarkEnd w:id="6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0" w:name="PN65"/>
      <w:bookmarkEnd w:id="690"/>
      <w:r>
        <w:rPr>
          <w:rFonts w:ascii="Times New Roman" w:hAnsi="Times New Roman"/>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91" w:name="HDR65"/>
      <w:bookmarkStart w:id="692" w:name="HDR65"/>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93" w:name="GLHDR65"/>
        <w:bookmarkEnd w:id="6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2013</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tbl>
      <w:tblPr>
        <w:tblW w:w="10358" w:type="dxa"/>
        <w:jc w:val="left"/>
        <w:tblInd w:w="0" w:type="dxa"/>
        <w:tblCellMar>
          <w:top w:w="0" w:type="dxa"/>
          <w:left w:w="0" w:type="dxa"/>
          <w:bottom w:w="0" w:type="dxa"/>
          <w:right w:w="0" w:type="dxa"/>
        </w:tblCellMar>
      </w:tblPr>
      <w:tblGrid>
        <w:gridCol w:w="1175"/>
        <w:gridCol w:w="60"/>
        <w:gridCol w:w="269"/>
        <w:gridCol w:w="321"/>
        <w:gridCol w:w="109"/>
        <w:gridCol w:w="109"/>
        <w:gridCol w:w="549"/>
        <w:gridCol w:w="146"/>
        <w:gridCol w:w="60"/>
        <w:gridCol w:w="60"/>
        <w:gridCol w:w="60"/>
        <w:gridCol w:w="845"/>
        <w:gridCol w:w="80"/>
        <w:gridCol w:w="60"/>
        <w:gridCol w:w="142"/>
        <w:gridCol w:w="553"/>
        <w:gridCol w:w="60"/>
        <w:gridCol w:w="60"/>
        <w:gridCol w:w="125"/>
        <w:gridCol w:w="845"/>
        <w:gridCol w:w="80"/>
        <w:gridCol w:w="60"/>
        <w:gridCol w:w="496"/>
        <w:gridCol w:w="319"/>
        <w:gridCol w:w="60"/>
        <w:gridCol w:w="60"/>
        <w:gridCol w:w="134"/>
        <w:gridCol w:w="816"/>
        <w:gridCol w:w="80"/>
        <w:gridCol w:w="60"/>
        <w:gridCol w:w="125"/>
        <w:gridCol w:w="1010"/>
        <w:gridCol w:w="80"/>
        <w:gridCol w:w="60"/>
        <w:gridCol w:w="125"/>
        <w:gridCol w:w="1010"/>
        <w:gridCol w:w="95"/>
      </w:tblGrid>
      <w:tr>
        <w:trPr/>
        <w:tc>
          <w:tcPr>
            <w:tcW w:w="117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p>
            <w:pPr>
              <w:pStyle w:val="TableContents"/>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3"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4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970" w:type="dxa"/>
            <w:gridSpan w:val="2"/>
            <w:tcBorders/>
            <w:shd w:fill="auto" w:val="clear"/>
            <w:vAlign w:val="bottom"/>
          </w:tcPr>
          <w:p>
            <w:pPr>
              <w:pStyle w:val="TableContents"/>
              <w:spacing w:before="0" w:after="283"/>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9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Receivable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1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xml:space="preserve">During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13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150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 Preferred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Paid-in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w:t>
            </w:r>
          </w:p>
          <w:p>
            <w:pPr>
              <w:pStyle w:val="TableContents"/>
              <w:spacing w:before="0" w:after="0"/>
              <w:ind w:left="0" w:right="0" w:hanging="0"/>
              <w:jc w:val="center"/>
              <w:rPr>
                <w:rFonts w:ascii="times new roman" w:hAnsi="times new roman"/>
                <w:b/>
                <w:sz w:val="20"/>
              </w:rPr>
            </w:pPr>
            <w:r>
              <w:rPr>
                <w:rFonts w:ascii="times new roman" w:hAnsi="times new roman"/>
                <w:b/>
                <w:sz w:val="20"/>
              </w:rPr>
              <w:t>Sale of</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the</w:t>
            </w:r>
          </w:p>
          <w:p>
            <w:pPr>
              <w:pStyle w:val="TableContents"/>
              <w:spacing w:before="0" w:after="0"/>
              <w:ind w:left="0" w:right="0" w:hanging="0"/>
              <w:jc w:val="center"/>
              <w:rPr>
                <w:rFonts w:ascii="times new roman" w:hAnsi="times new roman"/>
                <w:b/>
                <w:sz w:val="20"/>
              </w:rPr>
            </w:pPr>
            <w:r>
              <w:rPr>
                <w:rFonts w:ascii="times new roman" w:hAnsi="times new roman"/>
                <w:b/>
                <w:sz w:val="20"/>
              </w:rPr>
              <w:t>Development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Stockholders’</w:t>
            </w:r>
          </w:p>
        </w:tc>
        <w:tc>
          <w:tcPr>
            <w:tcW w:w="9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95" w:type="dxa"/>
            <w:tcBorders/>
            <w:shd w:fill="auto"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2006</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3,036,123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(16,965,900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(16,502,100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82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82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 and warrants for:</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33,465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cancellation</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108,418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112,800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Notes receivable</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204,498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Sale of common stock for cash</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95" w:type="dxa"/>
            <w:tcBorders/>
            <w:shd w:fill="FFFFFF" w:val="clear"/>
            <w:vAlign w:val="bottom"/>
          </w:tcPr>
          <w:p>
            <w:pPr>
              <w:pStyle w:val="TableContents"/>
              <w:spacing w:before="0" w:after="283"/>
              <w:jc w:val="left"/>
              <w:rPr/>
            </w:pPr>
            <w:r>
              <w:rPr/>
              <w:t> </w:t>
            </w:r>
          </w:p>
        </w:tc>
      </w:tr>
      <w:tr>
        <w:trPr/>
        <w:tc>
          <w:tcPr>
            <w:tcW w:w="273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accrued</w:t>
            </w:r>
          </w:p>
          <w:p>
            <w:pPr>
              <w:pStyle w:val="TableContents"/>
              <w:spacing w:before="0" w:after="0"/>
              <w:ind w:left="0" w:right="0" w:hanging="0"/>
              <w:jc w:val="left"/>
              <w:rPr>
                <w:rFonts w:ascii="times new roman" w:hAnsi="times new roman"/>
                <w:sz w:val="20"/>
              </w:rPr>
            </w:pPr>
            <w:r>
              <w:rPr>
                <w:rFonts w:ascii="times new roman" w:hAnsi="times new roman"/>
                <w:sz w:val="20"/>
              </w:rPr>
              <w:t>compensation and</w:t>
            </w:r>
          </w:p>
          <w:p>
            <w:pPr>
              <w:pStyle w:val="TableContents"/>
              <w:spacing w:before="0" w:after="0"/>
              <w:ind w:left="0" w:right="0" w:hanging="0"/>
              <w:jc w:val="left"/>
              <w:rPr>
                <w:rFonts w:ascii="times new roman" w:hAnsi="times new roman"/>
                <w:sz w:val="20"/>
              </w:rPr>
            </w:pPr>
            <w:r>
              <w:rPr>
                <w:rFonts w:ascii="times new roman" w:hAnsi="times new roman"/>
                <w:sz w:val="20"/>
              </w:rPr>
              <w:t>accrued interest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payable to officers</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799,900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799,900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2007</w:t>
            </w:r>
          </w:p>
        </w:tc>
        <w:tc>
          <w:tcPr>
            <w:tcW w:w="60" w:type="dxa"/>
            <w:tcBorders/>
            <w:shd w:fill="FFFFFF" w:val="clear"/>
            <w:vAlign w:val="bottom"/>
          </w:tcPr>
          <w:p>
            <w:pPr>
              <w:pStyle w:val="TableContents"/>
              <w:spacing w:before="0" w:after="283"/>
              <w:jc w:val="right"/>
              <w:rPr/>
            </w:pPr>
            <w:r>
              <w:rPr/>
              <w:t> </w:t>
            </w:r>
          </w:p>
        </w:tc>
        <w:tc>
          <w:tcPr>
            <w:tcW w:w="26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(1,999,800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(1,999,800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2007</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3,392,504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1,664,500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(18,965,700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(17,447,600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273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1999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504"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95" w:type="dxa"/>
            <w:tcBorders/>
            <w:shd w:fill="FFFFFF" w:val="clear"/>
            <w:vAlign w:val="bottom"/>
          </w:tcPr>
          <w:p>
            <w:pPr>
              <w:pStyle w:val="TableContents"/>
              <w:spacing w:before="0" w:after="283"/>
              <w:jc w:val="left"/>
              <w:rPr/>
            </w:pPr>
            <w:r>
              <w:rPr/>
              <w:t> </w:t>
            </w:r>
          </w:p>
        </w:tc>
      </w:tr>
      <w:tr>
        <w:trPr/>
        <w:tc>
          <w:tcPr>
            <w:tcW w:w="273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settlement of employment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247,600</w:t>
            </w:r>
          </w:p>
        </w:tc>
        <w:tc>
          <w:tcPr>
            <w:tcW w:w="95" w:type="dxa"/>
            <w:tcBorders/>
            <w:shd w:fill="FFFFFF" w:val="clear"/>
            <w:vAlign w:val="bottom"/>
          </w:tcPr>
          <w:p>
            <w:pPr>
              <w:pStyle w:val="TableContents"/>
              <w:spacing w:before="0" w:after="283"/>
              <w:jc w:val="left"/>
              <w:rPr/>
            </w:pPr>
            <w:r>
              <w:rPr/>
              <w:t> </w:t>
            </w:r>
          </w:p>
        </w:tc>
      </w:tr>
      <w:tr>
        <w:trPr/>
        <w:tc>
          <w:tcPr>
            <w:tcW w:w="273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504"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Original Platinum Notes</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221,000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224,000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2008</w:t>
            </w:r>
          </w:p>
        </w:tc>
        <w:tc>
          <w:tcPr>
            <w:tcW w:w="60" w:type="dxa"/>
            <w:tcBorders/>
            <w:shd w:fill="FFFFFF" w:val="clear"/>
            <w:vAlign w:val="bottom"/>
          </w:tcPr>
          <w:p>
            <w:pPr>
              <w:pStyle w:val="TableContents"/>
              <w:spacing w:before="0" w:after="283"/>
              <w:jc w:val="right"/>
              <w:rPr/>
            </w:pPr>
            <w:r>
              <w:rPr/>
              <w:t> </w:t>
            </w:r>
          </w:p>
        </w:tc>
        <w:tc>
          <w:tcPr>
            <w:tcW w:w="26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(5,446,700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(5,446,700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2008</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3,414,738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2,401,000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(24,412,400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(22,167,000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273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exercise of options from 2008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504"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 and Scientific Advisory Plan</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108,200</w:t>
            </w:r>
          </w:p>
        </w:tc>
        <w:tc>
          <w:tcPr>
            <w:tcW w:w="95" w:type="dxa"/>
            <w:tcBorders/>
            <w:shd w:fill="CCEEFF" w:val="clear"/>
            <w:vAlign w:val="bottom"/>
          </w:tcPr>
          <w:p>
            <w:pPr>
              <w:pStyle w:val="TableContents"/>
              <w:spacing w:before="0" w:after="283"/>
              <w:jc w:val="left"/>
              <w:rPr/>
            </w:pPr>
            <w:r>
              <w:rPr/>
              <w:t> </w:t>
            </w:r>
          </w:p>
        </w:tc>
      </w:tr>
      <w:tr>
        <w:trPr/>
        <w:tc>
          <w:tcPr>
            <w:tcW w:w="273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82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Platinum Notes and incremental fair value</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of warrant modification</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72,700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reverse stock split</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2009</w:t>
            </w:r>
          </w:p>
        </w:tc>
        <w:tc>
          <w:tcPr>
            <w:tcW w:w="60" w:type="dxa"/>
            <w:tcBorders/>
            <w:shd w:fill="FFFFFF" w:val="clear"/>
            <w:vAlign w:val="bottom"/>
          </w:tcPr>
          <w:p>
            <w:pPr>
              <w:pStyle w:val="TableContents"/>
              <w:spacing w:before="0" w:after="283"/>
              <w:jc w:val="right"/>
              <w:rPr/>
            </w:pPr>
            <w:r>
              <w:rPr/>
              <w:t> </w:t>
            </w:r>
          </w:p>
        </w:tc>
        <w:tc>
          <w:tcPr>
            <w:tcW w:w="26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(4,696,200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(4,696,200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2009</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3,418,232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2,588,200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(166,900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(29,108,600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(26,683,900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Cumulative effect of adopting new accounting standard</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(293,700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(151,400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warrant</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95" w:type="dxa"/>
            <w:tcBorders/>
            <w:shd w:fill="CCEEFF" w:val="clear"/>
            <w:vAlign w:val="bottom"/>
          </w:tcPr>
          <w:p>
            <w:pPr>
              <w:pStyle w:val="TableContents"/>
              <w:spacing w:before="0" w:after="283"/>
              <w:jc w:val="left"/>
              <w:rPr/>
            </w:pPr>
            <w:r>
              <w:rPr/>
              <w:t> </w:t>
            </w:r>
          </w:p>
        </w:tc>
      </w:tr>
      <w:tr>
        <w:trPr/>
        <w:tc>
          <w:tcPr>
            <w:tcW w:w="273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for</w:t>
            </w:r>
          </w:p>
          <w:p>
            <w:pPr>
              <w:pStyle w:val="TableContents"/>
              <w:spacing w:before="0" w:after="0"/>
              <w:ind w:left="0" w:right="0" w:hanging="0"/>
              <w:jc w:val="left"/>
              <w:rPr>
                <w:rFonts w:ascii="times new roman" w:hAnsi="times new roman"/>
                <w:sz w:val="20"/>
              </w:rPr>
            </w:pPr>
            <w:r>
              <w:rPr>
                <w:rFonts w:ascii="times new roman" w:hAnsi="times new roman"/>
                <w:sz w:val="20"/>
              </w:rPr>
              <w:t>cancellation of accounts payable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504"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 accrued interest</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1,646,792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2,468,600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2,470,200</w:t>
            </w:r>
          </w:p>
        </w:tc>
        <w:tc>
          <w:tcPr>
            <w:tcW w:w="95" w:type="dxa"/>
            <w:tcBorders/>
            <w:shd w:fill="FFFFFF" w:val="clear"/>
            <w:vAlign w:val="bottom"/>
          </w:tcPr>
          <w:p>
            <w:pPr>
              <w:pStyle w:val="TableContents"/>
              <w:spacing w:before="0" w:after="283"/>
              <w:jc w:val="left"/>
              <w:rPr/>
            </w:pPr>
            <w:r>
              <w:rPr/>
              <w:t> </w:t>
            </w:r>
          </w:p>
        </w:tc>
      </w:tr>
      <w:tr>
        <w:trPr/>
        <w:tc>
          <w:tcPr>
            <w:tcW w:w="273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note conversion options from</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modification</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828,500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828,500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for services</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262,500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spacing w:before="0" w:after="283"/>
              <w:jc w:val="right"/>
              <w:rPr/>
            </w:pPr>
            <w:r>
              <w:rPr/>
              <w:t> </w:t>
            </w:r>
          </w:p>
        </w:tc>
        <w:tc>
          <w:tcPr>
            <w:tcW w:w="269" w:type="dxa"/>
            <w:tcBorders/>
            <w:shd w:fill="CCEEFF" w:val="clear"/>
            <w:vAlign w:val="bottom"/>
          </w:tcPr>
          <w:p>
            <w:pPr>
              <w:pStyle w:val="TableContents"/>
              <w:spacing w:before="0" w:after="283"/>
              <w:jc w:val="left"/>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668,500</w:t>
            </w:r>
          </w:p>
        </w:tc>
        <w:tc>
          <w:tcPr>
            <w:tcW w:w="95" w:type="dxa"/>
            <w:tcBorders/>
            <w:shd w:fill="CCEEFF" w:val="clear"/>
            <w:vAlign w:val="bottom"/>
          </w:tcPr>
          <w:p>
            <w:pPr>
              <w:pStyle w:val="TableContents"/>
              <w:spacing w:before="0" w:after="283"/>
              <w:jc w:val="left"/>
              <w:rPr/>
            </w:pPr>
            <w:r>
              <w:rPr/>
              <w:t> </w:t>
            </w:r>
          </w:p>
        </w:tc>
      </w:tr>
      <w:tr>
        <w:trPr/>
        <w:tc>
          <w:tcPr>
            <w:tcW w:w="2738"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 and incremental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 modification</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95" w:type="dxa"/>
            <w:tcBorders/>
            <w:shd w:fill="FFFFFF" w:val="clear"/>
            <w:vAlign w:val="bottom"/>
          </w:tcPr>
          <w:p>
            <w:pPr>
              <w:pStyle w:val="TableContents"/>
              <w:spacing w:before="0" w:after="283"/>
              <w:jc w:val="left"/>
              <w:rPr/>
            </w:pPr>
            <w:r>
              <w:rPr/>
              <w:t> </w:t>
            </w:r>
          </w:p>
        </w:tc>
      </w:tr>
      <w:tr>
        <w:trPr/>
        <w:tc>
          <w:tcPr>
            <w:tcW w:w="1504"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 with 7.5% Notes</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291,200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FFFFFF" w:val="clear"/>
            <w:vAlign w:val="bottom"/>
          </w:tcPr>
          <w:p>
            <w:pPr>
              <w:pStyle w:val="TableContents"/>
              <w:spacing w:before="0" w:after="283"/>
              <w:jc w:val="right"/>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2010</w:t>
            </w:r>
          </w:p>
        </w:tc>
        <w:tc>
          <w:tcPr>
            <w:tcW w:w="60" w:type="dxa"/>
            <w:tcBorders/>
            <w:shd w:fill="CCEEFF" w:val="clear"/>
            <w:vAlign w:val="bottom"/>
          </w:tcPr>
          <w:p>
            <w:pPr>
              <w:pStyle w:val="TableContents"/>
              <w:spacing w:before="0" w:after="283"/>
              <w:jc w:val="right"/>
              <w:rPr/>
            </w:pPr>
            <w:r>
              <w:rPr/>
              <w:t> </w:t>
            </w:r>
          </w:p>
        </w:tc>
        <w:tc>
          <w:tcPr>
            <w:tcW w:w="26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(4,124,500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(4,124,500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2010</w:t>
            </w:r>
          </w:p>
        </w:tc>
        <w:tc>
          <w:tcPr>
            <w:tcW w:w="60" w:type="dxa"/>
            <w:tcBorders/>
            <w:shd w:fill="CCEEFF" w:val="clear"/>
            <w:vAlign w:val="bottom"/>
          </w:tcPr>
          <w:p>
            <w:pPr>
              <w:pStyle w:val="TableContents"/>
              <w:spacing w:before="0" w:after="283"/>
              <w:jc w:val="right"/>
              <w:rPr/>
            </w:pPr>
            <w:r>
              <w:rPr/>
              <w:t> </w:t>
            </w:r>
          </w:p>
        </w:tc>
        <w:tc>
          <w:tcPr>
            <w:tcW w:w="26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49"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6,923,800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(175,300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(33,090,800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(26,337,100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(continued)</w:t>
            </w:r>
          </w:p>
        </w:tc>
        <w:tc>
          <w:tcPr>
            <w:tcW w:w="60"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jc w:val="left"/>
              <w:rPr/>
            </w:pPr>
            <w:r>
              <w:rPr/>
              <w:t> </w:t>
            </w:r>
          </w:p>
        </w:tc>
        <w:tc>
          <w:tcPr>
            <w:tcW w:w="32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549"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94" w:name="PGBRK66"/>
      <w:bookmarkStart w:id="695" w:name="PGBRK66"/>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96" w:name="FTR66"/>
      <w:bookmarkStart w:id="697" w:name="FTR66"/>
      <w:bookmarkEnd w:id="6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98" w:name="GLFTR66"/>
      <w:bookmarkEnd w:id="6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9" w:name="PN66"/>
      <w:bookmarkEnd w:id="699"/>
      <w:r>
        <w:rPr>
          <w:rFonts w:ascii="Times New Roman" w:hAnsi="Times New Roman"/>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00" w:name="HDR66"/>
      <w:bookmarkStart w:id="701" w:name="HDR66"/>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702" w:name="GLHDR66"/>
        <w:bookmarkEnd w:id="7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2013</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tbl>
      <w:tblPr>
        <w:tblW w:w="11285" w:type="dxa"/>
        <w:jc w:val="left"/>
        <w:tblInd w:w="0" w:type="dxa"/>
        <w:tblCellMar>
          <w:top w:w="0" w:type="dxa"/>
          <w:left w:w="0" w:type="dxa"/>
          <w:bottom w:w="0" w:type="dxa"/>
          <w:right w:w="0" w:type="dxa"/>
        </w:tblCellMar>
      </w:tblPr>
      <w:tblGrid>
        <w:gridCol w:w="1610"/>
        <w:gridCol w:w="60"/>
        <w:gridCol w:w="60"/>
        <w:gridCol w:w="695"/>
        <w:gridCol w:w="60"/>
        <w:gridCol w:w="60"/>
        <w:gridCol w:w="188"/>
        <w:gridCol w:w="507"/>
        <w:gridCol w:w="60"/>
        <w:gridCol w:w="60"/>
        <w:gridCol w:w="60"/>
        <w:gridCol w:w="950"/>
        <w:gridCol w:w="60"/>
        <w:gridCol w:w="60"/>
        <w:gridCol w:w="125"/>
        <w:gridCol w:w="590"/>
        <w:gridCol w:w="60"/>
        <w:gridCol w:w="60"/>
        <w:gridCol w:w="125"/>
        <w:gridCol w:w="950"/>
        <w:gridCol w:w="60"/>
        <w:gridCol w:w="60"/>
        <w:gridCol w:w="125"/>
        <w:gridCol w:w="905"/>
        <w:gridCol w:w="80"/>
        <w:gridCol w:w="60"/>
        <w:gridCol w:w="134"/>
        <w:gridCol w:w="816"/>
        <w:gridCol w:w="80"/>
        <w:gridCol w:w="60"/>
        <w:gridCol w:w="125"/>
        <w:gridCol w:w="1010"/>
        <w:gridCol w:w="80"/>
        <w:gridCol w:w="60"/>
        <w:gridCol w:w="125"/>
        <w:gridCol w:w="1010"/>
        <w:gridCol w:w="95"/>
      </w:tblGrid>
      <w:tr>
        <w:trPr/>
        <w:tc>
          <w:tcPr>
            <w:tcW w:w="161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225" w:type="dxa"/>
            <w:gridSpan w:val="6"/>
            <w:tcBorders/>
            <w:shd w:fill="auto" w:val="clear"/>
            <w:vAlign w:val="bottom"/>
          </w:tcPr>
          <w:p>
            <w:pPr>
              <w:pStyle w:val="TableContents"/>
              <w:spacing w:before="0" w:after="0"/>
              <w:ind w:left="0" w:right="0" w:hanging="0"/>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p>
            <w:pPr>
              <w:pStyle w:val="TableContents"/>
              <w:spacing w:before="0" w:after="0"/>
              <w:ind w:left="0" w:right="0" w:hanging="0"/>
              <w:jc w:val="center"/>
              <w:rPr>
                <w:rFonts w:ascii="times new roman" w:hAnsi="times new roman"/>
                <w:b/>
                <w:sz w:val="20"/>
              </w:rPr>
            </w:pPr>
            <w:r>
              <w:rPr>
                <w:rFonts w:ascii="times new roman" w:hAnsi="times new roman"/>
                <w:b/>
                <w:sz w:val="20"/>
              </w:rPr>
              <w:t>Receivable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p>
            <w:pPr>
              <w:pStyle w:val="TableContents"/>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95" w:type="dxa"/>
            <w:tcBorders/>
            <w:shd w:fill="auto"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1630" w:type="dxa"/>
            <w:gridSpan w:val="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w:t>
            </w:r>
          </w:p>
          <w:p>
            <w:pPr>
              <w:pStyle w:val="TableContents"/>
              <w:spacing w:before="0" w:after="0"/>
              <w:ind w:left="0" w:right="0" w:hanging="0"/>
              <w:jc w:val="center"/>
              <w:rPr>
                <w:rFonts w:ascii="times new roman" w:hAnsi="times new roman"/>
                <w:b/>
                <w:sz w:val="20"/>
              </w:rPr>
            </w:pPr>
            <w:r>
              <w:rPr>
                <w:rFonts w:ascii="times new roman" w:hAnsi="times new roman"/>
                <w:b/>
                <w:sz w:val="20"/>
              </w:rPr>
              <w:t>Preferred Stock</w:t>
            </w:r>
          </w:p>
        </w:tc>
        <w:tc>
          <w:tcPr>
            <w:tcW w:w="60" w:type="dxa"/>
            <w:tcBorders/>
            <w:shd w:fill="auto" w:val="clear"/>
            <w:vAlign w:val="bottom"/>
          </w:tcPr>
          <w:p>
            <w:pPr>
              <w:pStyle w:val="TableContents"/>
              <w:spacing w:before="0" w:after="283"/>
              <w:rPr/>
            </w:pPr>
            <w:r>
              <w:rPr/>
              <w:t> </w:t>
            </w:r>
          </w:p>
        </w:tc>
        <w:tc>
          <w:tcPr>
            <w:tcW w:w="18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Paid-in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w:t>
            </w:r>
          </w:p>
          <w:p>
            <w:pPr>
              <w:pStyle w:val="TableContents"/>
              <w:spacing w:before="0" w:after="0"/>
              <w:ind w:left="0" w:right="0" w:hanging="0"/>
              <w:jc w:val="center"/>
              <w:rPr>
                <w:rFonts w:ascii="times new roman" w:hAnsi="times new roman"/>
                <w:b/>
                <w:sz w:val="20"/>
              </w:rPr>
            </w:pPr>
            <w:r>
              <w:rPr>
                <w:rFonts w:ascii="times new roman" w:hAnsi="times new roman"/>
                <w:b/>
                <w:sz w:val="20"/>
              </w:rPr>
              <w:t>Sale of</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During the</w:t>
            </w:r>
          </w:p>
          <w:p>
            <w:pPr>
              <w:pStyle w:val="TableContents"/>
              <w:spacing w:before="0" w:after="0"/>
              <w:ind w:left="0" w:right="0" w:hanging="0"/>
              <w:jc w:val="center"/>
              <w:rPr>
                <w:rFonts w:ascii="times new roman" w:hAnsi="times new roman"/>
                <w:b/>
                <w:sz w:val="20"/>
              </w:rPr>
            </w:pPr>
            <w:r>
              <w:rPr>
                <w:rFonts w:ascii="times new roman" w:hAnsi="times new roman"/>
                <w:b/>
                <w:sz w:val="20"/>
              </w:rPr>
              <w:t>Development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Stockholders’</w:t>
            </w:r>
          </w:p>
        </w:tc>
        <w:tc>
          <w:tcPr>
            <w:tcW w:w="95" w:type="dxa"/>
            <w:tcBorders/>
            <w:shd w:fill="auto"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95" w:type="dxa"/>
            <w:tcBorders/>
            <w:shd w:fill="auto"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2010</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6,923,800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(175,300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(33,090,800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(26,337,100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1,628,800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1,628,800</w:t>
            </w:r>
          </w:p>
        </w:tc>
        <w:tc>
          <w:tcPr>
            <w:tcW w:w="95" w:type="dxa"/>
            <w:tcBorders/>
            <w:shd w:fill="FFFFFF" w:val="clear"/>
            <w:vAlign w:val="bottom"/>
          </w:tcPr>
          <w:p>
            <w:pPr>
              <w:pStyle w:val="TableContents"/>
              <w:spacing w:before="0" w:after="283"/>
              <w:jc w:val="left"/>
              <w:rPr/>
            </w:pPr>
            <w:r>
              <w:rPr/>
              <w:t> </w:t>
            </w:r>
          </w:p>
        </w:tc>
      </w:tr>
      <w:tr>
        <w:trPr/>
        <w:tc>
          <w:tcPr>
            <w:tcW w:w="1730"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40"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in connection with the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2010 Short-Term Notes</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252,000</w:t>
            </w:r>
          </w:p>
        </w:tc>
        <w:tc>
          <w:tcPr>
            <w:tcW w:w="95" w:type="dxa"/>
            <w:tcBorders/>
            <w:shd w:fill="FFFFFF" w:val="clear"/>
            <w:vAlign w:val="bottom"/>
          </w:tcPr>
          <w:p>
            <w:pPr>
              <w:pStyle w:val="TableContents"/>
              <w:spacing w:before="0" w:after="283"/>
              <w:jc w:val="left"/>
              <w:rPr/>
            </w:pPr>
            <w:r>
              <w:rPr/>
              <w:t> </w:t>
            </w:r>
          </w:p>
        </w:tc>
      </w:tr>
      <w:tr>
        <w:trPr/>
        <w:tc>
          <w:tcPr>
            <w:tcW w:w="3240"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note conversion options from</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modification</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1,062,800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1,062,800</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2011</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0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(9,482,200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1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2011</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9,867,400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(184,100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(42,573,000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(32,884,500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1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1,591,300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1,591,300</w:t>
            </w:r>
          </w:p>
        </w:tc>
        <w:tc>
          <w:tcPr>
            <w:tcW w:w="95" w:type="dxa"/>
            <w:tcBorders/>
            <w:shd w:fill="FFFFFF" w:val="clear"/>
            <w:vAlign w:val="bottom"/>
          </w:tcPr>
          <w:p>
            <w:pPr>
              <w:pStyle w:val="TableContents"/>
              <w:spacing w:before="0" w:after="283"/>
              <w:jc w:val="left"/>
              <w:rPr/>
            </w:pPr>
            <w:r>
              <w:rPr/>
              <w:t> </w:t>
            </w:r>
          </w:p>
        </w:tc>
      </w:tr>
      <w:tr>
        <w:trPr/>
        <w:tc>
          <w:tcPr>
            <w:tcW w:w="1730"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warrant liability to equity</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95" w:type="dxa"/>
            <w:tcBorders/>
            <w:shd w:fill="FFFFFF"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value of Platinum note modification</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1,070,600</w:t>
            </w:r>
          </w:p>
        </w:tc>
        <w:tc>
          <w:tcPr>
            <w:tcW w:w="95" w:type="dxa"/>
            <w:tcBorders/>
            <w:shd w:fill="CCEEFF" w:val="clear"/>
            <w:vAlign w:val="bottom"/>
          </w:tcPr>
          <w:p>
            <w:pPr>
              <w:pStyle w:val="TableContents"/>
              <w:spacing w:before="0" w:after="283"/>
              <w:jc w:val="left"/>
              <w:rPr/>
            </w:pPr>
            <w:r>
              <w:rPr/>
              <w:t> </w:t>
            </w:r>
          </w:p>
        </w:tc>
      </w:tr>
      <w:tr>
        <w:trPr/>
        <w:tc>
          <w:tcPr>
            <w:tcW w:w="242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Incremental value of Morrison &amp; Foerster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58,700</w:t>
            </w:r>
          </w:p>
        </w:tc>
        <w:tc>
          <w:tcPr>
            <w:tcW w:w="95" w:type="dxa"/>
            <w:tcBorders/>
            <w:shd w:fill="FFFFFF" w:val="clear"/>
            <w:vAlign w:val="bottom"/>
          </w:tcPr>
          <w:p>
            <w:pPr>
              <w:pStyle w:val="TableContents"/>
              <w:spacing w:before="0" w:after="283"/>
              <w:jc w:val="left"/>
              <w:rPr/>
            </w:pPr>
            <w:r>
              <w:rPr/>
              <w:t> </w:t>
            </w:r>
          </w:p>
        </w:tc>
      </w:tr>
      <w:tr>
        <w:trPr/>
        <w:tc>
          <w:tcPr>
            <w:tcW w:w="2485" w:type="dxa"/>
            <w:gridSpan w:val="5"/>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in May 2011 Private Placement, net of</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$202,000 placement fees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3,176,200</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Payments on note receivable for sale of stock</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95" w:type="dxa"/>
            <w:tcBorders/>
            <w:shd w:fill="FFFFFF" w:val="clear"/>
            <w:vAlign w:val="bottom"/>
          </w:tcPr>
          <w:p>
            <w:pPr>
              <w:pStyle w:val="TableContents"/>
              <w:spacing w:before="0" w:after="283"/>
              <w:jc w:val="left"/>
              <w:rPr/>
            </w:pPr>
            <w:r>
              <w:rPr/>
              <w:t> </w:t>
            </w:r>
          </w:p>
        </w:tc>
      </w:tr>
      <w:tr>
        <w:trPr/>
        <w:tc>
          <w:tcPr>
            <w:tcW w:w="242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upon conversion of convertible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70" w:type="dxa"/>
            <w:gridSpan w:val="2"/>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notes</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3,528,290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6,171,300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6,174,800</w:t>
            </w:r>
          </w:p>
        </w:tc>
        <w:tc>
          <w:tcPr>
            <w:tcW w:w="95" w:type="dxa"/>
            <w:tcBorders/>
            <w:shd w:fill="CCEEFF" w:val="clear"/>
            <w:vAlign w:val="bottom"/>
          </w:tcPr>
          <w:p>
            <w:pPr>
              <w:pStyle w:val="TableContents"/>
              <w:spacing w:before="0" w:after="283"/>
              <w:jc w:val="left"/>
              <w:rPr/>
            </w:pPr>
            <w:r>
              <w:rPr/>
              <w:t> </w:t>
            </w:r>
          </w:p>
        </w:tc>
      </w:tr>
      <w:tr>
        <w:trPr/>
        <w:tc>
          <w:tcPr>
            <w:tcW w:w="2485" w:type="dxa"/>
            <w:gridSpan w:val="5"/>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upon</w:t>
            </w:r>
          </w:p>
          <w:p>
            <w:pPr>
              <w:pStyle w:val="TableContents"/>
              <w:spacing w:before="0" w:after="0"/>
              <w:ind w:left="0" w:right="0" w:hanging="0"/>
              <w:jc w:val="left"/>
              <w:rPr>
                <w:rFonts w:ascii="times new roman" w:hAnsi="times new roman"/>
                <w:sz w:val="20"/>
              </w:rPr>
            </w:pPr>
            <w:r>
              <w:rPr>
                <w:rFonts w:ascii="times new roman" w:hAnsi="times new roman"/>
                <w:sz w:val="20"/>
              </w:rPr>
              <w:t>conversion of all series of</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14,531,900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95" w:type="dxa"/>
            <w:tcBorders/>
            <w:shd w:fill="FFFFFF"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stock issued for services prior to the Merger</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1,371,743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2,224,100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2,225,500</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at the Merger</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95" w:type="dxa"/>
            <w:tcBorders/>
            <w:shd w:fill="FFFFFF" w:val="clear"/>
            <w:vAlign w:val="bottom"/>
          </w:tcPr>
          <w:p>
            <w:pPr>
              <w:pStyle w:val="TableContents"/>
              <w:spacing w:before="0" w:after="283"/>
              <w:jc w:val="left"/>
              <w:rPr/>
            </w:pPr>
            <w:r>
              <w:rPr/>
              <w:t> </w:t>
            </w:r>
          </w:p>
        </w:tc>
      </w:tr>
      <w:tr>
        <w:trPr/>
        <w:tc>
          <w:tcPr>
            <w:tcW w:w="242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upon exercise</w:t>
            </w:r>
          </w:p>
          <w:p>
            <w:pPr>
              <w:pStyle w:val="TableContents"/>
              <w:spacing w:before="0" w:after="0"/>
              <w:ind w:left="0" w:right="0" w:hanging="0"/>
              <w:jc w:val="left"/>
              <w:rPr>
                <w:rFonts w:ascii="times new roman" w:hAnsi="times new roman"/>
                <w:sz w:val="20"/>
              </w:rPr>
            </w:pPr>
            <w:r>
              <w:rPr>
                <w:rFonts w:ascii="times new roman" w:hAnsi="times new roman"/>
                <w:sz w:val="20"/>
              </w:rPr>
              <w:t>of modified warrants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(includes Platinum exercises)</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3,121,259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3,426,200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3,429,300</w:t>
            </w:r>
          </w:p>
        </w:tc>
        <w:tc>
          <w:tcPr>
            <w:tcW w:w="95" w:type="dxa"/>
            <w:tcBorders/>
            <w:shd w:fill="CCEEFF" w:val="clear"/>
            <w:vAlign w:val="bottom"/>
          </w:tcPr>
          <w:p>
            <w:pPr>
              <w:pStyle w:val="TableContents"/>
              <w:spacing w:before="0" w:after="283"/>
              <w:jc w:val="left"/>
              <w:rPr/>
            </w:pPr>
            <w:r>
              <w:rPr/>
              <w:t> </w:t>
            </w:r>
          </w:p>
        </w:tc>
      </w:tr>
      <w:tr>
        <w:trPr/>
        <w:tc>
          <w:tcPr>
            <w:tcW w:w="242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value of</w:t>
            </w:r>
          </w:p>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(including modification of Platinum warrants)</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1,028,900</w:t>
            </w:r>
          </w:p>
        </w:tc>
        <w:tc>
          <w:tcPr>
            <w:tcW w:w="95" w:type="dxa"/>
            <w:tcBorders/>
            <w:shd w:fill="FFFFFF" w:val="clear"/>
            <w:vAlign w:val="bottom"/>
          </w:tcPr>
          <w:p>
            <w:pPr>
              <w:pStyle w:val="TableContents"/>
              <w:spacing w:before="0" w:after="283"/>
              <w:jc w:val="left"/>
              <w:rPr/>
            </w:pPr>
            <w:r>
              <w:rPr/>
              <w:t> </w:t>
            </w:r>
          </w:p>
        </w:tc>
      </w:tr>
      <w:tr>
        <w:trPr/>
        <w:tc>
          <w:tcPr>
            <w:tcW w:w="3240"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bonus warrants</w:t>
            </w:r>
          </w:p>
          <w:p>
            <w:pPr>
              <w:pStyle w:val="TableContents"/>
              <w:spacing w:before="0" w:after="0"/>
              <w:ind w:left="0" w:right="0" w:hanging="0"/>
              <w:jc w:val="left"/>
              <w:rPr>
                <w:rFonts w:ascii="times new roman" w:hAnsi="times new roman"/>
                <w:sz w:val="20"/>
              </w:rPr>
            </w:pPr>
            <w:r>
              <w:rPr>
                <w:rFonts w:ascii="times new roman" w:hAnsi="times new roman"/>
                <w:sz w:val="20"/>
              </w:rPr>
              <w:t>under Discounted Warrant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70" w:type="dxa"/>
            <w:gridSpan w:val="2"/>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Program</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138,100</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in Fall 2011 Follow-on Offering</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63,570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111,300</w:t>
            </w:r>
          </w:p>
        </w:tc>
        <w:tc>
          <w:tcPr>
            <w:tcW w:w="95" w:type="dxa"/>
            <w:tcBorders/>
            <w:shd w:fill="FFFFFF" w:val="clear"/>
            <w:vAlign w:val="bottom"/>
          </w:tcPr>
          <w:p>
            <w:pPr>
              <w:pStyle w:val="TableContents"/>
              <w:spacing w:before="0" w:after="283"/>
              <w:jc w:val="left"/>
              <w:rPr/>
            </w:pPr>
            <w:r>
              <w:rPr/>
              <w:t> </w:t>
            </w:r>
          </w:p>
        </w:tc>
      </w:tr>
      <w:tr>
        <w:trPr/>
        <w:tc>
          <w:tcPr>
            <w:tcW w:w="3240"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upon exercise of</w:t>
            </w:r>
          </w:p>
          <w:p>
            <w:pPr>
              <w:pStyle w:val="TableContents"/>
              <w:spacing w:before="0" w:after="0"/>
              <w:ind w:left="0" w:right="0" w:hanging="0"/>
              <w:jc w:val="left"/>
              <w:rPr>
                <w:rFonts w:ascii="times new roman" w:hAnsi="times new roman"/>
                <w:sz w:val="20"/>
              </w:rPr>
            </w:pPr>
            <w:r>
              <w:rPr>
                <w:rFonts w:ascii="times new roman" w:hAnsi="times new roman"/>
                <w:sz w:val="20"/>
              </w:rPr>
              <w:t>options from the 1999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70" w:type="dxa"/>
            <w:gridSpan w:val="2"/>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102,200</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stock issued for services following the Merger</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155,555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451,800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452,000</w:t>
            </w:r>
          </w:p>
        </w:tc>
        <w:tc>
          <w:tcPr>
            <w:tcW w:w="95" w:type="dxa"/>
            <w:tcBorders/>
            <w:shd w:fill="FFFFFF"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564,500</w:t>
            </w:r>
          </w:p>
        </w:tc>
        <w:tc>
          <w:tcPr>
            <w:tcW w:w="95" w:type="dxa"/>
            <w:tcBorders/>
            <w:shd w:fill="CCEEFF" w:val="clear"/>
            <w:vAlign w:val="bottom"/>
          </w:tcPr>
          <w:p>
            <w:pPr>
              <w:pStyle w:val="TableContents"/>
              <w:spacing w:before="0" w:after="283"/>
              <w:jc w:val="left"/>
              <w:rPr/>
            </w:pPr>
            <w:r>
              <w:rPr/>
              <w:t> </w:t>
            </w:r>
          </w:p>
        </w:tc>
      </w:tr>
      <w:tr>
        <w:trPr/>
        <w:tc>
          <w:tcPr>
            <w:tcW w:w="3240"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w:t>
            </w:r>
          </w:p>
          <w:p>
            <w:pPr>
              <w:pStyle w:val="TableContents"/>
              <w:spacing w:before="0" w:after="0"/>
              <w:ind w:left="0" w:right="0" w:hanging="0"/>
              <w:jc w:val="left"/>
              <w:rPr>
                <w:rFonts w:ascii="times new roman" w:hAnsi="times new roman"/>
                <w:sz w:val="20"/>
              </w:rPr>
            </w:pPr>
            <w:r>
              <w:rPr>
                <w:rFonts w:ascii="times new roman" w:hAnsi="times new roman"/>
                <w:sz w:val="20"/>
              </w:rPr>
              <w:t>issued and beneficial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240"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feature in connection</w:t>
            </w:r>
          </w:p>
          <w:p>
            <w:pPr>
              <w:pStyle w:val="TableContents"/>
              <w:spacing w:before="0" w:after="0"/>
              <w:ind w:left="0" w:right="0" w:hanging="0"/>
              <w:jc w:val="left"/>
              <w:rPr>
                <w:rFonts w:ascii="times new roman" w:hAnsi="times new roman"/>
                <w:sz w:val="20"/>
              </w:rPr>
            </w:pPr>
            <w:r>
              <w:rPr>
                <w:rFonts w:ascii="times new roman" w:hAnsi="times new roman"/>
                <w:sz w:val="20"/>
              </w:rPr>
              <w:t>with 12% convertible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461,700</w:t>
            </w:r>
          </w:p>
        </w:tc>
        <w:tc>
          <w:tcPr>
            <w:tcW w:w="95" w:type="dxa"/>
            <w:tcBorders/>
            <w:shd w:fill="FFFFFF" w:val="clear"/>
            <w:vAlign w:val="bottom"/>
          </w:tcPr>
          <w:p>
            <w:pPr>
              <w:pStyle w:val="TableContents"/>
              <w:spacing w:before="0" w:after="283"/>
              <w:jc w:val="left"/>
              <w:rPr/>
            </w:pPr>
            <w:r>
              <w:rPr/>
              <w:t> </w:t>
            </w:r>
          </w:p>
        </w:tc>
      </w:tr>
      <w:tr>
        <w:trPr/>
        <w:tc>
          <w:tcPr>
            <w:tcW w:w="1730"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in connection with note term extension</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upon conversion of Platinum Note to equity</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670" w:type="dxa"/>
            <w:gridSpan w:val="2"/>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of Platinum warrant exercise reflected above)</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231,090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3,387,700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3,387,900</w:t>
            </w:r>
          </w:p>
        </w:tc>
        <w:tc>
          <w:tcPr>
            <w:tcW w:w="95" w:type="dxa"/>
            <w:tcBorders/>
            <w:shd w:fill="FFFFFF" w:val="clear"/>
            <w:vAlign w:val="bottom"/>
          </w:tcPr>
          <w:p>
            <w:pPr>
              <w:pStyle w:val="TableContents"/>
              <w:spacing w:before="0" w:after="283"/>
              <w:jc w:val="left"/>
              <w:rPr/>
            </w:pPr>
            <w:r>
              <w:rPr/>
              <w:t> </w:t>
            </w:r>
          </w:p>
        </w:tc>
      </w:tr>
      <w:tr>
        <w:trPr/>
        <w:tc>
          <w:tcPr>
            <w:tcW w:w="3240"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exchanged for</w:t>
            </w:r>
          </w:p>
          <w:p>
            <w:pPr>
              <w:pStyle w:val="TableContents"/>
              <w:spacing w:before="0" w:after="0"/>
              <w:ind w:left="0" w:right="0" w:hanging="0"/>
              <w:jc w:val="left"/>
              <w:rPr>
                <w:rFonts w:ascii="times new roman" w:hAnsi="times new roman"/>
                <w:sz w:val="20"/>
              </w:rPr>
            </w:pPr>
            <w:r>
              <w:rPr>
                <w:rFonts w:ascii="times new roman" w:hAnsi="times new roman"/>
                <w:sz w:val="20"/>
              </w:rPr>
              <w:t>Series A Preferred under</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agreements with Platinum:</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180" w:right="0" w:hanging="0"/>
              <w:jc w:val="left"/>
              <w:rPr/>
            </w:pPr>
            <w:r>
              <w:rPr/>
              <w:t> </w:t>
            </w:r>
          </w:p>
        </w:tc>
      </w:tr>
      <w:tr>
        <w:trPr/>
        <w:tc>
          <w:tcPr>
            <w:tcW w:w="1730" w:type="dxa"/>
            <w:gridSpan w:val="3"/>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Common Stock Exchange Agreement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45,980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750,600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(750,600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ind w:left="180" w:right="0" w:hanging="0"/>
              <w:jc w:val="left"/>
              <w:rPr/>
            </w:pPr>
            <w:r>
              <w:rPr/>
              <w:t> </w:t>
            </w:r>
          </w:p>
        </w:tc>
      </w:tr>
      <w:tr>
        <w:trPr/>
        <w:tc>
          <w:tcPr>
            <w:tcW w:w="1730" w:type="dxa"/>
            <w:gridSpan w:val="3"/>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Note and Warrant Exchange Agreement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159,985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2,480,900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(2,481,100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2012</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0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1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2012</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437,055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18,704,267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rFonts w:ascii="times new roman" w:hAnsi="times new roman"/>
          <w:sz w:val="20"/>
        </w:rPr>
      </w:pPr>
      <w:r>
        <w:rPr>
          <w:rFonts w:ascii="times new roman" w:hAnsi="times new roman"/>
          <w:sz w:val="20"/>
        </w:rPr>
        <w:t>(continued)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03" w:name="PGBRK67"/>
      <w:bookmarkStart w:id="704" w:name="PGBRK67"/>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05" w:name="FTR67"/>
      <w:bookmarkStart w:id="706" w:name="FTR67"/>
      <w:bookmarkEnd w:id="7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7" w:name="GLFTR67"/>
      <w:bookmarkEnd w:id="7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8" w:name="PN67"/>
      <w:bookmarkEnd w:id="708"/>
      <w:r>
        <w:rPr>
          <w:rFonts w:ascii="Times New Roman" w:hAnsi="Times New Roman"/>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09" w:name="HDR67"/>
      <w:bookmarkStart w:id="710" w:name="HDR67"/>
      <w:bookmarkEnd w:id="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11" w:name="GLHDR67"/>
        <w:bookmarkEnd w:id="7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2013</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tbl>
      <w:tblPr>
        <w:tblW w:w="10870" w:type="dxa"/>
        <w:jc w:val="left"/>
        <w:tblInd w:w="0" w:type="dxa"/>
        <w:tblCellMar>
          <w:top w:w="0" w:type="dxa"/>
          <w:left w:w="0" w:type="dxa"/>
          <w:bottom w:w="0" w:type="dxa"/>
          <w:right w:w="0" w:type="dxa"/>
        </w:tblCellMar>
      </w:tblPr>
      <w:tblGrid>
        <w:gridCol w:w="1175"/>
        <w:gridCol w:w="60"/>
        <w:gridCol w:w="60"/>
        <w:gridCol w:w="695"/>
        <w:gridCol w:w="60"/>
        <w:gridCol w:w="60"/>
        <w:gridCol w:w="188"/>
        <w:gridCol w:w="507"/>
        <w:gridCol w:w="60"/>
        <w:gridCol w:w="60"/>
        <w:gridCol w:w="60"/>
        <w:gridCol w:w="950"/>
        <w:gridCol w:w="60"/>
        <w:gridCol w:w="60"/>
        <w:gridCol w:w="125"/>
        <w:gridCol w:w="590"/>
        <w:gridCol w:w="60"/>
        <w:gridCol w:w="60"/>
        <w:gridCol w:w="125"/>
        <w:gridCol w:w="950"/>
        <w:gridCol w:w="80"/>
        <w:gridCol w:w="60"/>
        <w:gridCol w:w="125"/>
        <w:gridCol w:w="905"/>
        <w:gridCol w:w="80"/>
        <w:gridCol w:w="60"/>
        <w:gridCol w:w="134"/>
        <w:gridCol w:w="816"/>
        <w:gridCol w:w="80"/>
        <w:gridCol w:w="60"/>
        <w:gridCol w:w="125"/>
        <w:gridCol w:w="1010"/>
        <w:gridCol w:w="80"/>
        <w:gridCol w:w="60"/>
        <w:gridCol w:w="125"/>
        <w:gridCol w:w="1010"/>
        <w:gridCol w:w="95"/>
      </w:tblGrid>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45" w:type="dxa"/>
            <w:gridSpan w:val="6"/>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950"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p>
            <w:pPr>
              <w:pStyle w:val="TableContents"/>
              <w:spacing w:before="0" w:after="0"/>
              <w:jc w:val="center"/>
              <w:rPr>
                <w:rFonts w:ascii="times new roman" w:hAnsi="times new roman"/>
                <w:b/>
                <w:sz w:val="20"/>
              </w:rPr>
            </w:pPr>
            <w:r>
              <w:rPr>
                <w:rFonts w:ascii="times new roman" w:hAnsi="times new roman"/>
                <w:b/>
                <w:sz w:val="20"/>
              </w:rPr>
              <w:t>Receivable</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p>
            <w:pPr>
              <w:pStyle w:val="TableContents"/>
              <w:spacing w:before="0" w:after="0"/>
              <w:jc w:val="center"/>
              <w:rPr>
                <w:rFonts w:ascii="times new roman" w:hAnsi="times new roman"/>
                <w:b/>
                <w:sz w:val="20"/>
              </w:rPr>
            </w:pPr>
            <w:r>
              <w:rPr>
                <w:rFonts w:ascii="times new roman" w:hAnsi="times new roman"/>
                <w:b/>
                <w:sz w:val="20"/>
              </w:rPr>
              <w:t>Accumulated</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shd w:fill="FFFFFF" w:val="clear"/>
            <w:vAlign w:val="bottom"/>
          </w:tcPr>
          <w:p>
            <w:pPr>
              <w:pStyle w:val="TableContents"/>
              <w:spacing w:before="0" w:after="0"/>
              <w:ind w:left="0" w:right="0" w:hanging="0"/>
              <w:jc w:val="center"/>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1630" w:type="dxa"/>
            <w:gridSpan w:val="7"/>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 Preferred Stock</w:t>
            </w:r>
          </w:p>
        </w:tc>
        <w:tc>
          <w:tcPr>
            <w:tcW w:w="60" w:type="dxa"/>
            <w:tcBorders/>
            <w:shd w:fill="FFFFFF" w:val="clear"/>
            <w:vAlign w:val="bottom"/>
          </w:tcPr>
          <w:p>
            <w:pPr>
              <w:pStyle w:val="TableContents"/>
              <w:spacing w:before="0" w:after="283"/>
              <w:rPr/>
            </w:pPr>
            <w:r>
              <w:rPr/>
              <w:t> </w:t>
            </w:r>
          </w:p>
        </w:tc>
        <w:tc>
          <w:tcPr>
            <w:tcW w:w="1845" w:type="dxa"/>
            <w:gridSpan w:val="6"/>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7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jc w:val="center"/>
              <w:rPr>
                <w:rFonts w:ascii="times new roman" w:hAnsi="times new roman"/>
                <w:b/>
                <w:sz w:val="20"/>
              </w:rPr>
            </w:pPr>
            <w:r>
              <w:rPr>
                <w:rFonts w:ascii="times new roman" w:hAnsi="times new roman"/>
                <w:b/>
                <w:sz w:val="20"/>
              </w:rPr>
              <w:t>Paid-in</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30"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950"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w:t>
            </w:r>
          </w:p>
          <w:p>
            <w:pPr>
              <w:pStyle w:val="TableContents"/>
              <w:spacing w:before="0" w:after="0"/>
              <w:ind w:left="0" w:right="0" w:hanging="0"/>
              <w:jc w:val="center"/>
              <w:rPr>
                <w:rFonts w:ascii="times new roman" w:hAnsi="times new roman"/>
                <w:b/>
                <w:sz w:val="20"/>
              </w:rPr>
            </w:pPr>
            <w:r>
              <w:rPr>
                <w:rFonts w:ascii="times new roman" w:hAnsi="times new roman"/>
                <w:b/>
                <w:sz w:val="20"/>
              </w:rPr>
              <w:t>Sale of</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During the</w:t>
            </w:r>
          </w:p>
          <w:p>
            <w:pPr>
              <w:pStyle w:val="TableContents"/>
              <w:spacing w:before="0" w:after="0"/>
              <w:jc w:val="center"/>
              <w:rPr>
                <w:rFonts w:ascii="times new roman" w:hAnsi="times new roman"/>
                <w:b/>
                <w:sz w:val="20"/>
              </w:rPr>
            </w:pPr>
            <w:r>
              <w:rPr>
                <w:rFonts w:ascii="times new roman" w:hAnsi="times new roman"/>
                <w:b/>
                <w:sz w:val="20"/>
              </w:rPr>
              <w:t>Development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Stockholders’</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75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9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10"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71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7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30"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950"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2012</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437,055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18,704,267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1,241,300</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upon exercise of modified warrants</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549,056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274,000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274,500</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modified warrants</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440,700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440,700</w:t>
            </w:r>
          </w:p>
        </w:tc>
        <w:tc>
          <w:tcPr>
            <w:tcW w:w="95" w:type="dxa"/>
            <w:tcBorders/>
            <w:shd w:fill="CCEEFF" w:val="clear"/>
            <w:vAlign w:val="bottom"/>
          </w:tcPr>
          <w:p>
            <w:pPr>
              <w:pStyle w:val="TableContents"/>
              <w:spacing w:before="0" w:after="283"/>
              <w:jc w:val="left"/>
              <w:rPr/>
            </w:pPr>
            <w:r>
              <w:rPr/>
              <w:t> </w:t>
            </w:r>
          </w:p>
        </w:tc>
      </w:tr>
      <w:tr>
        <w:trPr/>
        <w:tc>
          <w:tcPr>
            <w:tcW w:w="1990"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upon exercise of</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modified warrants</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95" w:type="dxa"/>
            <w:tcBorders/>
            <w:shd w:fill="FFFFFF" w:val="clear"/>
            <w:vAlign w:val="bottom"/>
          </w:tcPr>
          <w:p>
            <w:pPr>
              <w:pStyle w:val="TableContents"/>
              <w:spacing w:before="0" w:after="283"/>
              <w:jc w:val="left"/>
              <w:rPr/>
            </w:pPr>
            <w:r>
              <w:rPr/>
              <w:t> </w:t>
            </w:r>
          </w:p>
        </w:tc>
      </w:tr>
      <w:tr>
        <w:trPr/>
        <w:tc>
          <w:tcPr>
            <w:tcW w:w="199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shares issued in settlement of</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103,200</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exchanged for Series A Preferred under 2012 Exchange Agreement with Platinum</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62,945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736,300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(736,400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Payment on note receivable from sale of stock</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66,900</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Modification of note receivable from sale of stock</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99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modified warrant and fair</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99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value of warrant issued in connection with</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Morrison &amp; Foerster note payable restructuring</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998,500</w:t>
            </w:r>
          </w:p>
        </w:tc>
        <w:tc>
          <w:tcPr>
            <w:tcW w:w="95" w:type="dxa"/>
            <w:tcBorders/>
            <w:shd w:fill="CCEEFF" w:val="clear"/>
            <w:vAlign w:val="bottom"/>
          </w:tcPr>
          <w:p>
            <w:pPr>
              <w:pStyle w:val="TableContents"/>
              <w:spacing w:before="0" w:after="283"/>
              <w:jc w:val="left"/>
              <w:rPr/>
            </w:pPr>
            <w:r>
              <w:rPr/>
              <w:t> </w:t>
            </w:r>
          </w:p>
        </w:tc>
      </w:tr>
      <w:tr>
        <w:trPr/>
        <w:tc>
          <w:tcPr>
            <w:tcW w:w="2805"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 issued</w:t>
            </w:r>
          </w:p>
          <w:p>
            <w:pPr>
              <w:pStyle w:val="TableContents"/>
              <w:spacing w:before="0" w:after="0"/>
              <w:ind w:left="0" w:right="0" w:hanging="0"/>
              <w:jc w:val="left"/>
              <w:rPr>
                <w:rFonts w:ascii="times new roman" w:hAnsi="times new roman"/>
                <w:sz w:val="20"/>
              </w:rPr>
            </w:pPr>
            <w:r>
              <w:rPr>
                <w:rFonts w:ascii="times new roman" w:hAnsi="times new roman"/>
                <w:sz w:val="20"/>
              </w:rPr>
              <w:t>to Cato Holding Company</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 connection with note payable restructure</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120,500</w:t>
            </w:r>
          </w:p>
        </w:tc>
        <w:tc>
          <w:tcPr>
            <w:tcW w:w="95" w:type="dxa"/>
            <w:tcBorders/>
            <w:shd w:fill="FFFFFF" w:val="clear"/>
            <w:vAlign w:val="bottom"/>
          </w:tcPr>
          <w:p>
            <w:pPr>
              <w:pStyle w:val="TableContents"/>
              <w:spacing w:before="0" w:after="283"/>
              <w:jc w:val="left"/>
              <w:rPr/>
            </w:pPr>
            <w:r>
              <w:rPr/>
              <w:t> </w:t>
            </w:r>
          </w:p>
        </w:tc>
      </w:tr>
      <w:tr>
        <w:trPr/>
        <w:tc>
          <w:tcPr>
            <w:tcW w:w="199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Fair value of warrant issued to Cato Research, Ltd. in connection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accounts payable restructure</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486,200</w:t>
            </w:r>
          </w:p>
        </w:tc>
        <w:tc>
          <w:tcPr>
            <w:tcW w:w="95" w:type="dxa"/>
            <w:tcBorders/>
            <w:shd w:fill="CCEEFF" w:val="clear"/>
            <w:vAlign w:val="bottom"/>
          </w:tcPr>
          <w:p>
            <w:pPr>
              <w:pStyle w:val="TableContents"/>
              <w:spacing w:before="0" w:after="283"/>
              <w:jc w:val="left"/>
              <w:rPr/>
            </w:pPr>
            <w:r>
              <w:rPr/>
              <w:t> </w:t>
            </w:r>
          </w:p>
        </w:tc>
      </w:tr>
      <w:tr>
        <w:trPr/>
        <w:tc>
          <w:tcPr>
            <w:tcW w:w="2805"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 issued to University Health Network</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 connection with accounts payable restructure</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264,800</w:t>
            </w:r>
          </w:p>
        </w:tc>
        <w:tc>
          <w:tcPr>
            <w:tcW w:w="95" w:type="dxa"/>
            <w:tcBorders/>
            <w:shd w:fill="FFFFFF" w:val="clear"/>
            <w:vAlign w:val="bottom"/>
          </w:tcPr>
          <w:p>
            <w:pPr>
              <w:pStyle w:val="TableContents"/>
              <w:spacing w:before="0" w:after="283"/>
              <w:jc w:val="left"/>
              <w:rPr/>
            </w:pPr>
            <w:r>
              <w:rPr/>
              <w:t> </w:t>
            </w:r>
          </w:p>
        </w:tc>
      </w:tr>
      <w:tr>
        <w:trPr/>
        <w:tc>
          <w:tcPr>
            <w:tcW w:w="2805"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w:t>
            </w:r>
          </w:p>
          <w:p>
            <w:pPr>
              <w:pStyle w:val="TableContents"/>
              <w:spacing w:before="0" w:after="0"/>
              <w:ind w:left="0" w:right="0" w:hanging="0"/>
              <w:jc w:val="left"/>
              <w:rPr>
                <w:rFonts w:ascii="times new roman" w:hAnsi="times new roman"/>
                <w:sz w:val="20"/>
              </w:rPr>
            </w:pPr>
            <w:r>
              <w:rPr>
                <w:rFonts w:ascii="times new roman" w:hAnsi="times new roman"/>
                <w:sz w:val="20"/>
              </w:rPr>
              <w:t>to Morrison &amp; Foerster,</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2805"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Cato Research Ltd. and</w:t>
            </w:r>
          </w:p>
          <w:p>
            <w:pPr>
              <w:pStyle w:val="TableContents"/>
              <w:spacing w:before="0" w:after="0"/>
              <w:ind w:left="0" w:right="0" w:hanging="0"/>
              <w:jc w:val="left"/>
              <w:rPr>
                <w:rFonts w:ascii="times new roman" w:hAnsi="times new roman"/>
                <w:sz w:val="20"/>
              </w:rPr>
            </w:pPr>
            <w:r>
              <w:rPr>
                <w:rFonts w:ascii="times new roman" w:hAnsi="times new roman"/>
                <w:sz w:val="20"/>
              </w:rPr>
              <w:t>University Health Network</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 connection with accrued interest on underlying notes</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49,400</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Sale of Units in Winter 2012 Private Placement, net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2,366,330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1,246,600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1,249,000</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of February 2012 convertible notes for Units</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1,357,281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1,214,200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1,215,600</w:t>
            </w:r>
          </w:p>
        </w:tc>
        <w:tc>
          <w:tcPr>
            <w:tcW w:w="95" w:type="dxa"/>
            <w:tcBorders/>
            <w:shd w:fill="CCEEFF" w:val="clear"/>
            <w:vAlign w:val="bottom"/>
          </w:tcPr>
          <w:p>
            <w:pPr>
              <w:pStyle w:val="TableContents"/>
              <w:spacing w:before="0" w:after="283"/>
              <w:jc w:val="left"/>
              <w:rPr/>
            </w:pPr>
            <w:r>
              <w:rPr/>
              <w:t> </w:t>
            </w:r>
          </w:p>
        </w:tc>
      </w:tr>
      <w:tr>
        <w:trPr/>
        <w:tc>
          <w:tcPr>
            <w:tcW w:w="2805"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w:t>
            </w:r>
          </w:p>
          <w:p>
            <w:pPr>
              <w:pStyle w:val="TableContents"/>
              <w:spacing w:before="0" w:after="0"/>
              <w:ind w:left="0" w:right="0" w:hanging="0"/>
              <w:jc w:val="left"/>
              <w:rPr>
                <w:rFonts w:ascii="times new roman" w:hAnsi="times new roman"/>
                <w:sz w:val="20"/>
              </w:rPr>
            </w:pPr>
            <w:r>
              <w:rPr>
                <w:rFonts w:ascii="times new roman" w:hAnsi="times new roman"/>
                <w:sz w:val="20"/>
              </w:rPr>
              <w:t>to banker in connection with</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95" w:type="dxa"/>
            <w:gridSpan w:val="3"/>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of February 2012 convertible notes</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28,200</w:t>
            </w:r>
          </w:p>
        </w:tc>
        <w:tc>
          <w:tcPr>
            <w:tcW w:w="95" w:type="dxa"/>
            <w:tcBorders/>
            <w:shd w:fill="FFFFFF" w:val="clear"/>
            <w:vAlign w:val="bottom"/>
          </w:tcPr>
          <w:p>
            <w:pPr>
              <w:pStyle w:val="TableContents"/>
              <w:spacing w:before="0" w:after="283"/>
              <w:jc w:val="left"/>
              <w:rPr/>
            </w:pPr>
            <w:r>
              <w:rPr/>
              <w:t> </w:t>
            </w:r>
          </w:p>
        </w:tc>
      </w:tr>
      <w:tr>
        <w:trPr/>
        <w:tc>
          <w:tcPr>
            <w:tcW w:w="2805"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Premium of fair value over face</w:t>
            </w:r>
          </w:p>
          <w:p>
            <w:pPr>
              <w:pStyle w:val="TableContents"/>
              <w:spacing w:before="0" w:after="0"/>
              <w:ind w:left="0" w:right="0" w:hanging="0"/>
              <w:jc w:val="left"/>
              <w:rPr>
                <w:rFonts w:ascii="times new roman" w:hAnsi="times new roman"/>
                <w:sz w:val="20"/>
              </w:rPr>
            </w:pPr>
            <w:r>
              <w:rPr>
                <w:rFonts w:ascii="times new roman" w:hAnsi="times new roman"/>
                <w:sz w:val="20"/>
              </w:rPr>
              <w:t>value of Exchange Note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295" w:type="dxa"/>
            <w:gridSpan w:val="3"/>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to Platinum</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1,083,200</w:t>
            </w:r>
          </w:p>
        </w:tc>
        <w:tc>
          <w:tcPr>
            <w:tcW w:w="95" w:type="dxa"/>
            <w:tcBorders/>
            <w:shd w:fill="CCEEFF" w:val="clear"/>
            <w:vAlign w:val="bottom"/>
          </w:tcPr>
          <w:p>
            <w:pPr>
              <w:pStyle w:val="TableContents"/>
              <w:spacing w:before="0" w:after="283"/>
              <w:jc w:val="left"/>
              <w:rPr/>
            </w:pPr>
            <w:r>
              <w:rPr/>
              <w:t> </w:t>
            </w:r>
          </w:p>
        </w:tc>
      </w:tr>
      <w:tr>
        <w:trPr/>
        <w:tc>
          <w:tcPr>
            <w:tcW w:w="2805"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Series A Exchange</w:t>
            </w:r>
          </w:p>
          <w:p>
            <w:pPr>
              <w:pStyle w:val="TableContents"/>
              <w:spacing w:before="0" w:after="0"/>
              <w:ind w:left="0" w:right="0" w:hanging="0"/>
              <w:jc w:val="left"/>
              <w:rPr>
                <w:rFonts w:ascii="times new roman" w:hAnsi="times new roman"/>
                <w:sz w:val="20"/>
              </w:rPr>
            </w:pPr>
            <w:r>
              <w:rPr>
                <w:rFonts w:ascii="times new roman" w:hAnsi="times new roman"/>
                <w:sz w:val="20"/>
              </w:rPr>
              <w:t>Warrant issuable to</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Platinum recorded as a Warrant Liability</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805"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beneficial conversion feature of</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2805"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Notes issued to</w:t>
            </w:r>
          </w:p>
          <w:p>
            <w:pPr>
              <w:pStyle w:val="TableContents"/>
              <w:spacing w:before="0" w:after="0"/>
              <w:ind w:left="0" w:right="0" w:hanging="0"/>
              <w:jc w:val="left"/>
              <w:rPr>
                <w:rFonts w:ascii="times new roman" w:hAnsi="times new roman"/>
                <w:sz w:val="20"/>
              </w:rPr>
            </w:pPr>
            <w:r>
              <w:rPr>
                <w:rFonts w:ascii="times new roman" w:hAnsi="times new roman"/>
                <w:sz w:val="20"/>
              </w:rPr>
              <w:t>Platinum in October 2012,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2013 and March 2013</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958,500</w:t>
            </w:r>
          </w:p>
        </w:tc>
        <w:tc>
          <w:tcPr>
            <w:tcW w:w="95" w:type="dxa"/>
            <w:tcBorders/>
            <w:shd w:fill="CCEEFF" w:val="clear"/>
            <w:vAlign w:val="bottom"/>
          </w:tcPr>
          <w:p>
            <w:pPr>
              <w:pStyle w:val="TableContents"/>
              <w:spacing w:before="0" w:after="283"/>
              <w:jc w:val="left"/>
              <w:rPr/>
            </w:pPr>
            <w:r>
              <w:rPr/>
              <w:t> </w:t>
            </w:r>
          </w:p>
        </w:tc>
      </w:tr>
      <w:tr>
        <w:trPr/>
        <w:tc>
          <w:tcPr>
            <w:tcW w:w="1990"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warrant modifications in</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2013</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67,500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2013</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0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(12,886,700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(12,886,700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2013</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23,480,169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59,266,000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(12,556,400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2" w:name="PGBRK68"/>
      <w:bookmarkStart w:id="713" w:name="PGBRK68"/>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4" w:name="FTR68"/>
      <w:bookmarkStart w:id="715" w:name="FTR68"/>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6" w:name="GLFTR68"/>
      <w:bookmarkEnd w:id="7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7" w:name="PN68"/>
      <w:bookmarkEnd w:id="717"/>
      <w:r>
        <w:rPr>
          <w:rFonts w:ascii="Times New Roman" w:hAnsi="Times New Roman"/>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8" w:name="HDR68"/>
      <w:bookmarkStart w:id="719" w:name="HDR68"/>
      <w:bookmarkEnd w:id="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20" w:name="GLHDR68"/>
        <w:bookmarkEnd w:id="7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721" w:name="notesj"/>
      <w:bookmarkEnd w:id="721"/>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  Description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a Nevada corporation (“</w:t>
      </w:r>
      <w:r>
        <w:rPr>
          <w:rFonts w:ascii="Times New Roman" w:hAnsi="Times New Roman"/>
          <w:i/>
          <w:sz w:val="20"/>
        </w:rPr>
        <w:t>VistaGen</w:t>
      </w:r>
      <w:r>
        <w:rPr>
          <w:rFonts w:ascii="Times New Roman" w:hAnsi="Times New Roman"/>
          <w:sz w:val="20"/>
        </w:rPr>
        <w:t>” or the “</w:t>
      </w:r>
      <w:r>
        <w:rPr>
          <w:rFonts w:ascii="Times New Roman" w:hAnsi="Times New Roman"/>
          <w:i/>
          <w:sz w:val="20"/>
        </w:rPr>
        <w:t>Compan</w:t>
      </w:r>
      <w:r>
        <w:rPr>
          <w:rFonts w:ascii="Times New Roman" w:hAnsi="Times New Roman"/>
          <w:sz w:val="20"/>
        </w:rPr>
        <w:t>y”), is a biotechnology company with expertise in human pluripotent stem cell technology (“</w:t>
      </w:r>
      <w:r>
        <w:rPr>
          <w:rFonts w:ascii="Times New Roman" w:hAnsi="Times New Roman"/>
          <w:i/>
          <w:sz w:val="20"/>
        </w:rPr>
        <w:t>hPSC technology</w:t>
      </w:r>
      <w:r>
        <w:rPr>
          <w:rFonts w:ascii="Times New Roman" w:hAnsi="Times New Roman"/>
          <w:sz w:val="20"/>
        </w:rPr>
        <w:t xml:space="preserve">”).  The Company is currently applying its hPSC technology for drug rescue, predictive toxicology and drug metabolism screening. The Company’s primary goal is to use its hPSC technology platform, which it also refers to as </w:t>
      </w:r>
      <w:r>
        <w:rPr>
          <w:rFonts w:ascii="Times New Roman" w:hAnsi="Times New Roman"/>
          <w:i/>
          <w:sz w:val="20"/>
        </w:rPr>
        <w:t>Human Clinical Trials in a Test Tube</w:t>
      </w:r>
      <w:r>
        <w:rPr>
          <w:rFonts w:ascii="Times New Roman" w:hAnsi="Times New Roman"/>
          <w:sz w:val="20"/>
        </w:rPr>
        <w:t>™, and the novel pharmaceutical assay systems developed using its hPSC technology expertise and network of strategic relationships, to generate novel, proprietary, safer variants (Drug Rescue Variants) of once-promising small molecule drug candidates originally discovered, developed and ultimately discontinued by large pharmaceutical or biotechnology companies prior to market approval due to unexpected safety concerns relating to heart toxicity, liver toxicity or adverse drug-drug interactions.  The Company’s strategy is to leverage substantial prior third-party investment in drug discovery and drug development and to generate early indications, or predictions, of how humans will ultimately respond to new drug candidates, including Drug Rescue Variants, before they are ever tested in humans, bringing human biology to the front end of the drug development process..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VistaGen's orally-available, small molecule drug candidate, AV-101, has successfully completed Phase 1 development in the Unites States for treatment of neuropathic pain. Neuropathic pain, a serious and chronic condition causing pain after an injury or disease of the peripheral or central nervous system, affects millions of people worldwide. The NIH awarded VistaGen approximately $8.8 million for preclinical and 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is in the development stage and, since inception, has devoted substantially all of its time and efforts to hPSC research and bioassay development, small molecule drug development, creating, protecting and patenting intellectual property, recruiting personnel and raising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 Merger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a California corporation (“</w:t>
      </w:r>
      <w:r>
        <w:rPr>
          <w:rFonts w:ascii="Times New Roman" w:hAnsi="Times New Roman"/>
          <w:i/>
          <w:sz w:val="20"/>
        </w:rPr>
        <w:t>VistaGen California</w:t>
      </w:r>
      <w:r>
        <w:rPr>
          <w:rFonts w:ascii="Times New Roman" w:hAnsi="Times New Roman"/>
          <w:sz w:val="20"/>
        </w:rPr>
        <w:t>”) is a wholly-owned subsidiary of the Company.  VistaGen California was incorporated in California on May 26, 1998.  Excaliber Enterprises, Ltd. (“</w:t>
      </w:r>
      <w:r>
        <w:rPr>
          <w:rFonts w:ascii="Times New Roman" w:hAnsi="Times New Roman"/>
          <w:i/>
          <w:sz w:val="20"/>
        </w:rPr>
        <w:t>Excaliber</w:t>
      </w:r>
      <w:r>
        <w:rPr>
          <w:rFonts w:ascii="Times New Roman" w:hAnsi="Times New Roman"/>
          <w:sz w:val="20"/>
        </w:rPr>
        <w:t>”), a publicly-held company (formerly OTCBB: EXCA) was incorporated under the laws of the State of Nevada on October 6, 2005. After being unable to generate material revenues based on its original business plan, Excaliber became inactive in 2007.  In May 2011, after assessing the prospects associated with its original business plan and the business opportunities associated with a strategic merger with an established, privately-held, biotechnology company seeking the potential advantages of being a publicly-held company, Excaliber’s Board of Directors agreed to pursue a strategic merger with VistaGen California, as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pursuant to a strategic merger transaction with VistaGen California, Excaliber acquired all outstanding shares of VistaGen California in exchange for 6,836,452 shares of Excaliber common stock (the “</w:t>
      </w:r>
      <w:r>
        <w:rPr>
          <w:rFonts w:ascii="Times New Roman" w:hAnsi="Times New Roman"/>
          <w:i/>
          <w:sz w:val="20"/>
        </w:rPr>
        <w:t>Merger</w:t>
      </w:r>
      <w:r>
        <w:rPr>
          <w:rFonts w:ascii="Times New Roman" w:hAnsi="Times New Roman"/>
          <w:sz w:val="20"/>
        </w:rPr>
        <w:t>”), and Excaliber assumed all of VistaGen California’s pre-Merger obligations to contingently issue shares of common stock in accordance with VistaGen California’s stock option agreements, warrant agreements, and a convertible promissory note.  In connection with the Merger, Excaliber repurchased 5,064,207 shares of its common stock from two of its stockholders for a nominal amount, resulting in a total of 784,500 shares of Excaliber common stock outstanding at the date of the Merger.  The 6,836,452 shares issued to VistaGen California stockholders in connection with the Merger represented approximately ninety percent (90%) of the outstanding shares of Excaliber’s common stock after the closing of the Merger.  As a result of the Merger, the business of VistaGen California became the operating business of Excaliber.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2" w:name="PGBRK69"/>
      <w:bookmarkStart w:id="723" w:name="PGBRK69"/>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4" w:name="FTR69"/>
      <w:bookmarkStart w:id="725" w:name="FTR69"/>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6" w:name="GLFTR69"/>
      <w:bookmarkEnd w:id="7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7" w:name="PN69"/>
      <w:bookmarkEnd w:id="727"/>
      <w:r>
        <w:rPr>
          <w:rFonts w:ascii="Times New Roman" w:hAnsi="Times New Roman"/>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8" w:name="HDR69"/>
      <w:bookmarkStart w:id="729" w:name="HDR69"/>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30" w:name="GLHDR69"/>
        <w:bookmarkEnd w:id="7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Immediately preceding and concurrent with the Merger:</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08"/>
        <w:gridCol w:w="9697"/>
      </w:tblGrid>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VistaGen California sold 2,216,106 Units, consisting of one share of VistaGen California restricted common stock and a three-year warrant to purchase one-fourth (1/4) of one share of VistaGen California restricted common stock at an exercise price of $2.50 per share, at a price of $1.75 per Unit in a private placement for aggregate gross offering proceeds of $3,878,200, including $2,369,200 in cash (the “</w:t>
            </w:r>
            <w:r>
              <w:rPr>
                <w:rFonts w:ascii="times new roman" w:hAnsi="times new roman"/>
                <w:i/>
                <w:sz w:val="20"/>
              </w:rPr>
              <w:t>2011 Private Placement</w:t>
            </w:r>
            <w:r>
              <w:rPr>
                <w:rFonts w:ascii="times new roman" w:hAnsi="times new roman"/>
                <w:sz w:val="20"/>
              </w:rPr>
              <w:t xml:space="preserve">”). See Note 9, </w:t>
            </w:r>
            <w:r>
              <w:rPr>
                <w:rFonts w:ascii="times new roman" w:hAnsi="times new roman"/>
                <w:i/>
                <w:sz w:val="20"/>
              </w:rPr>
              <w:t>Capital Stock</w:t>
            </w:r>
            <w:r>
              <w:rPr>
                <w:rFonts w:ascii="times new roman" w:hAnsi="times new roman"/>
                <w:sz w:val="20"/>
              </w:rPr>
              <w:t>, for a further description;</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 xml:space="preserve">Holders of certain promissory notes issued by VistaGen California from 2006 through 2010 converted notes totaling $6,174,793, including principal and accrued but unpaid interest, into 3,528,290 Units at $1.75 per Unit. These Units were the same Units issued in connection with the 2011 Private Placement. See Note 8, </w:t>
            </w:r>
            <w:r>
              <w:rPr>
                <w:rFonts w:ascii="times new roman" w:hAnsi="times new roman"/>
                <w:i/>
                <w:sz w:val="20"/>
              </w:rPr>
              <w:t>Convertible Promissory Notes and Other Notes Payable</w:t>
            </w:r>
            <w:r>
              <w:rPr>
                <w:rFonts w:ascii="times new roman" w:hAnsi="times new roman"/>
                <w:sz w:val="20"/>
              </w:rPr>
              <w:t xml:space="preserve">; and </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 xml:space="preserve">All holders of VistaGen California's then-outstanding 2,884,655 shares of restricted preferred stock converted all of their preferred shares into 2,884,655 shares of VistaGen California restricted common stock. See Note 9, </w:t>
            </w:r>
            <w:r>
              <w:rPr>
                <w:rFonts w:ascii="times new roman" w:hAnsi="times new roman"/>
                <w:i/>
                <w:sz w:val="20"/>
              </w:rPr>
              <w:t>Capital Stock</w:t>
            </w:r>
            <w:r>
              <w:rPr>
                <w:rFonts w:ascii="times new roman" w:hAnsi="times new roman"/>
                <w:sz w:val="20"/>
              </w:rPr>
              <w:t>.</w:t>
            </w:r>
          </w:p>
        </w:tc>
      </w:tr>
    </w:tbl>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Shortly after the Merger:</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07"/>
        <w:gridCol w:w="9698"/>
      </w:tblGrid>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Each of VistaGen California's pre-Merger directors was appointed as a director of Excaliber;</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The pre-Merger directors and officers of Excaliber resigned as officers and directors of Excaliber;</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Each of VistaGen California’s pre-Merger officers was appointed an officer of like tenor of Excalber;</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The post-Merger directors of Excaliber (consisting of the pre-Merger directors of VistaGen California) approved a two-for-one (2:1) forward stock split of Excaliber’s common stock;</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 xml:space="preserve">The post-Merger directors of Excaliber approved an increase in the number of shares of common stock Excaliber was authorized to issue from 200 million to 400 million shares (see Note 9, </w:t>
            </w:r>
            <w:r>
              <w:rPr>
                <w:rFonts w:ascii="times new roman" w:hAnsi="times new roman"/>
                <w:i/>
                <w:sz w:val="20"/>
              </w:rPr>
              <w:t>Capital Stock</w:t>
            </w:r>
            <w:r>
              <w:rPr>
                <w:rFonts w:ascii="times new roman" w:hAnsi="times new roman"/>
                <w:sz w:val="20"/>
              </w:rPr>
              <w:t>);</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Excaliber’s name was changed to “VistaGen Therapeutics, Inc.”;</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VistaGen’s common stock began trading on the OTC Bulletin Board under the symbol “VSTA” effective on June 21, 2011; and</w:t>
            </w:r>
          </w:p>
        </w:tc>
      </w:tr>
      <w:tr>
        <w:trPr/>
        <w:tc>
          <w:tcPr>
            <w:tcW w:w="507" w:type="dxa"/>
            <w:tcBorders/>
            <w:shd w:fill="FFFFFF" w:val="clear"/>
            <w:vAlign w:val="center"/>
          </w:tcPr>
          <w:p>
            <w:pPr>
              <w:pStyle w:val="TableContents"/>
              <w:spacing w:before="0" w:after="283"/>
              <w:jc w:val="center"/>
              <w:rPr/>
            </w:pPr>
            <w:r>
              <w:rPr/>
              <w:t>●</w:t>
            </w:r>
          </w:p>
        </w:tc>
        <w:tc>
          <w:tcPr>
            <w:tcW w:w="969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VistaGen adopted VistaGen California's fiscal year-end of March 31st.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California, as the accounting acquirer in the Merger, recorded the Merger as the issuance of common stock for the net monetary assets of Excaliber, accompanied by a recapitalization.  This accounting for the Merger was identical to that resulting from a reverse acquisition, except that no goodwill or other intangible assets were recorded.  A total of 1,569,000 shares of common stock, representing the shares held by stockholders of Excaliber immediately prior to the Merger and effected for the post-Merger two-for-one (2:1) stock split noted above,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 and the two-for one (2:1) stock split after the Merger.</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October 2011, the Company’s stockholders amended the Company’s Articles of Incorporation to (1) reduce the number of shares of common stock the Company is authorized to issue from 400 million shares to 200 million shares; (2) authorize the Company to issue up to 10 million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Times New Roman" w:hAnsi="Times New Roman"/>
          <w:i/>
          <w:sz w:val="20"/>
        </w:rPr>
        <w:t>Series A Preferred</w:t>
      </w:r>
      <w:r>
        <w:rPr>
          <w:rFonts w:ascii="Times New Roman" w:hAnsi="Times New Roman"/>
          <w:sz w:val="20"/>
        </w:rPr>
        <w:t>”).  Pursuant to the Note Exchange and Purchase Agreement of October 11, 2012 (the “</w:t>
      </w:r>
      <w:r>
        <w:rPr>
          <w:rFonts w:ascii="Times New Roman" w:hAnsi="Times New Roman"/>
          <w:i/>
          <w:sz w:val="20"/>
        </w:rPr>
        <w:t>October 2012 Agreement</w:t>
      </w:r>
      <w:r>
        <w:rPr>
          <w:rFonts w:ascii="Times New Roman" w:hAnsi="Times New Roman"/>
          <w:sz w:val="20"/>
        </w:rPr>
        <w:t>”), as amended, between the Company and Platinum Long Term Growth VII, LLC (“</w:t>
      </w:r>
      <w:r>
        <w:rPr>
          <w:rFonts w:ascii="Times New Roman" w:hAnsi="Times New Roman"/>
          <w:i/>
          <w:sz w:val="20"/>
        </w:rPr>
        <w:t>Platinum</w:t>
      </w:r>
      <w:r>
        <w:rPr>
          <w:rFonts w:ascii="Times New Roman" w:hAnsi="Times New Roman"/>
          <w:sz w:val="20"/>
        </w:rPr>
        <w:t xml:space="preserve">”), currently the Company’s largest institutional security holder, Platinum has the right and option to exchange 500,000 shares of the Company’s Series A Preferred held by Platinum for (i) a total of 15,000,000 restricted shares of the Company’s common stock, and (ii) a five-year warrant to purchase 7,500,000 restricted shares of the Company’s common stock at an exercise price of $1.50 per share (see Note 9, </w:t>
      </w:r>
      <w:r>
        <w:rPr>
          <w:rFonts w:ascii="Times New Roman" w:hAnsi="Times New Roman"/>
          <w:i/>
          <w:sz w:val="20"/>
        </w:rPr>
        <w:t>Capital Stock</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1" w:name="PGBRK70"/>
      <w:bookmarkStart w:id="732" w:name="PGBRK70"/>
      <w:bookmarkEnd w:id="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3" w:name="FTR70"/>
      <w:bookmarkStart w:id="734" w:name="FTR70"/>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5" w:name="GLFTR70"/>
      <w:bookmarkEnd w:id="7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6" w:name="PN70"/>
      <w:bookmarkEnd w:id="736"/>
      <w:r>
        <w:rPr>
          <w:rFonts w:ascii="Times New Roman" w:hAnsi="Times New Roman"/>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7" w:name="HDR70"/>
      <w:bookmarkStart w:id="738" w:name="HDR70"/>
      <w:bookmarkEnd w:id="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39" w:name="GLHDR70"/>
        <w:bookmarkEnd w:id="7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also include the accounts of VistaGen California’s two wholly-owned subsidiaries, Artemis Neuroscience, Inc., a Maryland corporation (“</w:t>
      </w:r>
      <w:r>
        <w:rPr>
          <w:rFonts w:ascii="Times New Roman" w:hAnsi="Times New Roman"/>
          <w:i/>
          <w:sz w:val="20"/>
        </w:rPr>
        <w:t>Artemis</w:t>
      </w:r>
      <w:r>
        <w:rPr>
          <w:rFonts w:ascii="Times New Roman" w:hAnsi="Times New Roman"/>
          <w:sz w:val="20"/>
        </w:rPr>
        <w:t>”), and VistaStem Canada, Inc., an Ontario corporation (“</w:t>
      </w:r>
      <w:r>
        <w:rPr>
          <w:rFonts w:ascii="Times New Roman" w:hAnsi="Times New Roman"/>
          <w:i/>
          <w:sz w:val="20"/>
        </w:rPr>
        <w:t>VistaStem Canada</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  Basis of Presentation and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2013, VistaGen has a deficit accumulated during its development stage of $67.7 million.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and regenerative cell therapy business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March 31, 2013, the Company had approximately $638,100 in cash and cash equivalents. Such cash and cash equivalents are not sufficient to enable the Company to fund its operations, including expected cash expenditures of approximately $5 million, through the next twelve months. However, in April 2013, the Company entered into a securities purchase agreement, as amended, with an institutional investor involving the Company’s private issuance and sale of its restricted common stock in a transaction involving a series of closings scheduled to occur between June 27, 2013 and September 30, 2013, which financing transaction is expected to generate aggregate cash proceeds to the Company of $36.0 million (see Note 16, </w:t>
      </w:r>
      <w:r>
        <w:rPr>
          <w:rFonts w:ascii="Times New Roman" w:hAnsi="Times New Roman"/>
          <w:i/>
          <w:sz w:val="20"/>
        </w:rPr>
        <w:t xml:space="preserve">Subsequent Events, </w:t>
      </w:r>
      <w:r>
        <w:rPr>
          <w:rFonts w:ascii="Times New Roman" w:hAnsi="Times New Roman"/>
          <w:sz w:val="20"/>
        </w:rPr>
        <w:t>for a further description of this private placement).  Additionally, the Company expects that its participation in strategic collaborations, including licensing transactions, may provide additional cash in support of its future working capital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3.  Summary of Significant Accounting Policies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U.S. generally accepted accounting principles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the assumptions used to value warrants, warrant modifications and put option, note term extension, and warrant liabilities.</w:t>
      </w: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consolidated financial statements include the Company’s accounts, and the accounts of VistaGen California’s wholly-owned inactive subsidiaries, Artemis, and VistaStem Canada.</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Change in Authorized Number of Shares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with the Merger, the Company was authorized to issue up to 400,000,000 shares of common stock, $0.001 par value and no shares of preferred stock.  On October 28, 2011, the Company held a special meeting of its stockholders at which the stockholders approved a proposal to amend the Company’s Articles of Incorporation to (1) reduce the number of authorized shares of the Company’s common stock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See Note 9, </w:t>
      </w:r>
      <w:r>
        <w:rPr>
          <w:rFonts w:ascii="Times New Roman" w:hAnsi="Times New Roman"/>
          <w:i/>
          <w:sz w:val="20"/>
        </w:rPr>
        <w:t>Capital Stock</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0" w:name="PGBRK71"/>
      <w:bookmarkStart w:id="741" w:name="PGBRK71"/>
      <w:bookmarkEnd w:id="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2" w:name="FTR71"/>
      <w:bookmarkStart w:id="743" w:name="FTR71"/>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4" w:name="GLFTR71"/>
      <w:bookmarkEnd w:id="7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5" w:name="PN71"/>
      <w:bookmarkEnd w:id="745"/>
      <w:r>
        <w:rPr>
          <w:rFonts w:ascii="Times New Roman" w:hAnsi="Times New Roman"/>
          <w:sz w:val="20"/>
        </w:rPr>
        <w:t>-70-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6" w:name="HDR71"/>
      <w:bookmarkStart w:id="747" w:name="HDR71"/>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48" w:name="GLHDR71"/>
        <w:bookmarkEnd w:id="7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Cash and Cash Equivalents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and cash equivalents are considered to be highly liquid investments with maturities of three months or less at the date of purchase.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Property and Equipment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Impairment or Disposal of Long-Lived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Revenue Recognition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609"/>
        <w:gridCol w:w="9596"/>
      </w:tblGrid>
      <w:tr>
        <w:trPr/>
        <w:tc>
          <w:tcPr>
            <w:tcW w:w="609"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tc>
        <w:tc>
          <w:tcPr>
            <w:tcW w:w="9596"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49" w:name="PGBRK72"/>
      <w:bookmarkStart w:id="750" w:name="PGBRK72"/>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51" w:name="FTR72"/>
      <w:bookmarkStart w:id="752" w:name="FTR72"/>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753" w:name="GLFTR72"/>
      <w:bookmarkEnd w:id="7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4" w:name="PN72"/>
      <w:bookmarkEnd w:id="754"/>
      <w:r>
        <w:rPr>
          <w:rFonts w:ascii="Times New Roman" w:hAnsi="Times New Roman"/>
          <w:sz w:val="20"/>
        </w:rPr>
        <w:t>-71-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55" w:name="HDR72"/>
      <w:bookmarkStart w:id="756" w:name="HDR72"/>
      <w:bookmarkEnd w:id="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757" w:name="GLHDR72"/>
        <w:bookmarkEnd w:id="7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shd w:fill="FFFFFF" w:val="clear"/>
        <w:tblCellMar>
          <w:top w:w="0" w:type="dxa"/>
          <w:left w:w="0" w:type="dxa"/>
          <w:bottom w:w="0" w:type="dxa"/>
          <w:right w:w="0" w:type="dxa"/>
        </w:tblCellMar>
      </w:tblPr>
      <w:tblGrid>
        <w:gridCol w:w="609"/>
        <w:gridCol w:w="9596"/>
      </w:tblGrid>
      <w:tr>
        <w:trPr/>
        <w:tc>
          <w:tcPr>
            <w:tcW w:w="609"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tc>
        <w:tc>
          <w:tcPr>
            <w:tcW w:w="9596"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tc>
      </w:tr>
      <w:tr>
        <w:trPr/>
        <w:tc>
          <w:tcPr>
            <w:tcW w:w="609" w:type="dxa"/>
            <w:tcBorders/>
            <w:shd w:fill="FFFFFF" w:val="clear"/>
            <w:vAlign w:val="center"/>
          </w:tcPr>
          <w:p>
            <w:pPr>
              <w:pStyle w:val="TableContents"/>
              <w:spacing w:before="0" w:after="283"/>
              <w:rPr/>
            </w:pPr>
            <w:r>
              <w:rPr/>
              <w:t> </w:t>
            </w:r>
          </w:p>
        </w:tc>
        <w:tc>
          <w:tcPr>
            <w:tcW w:w="9596" w:type="dxa"/>
            <w:tcBorders/>
            <w:shd w:fill="FFFFFF" w:val="clear"/>
            <w:vAlign w:val="center"/>
          </w:tcPr>
          <w:p>
            <w:pPr>
              <w:pStyle w:val="TableContents"/>
              <w:spacing w:before="0" w:after="283"/>
              <w:rPr/>
            </w:pPr>
            <w:r>
              <w:rPr/>
              <w:t> </w:t>
            </w:r>
          </w:p>
        </w:tc>
      </w:tr>
      <w:tr>
        <w:trPr/>
        <w:tc>
          <w:tcPr>
            <w:tcW w:w="609"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tc>
        <w:tc>
          <w:tcPr>
            <w:tcW w:w="9596"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Government grants, which support the Company’s research efforts on specific projects, generally provide for reimbursement of approved costs as defined in the terms of grant awards. Grant revenue is recognized when associated project costs are incurred.</w:t>
            </w:r>
          </w:p>
        </w:tc>
      </w:tr>
    </w:tbl>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Times New Roman" w:hAnsi="Times New Roman"/>
          <w:i/>
          <w:sz w:val="20"/>
        </w:rPr>
        <w:t>Human Clinical Trials in a Test Tube</w:t>
      </w:r>
      <w:r>
        <w:rPr>
          <w:rFonts w:ascii="Times New Roman" w:hAnsi="Times New Roman"/>
          <w:sz w:val="20"/>
        </w:rPr>
        <w:t>™, and AV-101. All such research and development costs are charged to expense as incurred.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Share-Based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compensation cost for all share-based awards to employees in its financial statements based on their grant date fair value. Share-based compensation expense is recognized over the period during which the employee is required to perform service in exchange for the award, which generally represents the scheduled vesting period of options and warrants to purchase common stock of the Company. The Company has no awards with market or performance conditions. For share-based awards to non-employees, the Company re-measures the fair value of such awards as they vest and the resulting value is recognized as an expense during the period over which applicable services are performed by the recipient.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Concentrations of Credit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Comprehensive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no components of other comprehensive loss other than net loss, and accordingly the Company’s comprehensive loss is equivalent to its net loss for the periods presented.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8" w:name="PGBRK73"/>
      <w:bookmarkStart w:id="759" w:name="PGBRK73"/>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0" w:name="FTR73"/>
      <w:bookmarkStart w:id="761" w:name="FTR73"/>
      <w:bookmarkEnd w:id="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62" w:name="GLFTR73"/>
      <w:bookmarkEnd w:id="7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3" w:name="PN73"/>
      <w:bookmarkEnd w:id="763"/>
      <w:r>
        <w:rPr>
          <w:rFonts w:ascii="Times New Roman" w:hAnsi="Times New Roman"/>
          <w:sz w:val="20"/>
        </w:rPr>
        <w:t>-72-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4" w:name="HDR73"/>
      <w:bookmarkStart w:id="765" w:name="HDR73"/>
      <w:bookmarkEnd w:id="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66" w:name="GLHDR73"/>
        <w:bookmarkEnd w:id="7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Loss per Common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Basic loss per share of common stock excludes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  A total of 1,569,000 shares of common stock, representing the 784,500 shares held by stockholders of Excaliber immediately prior to the Merger and effected for the post-Merger two-for-one (2:1) stock split described in Note 1, </w:t>
      </w:r>
      <w:r>
        <w:rPr>
          <w:rFonts w:ascii="Times New Roman" w:hAnsi="Times New Roman"/>
          <w:i/>
          <w:sz w:val="20"/>
        </w:rPr>
        <w:t xml:space="preserve">Description of Business, </w:t>
      </w:r>
      <w:r>
        <w:rPr>
          <w:rFonts w:ascii="Times New Roman" w:hAnsi="Times New Roman"/>
          <w:sz w:val="20"/>
        </w:rPr>
        <w:t>have been retroactively reflected as outstanding for the period prior to the Merger in the fiscal year ended March 31, 2012 for purposes of determining basic and diluted loss per common share in the accompanying Consolidated Statements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Potentially dilutive securities excluded in determining diluted net loss per common share are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662"/>
        <w:gridCol w:w="102"/>
        <w:gridCol w:w="102"/>
        <w:gridCol w:w="961"/>
        <w:gridCol w:w="102"/>
        <w:gridCol w:w="102"/>
        <w:gridCol w:w="102"/>
        <w:gridCol w:w="961"/>
        <w:gridCol w:w="111"/>
      </w:tblGrid>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preferred stock issued and outstanding (1)</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4,370,550</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warants issuable to Platinum upon exchange of Series A preferred stock under the terms of the October 11, 2012 Note Purchase and Exchange Agreement</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options under the 2008 and 1999 Stock Incentive Plans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4,912,604</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14,660,335</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4,126,589</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Exchange Note and Investment Notes issued to Platinum in October 2012, February 2013 and March 2013, including accrued interest through March 31, 2013 (2)</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6,775,682</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48,848,621</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13,302,910</w:t>
            </w:r>
          </w:p>
        </w:tc>
        <w:tc>
          <w:tcPr>
            <w:tcW w:w="111"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  at March 31, 2013, assumes exchange under the terms of the October 11, 2012  Note Exchange and Purchase Agreement with Platinum</w:t>
            </w:r>
          </w:p>
        </w:tc>
      </w:tr>
      <w:tr>
        <w:trPr/>
        <w:tc>
          <w:tcPr>
            <w:tcW w:w="102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  assumes conversion under the terms of the October 11, 2012  Note Exchange and Purchase Agreement with Platinum and the terms of the individual notes</w:t>
            </w:r>
          </w:p>
        </w:tc>
      </w:tr>
    </w:tbl>
    <w:p>
      <w:pPr>
        <w:pStyle w:val="TextBody"/>
        <w:spacing w:before="0" w:after="0"/>
        <w:jc w:val="center"/>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Recently Adopted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June 2011, the FASB issued ASU No. 2011-05, </w:t>
      </w:r>
      <w:r>
        <w:rPr>
          <w:rFonts w:ascii="Times New Roman" w:hAnsi="Times New Roman"/>
          <w:i/>
          <w:sz w:val="20"/>
        </w:rPr>
        <w:t>Presentation of Comprehensive Income,</w:t>
      </w:r>
      <w:r>
        <w:rPr>
          <w:rFonts w:ascii="Times New Roman" w:hAnsi="Times New Roman"/>
          <w:sz w:val="20"/>
        </w:rPr>
        <w:t xml:space="preserve"> which was issued to enhance comparability between entities that report under U.S. GAAP and International Financial Reporting Standards (“IFRS”), and to provide a more consistent method of presenting non-owner transactions that affect an entity’s equity.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became effective for fiscal years beginning after December 15, 2011. The Company’s adoption of this ASU effective April 1, 2012 did not have any impact on its consolidated results of operations or financial position; however it required modification of the format of the former “Consolidated Statements of Operations” to include total comprehensive loss and changing the title of the statements to “Consolidated Statements of Operations and Comprehensive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May 2011, the FASB issued ASU No. 2011-04, </w:t>
      </w:r>
      <w:r>
        <w:rPr>
          <w:rFonts w:ascii="Times New Roman" w:hAnsi="Times New Roman"/>
          <w:i/>
          <w:sz w:val="20"/>
        </w:rPr>
        <w:t>Amendments to Achieve Common Fair Value Measurement and Disclosure Requirements in U.S. GAAP and International Financial Reporting Standards (“IFRS”).</w:t>
      </w:r>
      <w:r>
        <w:rPr>
          <w:rFonts w:ascii="Times New Roman" w:hAnsi="Times New Roman"/>
          <w:sz w:val="20"/>
        </w:rPr>
        <w:t xml:space="preserve">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The Company’s adoption of ASU No. 2011-04 effective April 1, 2012 did not have a material impact on its consolidated results of operations or financial condition.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7" w:name="PGBRK74"/>
      <w:bookmarkStart w:id="768" w:name="PGBRK74"/>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9" w:name="FTR74"/>
      <w:bookmarkStart w:id="770" w:name="FTR74"/>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71" w:name="GLFTR74"/>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2" w:name="PN74"/>
      <w:bookmarkEnd w:id="772"/>
      <w:r>
        <w:rPr>
          <w:rFonts w:ascii="Times New Roman" w:hAnsi="Times New Roman"/>
          <w:sz w:val="20"/>
        </w:rPr>
        <w:t>-73-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3" w:name="HDR74"/>
      <w:bookmarkStart w:id="774" w:name="HDR74"/>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75" w:name="GLHDR74"/>
        <w:bookmarkEnd w:id="7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There have been no recent accounting pronouncements or changes in accounting pronouncements during the fiscal year ended March 31, 2013 that are of significance, or of potential significance,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4.  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p>
      <w:pPr>
        <w:pStyle w:val="Normal"/>
        <w:spacing w:before="0" w:after="0"/>
        <w:rPr>
          <w:sz w:val="4"/>
          <w:szCs w:val="4"/>
        </w:rPr>
      </w:pPr>
      <w:r>
        <w:rPr>
          <w:sz w:val="4"/>
          <w:szCs w:val="4"/>
        </w:rPr>
      </w:r>
      <w:bookmarkStart w:id="776" w:name="hangingindent3"/>
      <w:bookmarkStart w:id="777" w:name="hangingindent3"/>
      <w:bookmarkEnd w:id="777"/>
    </w:p>
    <w:tbl>
      <w:tblPr>
        <w:tblW w:w="5000" w:type="pct"/>
        <w:jc w:val="center"/>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ind w:left="0" w:right="0" w:hanging="0"/>
              <w:jc w:val="center"/>
              <w:rPr/>
            </w:pPr>
            <w:r>
              <w:rPr/>
              <w:t>•</w:t>
            </w:r>
          </w:p>
        </w:tc>
        <w:tc>
          <w:tcPr>
            <w:tcW w:w="1009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1</w:t>
            </w:r>
            <w:r>
              <w:rPr>
                <w:rFonts w:ascii="times new roman" w:hAnsi="times new roman"/>
                <w:sz w:val="20"/>
              </w:rPr>
              <w:t>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r>
    </w:p>
    <w:p>
      <w:pPr>
        <w:pStyle w:val="Normal"/>
        <w:spacing w:before="0" w:after="0"/>
        <w:rPr>
          <w:sz w:val="4"/>
          <w:szCs w:val="4"/>
        </w:rPr>
      </w:pPr>
      <w:r>
        <w:rPr>
          <w:sz w:val="4"/>
          <w:szCs w:val="4"/>
        </w:rPr>
      </w:r>
      <w:bookmarkStart w:id="778" w:name="hangingindent4"/>
      <w:bookmarkStart w:id="779" w:name="hangingindent4"/>
      <w:bookmarkEnd w:id="779"/>
    </w:p>
    <w:tbl>
      <w:tblPr>
        <w:tblW w:w="5000" w:type="pct"/>
        <w:jc w:val="center"/>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ind w:left="0" w:right="0" w:hanging="0"/>
              <w:jc w:val="center"/>
              <w:rPr/>
            </w:pPr>
            <w:r>
              <w:rPr/>
              <w:t>•</w:t>
            </w:r>
          </w:p>
        </w:tc>
        <w:tc>
          <w:tcPr>
            <w:tcW w:w="1009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2</w:t>
            </w:r>
            <w:r>
              <w:rPr>
                <w:rFonts w:ascii="times new roman" w:hAnsi="times new roman"/>
                <w:sz w:val="20"/>
              </w:rPr>
              <w:t>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780" w:name="hangingindent5"/>
      <w:bookmarkStart w:id="781" w:name="hangingindent5"/>
      <w:bookmarkEnd w:id="781"/>
    </w:p>
    <w:tbl>
      <w:tblPr>
        <w:tblW w:w="5000" w:type="pct"/>
        <w:jc w:val="center"/>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ind w:left="0" w:right="0" w:hanging="0"/>
              <w:jc w:val="center"/>
              <w:rPr/>
            </w:pPr>
            <w:r>
              <w:rPr/>
              <w:t>•</w:t>
            </w:r>
          </w:p>
        </w:tc>
        <w:tc>
          <w:tcPr>
            <w:tcW w:w="1009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3</w:t>
            </w:r>
            <w:r>
              <w:rPr>
                <w:rFonts w:ascii="times new roman" w:hAnsi="times new roman"/>
                <w:sz w:val="20"/>
              </w:rPr>
              <w:t>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and March 2013 (see Note 8, </w:t>
      </w:r>
      <w:r>
        <w:rPr>
          <w:rFonts w:ascii="Times New Roman" w:hAnsi="Times New Roman"/>
          <w:i/>
          <w:sz w:val="20"/>
        </w:rPr>
        <w:t>Convertible Promissory Notes and Other Notes Payable</w:t>
      </w:r>
      <w:r>
        <w:rPr>
          <w:rFonts w:ascii="Times New Roman" w:hAnsi="Times New Roman"/>
          <w:sz w:val="20"/>
        </w:rPr>
        <w:t xml:space="preserve">), and the potential issuance of the Series A Exchange Warrant (see Note 9, </w:t>
      </w:r>
      <w:r>
        <w:rPr>
          <w:rFonts w:ascii="Times New Roman" w:hAnsi="Times New Roman"/>
          <w:i/>
          <w:sz w:val="20"/>
        </w:rPr>
        <w:t>Capital Stock</w:t>
      </w:r>
      <w:r>
        <w:rPr>
          <w:rFonts w:ascii="Times New Roman" w:hAnsi="Times New Roman"/>
          <w:sz w:val="20"/>
        </w:rPr>
        <w:t>), all pursuant to the October 2012 Agreement, the Company determined that the warrants included certain exercise 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expense in other income (expense) in the Consolidated Statements of Operations and Comprehensive Loss for the year ended March 31,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2" w:name="PGBRK75"/>
      <w:bookmarkStart w:id="783" w:name="PGBRK75"/>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4" w:name="FTR75"/>
      <w:bookmarkStart w:id="785" w:name="FTR75"/>
      <w:bookmarkEnd w:id="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6" w:name="GLFTR75"/>
      <w:bookmarkEnd w:id="7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7" w:name="PN75"/>
      <w:bookmarkEnd w:id="787"/>
      <w:r>
        <w:rPr>
          <w:rFonts w:ascii="Times New Roman" w:hAnsi="Times New Roman"/>
          <w:sz w:val="20"/>
        </w:rPr>
        <w:t>-74-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8" w:name="HDR75"/>
      <w:bookmarkStart w:id="789" w:name="HDR75"/>
      <w:bookmarkEnd w:id="7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90" w:name="GLHDR75"/>
        <w:bookmarkEnd w:id="79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2007 and 2008, the Company issued three convertible promissory notes with an aggregate principal balance of $4.0 million (the “</w:t>
      </w:r>
      <w:r>
        <w:rPr>
          <w:rFonts w:ascii="Times New Roman" w:hAnsi="Times New Roman"/>
          <w:i/>
          <w:sz w:val="20"/>
        </w:rPr>
        <w:t>Original Platinum Notes</w:t>
      </w:r>
      <w:r>
        <w:rPr>
          <w:rFonts w:ascii="Times New Roman" w:hAnsi="Times New Roman"/>
          <w:sz w:val="20"/>
        </w:rPr>
        <w:t>”) to Platinum Long Term Growth VII, LLC (“</w:t>
      </w:r>
      <w:r>
        <w:rPr>
          <w:rFonts w:ascii="Times New Roman" w:hAnsi="Times New Roman"/>
          <w:i/>
          <w:sz w:val="20"/>
        </w:rPr>
        <w:t>Platinum</w:t>
      </w:r>
      <w:r>
        <w:rPr>
          <w:rFonts w:ascii="Times New Roman" w:hAnsi="Times New Roman"/>
          <w:sz w:val="20"/>
        </w:rPr>
        <w:t>”).  On May 5, 2011, the Original Platinum Notes were amended, restated and consolidated into a single note (the “</w:t>
      </w:r>
      <w:r>
        <w:rPr>
          <w:rFonts w:ascii="Times New Roman" w:hAnsi="Times New Roman"/>
          <w:i/>
          <w:sz w:val="20"/>
        </w:rPr>
        <w:t>May 2011</w:t>
      </w:r>
      <w:r>
        <w:rPr>
          <w:rFonts w:ascii="Times New Roman" w:hAnsi="Times New Roman"/>
          <w:sz w:val="20"/>
        </w:rPr>
        <w:t xml:space="preserve"> </w:t>
      </w:r>
      <w:r>
        <w:rPr>
          <w:rFonts w:ascii="Times New Roman" w:hAnsi="Times New Roman"/>
          <w:i/>
          <w:sz w:val="20"/>
        </w:rPr>
        <w:t>Platinum Note</w:t>
      </w:r>
      <w:r>
        <w:rPr>
          <w:rFonts w:ascii="Times New Roman" w:hAnsi="Times New Roman"/>
          <w:sz w:val="20"/>
        </w:rPr>
        <w:t>”) with a principal balance of $4.0 million (“</w:t>
      </w:r>
      <w:r>
        <w:rPr>
          <w:rFonts w:ascii="Times New Roman" w:hAnsi="Times New Roman"/>
          <w:i/>
          <w:sz w:val="20"/>
        </w:rPr>
        <w:t>May 2011 Amendment</w:t>
      </w:r>
      <w:r>
        <w:rPr>
          <w:rFonts w:ascii="Times New Roman" w:hAnsi="Times New Roman"/>
          <w:sz w:val="20"/>
        </w:rPr>
        <w:t>”).  In conjunction with the issuance of the Original Platinum Notes, the Company determined that (i) the cash payment option or put option, which provided Platinum with the right to require the Company to repay part of the debt in cash at a 25% premium, and (ii) the note term extension option, which provided Platinum with the right to extend the maturity date by one year, were embedded derivatives that should be bifurcated and accounted for separately as liabilities.  In conjunction with the issuance of the Original Platinum Notes, the Company also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included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prior to the May 2011 Amendment were recognized as a non-cash charge or income in other income (expense) in the Consolidated Statements of Operations and Comprehensive Loss for the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the May 2011 Amendment, Platinum’s cash payment or put option was eliminated.  Further, concurrent with the Merger transaction described in Note 1 above, the warrants were determined not to be liabilities, since the exercise price adjustment feature terminated upon the Company becoming a public company as a result of the Merger.  The increase in fair value of the warrant liability of $7,000 and the increase in the put option and note term extension option liabilities of $71,000 were recognized in other expense, net in the statement of operations for the first quarter of the fiscal year ended March 31, 2012.  The remaining put option and note term extension option liabilities, in the amount of $161,800, were reclassified to note discount in connection with the May 2011 Amendment.  The aggregate fair value of the warrants at May 11, 2011, $424,100,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and Platinum entered into a Note and Warrant Exchange Agreement pursuant to which the May 2011 Platinum Note and the warrants issued to Platinum were cancelled in exchange for shares of the Company’s Series A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hierarchy for liabilities measured at fair value on a recurring basis is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61"/>
        <w:gridCol w:w="108"/>
        <w:gridCol w:w="168"/>
        <w:gridCol w:w="1260"/>
        <w:gridCol w:w="108"/>
        <w:gridCol w:w="108"/>
        <w:gridCol w:w="532"/>
        <w:gridCol w:w="712"/>
        <w:gridCol w:w="108"/>
        <w:gridCol w:w="108"/>
        <w:gridCol w:w="610"/>
        <w:gridCol w:w="840"/>
        <w:gridCol w:w="108"/>
        <w:gridCol w:w="108"/>
        <w:gridCol w:w="224"/>
        <w:gridCol w:w="1406"/>
        <w:gridCol w:w="136"/>
      </w:tblGrid>
      <w:tr>
        <w:trPr/>
        <w:tc>
          <w:tcPr>
            <w:tcW w:w="3561"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428"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475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w:t>
            </w:r>
          </w:p>
          <w:p>
            <w:pPr>
              <w:pStyle w:val="TableContents"/>
              <w:spacing w:before="0" w:after="0"/>
              <w:ind w:left="0" w:right="0" w:hanging="0"/>
              <w:jc w:val="center"/>
              <w:rPr>
                <w:rFonts w:ascii="times new roman" w:hAnsi="times new roman"/>
                <w:b/>
                <w:sz w:val="20"/>
              </w:rPr>
            </w:pPr>
            <w:r>
              <w:rPr>
                <w:rFonts w:ascii="times new roman" w:hAnsi="times new roman"/>
                <w:b/>
                <w:sz w:val="20"/>
              </w:rPr>
              <w:t>Reporting Date Using</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4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6" w:type="dxa"/>
            <w:tcBorders/>
            <w:shd w:fill="auto" w:val="clear"/>
            <w:vAlign w:val="bottom"/>
          </w:tcPr>
          <w:p>
            <w:pPr>
              <w:pStyle w:val="TableContents"/>
              <w:spacing w:before="0" w:after="283"/>
              <w:jc w:val="left"/>
              <w:rPr/>
            </w:pPr>
            <w:r>
              <w:rPr/>
              <w:t> </w:t>
            </w:r>
          </w:p>
        </w:tc>
      </w:tr>
      <w:tr>
        <w:trPr/>
        <w:tc>
          <w:tcPr>
            <w:tcW w:w="35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2013:</w:t>
            </w:r>
          </w:p>
        </w:tc>
        <w:tc>
          <w:tcPr>
            <w:tcW w:w="108"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5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Warrant liability</w:t>
            </w:r>
          </w:p>
        </w:tc>
        <w:tc>
          <w:tcPr>
            <w:tcW w:w="108"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53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6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36"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2012:</w:t>
            </w:r>
          </w:p>
        </w:tc>
        <w:tc>
          <w:tcPr>
            <w:tcW w:w="108" w:type="dxa"/>
            <w:tcBorders/>
            <w:shd w:fill="FFFFFF" w:val="clear"/>
            <w:vAlign w:val="bottom"/>
          </w:tcPr>
          <w:p>
            <w:pPr>
              <w:pStyle w:val="TableContents"/>
              <w:spacing w:before="0" w:after="283"/>
              <w:jc w:val="left"/>
              <w:rPr/>
            </w:pPr>
            <w:r>
              <w:rPr/>
              <w:t> </w:t>
            </w:r>
          </w:p>
        </w:tc>
        <w:tc>
          <w:tcPr>
            <w:tcW w:w="168" w:type="dxa"/>
            <w:tcBorders/>
            <w:shd w:fill="FFFFFF" w:val="clear"/>
            <w:vAlign w:val="bottom"/>
          </w:tcPr>
          <w:p>
            <w:pPr>
              <w:pStyle w:val="TableContents"/>
              <w:spacing w:before="0" w:after="283"/>
              <w:jc w:val="left"/>
              <w:rPr/>
            </w:pPr>
            <w:r>
              <w:rPr/>
              <w:t> </w:t>
            </w:r>
          </w:p>
        </w:tc>
        <w:tc>
          <w:tcPr>
            <w:tcW w:w="126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left"/>
              <w:rPr/>
            </w:pPr>
            <w:r>
              <w:rPr/>
              <w:t> </w:t>
            </w:r>
          </w:p>
        </w:tc>
        <w:tc>
          <w:tcPr>
            <w:tcW w:w="712"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283"/>
              <w:jc w:val="left"/>
              <w:rPr/>
            </w:pPr>
            <w:r>
              <w:rPr/>
              <w:t> </w:t>
            </w:r>
          </w:p>
        </w:tc>
        <w:tc>
          <w:tcPr>
            <w:tcW w:w="84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jc w:val="left"/>
              <w:rPr/>
            </w:pPr>
            <w:r>
              <w:rPr/>
              <w:t> </w:t>
            </w:r>
          </w:p>
        </w:tc>
        <w:tc>
          <w:tcPr>
            <w:tcW w:w="140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Put option and note term extension option liabilities</w:t>
            </w:r>
          </w:p>
        </w:tc>
        <w:tc>
          <w:tcPr>
            <w:tcW w:w="108"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53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6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Warrant liability</w:t>
            </w:r>
          </w:p>
        </w:tc>
        <w:tc>
          <w:tcPr>
            <w:tcW w:w="108" w:type="dxa"/>
            <w:tcBorders/>
            <w:shd w:fill="FFFFFF" w:val="clear"/>
            <w:vAlign w:val="bottom"/>
          </w:tcPr>
          <w:p>
            <w:pPr>
              <w:pStyle w:val="TableContents"/>
              <w:spacing w:before="0" w:after="283"/>
              <w:jc w:val="right"/>
              <w:rPr/>
            </w:pPr>
            <w:r>
              <w:rPr/>
              <w:t> </w:t>
            </w:r>
          </w:p>
        </w:tc>
        <w:tc>
          <w:tcPr>
            <w:tcW w:w="16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53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6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FFFFFF" w:val="clear"/>
            <w:vAlign w:val="bottom"/>
          </w:tcPr>
          <w:p>
            <w:pPr>
              <w:pStyle w:val="TableContents"/>
              <w:spacing w:before="0" w:after="283"/>
              <w:jc w:val="left"/>
              <w:rPr/>
            </w:pPr>
            <w:r>
              <w:rPr/>
              <w:t> </w:t>
            </w:r>
          </w:p>
        </w:tc>
      </w:tr>
    </w:tbl>
    <w:p>
      <w:pPr>
        <w:pStyle w:val="TextBody"/>
        <w:spacing w:before="0" w:after="0"/>
        <w:ind w:left="0" w:right="0" w:firstLine="54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fiscal years ended March 31, 2013 and 2012, there were no significant changes to the valuation models used for purposes of determining the fair value of the Level 3 warrant liability or the put option and note term extension liabilities.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1" w:name="PGBRK76"/>
      <w:bookmarkStart w:id="792" w:name="PGBRK76"/>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3" w:name="FTR76"/>
      <w:bookmarkStart w:id="794" w:name="FTR76"/>
      <w:bookmarkEnd w:id="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95" w:name="GLFTR76"/>
      <w:bookmarkEnd w:id="7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6" w:name="PN76"/>
      <w:bookmarkEnd w:id="796"/>
      <w:r>
        <w:rPr>
          <w:rFonts w:ascii="Times New Roman" w:hAnsi="Times New Roman"/>
          <w:sz w:val="20"/>
        </w:rPr>
        <w:t>-75-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7" w:name="HDR76"/>
      <w:bookmarkStart w:id="798" w:name="HDR76"/>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99" w:name="GLHDR76"/>
        <w:bookmarkEnd w:id="79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changes in Level 3 liabilities measured at fair value on a recurring basis are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933"/>
        <w:gridCol w:w="107"/>
        <w:gridCol w:w="135"/>
        <w:gridCol w:w="1045"/>
        <w:gridCol w:w="114"/>
        <w:gridCol w:w="107"/>
        <w:gridCol w:w="131"/>
        <w:gridCol w:w="1078"/>
        <w:gridCol w:w="114"/>
        <w:gridCol w:w="107"/>
        <w:gridCol w:w="131"/>
        <w:gridCol w:w="1078"/>
        <w:gridCol w:w="125"/>
      </w:tblGrid>
      <w:tr>
        <w:trPr/>
        <w:tc>
          <w:tcPr>
            <w:tcW w:w="5933"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4040" w:type="dxa"/>
            <w:gridSpan w:val="1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 Significant</w:t>
            </w:r>
          </w:p>
        </w:tc>
        <w:tc>
          <w:tcPr>
            <w:tcW w:w="125"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0"/>
              <w:ind w:left="0" w:right="0" w:hanging="0"/>
              <w:jc w:val="left"/>
              <w:rPr/>
            </w:pPr>
            <w:r>
              <w:rPr/>
              <w:t> </w:t>
            </w:r>
          </w:p>
        </w:tc>
        <w:tc>
          <w:tcPr>
            <w:tcW w:w="4147" w:type="dxa"/>
            <w:gridSpan w:val="11"/>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 Inputs (Level 3)</w:t>
            </w:r>
          </w:p>
        </w:tc>
        <w:tc>
          <w:tcPr>
            <w:tcW w:w="125"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Put Option and</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209" w:type="dxa"/>
            <w:gridSpan w:val="2"/>
            <w:tcBorders/>
            <w:shd w:fill="auto" w:val="clear"/>
            <w:vAlign w:val="bottom"/>
          </w:tcPr>
          <w:p>
            <w:pPr>
              <w:pStyle w:val="TableContents"/>
              <w:spacing w:before="0" w:after="0"/>
              <w:ind w:left="0" w:right="0" w:hanging="0"/>
              <w:jc w:val="left"/>
              <w:rPr/>
            </w:pPr>
            <w:r>
              <w:rPr/>
              <w:t> </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209" w:type="dxa"/>
            <w:gridSpan w:val="2"/>
            <w:tcBorders/>
            <w:shd w:fill="auto" w:val="clear"/>
            <w:vAlign w:val="bottom"/>
          </w:tcPr>
          <w:p>
            <w:pPr>
              <w:pStyle w:val="TableContents"/>
              <w:spacing w:before="0" w:after="0"/>
              <w:ind w:left="0" w:right="0" w:hanging="0"/>
              <w:jc w:val="left"/>
              <w:rPr/>
            </w:pPr>
            <w:r>
              <w:rPr/>
              <w:t> </w:t>
            </w:r>
          </w:p>
        </w:tc>
        <w:tc>
          <w:tcPr>
            <w:tcW w:w="125"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Term Extension</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283"/>
              <w:jc w:val="left"/>
              <w:rPr/>
            </w:pPr>
            <w:r>
              <w:rPr/>
              <w:t> </w:t>
            </w:r>
          </w:p>
        </w:tc>
      </w:tr>
      <w:tr>
        <w:trPr/>
        <w:tc>
          <w:tcPr>
            <w:tcW w:w="5933"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Liability</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2011</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417,100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507,900</w:t>
            </w:r>
          </w:p>
        </w:tc>
        <w:tc>
          <w:tcPr>
            <w:tcW w:w="125"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to market loss included in net loss</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25"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liability to note discount on Original Platinum Notes upon Merger</w:t>
            </w:r>
          </w:p>
        </w:tc>
        <w:tc>
          <w:tcPr>
            <w:tcW w:w="107"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(161,800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(161,800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remaining warrant liability to equity upon Merger</w:t>
            </w:r>
          </w:p>
        </w:tc>
        <w:tc>
          <w:tcPr>
            <w:tcW w:w="107" w:type="dxa"/>
            <w:tcBorders/>
            <w:shd w:fill="CCEEFF" w:val="clear"/>
            <w:vAlign w:val="bottom"/>
          </w:tcPr>
          <w:p>
            <w:pPr>
              <w:pStyle w:val="TableContents"/>
              <w:spacing w:before="0" w:after="283"/>
              <w:jc w:val="right"/>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3"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2012</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Recognition of warrant liability upon issuance of  Exchange and Investment Warrants</w:t>
            </w:r>
          </w:p>
        </w:tc>
        <w:tc>
          <w:tcPr>
            <w:tcW w:w="1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 Platinum under October 2012 Agreement</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1,690,000</w:t>
            </w:r>
          </w:p>
        </w:tc>
        <w:tc>
          <w:tcPr>
            <w:tcW w:w="125"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Recognition of warrant liability in connection with Series A Exchange Warrant</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potentially issuable to Platinum under October 2012 Agreement</w:t>
            </w:r>
          </w:p>
        </w:tc>
        <w:tc>
          <w:tcPr>
            <w:tcW w:w="107"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125"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to market loss included in net loss</w:t>
            </w:r>
          </w:p>
        </w:tc>
        <w:tc>
          <w:tcPr>
            <w:tcW w:w="107" w:type="dxa"/>
            <w:tcBorders/>
            <w:shd w:fill="CCEEFF" w:val="clear"/>
            <w:vAlign w:val="bottom"/>
          </w:tcPr>
          <w:p>
            <w:pPr>
              <w:pStyle w:val="TableContents"/>
              <w:spacing w:before="0" w:after="283"/>
              <w:jc w:val="right"/>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1,635,800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1,635,800</w:t>
            </w:r>
          </w:p>
        </w:tc>
        <w:tc>
          <w:tcPr>
            <w:tcW w:w="125" w:type="dxa"/>
            <w:tcBorders/>
            <w:shd w:fill="CCEEFF" w:val="clear"/>
            <w:vAlign w:val="bottom"/>
          </w:tcPr>
          <w:p>
            <w:pPr>
              <w:pStyle w:val="TableContents"/>
              <w:spacing w:before="0" w:after="283"/>
              <w:jc w:val="left"/>
              <w:rPr/>
            </w:pPr>
            <w:r>
              <w:rPr/>
              <w:t> </w:t>
            </w:r>
          </w:p>
        </w:tc>
      </w:tr>
      <w:tr>
        <w:trPr/>
        <w:tc>
          <w:tcPr>
            <w:tcW w:w="5933"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2013</w:t>
            </w:r>
          </w:p>
        </w:tc>
        <w:tc>
          <w:tcPr>
            <w:tcW w:w="107" w:type="dxa"/>
            <w:tcBorders/>
            <w:shd w:fill="CCEEFF" w:val="clear"/>
            <w:vAlign w:val="bottom"/>
          </w:tcPr>
          <w:p>
            <w:pPr>
              <w:pStyle w:val="TableContents"/>
              <w:spacing w:before="0" w:after="283"/>
              <w:jc w:val="right"/>
              <w:rPr/>
            </w:pPr>
            <w:r>
              <w:rPr/>
              <w:t> </w:t>
            </w:r>
          </w:p>
        </w:tc>
        <w:tc>
          <w:tcPr>
            <w:tcW w:w="13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 assets or other liabilities were measured on a recurring basis at fair value at March 31, 2013 or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5.  Property and Equipment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Property and equipment consists of the following:</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98"/>
        <w:gridCol w:w="109"/>
        <w:gridCol w:w="127"/>
        <w:gridCol w:w="1048"/>
        <w:gridCol w:w="115"/>
        <w:gridCol w:w="109"/>
        <w:gridCol w:w="127"/>
        <w:gridCol w:w="1048"/>
        <w:gridCol w:w="124"/>
      </w:tblGrid>
      <w:tr>
        <w:trPr/>
        <w:tc>
          <w:tcPr>
            <w:tcW w:w="739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4" w:type="dxa"/>
            <w:tcBorders/>
            <w:shd w:fill="auto" w:val="clear"/>
            <w:vAlign w:val="bottom"/>
          </w:tcPr>
          <w:p>
            <w:pPr>
              <w:pStyle w:val="TableContents"/>
              <w:spacing w:before="0" w:after="283"/>
              <w:jc w:val="left"/>
              <w:rPr/>
            </w:pPr>
            <w:r>
              <w:rPr/>
              <w:t> </w:t>
            </w:r>
          </w:p>
        </w:tc>
      </w:tr>
      <w:tr>
        <w:trPr/>
        <w:tc>
          <w:tcPr>
            <w:tcW w:w="739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4" w:type="dxa"/>
            <w:tcBorders/>
            <w:shd w:fill="auto" w:val="clear"/>
            <w:vAlign w:val="bottom"/>
          </w:tcPr>
          <w:p>
            <w:pPr>
              <w:pStyle w:val="TableContents"/>
              <w:spacing w:before="0" w:after="283"/>
              <w:jc w:val="left"/>
              <w:rPr/>
            </w:pPr>
            <w:r>
              <w:rPr/>
              <w:t> </w:t>
            </w:r>
          </w:p>
        </w:tc>
      </w:tr>
      <w:tr>
        <w:trPr/>
        <w:tc>
          <w:tcPr>
            <w:tcW w:w="739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9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Laboratory equipment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649,500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515,800</w:t>
            </w:r>
          </w:p>
        </w:tc>
        <w:tc>
          <w:tcPr>
            <w:tcW w:w="124" w:type="dxa"/>
            <w:tcBorders/>
            <w:shd w:fill="CCEEFF" w:val="clear"/>
            <w:vAlign w:val="bottom"/>
          </w:tcPr>
          <w:p>
            <w:pPr>
              <w:pStyle w:val="TableContents"/>
              <w:spacing w:before="0" w:after="283"/>
              <w:jc w:val="left"/>
              <w:rPr/>
            </w:pPr>
            <w:r>
              <w:rPr/>
              <w:t> </w:t>
            </w:r>
          </w:p>
        </w:tc>
      </w:tr>
      <w:tr>
        <w:trPr/>
        <w:tc>
          <w:tcPr>
            <w:tcW w:w="739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Computers and network equipment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12,900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12,900</w:t>
            </w:r>
          </w:p>
        </w:tc>
        <w:tc>
          <w:tcPr>
            <w:tcW w:w="124" w:type="dxa"/>
            <w:tcBorders/>
            <w:shd w:fill="FFFFFF" w:val="clear"/>
            <w:vAlign w:val="bottom"/>
          </w:tcPr>
          <w:p>
            <w:pPr>
              <w:pStyle w:val="TableContents"/>
              <w:spacing w:before="0" w:after="283"/>
              <w:jc w:val="left"/>
              <w:rPr/>
            </w:pPr>
            <w:r>
              <w:rPr/>
              <w:t> </w:t>
            </w:r>
          </w:p>
        </w:tc>
      </w:tr>
      <w:tr>
        <w:trPr/>
        <w:tc>
          <w:tcPr>
            <w:tcW w:w="739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Office furniture and equipment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69,600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75,600</w:t>
            </w:r>
          </w:p>
        </w:tc>
        <w:tc>
          <w:tcPr>
            <w:tcW w:w="124" w:type="dxa"/>
            <w:tcBorders/>
            <w:shd w:fill="CCEEFF" w:val="clear"/>
            <w:vAlign w:val="bottom"/>
          </w:tcPr>
          <w:p>
            <w:pPr>
              <w:pStyle w:val="TableContents"/>
              <w:spacing w:before="0" w:after="283"/>
              <w:jc w:val="left"/>
              <w:rPr/>
            </w:pPr>
            <w:r>
              <w:rPr/>
              <w:t> </w:t>
            </w:r>
          </w:p>
        </w:tc>
      </w:tr>
      <w:tr>
        <w:trPr/>
        <w:tc>
          <w:tcPr>
            <w:tcW w:w="739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732,000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604,300</w:t>
            </w:r>
          </w:p>
        </w:tc>
        <w:tc>
          <w:tcPr>
            <w:tcW w:w="124" w:type="dxa"/>
            <w:tcBorders/>
            <w:shd w:fill="FFFFFF" w:val="clear"/>
            <w:vAlign w:val="bottom"/>
          </w:tcPr>
          <w:p>
            <w:pPr>
              <w:pStyle w:val="TableContents"/>
              <w:spacing w:before="0" w:after="283"/>
              <w:jc w:val="left"/>
              <w:rPr/>
            </w:pPr>
            <w:r>
              <w:rPr/>
              <w:t> </w:t>
            </w:r>
          </w:p>
        </w:tc>
      </w:tr>
      <w:tr>
        <w:trPr/>
        <w:tc>
          <w:tcPr>
            <w:tcW w:w="7398"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39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Accumulated depreciation and amortization</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(551,300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(529,800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98"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39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180,700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74,500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connection with the issuance of Senior Secured Convertible Promissory Notes to Platinum in July and August 2012 and with the October 2012 Agreement with Platinum, the Company entered into a Security Agreement with Platinum under which the repayment of all amounts due under the terms of the various notes issued to Platinum are secured by the Company’s assets, including its tangible and intangible personal property, licenses, patent licenses, trademarks and trademark licenses (see Note 8, </w:t>
      </w:r>
      <w:r>
        <w:rPr>
          <w:rFonts w:ascii="Times New Roman" w:hAnsi="Times New Roman"/>
          <w:i/>
          <w:sz w:val="20"/>
        </w:rPr>
        <w:t>Convertible Promissory Notes and Other Notes Payable</w:t>
      </w:r>
      <w:r>
        <w:rPr>
          <w:rFonts w:ascii="Times New Roman" w:hAnsi="Times New Roman"/>
          <w:sz w:val="20"/>
        </w:rPr>
        <w:t>).  In February 2004, the Company granted a security interest covering its laboratory and computer equipment in conjunction with notes payable under a line of credit agreement.  The security interest was released in April 2011 in connection with the consolidation of certain notes payable.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0" w:name="PGBRK77"/>
      <w:bookmarkStart w:id="801" w:name="PGBRK77"/>
      <w:bookmarkEnd w:id="8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2" w:name="FTR77"/>
      <w:bookmarkStart w:id="803" w:name="FTR77"/>
      <w:bookmarkEnd w:id="8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4" w:name="GLFTR77"/>
      <w:bookmarkEnd w:id="8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5" w:name="PN77"/>
      <w:bookmarkEnd w:id="805"/>
      <w:r>
        <w:rPr>
          <w:rFonts w:ascii="Times New Roman" w:hAnsi="Times New Roman"/>
          <w:sz w:val="20"/>
        </w:rPr>
        <w:t>-76-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6" w:name="HDR77"/>
      <w:bookmarkStart w:id="807" w:name="HDR77"/>
      <w:bookmarkEnd w:id="8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08" w:name="GLHDR77"/>
        <w:bookmarkEnd w:id="8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6.  AV-101 Acquisition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November 2003, pursuant to an Agreement and Plan of Merger (the “</w:t>
      </w:r>
      <w:r>
        <w:rPr>
          <w:rFonts w:ascii="Times New Roman" w:hAnsi="Times New Roman"/>
          <w:i/>
          <w:sz w:val="20"/>
        </w:rPr>
        <w:t>Artemis Agreement</w:t>
      </w:r>
      <w:r>
        <w:rPr>
          <w:rFonts w:ascii="Times New Roman" w:hAnsi="Times New Roman"/>
          <w:sz w:val="20"/>
        </w:rPr>
        <w:t>”), the Company acquired Artemis, a private company also in the development stage, for the purpose of acquiring exclusive licenses to patents and other intellectual property related to the use and function of AV-101, a new drug candidate then in nonclinical development, with the potential to treat  neuropathic pain, depression, and other neurological diseases and disorders,  epilepsy, Huntington’s disease and Parkinson’s disease. Pursuant to the Artemis Agreement, each share of common stock of Artemis was converted into the right to receive 0.9045 shares of VistaGen California’s Series B-1 Preferred Stock, resulting in VistaGen California’s pre-Merger issuance of 1,356,750 shares of its Series B-1 Preferred Stock. The shares of Series B-1 Preferred Stock were valued, pre-Merger, at $5.545 per share, and accordingly the pre-Merger purchase price of all outstanding shares of Artemis in 2003 was $7,523,200. The total purchase price was allocated to AV-101 acquired in-process research and development and was expensed subsequent to the acquisition, since AV-101 required further research and development before the Company could commence clinical trials and did not have any proven alternative future uses.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NIH awarded the Company an aggregate of $4.2 million to support nonclinical development of AV-101 during fiscal years 2006 through 2008, culminating in the submission in November 2008 of its Investigational New Drug ("</w:t>
      </w:r>
      <w:r>
        <w:rPr>
          <w:rFonts w:ascii="Times New Roman" w:hAnsi="Times New Roman"/>
          <w:i/>
          <w:sz w:val="20"/>
        </w:rPr>
        <w:t>IND</w:t>
      </w:r>
      <w:r>
        <w:rPr>
          <w:rFonts w:ascii="Times New Roman" w:hAnsi="Times New Roman"/>
          <w:sz w:val="20"/>
        </w:rPr>
        <w:t>") application to conduct Phase 1 human clinical testing of AV-101 for neuropathic pain. In April 2009, the NIH awarded the Company an aggregate of $4.2 million grant to support the Phase 1 clinical development of AV-101, and subsequently increased the grant to an aggregate of $4.6 million in July 2010. The Company completed the Phase 1a clinical trial of AV-101 during the third calendar quarter of 2011 and completed the Phase 1b clinical testing in the last half of calendar 2012.  To date, VistaGen has received an aggregate of $8.8 million from the NIH for non-clinical and 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7.  Accrued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Accrued expenses consist of:</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450"/>
        <w:gridCol w:w="109"/>
        <w:gridCol w:w="126"/>
        <w:gridCol w:w="1029"/>
        <w:gridCol w:w="109"/>
        <w:gridCol w:w="109"/>
        <w:gridCol w:w="126"/>
        <w:gridCol w:w="1029"/>
        <w:gridCol w:w="118"/>
      </w:tblGrid>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8" w:type="dxa"/>
            <w:tcBorders/>
            <w:shd w:fill="auto" w:val="clear"/>
            <w:vAlign w:val="bottom"/>
          </w:tcPr>
          <w:p>
            <w:pPr>
              <w:pStyle w:val="TableContents"/>
              <w:spacing w:before="0" w:after="283"/>
              <w:jc w:val="left"/>
              <w:rPr/>
            </w:pPr>
            <w:r>
              <w:rPr/>
              <w:t> </w:t>
            </w:r>
          </w:p>
        </w:tc>
      </w:tr>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8" w:type="dxa"/>
            <w:tcBorders/>
            <w:shd w:fill="auto" w:val="clear"/>
            <w:vAlign w:val="bottom"/>
          </w:tcPr>
          <w:p>
            <w:pPr>
              <w:pStyle w:val="TableContents"/>
              <w:spacing w:before="0" w:after="283"/>
              <w:jc w:val="left"/>
              <w:rPr/>
            </w:pPr>
            <w:r>
              <w:rPr/>
              <w:t> </w:t>
            </w:r>
          </w:p>
        </w:tc>
      </w:tr>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professional services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107,400</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research and development expenses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237,500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vacation pay and other compensation</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219,300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229,900</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placement agent fees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royalties and license fees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All other</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30,800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342,900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18" w:type="dxa"/>
            <w:tcBorders/>
            <w:shd w:fill="FFFFFF" w:val="clear"/>
            <w:vAlign w:val="bottom"/>
          </w:tcPr>
          <w:p>
            <w:pPr>
              <w:pStyle w:val="TableContents"/>
              <w:spacing w:before="0" w:after="283"/>
              <w:jc w:val="left"/>
              <w:rPr/>
            </w:pPr>
            <w:r>
              <w:rPr/>
              <w:t> </w:t>
            </w:r>
          </w:p>
        </w:tc>
      </w:tr>
    </w:tbl>
    <w:p>
      <w:pPr>
        <w:pStyle w:val="TextBody"/>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809" w:name="PGBRK78"/>
      <w:bookmarkStart w:id="810" w:name="PGBRK78"/>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811" w:name="FTR78"/>
      <w:bookmarkStart w:id="812" w:name="FTR78"/>
      <w:bookmarkEnd w:id="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13" w:name="GLFTR78"/>
      <w:bookmarkEnd w:id="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4" w:name="PN78"/>
      <w:bookmarkEnd w:id="814"/>
      <w:r>
        <w:rPr>
          <w:rFonts w:ascii="Times New Roman" w:hAnsi="Times New Roman"/>
          <w:sz w:val="20"/>
        </w:rPr>
        <w:t>-77-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815" w:name="HDR78"/>
      <w:bookmarkStart w:id="816" w:name="HDR78"/>
      <w:bookmarkEnd w:id="8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817" w:name="GLHDR78"/>
        <w:bookmarkEnd w:id="81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8.  Convertible Promissory Notes and Other Notes Payable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components of the Company’s convertible promissory notes and other notes payable: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02"/>
        <w:gridCol w:w="92"/>
        <w:gridCol w:w="125"/>
        <w:gridCol w:w="1016"/>
        <w:gridCol w:w="102"/>
        <w:gridCol w:w="92"/>
        <w:gridCol w:w="125"/>
        <w:gridCol w:w="911"/>
        <w:gridCol w:w="102"/>
        <w:gridCol w:w="92"/>
        <w:gridCol w:w="124"/>
        <w:gridCol w:w="1016"/>
        <w:gridCol w:w="102"/>
        <w:gridCol w:w="92"/>
        <w:gridCol w:w="125"/>
        <w:gridCol w:w="986"/>
        <w:gridCol w:w="102"/>
        <w:gridCol w:w="92"/>
        <w:gridCol w:w="125"/>
        <w:gridCol w:w="858"/>
        <w:gridCol w:w="102"/>
        <w:gridCol w:w="91"/>
        <w:gridCol w:w="125"/>
        <w:gridCol w:w="986"/>
        <w:gridCol w:w="120"/>
      </w:tblGrid>
      <w:tr>
        <w:trPr/>
        <w:tc>
          <w:tcPr>
            <w:tcW w:w="2502" w:type="dxa"/>
            <w:tcBorders/>
            <w:shd w:fill="auto" w:val="clear"/>
            <w:vAlign w:val="bottom"/>
          </w:tcPr>
          <w:p>
            <w:pPr>
              <w:pStyle w:val="TableContents"/>
              <w:spacing w:before="0" w:after="0"/>
              <w:ind w:left="0" w:right="0" w:hanging="0"/>
              <w:jc w:val="left"/>
              <w:rPr/>
            </w:pPr>
            <w:r>
              <w:rPr/>
              <w:t> </w:t>
            </w:r>
          </w:p>
        </w:tc>
        <w:tc>
          <w:tcPr>
            <w:tcW w:w="92" w:type="dxa"/>
            <w:tcBorders/>
            <w:shd w:fill="auto" w:val="clear"/>
            <w:vAlign w:val="bottom"/>
          </w:tcPr>
          <w:p>
            <w:pPr>
              <w:pStyle w:val="TableContents"/>
              <w:spacing w:before="0" w:after="283"/>
              <w:rPr/>
            </w:pPr>
            <w:r>
              <w:rPr/>
              <w:t> </w:t>
            </w:r>
          </w:p>
        </w:tc>
        <w:tc>
          <w:tcPr>
            <w:tcW w:w="3705"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2013</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359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2012</w:t>
            </w:r>
          </w:p>
        </w:tc>
        <w:tc>
          <w:tcPr>
            <w:tcW w:w="120"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0" w:right="0" w:hanging="0"/>
              <w:jc w:val="left"/>
              <w:rPr/>
            </w:pPr>
            <w:r>
              <w:rPr/>
              <w:t> </w:t>
            </w:r>
          </w:p>
        </w:tc>
        <w:tc>
          <w:tcPr>
            <w:tcW w:w="92"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983"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2"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9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2"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0" w:type="dxa"/>
            <w:tcBorders/>
            <w:shd w:fill="auto" w:val="clear"/>
            <w:vAlign w:val="bottom"/>
          </w:tcPr>
          <w:p>
            <w:pPr>
              <w:pStyle w:val="TableContents"/>
              <w:spacing w:before="0" w:after="283"/>
              <w:jc w:val="left"/>
              <w:rPr/>
            </w:pPr>
            <w:r>
              <w:rPr/>
              <w:t> </w:t>
            </w:r>
          </w:p>
        </w:tc>
      </w:tr>
      <w:tr>
        <w:trPr/>
        <w:tc>
          <w:tcPr>
            <w:tcW w:w="3735" w:type="dxa"/>
            <w:gridSpan w:val="4"/>
            <w:tcBorders/>
            <w:shd w:fill="auto"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Senior Secured 10% Convertible Promissory Notes</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98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0" w:right="0" w:hanging="0"/>
              <w:jc w:val="left"/>
              <w:rPr/>
            </w:pPr>
            <w:r>
              <w:rPr/>
              <w:t>    </w:t>
            </w:r>
            <w:r>
              <w:rPr>
                <w:rFonts w:ascii="times new roman" w:hAnsi="times new roman"/>
                <w:b/>
                <w:i/>
                <w:sz w:val="20"/>
              </w:rPr>
              <w:t>issued to Platinum:</w:t>
            </w:r>
          </w:p>
        </w:tc>
        <w:tc>
          <w:tcPr>
            <w:tcW w:w="92"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98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Note issued on October 11, 2012</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11, 2012</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19, 2012</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523,000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February 22, 2013</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March 12, 2013</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754,700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3,272,600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3,388,800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Aggregate note discount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(1,963,100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(1,963,100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Senior notes (non-current)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1,425,700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Convertible Promissory Notes:</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February 2012 12% convertible promissory notes</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505,300</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12% convertible notes, net (non-current)</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unrelated parties:</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(April 2011)</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7.0% Notes payable (August 2012)</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 non-current portion</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7.5% Notes payable to service providers for</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converted to notes payable:</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Burr, Pilger, Mayer</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94,500</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Desjardins</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194,100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194,900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227,100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McCarthy Tetrault</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404,800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465,100</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May 2011 Morrison Foerster</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2,420,100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37,900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2,458,000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2012 Morrison &amp; Foerster Note A</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719" w:type="dxa"/>
            <w:gridSpan w:val="3"/>
            <w:tcBorders/>
            <w:shd w:fill="FFFFFF" w:val="clear"/>
            <w:vAlign w:val="bottom"/>
          </w:tcPr>
          <w:p>
            <w:pPr>
              <w:pStyle w:val="TableContents"/>
              <w:spacing w:before="0" w:after="0"/>
              <w:ind w:left="0" w:right="0" w:hanging="0"/>
              <w:jc w:val="left"/>
              <w:rPr/>
            </w:pPr>
            <w:r>
              <w:rPr/>
              <w:t>     </w:t>
            </w:r>
            <w:r>
              <w:rPr>
                <w:rFonts w:ascii="times new roman" w:hAnsi="times new roman"/>
                <w:sz w:val="20"/>
              </w:rPr>
              <w:t>August 2012 Morrison &amp; Foerster Note B, payable solely in restricted shares of the Company's common stock (1)</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94" w:type="dxa"/>
            <w:gridSpan w:val="2"/>
            <w:tcBorders/>
            <w:shd w:fill="CCEEFF" w:val="clear"/>
            <w:vAlign w:val="bottom"/>
          </w:tcPr>
          <w:p>
            <w:pPr>
              <w:pStyle w:val="TableContents"/>
              <w:spacing w:before="0" w:after="0"/>
              <w:ind w:left="0" w:right="0" w:hanging="0"/>
              <w:jc w:val="left"/>
              <w:rPr/>
            </w:pPr>
            <w:r>
              <w:rPr/>
              <w:t>     </w:t>
            </w:r>
            <w:r>
              <w:rPr>
                <w:rFonts w:ascii="times new roman" w:hAnsi="times new roman"/>
                <w:sz w:val="20"/>
              </w:rPr>
              <w:t>University Health Network, payable solely in restricted shares of the Company's common stock (1)</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549,500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568,900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3,553,900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3,635,900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3,197,200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3,244,700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2,411,300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2,493,300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2,968,300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3,015,800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(450,300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(452,800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(367,700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(367,700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1,961,000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2,600,600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2,648,100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5.8%  and 8% Notes payable to insurance</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premium financing company (current)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10% Notes payable to vendors for accounts</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payable converted to notes payable</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182,200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notes payable to unrelated parties</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2,603,700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2,709,000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3,202,100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64,700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3,266,800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(591,400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(617,200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(582,500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2,012,300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2,091,800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64,300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2,684,300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related parties:</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April 2011 7 % Note to Cato Holding Co.</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300,200</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October 2012 7.5% Note to Cato Holding Co.</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2594" w:type="dxa"/>
            <w:gridSpan w:val="2"/>
            <w:tcBorders/>
            <w:shd w:fill="CCEEFF" w:val="clear"/>
            <w:vAlign w:val="bottom"/>
          </w:tcPr>
          <w:p>
            <w:pPr>
              <w:pStyle w:val="TableContents"/>
              <w:spacing w:before="0" w:after="0"/>
              <w:ind w:left="0" w:right="0" w:hanging="0"/>
              <w:jc w:val="left"/>
              <w:rPr/>
            </w:pPr>
            <w:r>
              <w:rPr/>
              <w:t>  </w:t>
            </w:r>
            <w:r>
              <w:rPr>
                <w:rFonts w:ascii="times new roman" w:hAnsi="times new roman"/>
                <w:sz w:val="20"/>
              </w:rPr>
              <w:t>October 2012 7.5% Note to Cato Research Ltd., payable solely in restricted shares of the Company's common stock (1)</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1,009,000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1,045,200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2502"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300,200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notes payable to related parties</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1,155,400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1,199,000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269,000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275,900</w:t>
            </w:r>
          </w:p>
        </w:tc>
        <w:tc>
          <w:tcPr>
            <w:tcW w:w="120" w:type="dxa"/>
            <w:tcBorders/>
            <w:shd w:fill="FFFFFF"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(85,600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0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1,069,800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1,106,000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2"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107,700</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See description of debt restructuring in Note 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818" w:name="PGBRK79"/>
      <w:bookmarkStart w:id="819" w:name="PGBRK79"/>
      <w:bookmarkEnd w:id="8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20" w:name="FTR79"/>
      <w:bookmarkStart w:id="821" w:name="FTR79"/>
      <w:bookmarkEnd w:id="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22" w:name="GLFTR79"/>
      <w:bookmarkEnd w:id="8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3" w:name="PN79"/>
      <w:bookmarkEnd w:id="823"/>
      <w:r>
        <w:rPr>
          <w:rFonts w:ascii="Times New Roman" w:hAnsi="Times New Roman"/>
          <w:sz w:val="20"/>
        </w:rPr>
        <w:t>-78-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24" w:name="HDR79"/>
      <w:bookmarkStart w:id="825" w:name="HDR79"/>
      <w:bookmarkEnd w:id="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26" w:name="GLHDR79"/>
        <w:bookmarkEnd w:id="8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br/>
      </w:r>
      <w:r>
        <w:rPr>
          <w:rFonts w:ascii="Times New Roman" w:hAnsi="Times New Roman"/>
          <w:b/>
          <w:sz w:val="20"/>
          <w:highlight w:val="white"/>
        </w:rPr>
        <w:t>Senior Secured Convertible Promissory Notes issued to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 2012 and on August 31, 2012, the Company issued to Platinum senior secured convertible promissory notes in the principal amount of $500,000 (the “</w:t>
      </w:r>
      <w:r>
        <w:rPr>
          <w:rFonts w:ascii="Times New Roman" w:hAnsi="Times New Roman"/>
          <w:i/>
          <w:sz w:val="20"/>
        </w:rPr>
        <w:t>July 2012 Platinum Note</w:t>
      </w:r>
      <w:r>
        <w:rPr>
          <w:rFonts w:ascii="Times New Roman" w:hAnsi="Times New Roman"/>
          <w:sz w:val="20"/>
        </w:rPr>
        <w:t xml:space="preserve">”) and </w:t>
      </w:r>
      <w:r>
        <w:rPr>
          <w:rFonts w:ascii="Times New Roman" w:hAnsi="Times New Roman"/>
          <w:sz w:val="20"/>
          <w:highlight w:val="white"/>
        </w:rPr>
        <w:t>$750,000 (the "</w:t>
      </w:r>
      <w:r>
        <w:rPr>
          <w:rFonts w:ascii="Times New Roman" w:hAnsi="Times New Roman"/>
          <w:i/>
          <w:sz w:val="20"/>
          <w:highlight w:val="white"/>
        </w:rPr>
        <w:t>August 2012 Platinum Note</w:t>
      </w:r>
      <w:r>
        <w:rPr>
          <w:rFonts w:ascii="Times New Roman" w:hAnsi="Times New Roman"/>
          <w:sz w:val="20"/>
          <w:highlight w:val="white"/>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11, 2012, the Company and Platinum entered into a Note Exchange and Purchase Agreement (the “</w:t>
      </w:r>
      <w:r>
        <w:rPr>
          <w:rFonts w:ascii="Times New Roman" w:hAnsi="Times New Roman"/>
          <w:i/>
          <w:sz w:val="20"/>
        </w:rPr>
        <w:t>October 2012 Agreement</w:t>
      </w:r>
      <w:r>
        <w:rPr>
          <w:rFonts w:ascii="Times New Roman" w:hAnsi="Times New Roman"/>
          <w:sz w:val="20"/>
        </w:rPr>
        <w:t xml:space="preserve">”) in which </w:t>
      </w:r>
      <w:r>
        <w:rPr>
          <w:rFonts w:ascii="Times New Roman" w:hAnsi="Times New Roman"/>
          <w:sz w:val="20"/>
          <w:highlight w:val="white"/>
        </w:rPr>
        <w:t xml:space="preserve">the July 2012 Platinum Note and the August 2012 Platinum Note </w:t>
      </w:r>
      <w:r>
        <w:rPr>
          <w:rFonts w:ascii="Times New Roman" w:hAnsi="Times New Roman"/>
          <w:sz w:val="20"/>
        </w:rPr>
        <w:t>(together, the “</w:t>
      </w:r>
      <w:r>
        <w:rPr>
          <w:rFonts w:ascii="Times New Roman" w:hAnsi="Times New Roman"/>
          <w:i/>
          <w:sz w:val="20"/>
        </w:rPr>
        <w:t>Existing Notes</w:t>
      </w:r>
      <w:r>
        <w:rPr>
          <w:rFonts w:ascii="Times New Roman" w:hAnsi="Times New Roman"/>
          <w:sz w:val="20"/>
        </w:rPr>
        <w:t>”)</w:t>
      </w:r>
      <w:r>
        <w:rPr>
          <w:rFonts w:ascii="Times New Roman" w:hAnsi="Times New Roman"/>
          <w:sz w:val="20"/>
          <w:highlight w:val="white"/>
        </w:rPr>
        <w:t>, as well as the related accrued interest, were consolidated into and exchanged for a single senior secured convertible note in the amount of $1,272,577 (the “</w:t>
      </w:r>
      <w:r>
        <w:rPr>
          <w:rFonts w:ascii="Times New Roman" w:hAnsi="Times New Roman"/>
          <w:i/>
          <w:sz w:val="20"/>
          <w:highlight w:val="white"/>
        </w:rPr>
        <w:t>Exchange Note</w:t>
      </w:r>
      <w:r>
        <w:rPr>
          <w:rFonts w:ascii="Times New Roman" w:hAnsi="Times New Roman"/>
          <w:sz w:val="20"/>
          <w:highlight w:val="white"/>
        </w:rPr>
        <w:t xml:space="preserve">”) and </w:t>
      </w:r>
      <w:r>
        <w:rPr>
          <w:rFonts w:ascii="Times New Roman" w:hAnsi="Times New Roman"/>
          <w:sz w:val="20"/>
        </w:rPr>
        <w:t>Platinum agreed to purchase four additional 10% senior secured convertible promissory notes in the aggregate principal amount of $2.0 million (the “</w:t>
      </w:r>
      <w:r>
        <w:rPr>
          <w:rFonts w:ascii="Times New Roman" w:hAnsi="Times New Roman"/>
          <w:i/>
          <w:sz w:val="20"/>
        </w:rPr>
        <w:t>Investment Notes</w:t>
      </w:r>
      <w:r>
        <w:rPr>
          <w:rFonts w:ascii="Times New Roman" w:hAnsi="Times New Roman"/>
          <w:sz w:val="20"/>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14, 2012 and January 31, 2013, the Company and Platinum entered into amendments to the October 2012 Agreement (the “</w:t>
      </w:r>
      <w:r>
        <w:rPr>
          <w:rFonts w:ascii="Times New Roman" w:hAnsi="Times New Roman"/>
          <w:i/>
          <w:sz w:val="20"/>
        </w:rPr>
        <w:t>NEPA Amendments</w:t>
      </w:r>
      <w:r>
        <w:rPr>
          <w:rFonts w:ascii="Times New Roman" w:hAnsi="Times New Roman"/>
          <w:sz w:val="20"/>
        </w:rPr>
        <w:t>”), pursuant to which the final two $500,000 tranches contemplated by the October 2012 Agreement were combined into a single Investment Note in the aggregate principal amount of $1.0 million (the “</w:t>
      </w:r>
      <w:r>
        <w:rPr>
          <w:rFonts w:ascii="Times New Roman" w:hAnsi="Times New Roman"/>
          <w:i/>
          <w:sz w:val="20"/>
        </w:rPr>
        <w:t>$1.0 Million Note</w:t>
      </w:r>
      <w:r>
        <w:rPr>
          <w:rFonts w:ascii="Times New Roman" w:hAnsi="Times New Roman"/>
          <w:sz w:val="20"/>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hAnsi="Times New Roman"/>
          <w:i/>
          <w:sz w:val="20"/>
        </w:rPr>
        <w:t>Additional Financing Requirement</w:t>
      </w:r>
      <w:r>
        <w:rPr>
          <w:rFonts w:ascii="Times New Roman" w:hAnsi="Times New Roman"/>
          <w:sz w:val="20"/>
        </w:rPr>
        <w:t xml:space="preserve">”).  The Company satisfied the Additional Financing Requirement on February 12, 2013 (See Note 9, </w:t>
      </w:r>
      <w:r>
        <w:rPr>
          <w:rFonts w:ascii="Times New Roman" w:hAnsi="Times New Roman"/>
          <w:i/>
          <w:sz w:val="20"/>
        </w:rPr>
        <w:t>Capital Stock</w:t>
      </w:r>
      <w:r>
        <w:rPr>
          <w:rFonts w:ascii="Times New Roman" w:hAnsi="Times New Roman"/>
          <w:sz w:val="20"/>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Exchange Note and each Investment Note (together, the “</w:t>
      </w:r>
      <w:r>
        <w:rPr>
          <w:rFonts w:ascii="Times New Roman" w:hAnsi="Times New Roman"/>
          <w:i/>
          <w:sz w:val="20"/>
        </w:rPr>
        <w:t>Notes</w:t>
      </w:r>
      <w:r>
        <w:rPr>
          <w:rFonts w:ascii="Times New Roman" w:hAnsi="Times New Roman"/>
          <w:sz w:val="20"/>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At maturity, all principal and accrued interest under the Notes shall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hAnsi="Times New Roman"/>
          <w:i/>
          <w:sz w:val="20"/>
        </w:rPr>
        <w:t>Investment Warrant</w:t>
      </w:r>
      <w:r>
        <w:rPr>
          <w:rFonts w:ascii="Times New Roman" w:hAnsi="Times New Roman"/>
          <w:sz w:val="20"/>
        </w:rPr>
        <w:t>”).  In addition, the Company issued Platinum a warrant to purchase 1,272,577 shares of the Company’s common stock in connection with the issuance of the Exchange Note (the “</w:t>
      </w:r>
      <w:r>
        <w:rPr>
          <w:rFonts w:ascii="Times New Roman" w:hAnsi="Times New Roman"/>
          <w:i/>
          <w:sz w:val="20"/>
        </w:rPr>
        <w:t>Exchange Warrant</w:t>
      </w:r>
      <w:r>
        <w:rPr>
          <w:rFonts w:ascii="Times New Roman" w:hAnsi="Times New Roman"/>
          <w:sz w:val="20"/>
        </w:rPr>
        <w:t>”). At issuance, the Platinum Exchange Warrant and each Investment Warrant has a term of 5 years and an exercise price of $1.50 per share, subject to certain adjustments.</w:t>
      </w:r>
      <w:r>
        <w:rPr>
          <w:rFonts w:ascii="Times New Roman" w:hAnsi="Times New Roman"/>
          <w:sz w:val="20"/>
          <w:highlight w:val="white"/>
        </w:rPr>
        <w:t xml:space="preserve"> See Note 16, </w:t>
      </w:r>
      <w:r>
        <w:rPr>
          <w:rFonts w:ascii="Times New Roman" w:hAnsi="Times New Roman"/>
          <w:i/>
          <w:sz w:val="20"/>
          <w:highlight w:val="white"/>
        </w:rPr>
        <w:t>Subsequent Events</w:t>
      </w:r>
      <w:r>
        <w:rPr>
          <w:rFonts w:ascii="Times New Roman" w:hAnsi="Times New Roman"/>
          <w:sz w:val="20"/>
          <w:highlight w:val="white"/>
        </w:rPr>
        <w:t>, regarding a modification of the exercise price of the Exchange Warrant and the Investment Warrants.  The Company and Platinum also executed and subsequently amended a security agreement to secure repayment of all obligations due and payable under the terms of the Exchange Note and all of the Investment Notes.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7" w:name="PGBRK80"/>
      <w:bookmarkStart w:id="828" w:name="PGBRK80"/>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9" w:name="FTR80"/>
      <w:bookmarkStart w:id="830" w:name="FTR80"/>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31" w:name="GLFTR80"/>
      <w:bookmarkEnd w:id="8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2" w:name="PN80"/>
      <w:bookmarkEnd w:id="832"/>
      <w:r>
        <w:rPr>
          <w:rFonts w:ascii="Times New Roman" w:hAnsi="Times New Roman"/>
          <w:sz w:val="20"/>
        </w:rPr>
        <w:t>-79-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3" w:name="HDR80"/>
      <w:bookmarkStart w:id="834" w:name="HDR80"/>
      <w:bookmarkEnd w:id="8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35" w:name="GLHDR80"/>
        <w:bookmarkEnd w:id="8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Times New Roman" w:hAnsi="Times New Roman"/>
          <w:i/>
          <w:sz w:val="20"/>
        </w:rPr>
        <w:t xml:space="preserve">Debt with Conversion and Other Options, </w:t>
      </w:r>
      <w:r>
        <w:rPr>
          <w:rFonts w:ascii="Times New Roman" w:hAnsi="Times New Roman"/>
          <w:sz w:val="20"/>
        </w:rPr>
        <w:t>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Subject to limited exceptions, which include issuances of common stock pursuant to the 2012 Private Placement of Units (see Note 9, </w:t>
      </w:r>
      <w:r>
        <w:rPr>
          <w:rFonts w:ascii="Times New Roman" w:hAnsi="Times New Roman"/>
          <w:i/>
          <w:sz w:val="20"/>
        </w:rPr>
        <w:t>Capital Stock</w:t>
      </w:r>
      <w:r>
        <w:rPr>
          <w:rFonts w:ascii="Times New Roman" w:hAnsi="Times New Roman"/>
          <w:sz w:val="20"/>
        </w:rPr>
        <w:t xml:space="preserve">), the Exchange Warrant and each of the Investment Warrants include certain exercise price reset and anti-dilution protection features in the event that the Company issues other shares of common stock during the five-year term of the warrants at a price less than their initial $1.50 per share exercise price. As a result of these provisions, the Exchange Warrant and the Investment Warrants do not meet the criteria set forth in ASC 815, </w:t>
      </w:r>
      <w:r>
        <w:rPr>
          <w:rFonts w:ascii="Times New Roman" w:hAnsi="Times New Roman"/>
          <w:i/>
          <w:sz w:val="20"/>
        </w:rPr>
        <w:t>Derivatives and Hedging</w:t>
      </w:r>
      <w:r>
        <w:rPr>
          <w:rFonts w:ascii="Times New Roman" w:hAnsi="Times New Roman"/>
          <w:sz w:val="20"/>
        </w:rPr>
        <w:t>, to be considered indexed to the Company’s own stock and treated as equity instruments. Consequently, the Company recorded the Exchange Warrant and each of the Investment Warrants as liabilities at their fair value, which was estimated at the issuance date using a Monte Carlo simulation model and the following assumptions: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854"/>
        <w:gridCol w:w="99"/>
        <w:gridCol w:w="146"/>
        <w:gridCol w:w="1118"/>
        <w:gridCol w:w="189"/>
        <w:gridCol w:w="99"/>
        <w:gridCol w:w="146"/>
        <w:gridCol w:w="1009"/>
        <w:gridCol w:w="189"/>
        <w:gridCol w:w="98"/>
        <w:gridCol w:w="146"/>
        <w:gridCol w:w="1009"/>
        <w:gridCol w:w="189"/>
        <w:gridCol w:w="99"/>
        <w:gridCol w:w="146"/>
        <w:gridCol w:w="1009"/>
        <w:gridCol w:w="189"/>
        <w:gridCol w:w="99"/>
        <w:gridCol w:w="146"/>
        <w:gridCol w:w="1008"/>
        <w:gridCol w:w="218"/>
      </w:tblGrid>
      <w:tr>
        <w:trPr/>
        <w:tc>
          <w:tcPr>
            <w:tcW w:w="2854"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Exchange</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5482"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Investment Warrants Issued on:</w:t>
            </w:r>
          </w:p>
        </w:tc>
        <w:tc>
          <w:tcPr>
            <w:tcW w:w="218" w:type="dxa"/>
            <w:tcBorders/>
            <w:shd w:fill="auto" w:val="clear"/>
            <w:vAlign w:val="bottom"/>
          </w:tcPr>
          <w:p>
            <w:pPr>
              <w:pStyle w:val="TableContents"/>
              <w:spacing w:before="0" w:after="283"/>
              <w:jc w:val="left"/>
              <w:rPr/>
            </w:pPr>
            <w:r>
              <w:rPr/>
              <w:t> </w:t>
            </w:r>
          </w:p>
        </w:tc>
      </w:tr>
      <w:tr>
        <w:trPr/>
        <w:tc>
          <w:tcPr>
            <w:tcW w:w="2854"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Warrant</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10/11/2012</w:t>
            </w:r>
          </w:p>
        </w:tc>
        <w:tc>
          <w:tcPr>
            <w:tcW w:w="189"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10/19/2012</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2/22/2013</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3/12/2013</w:t>
            </w:r>
          </w:p>
        </w:tc>
        <w:tc>
          <w:tcPr>
            <w:tcW w:w="218" w:type="dxa"/>
            <w:tcBorders/>
            <w:shd w:fill="auto" w:val="clear"/>
            <w:vAlign w:val="bottom"/>
          </w:tcPr>
          <w:p>
            <w:pPr>
              <w:pStyle w:val="TableContents"/>
              <w:spacing w:before="0" w:after="283"/>
              <w:jc w:val="left"/>
              <w:rPr/>
            </w:pPr>
            <w:r>
              <w:rPr/>
              <w:t> </w:t>
            </w:r>
          </w:p>
        </w:tc>
      </w:tr>
      <w:tr>
        <w:trPr/>
        <w:tc>
          <w:tcPr>
            <w:tcW w:w="2854"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r>
      <w:tr>
        <w:trPr/>
        <w:tc>
          <w:tcPr>
            <w:tcW w:w="28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Market price of common stock</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89"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218" w:type="dxa"/>
            <w:tcBorders/>
            <w:shd w:fill="CCEEFF" w:val="clear"/>
            <w:vAlign w:val="bottom"/>
          </w:tcPr>
          <w:p>
            <w:pPr>
              <w:pStyle w:val="TableContents"/>
              <w:spacing w:before="0" w:after="283"/>
              <w:jc w:val="left"/>
              <w:rPr/>
            </w:pPr>
            <w:r>
              <w:rPr/>
              <w:t> </w:t>
            </w:r>
          </w:p>
        </w:tc>
      </w:tr>
      <w:tr>
        <w:trPr/>
        <w:tc>
          <w:tcPr>
            <w:tcW w:w="28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price</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89"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218" w:type="dxa"/>
            <w:tcBorders/>
            <w:shd w:fill="FFFFFF" w:val="clear"/>
            <w:vAlign w:val="bottom"/>
          </w:tcPr>
          <w:p>
            <w:pPr>
              <w:pStyle w:val="TableContents"/>
              <w:spacing w:before="0" w:after="283"/>
              <w:jc w:val="left"/>
              <w:rPr/>
            </w:pPr>
            <w:r>
              <w:rPr/>
              <w:t> </w:t>
            </w:r>
          </w:p>
        </w:tc>
      </w:tr>
      <w:tr>
        <w:trPr/>
        <w:tc>
          <w:tcPr>
            <w:tcW w:w="28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0.84</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2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8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Volatility</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1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2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8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Term (years)</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89"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18" w:type="dxa"/>
            <w:tcBorders/>
            <w:shd w:fill="CCEEFF" w:val="clear"/>
            <w:vAlign w:val="bottom"/>
          </w:tcPr>
          <w:p>
            <w:pPr>
              <w:pStyle w:val="TableContents"/>
              <w:spacing w:before="0" w:after="283"/>
              <w:jc w:val="left"/>
              <w:rPr/>
            </w:pPr>
            <w:r>
              <w:rPr/>
              <w:t> </w:t>
            </w:r>
          </w:p>
        </w:tc>
      </w:tr>
      <w:tr>
        <w:trPr/>
        <w:tc>
          <w:tcPr>
            <w:tcW w:w="28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rate</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1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854" w:type="dxa"/>
            <w:tcBorders/>
            <w:shd w:fill="CCEEFF" w:val="clear"/>
            <w:vAlign w:val="bottom"/>
          </w:tcPr>
          <w:p>
            <w:pPr>
              <w:pStyle w:val="TableContents"/>
              <w:spacing w:before="0" w:after="283"/>
              <w:rPr/>
            </w:pPr>
            <w:r>
              <w:rPr/>
              <w:t xml:space="preserve">  </w:t>
            </w:r>
          </w:p>
        </w:tc>
        <w:tc>
          <w:tcPr>
            <w:tcW w:w="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r>
      <w:tr>
        <w:trPr/>
        <w:tc>
          <w:tcPr>
            <w:tcW w:w="28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per share</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89"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218" w:type="dxa"/>
            <w:tcBorders/>
            <w:shd w:fill="FFFFFF" w:val="clear"/>
            <w:vAlign w:val="bottom"/>
          </w:tcPr>
          <w:p>
            <w:pPr>
              <w:pStyle w:val="TableContents"/>
              <w:spacing w:before="0" w:after="283"/>
              <w:jc w:val="left"/>
              <w:rPr/>
            </w:pPr>
            <w:r>
              <w:rPr/>
              <w:t> </w:t>
            </w:r>
          </w:p>
        </w:tc>
      </w:tr>
      <w:tr>
        <w:trPr/>
        <w:tc>
          <w:tcPr>
            <w:tcW w:w="28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1,272,577</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89"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8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218" w:type="dxa"/>
            <w:tcBorders/>
            <w:shd w:fill="CCEEFF" w:val="clear"/>
            <w:vAlign w:val="bottom"/>
          </w:tcPr>
          <w:p>
            <w:pPr>
              <w:pStyle w:val="TableContents"/>
              <w:spacing w:before="0" w:after="283"/>
              <w:jc w:val="left"/>
              <w:rPr/>
            </w:pPr>
            <w:r>
              <w:rPr/>
              <w:t> </w:t>
            </w:r>
          </w:p>
        </w:tc>
      </w:tr>
      <w:tr>
        <w:trPr/>
        <w:tc>
          <w:tcPr>
            <w:tcW w:w="28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at date of issuance</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672,000</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264,000</w:t>
            </w:r>
          </w:p>
        </w:tc>
        <w:tc>
          <w:tcPr>
            <w:tcW w:w="189"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264,000</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97,000</w:t>
            </w:r>
          </w:p>
        </w:tc>
        <w:tc>
          <w:tcPr>
            <w:tcW w:w="18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393,000</w:t>
            </w:r>
          </w:p>
        </w:tc>
        <w:tc>
          <w:tcPr>
            <w:tcW w:w="218"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at the date of issuance was recorded as a liability and as a corresponding discount to the related Investment Note.  Subject to limitations of the absolute amount of discount attributable to each Investment Note, the Company treated the issuance-date intrinsic value of the beneficial conversion feature embedded in each Investment Note as an additional component of the discount attributable to each Investment Note and recorded a discount attributable to the beneficial conversion feature for each Investment Note.  The Company amortizes the aggregate discount attributable to each of the Investment Notes using the interest method over the respective term of each note.  The table below summarizes the components of the discount and the effective interest rate at inception for the Exchange Note and each of the Investment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6" w:name="PGBRK81"/>
      <w:bookmarkStart w:id="837" w:name="PGBRK81"/>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8" w:name="FTR81"/>
      <w:bookmarkStart w:id="839" w:name="FTR81"/>
      <w:bookmarkEnd w:id="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40" w:name="GLFTR81"/>
      <w:bookmarkEnd w:id="8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1" w:name="PN81"/>
      <w:bookmarkEnd w:id="841"/>
      <w:r>
        <w:rPr>
          <w:rFonts w:ascii="Times New Roman" w:hAnsi="Times New Roman"/>
          <w:sz w:val="20"/>
        </w:rPr>
        <w:t>-80-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2" w:name="HDR81"/>
      <w:bookmarkStart w:id="843" w:name="HDR81"/>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44" w:name="GLHDR81"/>
        <w:bookmarkEnd w:id="84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35"/>
        <w:gridCol w:w="96"/>
        <w:gridCol w:w="144"/>
        <w:gridCol w:w="1094"/>
        <w:gridCol w:w="189"/>
        <w:gridCol w:w="96"/>
        <w:gridCol w:w="144"/>
        <w:gridCol w:w="1027"/>
        <w:gridCol w:w="189"/>
        <w:gridCol w:w="96"/>
        <w:gridCol w:w="144"/>
        <w:gridCol w:w="1026"/>
        <w:gridCol w:w="189"/>
        <w:gridCol w:w="96"/>
        <w:gridCol w:w="144"/>
        <w:gridCol w:w="1027"/>
        <w:gridCol w:w="189"/>
        <w:gridCol w:w="96"/>
        <w:gridCol w:w="144"/>
        <w:gridCol w:w="1027"/>
        <w:gridCol w:w="213"/>
      </w:tblGrid>
      <w:tr>
        <w:trPr/>
        <w:tc>
          <w:tcPr>
            <w:tcW w:w="2835"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7061"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Date Carrying Value of</w:t>
            </w:r>
          </w:p>
        </w:tc>
        <w:tc>
          <w:tcPr>
            <w:tcW w:w="213" w:type="dxa"/>
            <w:tcBorders/>
            <w:shd w:fill="auto" w:val="clear"/>
            <w:vAlign w:val="bottom"/>
          </w:tcPr>
          <w:p>
            <w:pPr>
              <w:pStyle w:val="TableContents"/>
              <w:spacing w:before="0" w:after="283"/>
              <w:jc w:val="left"/>
              <w:rPr/>
            </w:pPr>
            <w:r>
              <w:rPr/>
              <w:t> </w:t>
            </w:r>
          </w:p>
        </w:tc>
      </w:tr>
      <w:tr>
        <w:trPr/>
        <w:tc>
          <w:tcPr>
            <w:tcW w:w="2835"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Exchange</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5538"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Investment Notes Issued on:</w:t>
            </w:r>
          </w:p>
        </w:tc>
        <w:tc>
          <w:tcPr>
            <w:tcW w:w="213" w:type="dxa"/>
            <w:tcBorders/>
            <w:shd w:fill="auto" w:val="clear"/>
            <w:vAlign w:val="bottom"/>
          </w:tcPr>
          <w:p>
            <w:pPr>
              <w:pStyle w:val="TableContents"/>
              <w:spacing w:before="0" w:after="283"/>
              <w:jc w:val="left"/>
              <w:rPr/>
            </w:pPr>
            <w:r>
              <w:rPr/>
              <w:t> </w:t>
            </w:r>
          </w:p>
        </w:tc>
      </w:tr>
      <w:tr>
        <w:trPr/>
        <w:tc>
          <w:tcPr>
            <w:tcW w:w="2835"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Note</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10/11/2012</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10/19/2012</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2/22/2013</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3/12/2013</w:t>
            </w:r>
          </w:p>
        </w:tc>
        <w:tc>
          <w:tcPr>
            <w:tcW w:w="213" w:type="dxa"/>
            <w:tcBorders/>
            <w:shd w:fill="auto" w:val="clear"/>
            <w:vAlign w:val="bottom"/>
          </w:tcPr>
          <w:p>
            <w:pPr>
              <w:pStyle w:val="TableContents"/>
              <w:spacing w:before="0" w:after="283"/>
              <w:jc w:val="left"/>
              <w:rPr/>
            </w:pPr>
            <w:r>
              <w:rPr/>
              <w:t> </w:t>
            </w:r>
          </w:p>
        </w:tc>
      </w:tr>
      <w:tr>
        <w:trPr/>
        <w:tc>
          <w:tcPr>
            <w:tcW w:w="2835"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r>
      <w:tr>
        <w:trPr/>
        <w:tc>
          <w:tcPr>
            <w:tcW w:w="283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Face value</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213" w:type="dxa"/>
            <w:tcBorders/>
            <w:shd w:fill="CCEEFF" w:val="clear"/>
            <w:vAlign w:val="bottom"/>
          </w:tcPr>
          <w:p>
            <w:pPr>
              <w:pStyle w:val="TableContents"/>
              <w:spacing w:before="0" w:after="283"/>
              <w:jc w:val="left"/>
              <w:rPr/>
            </w:pPr>
            <w:r>
              <w:rPr/>
              <w:t> </w:t>
            </w:r>
          </w:p>
        </w:tc>
      </w:tr>
      <w:tr>
        <w:trPr/>
        <w:tc>
          <w:tcPr>
            <w:tcW w:w="283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Discount attributable to:</w:t>
            </w:r>
          </w:p>
        </w:tc>
        <w:tc>
          <w:tcPr>
            <w:tcW w:w="96"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pPr>
            <w:r>
              <w:rPr/>
              <w:t> </w:t>
            </w:r>
          </w:p>
        </w:tc>
        <w:tc>
          <w:tcPr>
            <w:tcW w:w="1094"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213" w:type="dxa"/>
            <w:tcBorders/>
            <w:shd w:fill="FFFFFF" w:val="clear"/>
            <w:vAlign w:val="bottom"/>
          </w:tcPr>
          <w:p>
            <w:pPr>
              <w:pStyle w:val="TableContents"/>
              <w:spacing w:before="0" w:after="283"/>
              <w:jc w:val="left"/>
              <w:rPr/>
            </w:pPr>
            <w:r>
              <w:rPr/>
              <w:t> </w:t>
            </w:r>
          </w:p>
        </w:tc>
      </w:tr>
      <w:tr>
        <w:trPr/>
        <w:tc>
          <w:tcPr>
            <w:tcW w:w="283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warrant</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0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(264,000</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(264,000</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(97,000</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(393,000</w:t>
            </w:r>
          </w:p>
        </w:tc>
        <w:tc>
          <w:tcPr>
            <w:tcW w:w="2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83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Beneficial conversion feature</w:t>
            </w:r>
          </w:p>
        </w:tc>
        <w:tc>
          <w:tcPr>
            <w:tcW w:w="96" w:type="dxa"/>
            <w:tcBorders/>
            <w:shd w:fill="FFFFFF" w:val="clear"/>
            <w:vAlign w:val="bottom"/>
          </w:tcPr>
          <w:p>
            <w:pPr>
              <w:pStyle w:val="TableContents"/>
              <w:spacing w:before="0" w:after="283"/>
              <w:jc w:val="right"/>
              <w:rPr/>
            </w:pPr>
            <w:r>
              <w:rPr/>
              <w:t> </w:t>
            </w:r>
          </w:p>
        </w:tc>
        <w:tc>
          <w:tcPr>
            <w:tcW w:w="1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(231,000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(231,000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(147,000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(349,500</w:t>
            </w:r>
          </w:p>
        </w:tc>
        <w:tc>
          <w:tcPr>
            <w:tcW w:w="2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835" w:type="dxa"/>
            <w:tcBorders/>
            <w:shd w:fill="CCEEFF" w:val="clear"/>
            <w:vAlign w:val="bottom"/>
          </w:tcPr>
          <w:p>
            <w:pPr>
              <w:pStyle w:val="TableContents"/>
              <w:spacing w:before="0" w:after="283"/>
              <w:rPr/>
            </w:pPr>
            <w:r>
              <w:rPr/>
              <w:t xml:space="preserve">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94"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213" w:type="dxa"/>
            <w:tcBorders/>
            <w:shd w:fill="CCEEFF" w:val="clear"/>
            <w:vAlign w:val="bottom"/>
          </w:tcPr>
          <w:p>
            <w:pPr>
              <w:pStyle w:val="TableContents"/>
              <w:spacing w:before="0" w:after="283"/>
              <w:jc w:val="left"/>
              <w:rPr/>
            </w:pPr>
            <w:r>
              <w:rPr/>
              <w:t> </w:t>
            </w:r>
          </w:p>
        </w:tc>
      </w:tr>
      <w:tr>
        <w:trPr/>
        <w:tc>
          <w:tcPr>
            <w:tcW w:w="283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Inception date carrying value</w:t>
            </w:r>
          </w:p>
        </w:tc>
        <w:tc>
          <w:tcPr>
            <w:tcW w:w="96" w:type="dxa"/>
            <w:tcBorders/>
            <w:shd w:fill="FFFFFF" w:val="clear"/>
            <w:vAlign w:val="bottom"/>
          </w:tcPr>
          <w:p>
            <w:pPr>
              <w:pStyle w:val="TableContents"/>
              <w:spacing w:before="0" w:after="283"/>
              <w:jc w:val="right"/>
              <w:rPr/>
            </w:pPr>
            <w:r>
              <w:rPr/>
              <w:t> </w:t>
            </w:r>
          </w:p>
        </w:tc>
        <w:tc>
          <w:tcPr>
            <w:tcW w:w="14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4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4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4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89"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4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213" w:type="dxa"/>
            <w:tcBorders/>
            <w:shd w:fill="FFFFFF" w:val="clear"/>
            <w:vAlign w:val="bottom"/>
          </w:tcPr>
          <w:p>
            <w:pPr>
              <w:pStyle w:val="TableContents"/>
              <w:spacing w:before="0" w:after="283"/>
              <w:jc w:val="left"/>
              <w:rPr/>
            </w:pPr>
            <w:r>
              <w:rPr/>
              <w:t> </w:t>
            </w:r>
          </w:p>
        </w:tc>
      </w:tr>
      <w:tr>
        <w:trPr/>
        <w:tc>
          <w:tcPr>
            <w:tcW w:w="2835" w:type="dxa"/>
            <w:tcBorders/>
            <w:shd w:fill="CCEEFF" w:val="clear"/>
            <w:vAlign w:val="bottom"/>
          </w:tcPr>
          <w:p>
            <w:pPr>
              <w:pStyle w:val="TableContents"/>
              <w:spacing w:before="0" w:after="283"/>
              <w:rPr/>
            </w:pPr>
            <w:r>
              <w:rPr/>
              <w:t xml:space="preserve">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94"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213" w:type="dxa"/>
            <w:tcBorders/>
            <w:shd w:fill="CCEEFF" w:val="clear"/>
            <w:vAlign w:val="bottom"/>
          </w:tcPr>
          <w:p>
            <w:pPr>
              <w:pStyle w:val="TableContents"/>
              <w:spacing w:before="0" w:after="283"/>
              <w:jc w:val="left"/>
              <w:rPr/>
            </w:pPr>
            <w:r>
              <w:rPr/>
              <w:t> </w:t>
            </w:r>
          </w:p>
        </w:tc>
      </w:tr>
      <w:tr>
        <w:trPr/>
        <w:tc>
          <w:tcPr>
            <w:tcW w:w="283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Effective Interest Rate</w:t>
            </w:r>
          </w:p>
        </w:tc>
        <w:tc>
          <w:tcPr>
            <w:tcW w:w="96"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0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159.05</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159.05</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127.27</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159.05</w:t>
            </w:r>
          </w:p>
        </w:tc>
        <w:tc>
          <w:tcPr>
            <w:tcW w:w="2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the Exchange Warrant and Investment Warrants was re-measured as of March 31, 2013 at an aggregate of $1,988,000 and the $298,000 increase in fair value since inception was reflected in the accompanying Consolidated Statement of Operations and Comprehensive Income for the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May 2011 Platinum Note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2007 and 2008, the Company issued three convertible promissory notes with an aggregate principal balance of $4.0 million to Platinum (the “</w:t>
      </w:r>
      <w:r>
        <w:rPr>
          <w:rFonts w:ascii="Times New Roman" w:hAnsi="Times New Roman"/>
          <w:i/>
          <w:sz w:val="20"/>
        </w:rPr>
        <w:t>Original Platinum Notes</w:t>
      </w:r>
      <w:r>
        <w:rPr>
          <w:rFonts w:ascii="Times New Roman" w:hAnsi="Times New Roman"/>
          <w:sz w:val="20"/>
        </w:rPr>
        <w:t>”).  In conjunction with the issuance of the Original Platinum Notes, the Company also issued warrants to Platinum to purchase an aggregate of 560,000 shares of the Company’s common stock.  On May 5, 2011, the Original Platinum Notes were amended, restated and consolidated into a single note (the “</w:t>
      </w:r>
      <w:r>
        <w:rPr>
          <w:rFonts w:ascii="Times New Roman" w:hAnsi="Times New Roman"/>
          <w:i/>
          <w:sz w:val="20"/>
        </w:rPr>
        <w:t>May 2011Platinum Note</w:t>
      </w:r>
      <w:r>
        <w:rPr>
          <w:rFonts w:ascii="Times New Roman" w:hAnsi="Times New Roman"/>
          <w:sz w:val="20"/>
        </w:rPr>
        <w:t>”) with a principal balance of $4.0 million and an extended maturity date of June 30, 2012, a one year extension from the June 30, 2011 maturity date of the Original Platinum Notes (the “</w:t>
      </w:r>
      <w:r>
        <w:rPr>
          <w:rFonts w:ascii="Times New Roman" w:hAnsi="Times New Roman"/>
          <w:i/>
          <w:sz w:val="20"/>
        </w:rPr>
        <w:t>May 2011 Amendment</w:t>
      </w:r>
      <w:r>
        <w:rPr>
          <w:rFonts w:ascii="Times New Roman" w:hAnsi="Times New Roman"/>
          <w:sz w:val="20"/>
        </w:rPr>
        <w:t xml:space="preserve">”).   The May 2011 Platinum Note continued to bear interest at an annual rate of 10%. Platinum retained the right, in its sole discretion, to extend the maturity date of the May 2011 Platinum Note by one year to June 30, 2013.  The May 2011 Platinum Note would have been automatically converted, subject to certain conditions, upon the last to occur of (i) the closing of an equity or equity-based financing or series of equity or equity-based financings after May 1, 2011 resulting in gross proceeds to the Company totaling at least $5.0 million, including the 2011 Private Placement (see Note 9, </w:t>
      </w:r>
      <w:r>
        <w:rPr>
          <w:rFonts w:ascii="Times New Roman" w:hAnsi="Times New Roman"/>
          <w:i/>
          <w:sz w:val="20"/>
        </w:rPr>
        <w:t xml:space="preserve">Capital Stock) </w:t>
      </w:r>
      <w:r>
        <w:rPr>
          <w:rFonts w:ascii="Times New Roman" w:hAnsi="Times New Roman"/>
          <w:sz w:val="20"/>
        </w:rPr>
        <w:t>and cancellation of debt not otherwise convertible; and (ii) the Company becoming a publicly traded company ("</w:t>
      </w:r>
      <w:r>
        <w:rPr>
          <w:rFonts w:ascii="Times New Roman" w:hAnsi="Times New Roman"/>
          <w:i/>
          <w:sz w:val="20"/>
        </w:rPr>
        <w:t>Amended Qualified Financing</w:t>
      </w:r>
      <w:r>
        <w:rPr>
          <w:rFonts w:ascii="Times New Roman" w:hAnsi="Times New Roman"/>
          <w:sz w:val="20"/>
        </w:rPr>
        <w:t>").  The number of shares issuable to Platinum upon the automatic conversion of the May 2011 Platinum Note would have been determined in accordance with one of the following three formulas, as selected by Platinum in its sole discretion: (i) the outstanding principal plus accrued but unpaid interest ("</w:t>
      </w:r>
      <w:r>
        <w:rPr>
          <w:rFonts w:ascii="Times New Roman" w:hAnsi="Times New Roman"/>
          <w:i/>
          <w:sz w:val="20"/>
        </w:rPr>
        <w:t>Outstanding Balance</w:t>
      </w:r>
      <w:r>
        <w:rPr>
          <w:rFonts w:ascii="Times New Roman" w:hAnsi="Times New Roman"/>
          <w:sz w:val="20"/>
        </w:rPr>
        <w:t>") as of the closing of the Amended Qualified Financing multiplied by 1.25 and divided by $1.75 per share; (ii) the Outstanding Balance as of the closing of the Amended Qualified Financing multiplied by 1.25 and divided by the per share price of shares sold in the Amended Qualified Financing; or (iii) the Outstanding Balance as of the closing of the Amended Qualified Financing divided by the Company's per share price assuming a pre-Amended Qualified Financing valuation of the Company of $30 million on a fully-diluted basis, subject to certain exclusions.  Under the May 2011 Platinum Note, the cash payment option previously included in the Original Platinum Notes was eliminated. In the event the Company had completed an Amended Qualified Financing prior to December 31, 2011, interest accrued on the May 2011 Platinum Note from May 5, 2011 through the date of the closing of the Amended Qualified Financing would have been forgiven.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May 2011 Platinum Note would have been voluntarily convertible, at the option of Platinum, at any time prior to an Amended Qualified Financing or its maturity date into restricted shares of common stock determined by multiplying the Outstanding Balance being converted by 1.25 and dividing by the lesser of (i) $1.75 per share; (ii) the per share price in any subsequent equity financing; or (iii) the per share price assuming a $30 million valuation of the Company on a fully diluted basis (subject to certain exclusions).  Platinum could have elected to convert the May 2011 Platinum Note at any time, but was not obligated to convert the May 2011 Platinum Note until the restricted shares issuable upon conversion of the note were freely tradable pursuant to an effective registration statement or could have been sold in any ninety day period without registration under the Securities Act of 1933, as amended (“Securities Act”), in compliance with Rule 144. Additionally, Platinum could not have converted the May 2011 Platinum Note if the shares issuable upon conversion would result in it beneficially owning in excess of 9.99% of the then outstanding shares of the Company's common stock. However, Platinum could have waived this condition upon giving 61 days’ notice to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5" w:name="PGBRK82"/>
      <w:bookmarkStart w:id="846" w:name="PGBRK82"/>
      <w:bookmarkEnd w:id="8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7" w:name="FTR82"/>
      <w:bookmarkStart w:id="848" w:name="FTR82"/>
      <w:bookmarkEnd w:id="8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49" w:name="GLFTR82"/>
      <w:bookmarkEnd w:id="8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0" w:name="PN82"/>
      <w:bookmarkEnd w:id="850"/>
      <w:r>
        <w:rPr>
          <w:rFonts w:ascii="Times New Roman" w:hAnsi="Times New Roman"/>
          <w:sz w:val="20"/>
        </w:rPr>
        <w:t>-81-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HDR82"/>
      <w:bookmarkStart w:id="852" w:name="HDR82"/>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53" w:name="GLHDR82"/>
        <w:bookmarkEnd w:id="8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May 2011 Platinum Note, the Company issued to Platinum a three-year warrant to purchase 825,574 restricted shares of the Company’s common stock at an exercise price of $2.50 per share.  The warrant would have expired on May 5, 2014, and become exercisable upon Platinum’s conversion of the May 2011 Platinum Note and would have been exercisable for one-fourth (1/4) of the number of shares issued in the conversion.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2011, the Company and Platinum entered into a Note and Warrant Exchange Agreement pursuant to which the May 2011 Platinum Note was cancelled and all warrants issued to Platinum were exercised in exchange for restricted shares of the Company’s new Series A Preferred stock.  See </w:t>
      </w:r>
      <w:r>
        <w:rPr>
          <w:rFonts w:ascii="Times New Roman" w:hAnsi="Times New Roman"/>
          <w:i/>
          <w:sz w:val="20"/>
        </w:rPr>
        <w:t>Note and Warrant Exchange Agreement</w:t>
      </w:r>
      <w:r>
        <w:rPr>
          <w:rFonts w:ascii="Times New Roman" w:hAnsi="Times New Roman"/>
          <w:sz w:val="20"/>
        </w:rPr>
        <w:t>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evaluated the extension of the maturity date of the Original Platinum Notes along with the issuance of the new three-year warrant and determined that the modifications were to be accounted for as a troubled debt restructuring on a prospective basis.  The Company recorded a discount to the May 2011 Platinum Note of $908,900, which amount was equal to the incremental fair value of the note conversion feature and the cash payment or put option liability, and the fair value of the new warrant.  The note discount was to be amortized as non-cash interest expense over the remaining term of the May 2011 Platinum Note using the effective interest method.  The effective annual interest rate of the May 2011 Platinum Note was determined to be 17.3%, based on the amount of the note discount, the stated interest rate, and the note term.</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Warrant Liability related to Original Platinum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warrants issued with the Original Platinum Notes included certain exercise price adjustment features and accordingly were not deemed to be indexed to the Company’s common stock. At issuance, the Company recorded the estimated fair value of the warrant liability of $151,300 as a non-current liability in the consolidated balance sheet. Changes in the estimated fair value of the warrant liability were recorded in other income (expense) in the Consolidated Statement of Operations and Comprehensive Loss until the closing of the Merger on May 11, 2011, when the amended warrants no longer contained the exercise price adjustment features, at which time the warrants were deemed to be indexed to the Company’s common stock and therefore no longer treated as a liability.  The warrant liability was recorded at its fair value of $424,100 at May 11, 2011, which resulted in non-cash expense of $7,000 that was charged to other income (expense) in the first quarter of the fiscal year ended March 31, 2012.  As of May 11, 2011, $424,100, the then-current aggregate fair value of these warrants, was reclassified from warrant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December 2011 Note and Warrant Exchange Agreement with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29, 2011, the Company and Platinum entered into a Note and Warrant Exchange Agreement pursuant to which the May 2011 Platinum Note and all outstanding warrants issued to Platinum to purchase an aggregate of 1,599,858 restricted shares of the Company’s common stock were cancelled in exchange for 391,075 restricted shares of the Company’s newly-created Series A Preferred Stock (“</w:t>
      </w:r>
      <w:r>
        <w:rPr>
          <w:rFonts w:ascii="Times New Roman" w:hAnsi="Times New Roman"/>
          <w:i/>
          <w:sz w:val="20"/>
        </w:rPr>
        <w:t>Series A Preferred</w:t>
      </w:r>
      <w:r>
        <w:rPr>
          <w:rFonts w:ascii="Times New Roman" w:hAnsi="Times New Roman"/>
          <w:sz w:val="20"/>
        </w:rPr>
        <w:t xml:space="preserve">”).  Each share of Series A Preferred was initially convertible into ten shares of the Company’s common stock (see Note 9, </w:t>
      </w:r>
      <w:r>
        <w:rPr>
          <w:rFonts w:ascii="Times New Roman" w:hAnsi="Times New Roman"/>
          <w:i/>
          <w:sz w:val="20"/>
        </w:rPr>
        <w:t>Capital Stock</w:t>
      </w:r>
      <w:r>
        <w:rPr>
          <w:rFonts w:ascii="Times New Roman" w:hAnsi="Times New Roman"/>
          <w:sz w:val="20"/>
        </w:rPr>
        <w:t>).  The Company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An additional 159,985 restricted shares of Series A Preferred were issued to Platinum in connection with the warrant exercise and exchange to acquire the common shares issued upon the warrant exercise.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4" w:name="PGBRK83"/>
      <w:bookmarkStart w:id="855" w:name="PGBRK83"/>
      <w:bookmarkEnd w:id="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6" w:name="FTR83"/>
      <w:bookmarkStart w:id="857" w:name="FTR83"/>
      <w:bookmarkEnd w:id="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58" w:name="GLFTR83"/>
      <w:bookmarkEnd w:id="8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9" w:name="PN83"/>
      <w:bookmarkEnd w:id="859"/>
      <w:r>
        <w:rPr>
          <w:rFonts w:ascii="Times New Roman" w:hAnsi="Times New Roman"/>
          <w:sz w:val="20"/>
        </w:rPr>
        <w:t>-82-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0" w:name="HDR83"/>
      <w:bookmarkStart w:id="861" w:name="HDR83"/>
      <w:bookmarkEnd w:id="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62" w:name="GLHDR83"/>
        <w:bookmarkEnd w:id="8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determined that the cancellation of the Platinum Note and exercise of the warrants pursuant to the Note and Warrant Exchange Agreement should be accounted for as a debt extinguishment.  The Company estimated the fair value of the restricted shares of Series A Preferred stock tendered to Platinum for the cancellation of the Platinum Note under the terms of the agreement at $15.51 per share ($1.55 on a per common share equivalent basis).  The Company recorded a loss of $1,193,500 attributable to the early debt extinguishment, reported in Other expenses, net in the accompanying Consolidated Statements of Operations and Comprehensive Loss for the year ended March 31, 2012.  The loss includes $287,278, calculated using the Black-Scholes Option Pricing Model, representing the incremental fair value of the warrants exercised by Platinum as modified to reduce their exercise price.  (See </w:t>
      </w:r>
      <w:r>
        <w:rPr>
          <w:rFonts w:ascii="Times New Roman" w:hAnsi="Times New Roman"/>
          <w:i/>
          <w:sz w:val="20"/>
        </w:rPr>
        <w:t>Discounted Warrant Exercise Program</w:t>
      </w:r>
      <w:r>
        <w:rPr>
          <w:rFonts w:ascii="Times New Roman" w:hAnsi="Times New Roman"/>
          <w:sz w:val="20"/>
        </w:rPr>
        <w:t xml:space="preserve"> in Note 9, </w:t>
      </w:r>
      <w:r>
        <w:rPr>
          <w:rFonts w:ascii="Times New Roman" w:hAnsi="Times New Roman"/>
          <w:i/>
          <w:sz w:val="20"/>
        </w:rPr>
        <w:t>Capital Stock</w:t>
      </w:r>
      <w:r>
        <w:rPr>
          <w:rFonts w:ascii="Times New Roman" w:hAnsi="Times New Roman"/>
          <w:sz w:val="20"/>
        </w:rPr>
        <w:t>, for a description of the modification of warrant exercise prices and the resulting valuation that occurred during the quarter ended December 31, 2011.)  The restricted common shares issued in connection with the warrant exercise that were exchanged for shares of Series A Preferred Stock are treated as Treasury Stock in the accompanying Consolidated Balance Sheets at March 31, 2013 and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February 2012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completed a private placement of convertible promissory notes to certain accredited investors in the aggregate principal amount of $500,000 (the "</w:t>
      </w:r>
      <w:r>
        <w:rPr>
          <w:rFonts w:ascii="Times New Roman" w:hAnsi="Times New Roman"/>
          <w:i/>
          <w:sz w:val="20"/>
        </w:rPr>
        <w:t>Notes</w:t>
      </w:r>
      <w:r>
        <w:rPr>
          <w:rFonts w:ascii="Times New Roman" w:hAnsi="Times New Roman"/>
          <w:sz w:val="20"/>
        </w:rPr>
        <w:t>").  Each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Times New Roman" w:hAnsi="Times New Roman"/>
          <w:i/>
          <w:sz w:val="20"/>
        </w:rPr>
        <w:t>Qualified Financing Threshold</w:t>
      </w:r>
      <w:r>
        <w:rPr>
          <w:rFonts w:ascii="Times New Roman" w:hAnsi="Times New Roman"/>
          <w:sz w:val="20"/>
        </w:rPr>
        <w:t>”).  The holders of the Notes had the right to voluntarily convert the outstanding principal amount of the Notes and all accrued and unpaid interest (the “</w:t>
      </w:r>
      <w:r>
        <w:rPr>
          <w:rFonts w:ascii="Times New Roman" w:hAnsi="Times New Roman"/>
          <w:i/>
          <w:sz w:val="20"/>
        </w:rPr>
        <w:t>Outstanding Balance</w:t>
      </w:r>
      <w:r>
        <w:rPr>
          <w:rFonts w:ascii="Times New Roman" w:hAnsi="Times New Roman"/>
          <w:sz w:val="20"/>
        </w:rPr>
        <w:t>”) at any time prior to maturity into that number of restricted shares of the Company’s common stock equal to the Outstanding Balance, divided by $3.00 (the "</w:t>
      </w:r>
      <w:r>
        <w:rPr>
          <w:rFonts w:ascii="Times New Roman" w:hAnsi="Times New Roman"/>
          <w:i/>
          <w:sz w:val="20"/>
        </w:rPr>
        <w:t>Conversion Shares</w:t>
      </w:r>
      <w:r>
        <w:rPr>
          <w:rFonts w:ascii="Times New Roman" w:hAnsi="Times New Roman"/>
          <w:sz w:val="20"/>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Times New Roman" w:hAnsi="Times New Roman"/>
          <w:i/>
          <w:sz w:val="20"/>
        </w:rPr>
        <w:t>Qualified Financing</w:t>
      </w:r>
      <w:r>
        <w:rPr>
          <w:rFonts w:ascii="Times New Roman" w:hAnsi="Times New Roman"/>
          <w:sz w:val="20"/>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  The purchaser of each Note was issued a five-year warrant to purchase, for $2.75 per share, the number of restricted shares of the Company’s common stock equal to 150% of the total principal amount of the Notes purchased by such purchaser, divided by $2.75, resulting in the potential issuance of an aggregate of 272,724 restricted shares of the Company’s common stock upon exercise of the warrants (the “</w:t>
      </w:r>
      <w:r>
        <w:rPr>
          <w:rFonts w:ascii="Times New Roman" w:hAnsi="Times New Roman"/>
          <w:i/>
          <w:sz w:val="20"/>
        </w:rPr>
        <w:t>Warrant Shares</w:t>
      </w:r>
      <w:r>
        <w:rPr>
          <w:rFonts w:ascii="Times New Roman" w:hAnsi="Times New Roman"/>
          <w:sz w:val="20"/>
        </w:rPr>
        <w:t>”).  The warrants terminate, if not exercised, five years from the date of issuance.  The Company valued the warrants at a fair value of $1.99 per share on the date of issuance using the Black-Scholes option pricing model and the following assumptions:  fair value of common stock - $2.85; risk-free interest rate – 0.84%; volatility – 89.9%; contractual term – 5.00 years; dividend rate – 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allocated the proceeds from the Notes and associated warrants based on their relative fair values. The relative fair value attributable to the warrants was $260,076, which the Company recorded as a discount to the Notes and a corresponding credit to additional paid-in capital. The Company recorded an additional note discount of $235,084 for the fair value of the non-contingent beneficial conversion feature of the Notes.  The note discounts totaling $495,160 were to be amortized to interest expense using the effective interest method over the term of the Notes. The effective interest rate on the Notes at the date of issuance was 268.9% based on the stated interest rate, the amount of discount, and the term of the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entered into a Registration Rights Agreement with the purchasers of the February 2012 Notes pursuant to which the Company agreed to register for resale the Conversion Shares and the Warrant Shares.  The Company agreed to file a registration statement no later than ninety days from the February 28, 2012 closing date, or by May 28, 2012 (the “</w:t>
      </w:r>
      <w:r>
        <w:rPr>
          <w:rFonts w:ascii="Times New Roman" w:hAnsi="Times New Roman"/>
          <w:i/>
          <w:sz w:val="20"/>
        </w:rPr>
        <w:t>Filing Deadline</w:t>
      </w:r>
      <w:r>
        <w:rPr>
          <w:rFonts w:ascii="Times New Roman" w:hAnsi="Times New Roman"/>
          <w:sz w:val="20"/>
        </w:rPr>
        <w:t>”).  Should the Company not have filed the registration statement by the Filing Deadline or if the registration statement had not been declared effective by the agreed upon effectiveness deadline, the Company was required to make aggregate payments to the purchasers in an amount equal to 1% of the $500,000 aggregate face amount of the February 2012 Notes for each 30-day period following the Filing Deadline, or pro-rata portion thereof, with an aggregate limitation of $50,000.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3" w:name="PGBRK84"/>
      <w:bookmarkStart w:id="864" w:name="PGBRK84"/>
      <w:bookmarkEnd w:id="8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5" w:name="FTR84"/>
      <w:bookmarkStart w:id="866" w:name="FTR84"/>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67" w:name="GLFTR84"/>
      <w:bookmarkEnd w:id="8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8" w:name="PN84"/>
      <w:bookmarkEnd w:id="868"/>
      <w:r>
        <w:rPr>
          <w:rFonts w:ascii="Times New Roman" w:hAnsi="Times New Roman"/>
          <w:sz w:val="20"/>
        </w:rPr>
        <w:t>-83-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9" w:name="HDR84"/>
      <w:bookmarkStart w:id="870" w:name="HDR84"/>
      <w:bookmarkEnd w:id="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71" w:name="GLHDR84"/>
        <w:bookmarkEnd w:id="8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15, 2012, the holders of the February 2012 Notes entered into an Exchange Agreement with the Company (the "</w:t>
      </w:r>
      <w:r>
        <w:rPr>
          <w:rFonts w:ascii="Times New Roman" w:hAnsi="Times New Roman"/>
          <w:i/>
          <w:sz w:val="20"/>
        </w:rPr>
        <w:t>Exchange Agreement</w:t>
      </w:r>
      <w:r>
        <w:rPr>
          <w:rFonts w:ascii="Times New Roman" w:hAnsi="Times New Roman"/>
          <w:sz w:val="20"/>
        </w:rPr>
        <w:t>"). Under the terms of the Exchange Agreement, (i) the current amount due under the terms of the February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Times New Roman" w:hAnsi="Times New Roman"/>
          <w:i/>
          <w:sz w:val="20"/>
        </w:rPr>
        <w:t>Note Exchange Securities</w:t>
      </w:r>
      <w:r>
        <w:rPr>
          <w:rFonts w:ascii="Times New Roman" w:hAnsi="Times New Roman"/>
          <w:sz w:val="20"/>
        </w:rPr>
        <w:t>"); and (ii) the Registration Rights Agreement was terminated.  Additionally, the Company issued a five-year warrant to purchase 72,000 restricted shares of the Company’s common stock at an exercise price of $1.50 per share as partial compensation to an investment bank that had placed certain of the Notes. The Company recorded the issuance of the warrants with a charge to interest expense of $28,200 and a corresponding credit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determined that the exchange of the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Notes, including accrued interest, resulted in the recognition of $1,145,100 as a non-cash loss on early extinguishment of debt in the accompanying Consolidated Statements of Operations and Comprehensive Income for the year ended March 31, 2013.  The warrants issued to the investment bank were valued using the same assumptions as used for the warrants issued to the exchanging note 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Restructuring of Note Payable to Morrison &amp; Foerster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and Morrison &amp; Foerster LLP (“</w:t>
      </w:r>
      <w:r>
        <w:rPr>
          <w:rFonts w:ascii="Times New Roman" w:hAnsi="Times New Roman"/>
          <w:i/>
          <w:sz w:val="20"/>
        </w:rPr>
        <w:t>Morrison &amp; Foerster</w:t>
      </w:r>
      <w:r>
        <w:rPr>
          <w:rFonts w:ascii="Times New Roman" w:hAnsi="Times New Roman"/>
          <w:sz w:val="20"/>
        </w:rPr>
        <w:t>”), then the Company’s general corporate and and intellectual property counsel, amended a previously outstanding note (the “</w:t>
      </w:r>
      <w:r>
        <w:rPr>
          <w:rFonts w:ascii="Times New Roman" w:hAnsi="Times New Roman"/>
          <w:i/>
          <w:sz w:val="20"/>
        </w:rPr>
        <w:t>Original Note</w:t>
      </w:r>
      <w:r>
        <w:rPr>
          <w:rFonts w:ascii="Times New Roman" w:hAnsi="Times New Roman"/>
          <w:sz w:val="20"/>
        </w:rPr>
        <w:t>”) issued by the Company in payment of legal services (the “</w:t>
      </w:r>
      <w:r>
        <w:rPr>
          <w:rFonts w:ascii="Times New Roman" w:hAnsi="Times New Roman"/>
          <w:i/>
          <w:sz w:val="20"/>
        </w:rPr>
        <w:t>Amended Note</w:t>
      </w:r>
      <w:r>
        <w:rPr>
          <w:rFonts w:ascii="Times New Roman" w:hAnsi="Times New Roman"/>
          <w:sz w:val="20"/>
        </w:rPr>
        <w:t xml:space="preserve">”).  Under the Amended Note, the principal balance of the Original Note was increased to $2,200,000, </w:t>
      </w:r>
      <w:r>
        <w:rPr>
          <w:rFonts w:ascii="Times New Roman" w:hAnsi="Times New Roman"/>
          <w:sz w:val="20"/>
          <w:highlight w:val="white"/>
        </w:rPr>
        <w:t xml:space="preserve">interest accrued at the rate of 7.5% per annum, and the Company was required to make </w:t>
      </w:r>
      <w:r>
        <w:rPr>
          <w:rFonts w:ascii="Times New Roman" w:hAnsi="Times New Roman"/>
          <w:sz w:val="20"/>
        </w:rPr>
        <w:t>an additional payment of $100,000 within three business days of the date of the Amended Note. The Company made the required $100,000 payment in a timely manner.</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highlight w:val="white"/>
        </w:rPr>
        <w:t>On August 31, 2012, the Company restructured the Amended Note (the “</w:t>
      </w:r>
      <w:r>
        <w:rPr>
          <w:rFonts w:ascii="Times New Roman" w:hAnsi="Times New Roman"/>
          <w:i/>
          <w:sz w:val="20"/>
          <w:highlight w:val="white"/>
        </w:rPr>
        <w:t>Restructuring Agreement</w:t>
      </w:r>
      <w:r>
        <w:rPr>
          <w:rFonts w:ascii="Times New Roman" w:hAnsi="Times New Roman"/>
          <w:sz w:val="20"/>
          <w:highlight w:val="white"/>
        </w:rPr>
        <w:t>”).  Pursuant to the Restructuring Agreement, the Company issued to Morrison &amp; Foerster two new unsecured promissory notes to replace the Amended Note, one in the principal amount of $1,000,000 ("</w:t>
      </w:r>
      <w:r>
        <w:rPr>
          <w:rFonts w:ascii="Times New Roman" w:hAnsi="Times New Roman"/>
          <w:i/>
          <w:sz w:val="20"/>
          <w:highlight w:val="white"/>
        </w:rPr>
        <w:t>Replacement Note A</w:t>
      </w:r>
      <w:r>
        <w:rPr>
          <w:rFonts w:ascii="Times New Roman" w:hAnsi="Times New Roman"/>
          <w:sz w:val="20"/>
          <w:highlight w:val="white"/>
        </w:rPr>
        <w:t>") and the other in the principal amount of $1,379,400 ("</w:t>
      </w:r>
      <w:r>
        <w:rPr>
          <w:rFonts w:ascii="Times New Roman" w:hAnsi="Times New Roman"/>
          <w:i/>
          <w:sz w:val="20"/>
          <w:highlight w:val="white"/>
        </w:rPr>
        <w:t>Replacement Note B</w:t>
      </w:r>
      <w:r>
        <w:rPr>
          <w:rFonts w:ascii="Times New Roman" w:hAnsi="Times New Roman"/>
          <w:sz w:val="20"/>
          <w:highlight w:val="white"/>
        </w:rPr>
        <w:t>") (together, the "</w:t>
      </w:r>
      <w:r>
        <w:rPr>
          <w:rFonts w:ascii="Times New Roman" w:hAnsi="Times New Roman"/>
          <w:i/>
          <w:sz w:val="20"/>
          <w:highlight w:val="white"/>
        </w:rPr>
        <w:t>Replacement Notes</w:t>
      </w:r>
      <w:r>
        <w:rPr>
          <w:rFonts w:ascii="Times New Roman" w:hAnsi="Times New Roman"/>
          <w:sz w:val="20"/>
          <w:highlight w:val="white"/>
        </w:rPr>
        <w:t>"); amended an outstanding warrant to purchase restricted shares of the Company’s common stock (the “</w:t>
      </w:r>
      <w:r>
        <w:rPr>
          <w:rFonts w:ascii="Times New Roman" w:hAnsi="Times New Roman"/>
          <w:i/>
          <w:sz w:val="20"/>
          <w:highlight w:val="white"/>
        </w:rPr>
        <w:t>Amended M&amp;F Warrant”)</w:t>
      </w:r>
      <w:r>
        <w:rPr>
          <w:rFonts w:ascii="Times New Roman" w:hAnsi="Times New Roman"/>
          <w:sz w:val="20"/>
          <w:highlight w:val="white"/>
        </w:rPr>
        <w:t>; and issued a new warrant to purchase restricted shares of the Company’s common stock (the “</w:t>
      </w:r>
      <w:r>
        <w:rPr>
          <w:rFonts w:ascii="Times New Roman" w:hAnsi="Times New Roman"/>
          <w:i/>
          <w:sz w:val="20"/>
          <w:highlight w:val="white"/>
        </w:rPr>
        <w:t>New M&amp;F Warrant”).  </w:t>
      </w:r>
      <w:r>
        <w:rPr>
          <w:rFonts w:ascii="Times New Roman" w:hAnsi="Times New Roman"/>
          <w:sz w:val="20"/>
          <w:highlight w:val="white"/>
        </w:rPr>
        <w:t xml:space="preserve">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requires </w:t>
      </w:r>
      <w:r>
        <w:rPr>
          <w:rFonts w:ascii="Times New Roman" w:hAnsi="Times New Roman"/>
          <w:sz w:val="20"/>
        </w:rPr>
        <w:t>monthly payments of $15,000 per month through March 31, 2013, and $25,000 per month thereafter until maturity.  </w:t>
      </w:r>
      <w:r>
        <w:rPr>
          <w:rFonts w:ascii="Times New Roman" w:hAnsi="Times New Roman"/>
          <w:sz w:val="20"/>
          <w:highlight w:val="white"/>
        </w:rPr>
        <w:t>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2" w:name="PGBRK85"/>
      <w:bookmarkStart w:id="873" w:name="PGBRK85"/>
      <w:bookmarkEnd w:id="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4" w:name="FTR85"/>
      <w:bookmarkStart w:id="875" w:name="FTR85"/>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76" w:name="GLFTR85"/>
      <w:bookmarkEnd w:id="8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7" w:name="PN85"/>
      <w:bookmarkEnd w:id="877"/>
      <w:r>
        <w:rPr>
          <w:rFonts w:ascii="Times New Roman" w:hAnsi="Times New Roman"/>
          <w:sz w:val="20"/>
        </w:rPr>
        <w:t>-84-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8" w:name="HDR85"/>
      <w:bookmarkStart w:id="879" w:name="HDR85"/>
      <w:bookmarkEnd w:id="8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80" w:name="GLHDR85"/>
        <w:bookmarkEnd w:id="88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959"/>
        <w:gridCol w:w="114"/>
        <w:gridCol w:w="368"/>
        <w:gridCol w:w="1887"/>
        <w:gridCol w:w="284"/>
        <w:gridCol w:w="114"/>
        <w:gridCol w:w="381"/>
        <w:gridCol w:w="1861"/>
        <w:gridCol w:w="237"/>
      </w:tblGrid>
      <w:tr>
        <w:trPr/>
        <w:tc>
          <w:tcPr>
            <w:tcW w:w="4959"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4" w:type="dxa"/>
            <w:tcBorders/>
            <w:shd w:fill="auto" w:val="clear"/>
            <w:tcMar>
              <w:bottom w:w="0" w:type="dxa"/>
            </w:tcMar>
            <w:vAlign w:val="bottom"/>
          </w:tcPr>
          <w:p>
            <w:pPr>
              <w:pStyle w:val="TableContents"/>
              <w:spacing w:before="0" w:after="283"/>
              <w:jc w:val="left"/>
              <w:rPr/>
            </w:pPr>
            <w:r>
              <w:rPr/>
              <w:t xml:space="preserve">  </w:t>
            </w:r>
          </w:p>
        </w:tc>
        <w:tc>
          <w:tcPr>
            <w:tcW w:w="225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284" w:type="dxa"/>
            <w:tcBorders/>
            <w:shd w:fill="auto" w:val="clear"/>
            <w:tcMar>
              <w:bottom w:w="0" w:type="dxa"/>
            </w:tcMar>
            <w:vAlign w:val="bottom"/>
          </w:tcPr>
          <w:p>
            <w:pPr>
              <w:pStyle w:val="TableContents"/>
              <w:spacing w:before="0" w:after="283"/>
              <w:jc w:val="left"/>
              <w:rPr/>
            </w:pPr>
            <w:r>
              <w:rPr/>
              <w:t xml:space="preserve">  </w:t>
            </w:r>
          </w:p>
        </w:tc>
        <w:tc>
          <w:tcPr>
            <w:tcW w:w="114" w:type="dxa"/>
            <w:tcBorders/>
            <w:shd w:fill="auto" w:val="clear"/>
            <w:tcMar>
              <w:bottom w:w="0" w:type="dxa"/>
            </w:tcMar>
            <w:vAlign w:val="bottom"/>
          </w:tcPr>
          <w:p>
            <w:pPr>
              <w:pStyle w:val="TableContents"/>
              <w:spacing w:before="0" w:after="283"/>
              <w:jc w:val="left"/>
              <w:rPr/>
            </w:pPr>
            <w:r>
              <w:rPr/>
              <w:t xml:space="preserve">  </w:t>
            </w:r>
          </w:p>
        </w:tc>
        <w:tc>
          <w:tcPr>
            <w:tcW w:w="224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237" w:type="dxa"/>
            <w:tcBorders/>
            <w:shd w:fill="auto" w:val="clear"/>
            <w:tcMar>
              <w:bottom w:w="0" w:type="dxa"/>
            </w:tcMar>
            <w:vAlign w:val="bottom"/>
          </w:tcPr>
          <w:p>
            <w:pPr>
              <w:pStyle w:val="TableContents"/>
              <w:spacing w:before="0" w:after="283"/>
              <w:jc w:val="left"/>
              <w:rPr/>
            </w:pPr>
            <w:r>
              <w:rPr/>
              <w:t xml:space="preserve">  </w:t>
            </w:r>
          </w:p>
        </w:tc>
      </w:tr>
      <w:tr>
        <w:trPr/>
        <w:tc>
          <w:tcPr>
            <w:tcW w:w="49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4" w:type="dxa"/>
            <w:tcBorders/>
            <w:shd w:fill="CCEEFF" w:val="clear"/>
            <w:tcMar>
              <w:bottom w:w="0" w:type="dxa"/>
            </w:tcMar>
            <w:vAlign w:val="bottom"/>
          </w:tcPr>
          <w:p>
            <w:pPr>
              <w:pStyle w:val="TableContents"/>
              <w:spacing w:before="0" w:after="283"/>
              <w:rPr/>
            </w:pPr>
            <w:r>
              <w:rPr/>
              <w:t xml:space="preserve">  </w:t>
            </w:r>
          </w:p>
        </w:tc>
        <w:tc>
          <w:tcPr>
            <w:tcW w:w="36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8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0.94</w:t>
            </w:r>
          </w:p>
        </w:tc>
        <w:tc>
          <w:tcPr>
            <w:tcW w:w="284" w:type="dxa"/>
            <w:tcBorders/>
            <w:shd w:fill="CCEEFF" w:val="clear"/>
            <w:tcMar>
              <w:bottom w:w="0" w:type="dxa"/>
            </w:tcMar>
            <w:vAlign w:val="bottom"/>
          </w:tcPr>
          <w:p>
            <w:pPr>
              <w:pStyle w:val="TableContents"/>
              <w:spacing w:before="0" w:after="283"/>
              <w:rPr/>
            </w:pPr>
            <w:r>
              <w:rPr/>
              <w:t xml:space="preserve">  </w:t>
            </w:r>
          </w:p>
        </w:tc>
        <w:tc>
          <w:tcPr>
            <w:tcW w:w="114" w:type="dxa"/>
            <w:tcBorders/>
            <w:shd w:fill="CCEEFF" w:val="clear"/>
            <w:tcMar>
              <w:bottom w:w="0" w:type="dxa"/>
            </w:tcMar>
            <w:vAlign w:val="bottom"/>
          </w:tcPr>
          <w:p>
            <w:pPr>
              <w:pStyle w:val="TableContents"/>
              <w:spacing w:before="0" w:after="283"/>
              <w:rPr/>
            </w:pPr>
            <w:r>
              <w:rPr/>
              <w:t xml:space="preserve">  </w:t>
            </w:r>
          </w:p>
        </w:tc>
        <w:tc>
          <w:tcPr>
            <w:tcW w:w="38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6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0.94</w:t>
            </w:r>
          </w:p>
        </w:tc>
        <w:tc>
          <w:tcPr>
            <w:tcW w:w="237" w:type="dxa"/>
            <w:tcBorders/>
            <w:shd w:fill="CCEEFF" w:val="clear"/>
            <w:tcMar>
              <w:bottom w:w="0" w:type="dxa"/>
            </w:tcMar>
            <w:vAlign w:val="bottom"/>
          </w:tcPr>
          <w:p>
            <w:pPr>
              <w:pStyle w:val="TableContents"/>
              <w:spacing w:before="0" w:after="283"/>
              <w:rPr/>
            </w:pPr>
            <w:r>
              <w:rPr/>
              <w:t xml:space="preserve">  </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4" w:type="dxa"/>
            <w:tcBorders/>
            <w:shd w:fill="FFFFFF" w:val="clear"/>
            <w:tcMar>
              <w:bottom w:w="0" w:type="dxa"/>
            </w:tcMar>
            <w:vAlign w:val="bottom"/>
          </w:tcPr>
          <w:p>
            <w:pPr>
              <w:pStyle w:val="TableContents"/>
              <w:spacing w:before="0" w:after="283"/>
              <w:rPr/>
            </w:pPr>
            <w:r>
              <w:rPr/>
              <w:t xml:space="preserve">  </w:t>
            </w:r>
          </w:p>
        </w:tc>
        <w:tc>
          <w:tcPr>
            <w:tcW w:w="36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8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w:t>
            </w:r>
          </w:p>
        </w:tc>
        <w:tc>
          <w:tcPr>
            <w:tcW w:w="284" w:type="dxa"/>
            <w:tcBorders/>
            <w:shd w:fill="FFFFFF" w:val="clear"/>
            <w:tcMar>
              <w:bottom w:w="0" w:type="dxa"/>
            </w:tcMar>
            <w:vAlign w:val="bottom"/>
          </w:tcPr>
          <w:p>
            <w:pPr>
              <w:pStyle w:val="TableContents"/>
              <w:spacing w:before="0" w:after="283"/>
              <w:rPr/>
            </w:pPr>
            <w:r>
              <w:rPr/>
              <w:t xml:space="preserve">  </w:t>
            </w:r>
          </w:p>
        </w:tc>
        <w:tc>
          <w:tcPr>
            <w:tcW w:w="114" w:type="dxa"/>
            <w:tcBorders/>
            <w:shd w:fill="FFFFFF" w:val="clear"/>
            <w:tcMar>
              <w:bottom w:w="0" w:type="dxa"/>
            </w:tcMar>
            <w:vAlign w:val="bottom"/>
          </w:tcPr>
          <w:p>
            <w:pPr>
              <w:pStyle w:val="TableContents"/>
              <w:spacing w:before="0" w:after="283"/>
              <w:rPr/>
            </w:pPr>
            <w:r>
              <w:rPr/>
              <w:t xml:space="preserve">  </w:t>
            </w:r>
          </w:p>
        </w:tc>
        <w:tc>
          <w:tcPr>
            <w:tcW w:w="38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6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w:t>
            </w:r>
          </w:p>
        </w:tc>
        <w:tc>
          <w:tcPr>
            <w:tcW w:w="237" w:type="dxa"/>
            <w:tcBorders/>
            <w:shd w:fill="FFFFFF" w:val="clear"/>
            <w:tcMar>
              <w:bottom w:w="0" w:type="dxa"/>
            </w:tcMar>
            <w:vAlign w:val="bottom"/>
          </w:tcPr>
          <w:p>
            <w:pPr>
              <w:pStyle w:val="TableContents"/>
              <w:spacing w:before="0" w:after="283"/>
              <w:rPr/>
            </w:pPr>
            <w:r>
              <w:rPr/>
              <w:t xml:space="preserve">  </w:t>
            </w:r>
          </w:p>
        </w:tc>
      </w:tr>
      <w:tr>
        <w:trPr/>
        <w:tc>
          <w:tcPr>
            <w:tcW w:w="495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4" w:type="dxa"/>
            <w:tcBorders/>
            <w:shd w:fill="CCEEFF" w:val="clear"/>
            <w:tcMar>
              <w:bottom w:w="0" w:type="dxa"/>
            </w:tcMar>
            <w:vAlign w:val="bottom"/>
          </w:tcPr>
          <w:p>
            <w:pPr>
              <w:pStyle w:val="TableContents"/>
              <w:spacing w:before="0" w:after="283"/>
              <w:rPr/>
            </w:pPr>
            <w:r>
              <w:rPr/>
              <w:t xml:space="preserve">  </w:t>
            </w:r>
          </w:p>
        </w:tc>
        <w:tc>
          <w:tcPr>
            <w:tcW w:w="368" w:type="dxa"/>
            <w:tcBorders/>
            <w:shd w:fill="CCEEFF" w:val="clear"/>
            <w:tcMar>
              <w:bottom w:w="0" w:type="dxa"/>
            </w:tcMar>
            <w:vAlign w:val="bottom"/>
          </w:tcPr>
          <w:p>
            <w:pPr>
              <w:pStyle w:val="TableContents"/>
              <w:spacing w:before="0" w:after="283"/>
              <w:rPr/>
            </w:pPr>
            <w:r>
              <w:rPr/>
              <w:t xml:space="preserve">  </w:t>
            </w:r>
          </w:p>
        </w:tc>
        <w:tc>
          <w:tcPr>
            <w:tcW w:w="188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0.25</w:t>
            </w:r>
          </w:p>
        </w:tc>
        <w:tc>
          <w:tcPr>
            <w:tcW w:w="28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rPr/>
            </w:pPr>
            <w:r>
              <w:rPr/>
              <w:t xml:space="preserve">  </w:t>
            </w:r>
          </w:p>
        </w:tc>
        <w:tc>
          <w:tcPr>
            <w:tcW w:w="381" w:type="dxa"/>
            <w:tcBorders/>
            <w:shd w:fill="CCEEFF" w:val="clear"/>
            <w:tcMar>
              <w:bottom w:w="0" w:type="dxa"/>
            </w:tcMar>
            <w:vAlign w:val="bottom"/>
          </w:tcPr>
          <w:p>
            <w:pPr>
              <w:pStyle w:val="TableContents"/>
              <w:spacing w:before="0" w:after="283"/>
              <w:rPr/>
            </w:pPr>
            <w:r>
              <w:rPr/>
              <w:t xml:space="preserve">  </w:t>
            </w:r>
          </w:p>
        </w:tc>
        <w:tc>
          <w:tcPr>
            <w:tcW w:w="186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0.60</w:t>
            </w:r>
          </w:p>
        </w:tc>
        <w:tc>
          <w:tcPr>
            <w:tcW w:w="237"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w:t>
            </w:r>
          </w:p>
        </w:tc>
        <w:tc>
          <w:tcPr>
            <w:tcW w:w="114" w:type="dxa"/>
            <w:tcBorders/>
            <w:shd w:fill="FFFFFF" w:val="clear"/>
            <w:tcMar>
              <w:bottom w:w="0" w:type="dxa"/>
            </w:tcMar>
            <w:vAlign w:val="bottom"/>
          </w:tcPr>
          <w:p>
            <w:pPr>
              <w:pStyle w:val="TableContents"/>
              <w:spacing w:before="0" w:after="283"/>
              <w:rPr/>
            </w:pPr>
            <w:r>
              <w:rPr/>
              <w:t xml:space="preserve">  </w:t>
            </w:r>
          </w:p>
        </w:tc>
        <w:tc>
          <w:tcPr>
            <w:tcW w:w="368" w:type="dxa"/>
            <w:tcBorders/>
            <w:shd w:fill="FFFFFF" w:val="clear"/>
            <w:tcMar>
              <w:bottom w:w="0" w:type="dxa"/>
            </w:tcMar>
            <w:vAlign w:val="bottom"/>
          </w:tcPr>
          <w:p>
            <w:pPr>
              <w:pStyle w:val="TableContents"/>
              <w:spacing w:before="0" w:after="283"/>
              <w:rPr/>
            </w:pPr>
            <w:r>
              <w:rPr/>
              <w:t xml:space="preserve">  </w:t>
            </w:r>
          </w:p>
        </w:tc>
        <w:tc>
          <w:tcPr>
            <w:tcW w:w="188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2.33</w:t>
            </w:r>
          </w:p>
        </w:tc>
        <w:tc>
          <w:tcPr>
            <w:tcW w:w="284" w:type="dxa"/>
            <w:tcBorders/>
            <w:shd w:fill="FFFFFF" w:val="clear"/>
            <w:tcMar>
              <w:bottom w:w="0" w:type="dxa"/>
            </w:tcMar>
            <w:vAlign w:val="bottom"/>
          </w:tcPr>
          <w:p>
            <w:pPr>
              <w:pStyle w:val="TableContents"/>
              <w:spacing w:before="0" w:after="283"/>
              <w:rPr/>
            </w:pPr>
            <w:r>
              <w:rPr/>
              <w:t xml:space="preserve">  </w:t>
            </w:r>
          </w:p>
        </w:tc>
        <w:tc>
          <w:tcPr>
            <w:tcW w:w="114" w:type="dxa"/>
            <w:tcBorders/>
            <w:shd w:fill="FFFFFF" w:val="clear"/>
            <w:tcMar>
              <w:bottom w:w="0" w:type="dxa"/>
            </w:tcMar>
            <w:vAlign w:val="bottom"/>
          </w:tcPr>
          <w:p>
            <w:pPr>
              <w:pStyle w:val="TableContents"/>
              <w:spacing w:before="0" w:after="283"/>
              <w:rPr/>
            </w:pPr>
            <w:r>
              <w:rPr/>
              <w:t xml:space="preserve">  </w:t>
            </w:r>
          </w:p>
        </w:tc>
        <w:tc>
          <w:tcPr>
            <w:tcW w:w="381" w:type="dxa"/>
            <w:tcBorders/>
            <w:shd w:fill="FFFFFF" w:val="clear"/>
            <w:tcMar>
              <w:bottom w:w="0" w:type="dxa"/>
            </w:tcMar>
            <w:vAlign w:val="bottom"/>
          </w:tcPr>
          <w:p>
            <w:pPr>
              <w:pStyle w:val="TableContents"/>
              <w:spacing w:before="0" w:after="283"/>
              <w:rPr/>
            </w:pPr>
            <w:r>
              <w:rPr/>
              <w:t xml:space="preserve">  </w:t>
            </w:r>
          </w:p>
        </w:tc>
        <w:tc>
          <w:tcPr>
            <w:tcW w:w="186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5.04</w:t>
            </w:r>
          </w:p>
        </w:tc>
        <w:tc>
          <w:tcPr>
            <w:tcW w:w="237" w:type="dxa"/>
            <w:tcBorders/>
            <w:shd w:fill="FFFFFF" w:val="clear"/>
            <w:tcMar>
              <w:bottom w:w="0" w:type="dxa"/>
            </w:tcMar>
            <w:vAlign w:val="bottom"/>
          </w:tcPr>
          <w:p>
            <w:pPr>
              <w:pStyle w:val="TableContents"/>
              <w:spacing w:before="0" w:after="283"/>
              <w:rPr/>
            </w:pPr>
            <w:r>
              <w:rPr/>
              <w:t xml:space="preserve">  </w:t>
            </w:r>
          </w:p>
        </w:tc>
      </w:tr>
      <w:tr>
        <w:trPr/>
        <w:tc>
          <w:tcPr>
            <w:tcW w:w="49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4" w:type="dxa"/>
            <w:tcBorders/>
            <w:shd w:fill="CCEEFF" w:val="clear"/>
            <w:tcMar>
              <w:bottom w:w="0" w:type="dxa"/>
            </w:tcMar>
            <w:vAlign w:val="bottom"/>
          </w:tcPr>
          <w:p>
            <w:pPr>
              <w:pStyle w:val="TableContents"/>
              <w:spacing w:before="0" w:after="283"/>
              <w:rPr/>
            </w:pPr>
            <w:r>
              <w:rPr/>
              <w:t xml:space="preserve">  </w:t>
            </w:r>
          </w:p>
        </w:tc>
        <w:tc>
          <w:tcPr>
            <w:tcW w:w="368" w:type="dxa"/>
            <w:tcBorders/>
            <w:shd w:fill="CCEEFF" w:val="clear"/>
            <w:tcMar>
              <w:bottom w:w="0" w:type="dxa"/>
            </w:tcMar>
            <w:vAlign w:val="bottom"/>
          </w:tcPr>
          <w:p>
            <w:pPr>
              <w:pStyle w:val="TableContents"/>
              <w:spacing w:before="0" w:after="283"/>
              <w:rPr/>
            </w:pPr>
            <w:r>
              <w:rPr/>
              <w:t xml:space="preserve">  </w:t>
            </w:r>
          </w:p>
        </w:tc>
        <w:tc>
          <w:tcPr>
            <w:tcW w:w="188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77.9</w:t>
            </w:r>
          </w:p>
        </w:tc>
        <w:tc>
          <w:tcPr>
            <w:tcW w:w="284"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rPr/>
            </w:pPr>
            <w:r>
              <w:rPr/>
              <w:t xml:space="preserve">  </w:t>
            </w:r>
          </w:p>
        </w:tc>
        <w:tc>
          <w:tcPr>
            <w:tcW w:w="381" w:type="dxa"/>
            <w:tcBorders/>
            <w:shd w:fill="CCEEFF" w:val="clear"/>
            <w:tcMar>
              <w:bottom w:w="0" w:type="dxa"/>
            </w:tcMar>
            <w:vAlign w:val="bottom"/>
          </w:tcPr>
          <w:p>
            <w:pPr>
              <w:pStyle w:val="TableContents"/>
              <w:spacing w:before="0" w:after="283"/>
              <w:rPr/>
            </w:pPr>
            <w:r>
              <w:rPr/>
              <w:t xml:space="preserve">  </w:t>
            </w:r>
          </w:p>
        </w:tc>
        <w:tc>
          <w:tcPr>
            <w:tcW w:w="186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88.8</w:t>
            </w:r>
          </w:p>
        </w:tc>
        <w:tc>
          <w:tcPr>
            <w:tcW w:w="237"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4" w:type="dxa"/>
            <w:tcBorders/>
            <w:shd w:fill="FFFFFF" w:val="clear"/>
            <w:tcMar>
              <w:bottom w:w="0" w:type="dxa"/>
            </w:tcMar>
            <w:vAlign w:val="bottom"/>
          </w:tcPr>
          <w:p>
            <w:pPr>
              <w:pStyle w:val="TableContents"/>
              <w:spacing w:before="0" w:after="283"/>
              <w:rPr/>
            </w:pPr>
            <w:r>
              <w:rPr/>
              <w:t xml:space="preserve">  </w:t>
            </w:r>
          </w:p>
        </w:tc>
        <w:tc>
          <w:tcPr>
            <w:tcW w:w="368" w:type="dxa"/>
            <w:tcBorders/>
            <w:shd w:fill="FFFFFF" w:val="clear"/>
            <w:tcMar>
              <w:bottom w:w="0" w:type="dxa"/>
            </w:tcMar>
            <w:vAlign w:val="bottom"/>
          </w:tcPr>
          <w:p>
            <w:pPr>
              <w:pStyle w:val="TableContents"/>
              <w:spacing w:before="0" w:after="283"/>
              <w:rPr/>
            </w:pPr>
            <w:r>
              <w:rPr/>
              <w:t xml:space="preserve">  </w:t>
            </w:r>
          </w:p>
        </w:tc>
        <w:tc>
          <w:tcPr>
            <w:tcW w:w="188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84"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rPr/>
            </w:pPr>
            <w:r>
              <w:rPr/>
              <w:t xml:space="preserve">  </w:t>
            </w:r>
          </w:p>
        </w:tc>
        <w:tc>
          <w:tcPr>
            <w:tcW w:w="381" w:type="dxa"/>
            <w:tcBorders/>
            <w:shd w:fill="FFFFFF" w:val="clear"/>
            <w:tcMar>
              <w:bottom w:w="0" w:type="dxa"/>
            </w:tcMar>
            <w:vAlign w:val="bottom"/>
          </w:tcPr>
          <w:p>
            <w:pPr>
              <w:pStyle w:val="TableContents"/>
              <w:spacing w:before="0" w:after="283"/>
              <w:rPr/>
            </w:pPr>
            <w:r>
              <w:rPr/>
              <w:t xml:space="preserve">  </w:t>
            </w:r>
          </w:p>
        </w:tc>
        <w:tc>
          <w:tcPr>
            <w:tcW w:w="186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37"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9" w:type="dxa"/>
            <w:tcBorders/>
            <w:shd w:fill="CCEEFF" w:val="clear"/>
            <w:tcMar>
              <w:bottom w:w="0" w:type="dxa"/>
            </w:tcMar>
            <w:vAlign w:val="bottom"/>
          </w:tcPr>
          <w:p>
            <w:pPr>
              <w:pStyle w:val="TableContents"/>
              <w:spacing w:before="0" w:after="283"/>
              <w:rPr/>
            </w:pPr>
            <w:r>
              <w:rPr/>
              <w:t xml:space="preserve">  </w:t>
            </w:r>
          </w:p>
        </w:tc>
        <w:tc>
          <w:tcPr>
            <w:tcW w:w="114" w:type="dxa"/>
            <w:tcBorders/>
            <w:shd w:fill="CCEEFF" w:val="clear"/>
            <w:tcMar>
              <w:bottom w:w="0" w:type="dxa"/>
            </w:tcMar>
            <w:vAlign w:val="bottom"/>
          </w:tcPr>
          <w:p>
            <w:pPr>
              <w:pStyle w:val="TableContents"/>
              <w:spacing w:before="0" w:after="283"/>
              <w:rPr/>
            </w:pPr>
            <w:r>
              <w:rPr/>
              <w:t xml:space="preserve">  </w:t>
            </w:r>
          </w:p>
        </w:tc>
        <w:tc>
          <w:tcPr>
            <w:tcW w:w="368" w:type="dxa"/>
            <w:tcBorders/>
            <w:shd w:fill="CCEEFF" w:val="clear"/>
            <w:tcMar>
              <w:bottom w:w="0" w:type="dxa"/>
            </w:tcMar>
            <w:vAlign w:val="bottom"/>
          </w:tcPr>
          <w:p>
            <w:pPr>
              <w:pStyle w:val="TableContents"/>
              <w:spacing w:before="0" w:after="283"/>
              <w:rPr/>
            </w:pPr>
            <w:r>
              <w:rPr/>
              <w:t xml:space="preserve">  </w:t>
            </w:r>
          </w:p>
        </w:tc>
        <w:tc>
          <w:tcPr>
            <w:tcW w:w="1887" w:type="dxa"/>
            <w:tcBorders/>
            <w:shd w:fill="CCEEFF" w:val="clear"/>
            <w:tcMar>
              <w:bottom w:w="0" w:type="dxa"/>
            </w:tcMar>
            <w:vAlign w:val="bottom"/>
          </w:tcPr>
          <w:p>
            <w:pPr>
              <w:pStyle w:val="TableContents"/>
              <w:spacing w:before="0" w:after="283"/>
              <w:rPr/>
            </w:pPr>
            <w:r>
              <w:rPr/>
              <w:t xml:space="preserve">  </w:t>
            </w:r>
          </w:p>
        </w:tc>
        <w:tc>
          <w:tcPr>
            <w:tcW w:w="284" w:type="dxa"/>
            <w:tcBorders/>
            <w:shd w:fill="CCEEFF" w:val="clear"/>
            <w:tcMar>
              <w:bottom w:w="0" w:type="dxa"/>
            </w:tcMar>
            <w:vAlign w:val="bottom"/>
          </w:tcPr>
          <w:p>
            <w:pPr>
              <w:pStyle w:val="TableContents"/>
              <w:spacing w:before="0" w:after="283"/>
              <w:rPr/>
            </w:pPr>
            <w:r>
              <w:rPr/>
              <w:t xml:space="preserve">  </w:t>
            </w:r>
          </w:p>
        </w:tc>
        <w:tc>
          <w:tcPr>
            <w:tcW w:w="114" w:type="dxa"/>
            <w:tcBorders/>
            <w:shd w:fill="CCEEFF" w:val="clear"/>
            <w:tcMar>
              <w:bottom w:w="0" w:type="dxa"/>
            </w:tcMar>
            <w:vAlign w:val="bottom"/>
          </w:tcPr>
          <w:p>
            <w:pPr>
              <w:pStyle w:val="TableContents"/>
              <w:spacing w:before="0" w:after="283"/>
              <w:rPr/>
            </w:pPr>
            <w:r>
              <w:rPr/>
              <w:t xml:space="preserve">  </w:t>
            </w:r>
          </w:p>
        </w:tc>
        <w:tc>
          <w:tcPr>
            <w:tcW w:w="381" w:type="dxa"/>
            <w:tcBorders/>
            <w:shd w:fill="CCEEFF" w:val="clear"/>
            <w:tcMar>
              <w:bottom w:w="0" w:type="dxa"/>
            </w:tcMar>
            <w:vAlign w:val="bottom"/>
          </w:tcPr>
          <w:p>
            <w:pPr>
              <w:pStyle w:val="TableContents"/>
              <w:spacing w:before="0" w:after="283"/>
              <w:rPr/>
            </w:pPr>
            <w:r>
              <w:rPr/>
              <w:t xml:space="preserve">  </w:t>
            </w:r>
          </w:p>
        </w:tc>
        <w:tc>
          <w:tcPr>
            <w:tcW w:w="1861" w:type="dxa"/>
            <w:tcBorders/>
            <w:shd w:fill="CCEEFF" w:val="clear"/>
            <w:tcMar>
              <w:bottom w:w="0" w:type="dxa"/>
            </w:tcMar>
            <w:vAlign w:val="bottom"/>
          </w:tcPr>
          <w:p>
            <w:pPr>
              <w:pStyle w:val="TableContents"/>
              <w:spacing w:before="0" w:after="283"/>
              <w:rPr/>
            </w:pPr>
            <w:r>
              <w:rPr/>
              <w:t xml:space="preserve">  </w:t>
            </w:r>
          </w:p>
        </w:tc>
        <w:tc>
          <w:tcPr>
            <w:tcW w:w="237" w:type="dxa"/>
            <w:tcBorders/>
            <w:shd w:fill="CCEEFF" w:val="clear"/>
            <w:tcMar>
              <w:bottom w:w="0" w:type="dxa"/>
            </w:tcMar>
            <w:vAlign w:val="bottom"/>
          </w:tcPr>
          <w:p>
            <w:pPr>
              <w:pStyle w:val="TableContents"/>
              <w:spacing w:before="0" w:after="283"/>
              <w:rPr/>
            </w:pPr>
            <w:r>
              <w:rPr/>
              <w:t xml:space="preserve">  </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4" w:type="dxa"/>
            <w:tcBorders/>
            <w:shd w:fill="FFFFFF" w:val="clear"/>
            <w:tcMar>
              <w:bottom w:w="0" w:type="dxa"/>
            </w:tcMar>
            <w:vAlign w:val="bottom"/>
          </w:tcPr>
          <w:p>
            <w:pPr>
              <w:pStyle w:val="TableContents"/>
              <w:spacing w:before="0" w:after="283"/>
              <w:rPr/>
            </w:pPr>
            <w:r>
              <w:rPr/>
              <w:t xml:space="preserve">  </w:t>
            </w:r>
          </w:p>
        </w:tc>
        <w:tc>
          <w:tcPr>
            <w:tcW w:w="368"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887"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0.24</w:t>
            </w:r>
          </w:p>
        </w:tc>
        <w:tc>
          <w:tcPr>
            <w:tcW w:w="284" w:type="dxa"/>
            <w:tcBorders/>
            <w:shd w:fill="FFFFFF" w:val="clear"/>
            <w:tcMar>
              <w:bottom w:w="0" w:type="dxa"/>
            </w:tcMar>
            <w:vAlign w:val="bottom"/>
          </w:tcPr>
          <w:p>
            <w:pPr>
              <w:pStyle w:val="TableContents"/>
              <w:spacing w:before="0" w:after="283"/>
              <w:rPr/>
            </w:pPr>
            <w:r>
              <w:rPr/>
              <w:t xml:space="preserve">  </w:t>
            </w:r>
          </w:p>
        </w:tc>
        <w:tc>
          <w:tcPr>
            <w:tcW w:w="114" w:type="dxa"/>
            <w:tcBorders/>
            <w:shd w:fill="FFFFFF" w:val="clear"/>
            <w:tcMar>
              <w:bottom w:w="0" w:type="dxa"/>
            </w:tcMar>
            <w:vAlign w:val="bottom"/>
          </w:tcPr>
          <w:p>
            <w:pPr>
              <w:pStyle w:val="TableContents"/>
              <w:spacing w:before="0" w:after="283"/>
              <w:rPr/>
            </w:pPr>
            <w:r>
              <w:rPr/>
              <w:t xml:space="preserve">  </w:t>
            </w:r>
          </w:p>
        </w:tc>
        <w:tc>
          <w:tcPr>
            <w:tcW w:w="381"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861"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0.52</w:t>
            </w:r>
          </w:p>
        </w:tc>
        <w:tc>
          <w:tcPr>
            <w:tcW w:w="237"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2013, the Company has adjusted the New M&amp;F Warrant to increase the number of restricted shares available for purchase by 60,088 shares, based on interest accrued on Replacement Note B through that date. The Company has recorded the fair value of the additional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Restructuring of Accounts Payable to Cato Research Ltd. (“</w:t>
      </w:r>
      <w:r>
        <w:rPr>
          <w:rFonts w:ascii="Times New Roman" w:hAnsi="Times New Roman"/>
          <w:b/>
          <w:i/>
          <w:sz w:val="20"/>
        </w:rPr>
        <w:t>CRL</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10, 2012, the Company issued to CRL,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hAnsi="Times New Roman"/>
          <w:i/>
          <w:sz w:val="20"/>
        </w:rPr>
        <w:t>CRL Note</w:t>
      </w:r>
      <w:r>
        <w:rPr>
          <w:rFonts w:ascii="Times New Roman" w:hAnsi="Times New Roman"/>
          <w:sz w:val="20"/>
        </w:rPr>
        <w:t>”),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hAnsi="Times New Roman"/>
          <w:i/>
          <w:sz w:val="20"/>
        </w:rPr>
        <w:t>CRL Warrant</w:t>
      </w:r>
      <w:r>
        <w:rPr>
          <w:rFonts w:ascii="Times New Roman" w:hAnsi="Times New Roman"/>
          <w:sz w:val="20"/>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1" w:name="PGBRK86"/>
      <w:bookmarkStart w:id="882" w:name="PGBRK86"/>
      <w:bookmarkEnd w:id="8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3" w:name="FTR86"/>
      <w:bookmarkStart w:id="884" w:name="FTR86"/>
      <w:bookmarkEnd w:id="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85" w:name="GLFTR86"/>
      <w:bookmarkEnd w:id="8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6" w:name="PN86"/>
      <w:bookmarkEnd w:id="886"/>
      <w:r>
        <w:rPr>
          <w:rFonts w:ascii="Times New Roman" w:hAnsi="Times New Roman"/>
          <w:sz w:val="20"/>
        </w:rPr>
        <w:t>-85-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7" w:name="HDR86"/>
      <w:bookmarkStart w:id="888" w:name="HDR86"/>
      <w:bookmarkEnd w:id="8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89" w:name="GLHDR86"/>
        <w:bookmarkEnd w:id="88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2013, the Company has adjusted the CRL Warrant to increase the number of restricted shares available for purchase by 36,188 shares, based on interest accrued on the CRL Note through that date. The Company has recorded the fair value of the additional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Issuance and Restructuring of Long-Term Promissory Note to Cato Holding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2011, all amounts owed by the Company to Cato Holding Company ("</w:t>
      </w:r>
      <w:r>
        <w:rPr>
          <w:rFonts w:ascii="Times New Roman" w:hAnsi="Times New Roman"/>
          <w:i/>
          <w:sz w:val="20"/>
        </w:rPr>
        <w:t>CHC</w:t>
      </w:r>
      <w:r>
        <w:rPr>
          <w:rFonts w:ascii="Times New Roman" w:hAnsi="Times New Roman"/>
          <w:sz w:val="20"/>
        </w:rPr>
        <w:t>") and its affiliates, which included the $105,000 balance of an August 2010 Short-Term Note issued to Cato BioVentures, were consolidated into a single note, in the principal amount of $352,273 (the “</w:t>
      </w:r>
      <w:r>
        <w:rPr>
          <w:rFonts w:ascii="Times New Roman" w:hAnsi="Times New Roman"/>
          <w:i/>
          <w:sz w:val="20"/>
        </w:rPr>
        <w:t>2011 CHC Note</w:t>
      </w:r>
      <w:r>
        <w:rPr>
          <w:rFonts w:ascii="Times New Roman" w:hAnsi="Times New Roman"/>
          <w:sz w:val="20"/>
        </w:rPr>
        <w:t>”).  Concurrently, CHC released all of its security interests in certain of the Company’s personal property.  The 2011 CHC note accrued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10, 2012, the Company and CHC restructured the 2011 CHC Note.  The 2011 CHC Note was cancelled and exchanged for a new unsecured promissory note in the principal amount of $310,443 (the “</w:t>
      </w:r>
      <w:r>
        <w:rPr>
          <w:rFonts w:ascii="Times New Roman" w:hAnsi="Times New Roman"/>
          <w:i/>
          <w:sz w:val="20"/>
        </w:rPr>
        <w:t>2012 CHC Note</w:t>
      </w:r>
      <w:r>
        <w:rPr>
          <w:rFonts w:ascii="Times New Roman" w:hAnsi="Times New Roman"/>
          <w:sz w:val="20"/>
        </w:rPr>
        <w:t>”) and a five-year warrant to purchase 250,000 restricted shares of the Company’s common stock at a price of $1.50 per share (the “</w:t>
      </w:r>
      <w:r>
        <w:rPr>
          <w:rFonts w:ascii="Times New Roman" w:hAnsi="Times New Roman"/>
          <w:i/>
          <w:sz w:val="20"/>
        </w:rPr>
        <w:t>CHC Warrant</w:t>
      </w:r>
      <w:r>
        <w:rPr>
          <w:rFonts w:ascii="Times New Roman" w:hAnsi="Times New Roman"/>
          <w:sz w:val="20"/>
        </w:rPr>
        <w:t>”).  The 2012 CHC Note accrues interest at a rate of 7.5% per annum and is due and payable in monthly installments of $10,000, beginning November 1, 2012 and continuing until the outstanding balance is paid in full.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$120,462,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$120,462, which is treated as an equity instrument, was credited to additional paid in capital at the issuance date. The difference between the face value of the 2012 CHC Note and its fair value, $19,343, has been treated as a discount to the note and is being amortized over the term of the note using the interest method, resulting in an effective interest rate of 11.9% on the CHC 2012 Note.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0" w:name="PGBRK87"/>
      <w:bookmarkStart w:id="891" w:name="PGBRK87"/>
      <w:bookmarkEnd w:id="8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2" w:name="FTR87"/>
      <w:bookmarkStart w:id="893" w:name="FTR87"/>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4" w:name="GLFTR87"/>
      <w:bookmarkEnd w:id="8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5" w:name="PN87"/>
      <w:bookmarkEnd w:id="895"/>
      <w:r>
        <w:rPr>
          <w:rFonts w:ascii="Times New Roman" w:hAnsi="Times New Roman"/>
          <w:sz w:val="20"/>
        </w:rPr>
        <w:t>-86-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6" w:name="HDR87"/>
      <w:bookmarkStart w:id="897" w:name="HDR87"/>
      <w:bookmarkEnd w:id="8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98" w:name="GLHDR87"/>
        <w:bookmarkEnd w:id="89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Restructuring of Accounts Payable to University Health Network (“</w:t>
      </w:r>
      <w:r>
        <w:rPr>
          <w:rFonts w:ascii="Times New Roman" w:hAnsi="Times New Roman"/>
          <w:b/>
          <w:i/>
          <w:sz w:val="20"/>
        </w:rPr>
        <w:t>UHN</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Times New Roman" w:hAnsi="Times New Roman"/>
          <w:i/>
          <w:sz w:val="20"/>
        </w:rPr>
        <w:t>UHN Note</w:t>
      </w:r>
      <w:r>
        <w:rPr>
          <w:rFonts w:ascii="Times New Roman" w:hAnsi="Times New Roman"/>
          <w:sz w:val="20"/>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hAnsi="Times New Roman"/>
          <w:i/>
          <w:sz w:val="20"/>
        </w:rPr>
        <w:t>UHN Warrant</w:t>
      </w:r>
      <w:r>
        <w:rPr>
          <w:rFonts w:ascii="Times New Roman" w:hAnsi="Times New Roman"/>
          <w:sz w:val="20"/>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2013, the Company has adjusted the UHN Warrant to increase the number of restricted shares available for purchase by 19,421 shares, based on interest accrued on the UHN Note through that date. The Company has recorded the fair value of the additional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Issuance of Long-Term Notes and Cancellation of Amounts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25, 2011, the Company issued to Burr, Pilger, and Mayer, LLC (“</w:t>
      </w:r>
      <w:r>
        <w:rPr>
          <w:rFonts w:ascii="Times New Roman" w:hAnsi="Times New Roman"/>
          <w:i/>
          <w:sz w:val="20"/>
        </w:rPr>
        <w:t>BPM</w:t>
      </w:r>
      <w:r>
        <w:rPr>
          <w:rFonts w:ascii="Times New Roman" w:hAnsi="Times New Roman"/>
          <w:sz w:val="20"/>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29, 2011, the Company issued to Desjardins Securities, Inc. (“</w:t>
      </w:r>
      <w:r>
        <w:rPr>
          <w:rFonts w:ascii="Times New Roman" w:hAnsi="Times New Roman"/>
          <w:i/>
          <w:sz w:val="20"/>
        </w:rPr>
        <w:t>Desjardins</w:t>
      </w:r>
      <w:r>
        <w:rPr>
          <w:rFonts w:ascii="Times New Roman" w:hAnsi="Times New Roman"/>
          <w:sz w:val="20"/>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9" w:name="PGBRK88"/>
      <w:bookmarkStart w:id="900" w:name="PGBRK88"/>
      <w:bookmarkEnd w:id="9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1" w:name="FTR88"/>
      <w:bookmarkStart w:id="902" w:name="FTR88"/>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03" w:name="GLFTR88"/>
      <w:bookmarkEnd w:id="9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4" w:name="PN88"/>
      <w:bookmarkEnd w:id="904"/>
      <w:r>
        <w:rPr>
          <w:rFonts w:ascii="Times New Roman" w:hAnsi="Times New Roman"/>
          <w:sz w:val="20"/>
        </w:rPr>
        <w:t>-87-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5" w:name="HDR88"/>
      <w:bookmarkStart w:id="906" w:name="HDR88"/>
      <w:bookmarkEnd w:id="9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07" w:name="GLHDR88"/>
        <w:bookmarkEnd w:id="9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issued to McCarthy Tetrault LLP (“</w:t>
      </w:r>
      <w:r>
        <w:rPr>
          <w:rFonts w:ascii="Times New Roman" w:hAnsi="Times New Roman"/>
          <w:i/>
          <w:sz w:val="20"/>
        </w:rPr>
        <w:t>McCarthy</w:t>
      </w:r>
      <w:r>
        <w:rPr>
          <w:rFonts w:ascii="Times New Roman" w:hAnsi="Times New Roman"/>
          <w:sz w:val="20"/>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August 2010 Short-Term Note Converted to 7% Note Payable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2010, the Company issued short-term, (the “</w:t>
      </w:r>
      <w:r>
        <w:rPr>
          <w:rFonts w:ascii="Times New Roman" w:hAnsi="Times New Roman"/>
          <w:i/>
          <w:sz w:val="20"/>
        </w:rPr>
        <w:t>August 2010 Short-Term Notes</w:t>
      </w:r>
      <w:r>
        <w:rPr>
          <w:rFonts w:ascii="Times New Roman" w:hAnsi="Times New Roman"/>
          <w:sz w:val="20"/>
        </w:rPr>
        <w:t>”) having an aggregate principal amount, as adjusted, of $1,120,000.  In May 2011, a total of $840,000 of the aggregate principal amount of the August 2010 Short-Term Notes were converted into Units consisting of restricted shares of the Company’s common stock and three-year warrants to purchase restricted shares of the Company’s common stock at an exercise price of $2.50 per share.  Of the remaining balance of the August 2010 Short Term Notes; $105,000 of such amount was converted into a long-term note issued to Cato Holding Company, doing business as Cato BioVentures; and $175,000 of such amount was amended into a note bearing interest at 7% per annum, as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2011, the Company and the holder of a non-interest bearing, unsecured promissory note issued in August 2010 in the face amount of  $175,000 amended the note, whereby the Company paid $50,000 of the note balance in May 2011 and was to make four monthly payments of $5,000 between May 2011 and August 2011, an additional nine monthly payments of $11,125 per month for the period from September 1, 2011 through May 1, 2012, plus a final payment on May 2, 2012 equal to any remaining balance.  In September 2011, the Company and the holder agreed to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For strategic purposes, the Company did not make the February 2012 and March 2012 payments as scheduled. In March 2012, the Company and the note holder again agreed to modify the payment schedule to require seven monthly payments of $9,171 beginning June 1, 2012 with the final payment due on December 1, 2012 to include interest accrued after March 2012.  The Company repaid the note and accrued interest in installments through March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8" w:name="PGBRK89"/>
      <w:bookmarkStart w:id="909" w:name="PGBRK89"/>
      <w:bookmarkEnd w:id="9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0" w:name="FTR89"/>
      <w:bookmarkStart w:id="911" w:name="FTR89"/>
      <w:bookmarkEnd w:id="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12" w:name="GLFTR89"/>
      <w:bookmarkEnd w:id="9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13" w:name="PN89"/>
      <w:bookmarkEnd w:id="913"/>
      <w:r>
        <w:rPr>
          <w:rFonts w:ascii="Times New Roman" w:hAnsi="Times New Roman"/>
          <w:sz w:val="20"/>
        </w:rPr>
        <w:t>-88-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4" w:name="HDR89"/>
      <w:bookmarkStart w:id="915" w:name="HDR89"/>
      <w:bookmarkEnd w:id="9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16" w:name="GLHDR89"/>
        <w:bookmarkEnd w:id="91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Notes Payable Issued for the Cancellation of Accounts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12, 2009, the Company issued a promissory note payable to the Regents of the University of California (“</w:t>
      </w:r>
      <w:r>
        <w:rPr>
          <w:rFonts w:ascii="Times New Roman" w:hAnsi="Times New Roman"/>
          <w:i/>
          <w:sz w:val="20"/>
        </w:rPr>
        <w:t>UC</w:t>
      </w:r>
      <w:r>
        <w:rPr>
          <w:rFonts w:ascii="Times New Roman" w:hAnsi="Times New Roman"/>
          <w:sz w:val="20"/>
        </w:rPr>
        <w:t>”) with a principal balance of $90,000 in exchange for the cancellation of certain amounts payable under a research collaboration agreement (the “</w:t>
      </w:r>
      <w:r>
        <w:rPr>
          <w:rFonts w:ascii="Times New Roman" w:hAnsi="Times New Roman"/>
          <w:i/>
          <w:sz w:val="20"/>
        </w:rPr>
        <w:t>UC Note 1</w:t>
      </w:r>
      <w:r>
        <w:rPr>
          <w:rFonts w:ascii="Times New Roman" w:hAnsi="Times New Roman"/>
          <w:sz w:val="20"/>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Times New Roman" w:hAnsi="Times New Roman"/>
          <w:i/>
          <w:sz w:val="20"/>
        </w:rPr>
        <w:t>UC Note 2</w:t>
      </w:r>
      <w:r>
        <w:rPr>
          <w:rFonts w:ascii="Times New Roman" w:hAnsi="Times New Roman"/>
          <w:sz w:val="20"/>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Times New Roman" w:hAnsi="Times New Roman"/>
          <w:i/>
          <w:sz w:val="20"/>
        </w:rPr>
        <w:t>March 2010 Note</w:t>
      </w:r>
      <w:r>
        <w:rPr>
          <w:rFonts w:ascii="Times New Roman" w:hAnsi="Times New Roman"/>
          <w:sz w:val="20"/>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expects the Note will be cancelled in favor of certain amounts payable to the Company equal to or greater than the outstanding balance of the Note.  At March 31, 2013, the Company has made no payments on the March 2010 Note.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9.  Capital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Amounts of Capital Stock Authorized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March 31, 2011 and prior to the Merger, Excaliber was authorized to issue up to 200,000,000 shares of common stock, $0.001 par value, and no shares of preferred stock.  Effective with the Merger, the Company was authorized to issue up to 400,000,000 shares of common stock, $0.001 par value and no shares of preferred stock.  On October 28, 2011, the Company held a special meeting of its stockholders at which the stockholders approved a proposal to amend its Articles of Incorporation to (1) reduce the number of shares of common stock the Company is authorized to issue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7" w:name="PGBRK90"/>
      <w:bookmarkStart w:id="918" w:name="PGBRK90"/>
      <w:bookmarkEnd w:id="9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9" w:name="FTR90"/>
      <w:bookmarkStart w:id="920" w:name="FTR90"/>
      <w:bookmarkEnd w:id="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21" w:name="GLFTR90"/>
      <w:bookmarkEnd w:id="9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2" w:name="PN90"/>
      <w:bookmarkEnd w:id="922"/>
      <w:r>
        <w:rPr>
          <w:rFonts w:ascii="Times New Roman" w:hAnsi="Times New Roman"/>
          <w:sz w:val="20"/>
        </w:rPr>
        <w:t>-89-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3" w:name="HDR90"/>
      <w:bookmarkStart w:id="924" w:name="HDR90"/>
      <w:bookmarkEnd w:id="9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25" w:name="GLHDR90"/>
        <w:bookmarkEnd w:id="92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Series A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Company’s Board of Directors authorized the creation of a series of up to 500,000 shares of Series A Preferred Stock, par value $0.001 (“</w:t>
      </w:r>
      <w:r>
        <w:rPr>
          <w:rFonts w:ascii="Times New Roman" w:hAnsi="Times New Roman"/>
          <w:i/>
          <w:sz w:val="20"/>
        </w:rPr>
        <w:t>Series A Preferred</w:t>
      </w:r>
      <w:r>
        <w:rPr>
          <w:rFonts w:ascii="Times New Roman" w:hAnsi="Times New Roman"/>
          <w:sz w:val="20"/>
        </w:rPr>
        <w:t>”).  Each restricted share of Series A Preferred is convertible at the option of the holder into ten restricted shares of the Company's common stock.  The Series A Preferred ranks prior to the common stock for purposes of liquidation preference.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March 31, 2013, there were 500,000 restricted shares of Series A Preferred outstanding, all issued to Platinum under the terms of the Note and Warrant Exchange Agreement described in Note 8, </w:t>
      </w:r>
      <w:r>
        <w:rPr>
          <w:rFonts w:ascii="Times New Roman" w:hAnsi="Times New Roman"/>
          <w:i/>
          <w:sz w:val="20"/>
        </w:rPr>
        <w:t>Convertible Promissory Notes and Other Notes Payable,</w:t>
      </w:r>
      <w:r>
        <w:rPr>
          <w:rFonts w:ascii="Times New Roman" w:hAnsi="Times New Roman"/>
          <w:sz w:val="20"/>
        </w:rPr>
        <w:t xml:space="preserve"> and the December 2011 Common Stock Exchange Agreement, described below.  Platinum’s exchange rights with respect to the Series A Preferred have been modified as described in the section entitled 2012 Exchange Agreement with Platinum and Deemed Dividend, below.</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2011 Private Placement of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immediately preceding the closing of the Merger, VistaGen California sold 2,216,106 Units in a private placement for aggregate gross proceeds of $3,878,200, including $2,369,200 in cash, a $500,000 short-term note receivable due on September 6, 2011, cancellation of $840,000 of short-term notes maturing on April 30, 2011, a note cancellation premium of $94,500, and cancellation of $74,500 of accounts payable (the “</w:t>
      </w:r>
      <w:r>
        <w:rPr>
          <w:rFonts w:ascii="Times New Roman" w:hAnsi="Times New Roman"/>
          <w:i/>
          <w:sz w:val="20"/>
        </w:rPr>
        <w:t>2011 Private Placement</w:t>
      </w:r>
      <w:r>
        <w:rPr>
          <w:rFonts w:ascii="Times New Roman" w:hAnsi="Times New Roman"/>
          <w:sz w:val="20"/>
        </w:rPr>
        <w:t>”).  The Units were sold for $1.75 per Unit and consisted of one restricted share of common stock and a three-year warrant to purchase one-fourth (1/4) of one restricted share of common stock at an exercise price of $2.50 per share.  Warrants to purchase a total of 554,013 restricted shares of common stock were issued to the purchasers of the Units.  Concurrently, VistaGen California issued to its placement agent three-year warrants to purchase 114,284 restricted shares of its common stock at $2.50 per share, and agreed to pay $200,000 in placement agent fees, $150,000 of which amount was paid on May 11,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October 2011, VistaGen restructured the terms of a $500,000 short term promissory note received from an investor in conjunction with the 2011 Private Placement.  The Company modified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2013 is $209,100.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6" w:name="PGBRK91"/>
      <w:bookmarkStart w:id="927" w:name="PGBRK91"/>
      <w:bookmarkEnd w:id="9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8" w:name="FTR91"/>
      <w:bookmarkStart w:id="929" w:name="FTR91"/>
      <w:bookmarkEnd w:id="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30" w:name="GLFTR91"/>
      <w:bookmarkEnd w:id="9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31" w:name="PN91"/>
      <w:bookmarkEnd w:id="931"/>
      <w:r>
        <w:rPr>
          <w:rFonts w:ascii="Times New Roman" w:hAnsi="Times New Roman"/>
          <w:sz w:val="20"/>
        </w:rPr>
        <w:t>-90-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2" w:name="HDR91"/>
      <w:bookmarkStart w:id="933" w:name="HDR91"/>
      <w:bookmarkEnd w:id="9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34" w:name="GLHDR91"/>
        <w:bookmarkEnd w:id="93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Conversion of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holders of certain promissory notes issued by VistaGen California from 2006 through 2010 converted their notes totaling aggregate principal and interest of $6,174,793 into 3,528,290 Units, at a price of $1.75 per Unit.  These Units were the same Units issued in connection with the 2011 Private Placement.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Conversion of Pre-Merger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shares of preferred stock outstanding.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Fall 2011 Follow-On Unit Offering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Beginning in October 2011, the Company initiated a follow-on private placement of Units.  These Units were essentially the same as the Units issued in connection with the 2011 Private Placement, namely, each Unit was priced at $1.75 and consisted of one restricted share of the Company’s common stock and a three-year warrant to purchase one-fourth (1/4) of one restricted share of the Company’s common stock at an exercise price of $2.50 per share.  The Company sold a total of 63,570 Units and received aggregate cash proceeds of $111,300.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Discounted Warrant Exercise Program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the quarter ended December 31, 2011, certain warrant holders exercised warrants to purchase an aggregate of 3,121,259 restricted shares of the Company’s common stock at reduced exercise prices, including warrants to purchase 1,599,858 restricted shares of common stock exercised by Platinum under the terms of the Note and Warrant Exchange Agreement, as described in Note 8, </w:t>
      </w:r>
      <w:r>
        <w:rPr>
          <w:rFonts w:ascii="Times New Roman" w:hAnsi="Times New Roman"/>
          <w:i/>
          <w:sz w:val="20"/>
        </w:rPr>
        <w:t>Convertible Promissory Notes and Other Notes Payable</w:t>
      </w:r>
      <w:r>
        <w:rPr>
          <w:rFonts w:ascii="Times New Roman" w:hAnsi="Times New Roman"/>
          <w:sz w:val="20"/>
        </w:rPr>
        <w:t>.  The warrants exercised by Platinum were exercised at reduced prices ranging from $0.75 per share to $1.25 per share, resulting in proceeds of $1,719,800 which was applied to reduce the outstanding balance of the Platinum Note and accrued interest under the terms of the Note and Exchange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investors and service providers exercised warrants to purchase an aggregate of 1,028,860 restricted shares of the Company’s common stock at reduced exercise prices ranging from $0.75 per share to $1.31 per share.  In conjunction with these exercises, the Company:</w:t>
      </w:r>
    </w:p>
    <w:p>
      <w:pPr>
        <w:pStyle w:val="TextBody"/>
        <w:spacing w:before="0" w:after="0"/>
        <w:ind w:left="0" w:right="0" w:hanging="0"/>
        <w:jc w:val="center"/>
        <w:rPr/>
      </w:pPr>
      <w:r>
        <w:rPr/>
      </w:r>
    </w:p>
    <w:p>
      <w:pPr>
        <w:pStyle w:val="Normal"/>
        <w:spacing w:before="0" w:after="0"/>
        <w:rPr>
          <w:sz w:val="4"/>
          <w:szCs w:val="4"/>
        </w:rPr>
      </w:pPr>
      <w:r>
        <w:rPr>
          <w:sz w:val="4"/>
          <w:szCs w:val="4"/>
        </w:rPr>
      </w:r>
      <w:bookmarkStart w:id="935" w:name="list33"/>
      <w:bookmarkStart w:id="936" w:name="list33"/>
      <w:bookmarkEnd w:id="936"/>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issued 965,734 restricted shares of its common stock and received cash proceeds of $1,106,100;</w:t>
            </w:r>
          </w:p>
        </w:tc>
      </w:tr>
    </w:tbl>
    <w:p>
      <w:pPr>
        <w:pStyle w:val="Normal"/>
        <w:spacing w:before="0" w:after="0"/>
        <w:rPr>
          <w:sz w:val="4"/>
          <w:szCs w:val="4"/>
        </w:rPr>
      </w:pPr>
      <w:r>
        <w:rPr>
          <w:sz w:val="4"/>
          <w:szCs w:val="4"/>
        </w:rPr>
      </w:r>
      <w:bookmarkStart w:id="937" w:name="list34"/>
      <w:bookmarkStart w:id="938" w:name="list34"/>
      <w:bookmarkEnd w:id="938"/>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issued 29,426 restricted shares of its common stock to warrant holders who elected to exercise their warrants in lieu of payment by the Company in satisfaction of outstanding indebtedness to such holders totaling an aggregate of $30,100; and</w:t>
            </w:r>
          </w:p>
        </w:tc>
      </w:tr>
    </w:tbl>
    <w:p>
      <w:pPr>
        <w:pStyle w:val="Normal"/>
        <w:spacing w:before="0" w:after="0"/>
        <w:rPr>
          <w:sz w:val="4"/>
          <w:szCs w:val="4"/>
        </w:rPr>
      </w:pPr>
      <w:r>
        <w:rPr>
          <w:sz w:val="4"/>
          <w:szCs w:val="4"/>
        </w:rPr>
      </w:r>
      <w:bookmarkStart w:id="939" w:name="list35"/>
      <w:bookmarkStart w:id="940" w:name="list35"/>
      <w:bookmarkEnd w:id="940"/>
    </w:p>
    <w:tbl>
      <w:tblPr>
        <w:tblW w:w="5000" w:type="pct"/>
        <w:jc w:val="left"/>
        <w:tblInd w:w="0" w:type="dxa"/>
        <w:tblCellMar>
          <w:top w:w="0" w:type="dxa"/>
          <w:left w:w="0" w:type="dxa"/>
          <w:bottom w:w="0" w:type="dxa"/>
          <w:right w:w="0" w:type="dxa"/>
        </w:tblCellMar>
      </w:tblPr>
      <w:tblGrid>
        <w:gridCol w:w="109"/>
        <w:gridCol w:w="10096"/>
      </w:tblGrid>
      <w:tr>
        <w:trPr/>
        <w:tc>
          <w:tcPr>
            <w:tcW w:w="10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issued 33,700 restricted shares of its common stock to warrant holders who elected to exercise their warrants in lieu of payment by the Company in satisfaction of payment for services in the aggregate amount of $41,400 to be performed in the future by such holders.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in December 2011, the Company entered into an Agreement Regarding Payment of Invoices and Warrant Exercises with Cato Holding Company (“</w:t>
      </w:r>
      <w:r>
        <w:rPr>
          <w:rFonts w:ascii="Times New Roman" w:hAnsi="Times New Roman"/>
          <w:i/>
          <w:sz w:val="20"/>
        </w:rPr>
        <w:t>CHC</w:t>
      </w:r>
      <w:r>
        <w:rPr>
          <w:rFonts w:ascii="Times New Roman" w:hAnsi="Times New Roman"/>
          <w:sz w:val="20"/>
        </w:rPr>
        <w:t>”), CRL, and certain individual warrant holders affiliated with CHC and CRL (collectively, the “</w:t>
      </w:r>
      <w:r>
        <w:rPr>
          <w:rFonts w:ascii="Times New Roman" w:hAnsi="Times New Roman"/>
          <w:i/>
          <w:sz w:val="20"/>
        </w:rPr>
        <w:t>CHC Affiliates</w:t>
      </w:r>
      <w:r>
        <w:rPr>
          <w:rFonts w:ascii="Times New Roman" w:hAnsi="Times New Roman"/>
          <w:sz w:val="20"/>
        </w:rPr>
        <w:t>”) under the terms of which CHC and the CHC Affiliates exercised warrants to purchase an aggregate of 492,541 restricted shares of the Company’s common stock at reduced exercise prices ranging from $0.88 per share to $1.25 per share.  As a result of these warrant exercises, the Company received cash payments of $60,200 in connection with the exercise of warrants to purchase 68,417 restricted shares and, in lieu of cash payments for the remainder of the warrants to purchase 424,124 restricted shares, CHC and CRL agreed to the satisfaction of outstanding indebtedness to CRL in the amount of $245,300 and pre-payment for future services in the amount of $226,400.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1" w:name="PGBRK92"/>
      <w:bookmarkStart w:id="942" w:name="PGBRK92"/>
      <w:bookmarkEnd w:id="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3" w:name="FTR92"/>
      <w:bookmarkStart w:id="944" w:name="FTR92"/>
      <w:bookmarkEnd w:id="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45" w:name="GLFTR92"/>
      <w:bookmarkEnd w:id="9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6" w:name="PN92"/>
      <w:bookmarkEnd w:id="946"/>
      <w:r>
        <w:rPr>
          <w:rFonts w:ascii="Times New Roman" w:hAnsi="Times New Roman"/>
          <w:sz w:val="20"/>
        </w:rPr>
        <w:t>-91-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7" w:name="HDR92"/>
      <w:bookmarkStart w:id="948" w:name="HDR92"/>
      <w:bookmarkEnd w:id="9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49" w:name="GLHDR92"/>
        <w:bookmarkEnd w:id="9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determined that the increase in the fair value of the warrants exercised as a result of the Discounted Warrant Exercise Program was $618,400, of which $287,300 is a component of the loss on debt extinguishment related to the conversion of the Platinum Note, as described in Note 8, </w:t>
      </w:r>
      <w:r>
        <w:rPr>
          <w:rFonts w:ascii="Times New Roman" w:hAnsi="Times New Roman"/>
          <w:i/>
          <w:sz w:val="20"/>
        </w:rPr>
        <w:t>Convertible Promissory Notes and Other Notes Payable,</w:t>
      </w:r>
      <w:r>
        <w:rPr>
          <w:rFonts w:ascii="Times New Roman" w:hAnsi="Times New Roman"/>
          <w:sz w:val="20"/>
        </w:rPr>
        <w:t xml:space="preserve"> $101,200 is attributable to the modifications of the CHC  and CHC Affiliates warrants and reflected in research and development expense, and $229,800 is reflected in general and administrative expense for the fiscal year ended March 31, 2012 in the accompanying Consolidated Statements of Operations and Comprehensive Loss.  The warrants subject to the exercise price modifications were valued at the inception of the Discounted Warrant Exercise Program using the Black-Scholes Option Pricing Model and using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30"/>
        <w:gridCol w:w="112"/>
        <w:gridCol w:w="233"/>
        <w:gridCol w:w="1945"/>
        <w:gridCol w:w="228"/>
        <w:gridCol w:w="112"/>
        <w:gridCol w:w="265"/>
        <w:gridCol w:w="1957"/>
        <w:gridCol w:w="223"/>
      </w:tblGrid>
      <w:tr>
        <w:trPr/>
        <w:tc>
          <w:tcPr>
            <w:tcW w:w="5130"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2" w:type="dxa"/>
            <w:tcBorders/>
            <w:shd w:fill="auto" w:val="clear"/>
            <w:tcMar>
              <w:bottom w:w="0" w:type="dxa"/>
            </w:tcMar>
            <w:vAlign w:val="bottom"/>
          </w:tcPr>
          <w:p>
            <w:pPr>
              <w:pStyle w:val="TableContents"/>
              <w:spacing w:before="0" w:after="283"/>
              <w:jc w:val="left"/>
              <w:rPr/>
            </w:pPr>
            <w:r>
              <w:rPr/>
              <w:t xml:space="preserve">  </w:t>
            </w:r>
          </w:p>
        </w:tc>
        <w:tc>
          <w:tcPr>
            <w:tcW w:w="217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228" w:type="dxa"/>
            <w:tcBorders/>
            <w:shd w:fill="auto" w:val="clear"/>
            <w:tcMar>
              <w:bottom w:w="0" w:type="dxa"/>
            </w:tcMar>
            <w:vAlign w:val="bottom"/>
          </w:tcPr>
          <w:p>
            <w:pPr>
              <w:pStyle w:val="TableContents"/>
              <w:spacing w:before="0" w:after="283"/>
              <w:jc w:val="left"/>
              <w:rPr/>
            </w:pPr>
            <w:r>
              <w:rPr/>
              <w:t xml:space="preserve">  </w:t>
            </w:r>
          </w:p>
        </w:tc>
        <w:tc>
          <w:tcPr>
            <w:tcW w:w="112" w:type="dxa"/>
            <w:tcBorders/>
            <w:shd w:fill="auto" w:val="clear"/>
            <w:tcMar>
              <w:bottom w:w="0" w:type="dxa"/>
            </w:tcMar>
            <w:vAlign w:val="bottom"/>
          </w:tcPr>
          <w:p>
            <w:pPr>
              <w:pStyle w:val="TableContents"/>
              <w:spacing w:before="0" w:after="283"/>
              <w:jc w:val="left"/>
              <w:rPr/>
            </w:pPr>
            <w:r>
              <w:rPr/>
              <w:t xml:space="preserve">  </w:t>
            </w:r>
          </w:p>
        </w:tc>
        <w:tc>
          <w:tcPr>
            <w:tcW w:w="22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223" w:type="dxa"/>
            <w:tcBorders/>
            <w:shd w:fill="auto" w:val="clear"/>
            <w:tcMar>
              <w:bottom w:w="0" w:type="dxa"/>
            </w:tcMar>
            <w:vAlign w:val="bottom"/>
          </w:tcPr>
          <w:p>
            <w:pPr>
              <w:pStyle w:val="TableContents"/>
              <w:spacing w:before="0" w:after="283"/>
              <w:jc w:val="left"/>
              <w:rPr/>
            </w:pPr>
            <w:r>
              <w:rPr/>
              <w:t xml:space="preserve">  </w:t>
            </w:r>
          </w:p>
        </w:tc>
      </w:tr>
      <w:tr>
        <w:trPr/>
        <w:tc>
          <w:tcPr>
            <w:tcW w:w="513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2" w:type="dxa"/>
            <w:tcBorders/>
            <w:shd w:fill="CCEEFF" w:val="clear"/>
            <w:tcMar>
              <w:bottom w:w="0" w:type="dxa"/>
            </w:tcMar>
            <w:vAlign w:val="bottom"/>
          </w:tcPr>
          <w:p>
            <w:pPr>
              <w:pStyle w:val="TableContents"/>
              <w:spacing w:before="0" w:after="283"/>
              <w:rPr/>
            </w:pPr>
            <w:r>
              <w:rPr/>
              <w:t xml:space="preserve">  </w:t>
            </w:r>
          </w:p>
        </w:tc>
        <w:tc>
          <w:tcPr>
            <w:tcW w:w="23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2.60</w:t>
            </w:r>
          </w:p>
        </w:tc>
        <w:tc>
          <w:tcPr>
            <w:tcW w:w="228"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2.60</w:t>
            </w:r>
          </w:p>
        </w:tc>
        <w:tc>
          <w:tcPr>
            <w:tcW w:w="223" w:type="dxa"/>
            <w:tcBorders/>
            <w:shd w:fill="CCEEFF" w:val="clear"/>
            <w:tcMar>
              <w:bottom w:w="0" w:type="dxa"/>
            </w:tcMar>
            <w:vAlign w:val="bottom"/>
          </w:tcPr>
          <w:p>
            <w:pPr>
              <w:pStyle w:val="TableContents"/>
              <w:spacing w:before="0" w:after="283"/>
              <w:rPr/>
            </w:pPr>
            <w:r>
              <w:rPr/>
              <w:t xml:space="preserve">  </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2" w:type="dxa"/>
            <w:tcBorders/>
            <w:shd w:fill="FFFFFF" w:val="clear"/>
            <w:tcMar>
              <w:bottom w:w="0" w:type="dxa"/>
            </w:tcMar>
            <w:vAlign w:val="bottom"/>
          </w:tcPr>
          <w:p>
            <w:pPr>
              <w:pStyle w:val="TableContents"/>
              <w:spacing w:before="0" w:after="283"/>
              <w:rPr/>
            </w:pPr>
            <w:r>
              <w:rPr/>
              <w:t xml:space="preserve">  </w:t>
            </w:r>
          </w:p>
        </w:tc>
        <w:tc>
          <w:tcPr>
            <w:tcW w:w="23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1.50 - $2.625</w:t>
            </w:r>
          </w:p>
        </w:tc>
        <w:tc>
          <w:tcPr>
            <w:tcW w:w="22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0.75 - $1.31</w:t>
            </w:r>
          </w:p>
        </w:tc>
        <w:tc>
          <w:tcPr>
            <w:tcW w:w="223" w:type="dxa"/>
            <w:tcBorders/>
            <w:shd w:fill="FFFFFF" w:val="clear"/>
            <w:tcMar>
              <w:bottom w:w="0" w:type="dxa"/>
            </w:tcMar>
            <w:vAlign w:val="bottom"/>
          </w:tcPr>
          <w:p>
            <w:pPr>
              <w:pStyle w:val="TableContents"/>
              <w:spacing w:before="0" w:after="283"/>
              <w:rPr/>
            </w:pPr>
            <w:r>
              <w:rPr/>
              <w:t xml:space="preserve">  </w:t>
            </w:r>
          </w:p>
        </w:tc>
      </w:tr>
      <w:tr>
        <w:trPr/>
        <w:tc>
          <w:tcPr>
            <w:tcW w:w="513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2" w:type="dxa"/>
            <w:tcBorders/>
            <w:shd w:fill="CCEEFF" w:val="clear"/>
            <w:tcMar>
              <w:bottom w:w="0" w:type="dxa"/>
            </w:tcMar>
            <w:vAlign w:val="bottom"/>
          </w:tcPr>
          <w:p>
            <w:pPr>
              <w:pStyle w:val="TableContents"/>
              <w:spacing w:before="0" w:after="283"/>
              <w:rPr/>
            </w:pPr>
            <w:r>
              <w:rPr/>
              <w:t xml:space="preserve">  </w:t>
            </w:r>
          </w:p>
        </w:tc>
        <w:tc>
          <w:tcPr>
            <w:tcW w:w="233" w:type="dxa"/>
            <w:tcBorders/>
            <w:shd w:fill="CCEEFF" w:val="clear"/>
            <w:tcMar>
              <w:bottom w:w="0" w:type="dxa"/>
            </w:tcMar>
            <w:vAlign w:val="bottom"/>
          </w:tcPr>
          <w:p>
            <w:pPr>
              <w:pStyle w:val="TableContents"/>
              <w:spacing w:before="0" w:after="283"/>
              <w:rPr/>
            </w:pPr>
            <w:r>
              <w:rPr/>
              <w:t xml:space="preserve">  </w:t>
            </w:r>
          </w:p>
        </w:tc>
        <w:tc>
          <w:tcPr>
            <w:tcW w:w="1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0.18% - 0.45</w:t>
            </w:r>
          </w:p>
        </w:tc>
        <w:tc>
          <w:tcPr>
            <w:tcW w:w="228" w:type="dxa"/>
            <w:tcBorders/>
            <w:shd w:fill="CCEEFF" w:val="clear"/>
            <w:tcMar>
              <w:bottom w:w="0" w:type="dxa"/>
            </w:tcMar>
            <w:vAlign w:val="bottom"/>
          </w:tcPr>
          <w:p>
            <w:pPr>
              <w:pStyle w:val="TableContents"/>
              <w:spacing w:before="0" w:after="0"/>
              <w:ind w:left="0" w:right="0" w:hanging="0"/>
              <w:jc w:val="left"/>
              <w:rPr/>
            </w:pPr>
            <w:r>
              <w:rPr/>
              <w:t>%</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0.02</w:t>
            </w:r>
          </w:p>
        </w:tc>
        <w:tc>
          <w:tcPr>
            <w:tcW w:w="223"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w:t>
            </w:r>
          </w:p>
        </w:tc>
        <w:tc>
          <w:tcPr>
            <w:tcW w:w="112" w:type="dxa"/>
            <w:tcBorders/>
            <w:shd w:fill="FFFFFF" w:val="clear"/>
            <w:tcMar>
              <w:bottom w:w="0" w:type="dxa"/>
            </w:tcMar>
            <w:vAlign w:val="bottom"/>
          </w:tcPr>
          <w:p>
            <w:pPr>
              <w:pStyle w:val="TableContents"/>
              <w:spacing w:before="0" w:after="283"/>
              <w:rPr/>
            </w:pPr>
            <w:r>
              <w:rPr/>
              <w:t xml:space="preserve">  </w:t>
            </w:r>
          </w:p>
        </w:tc>
        <w:tc>
          <w:tcPr>
            <w:tcW w:w="233" w:type="dxa"/>
            <w:tcBorders/>
            <w:shd w:fill="FFFFFF" w:val="clear"/>
            <w:tcMar>
              <w:bottom w:w="0" w:type="dxa"/>
            </w:tcMar>
            <w:vAlign w:val="bottom"/>
          </w:tcPr>
          <w:p>
            <w:pPr>
              <w:pStyle w:val="TableContents"/>
              <w:spacing w:before="0" w:after="283"/>
              <w:rPr/>
            </w:pPr>
            <w:r>
              <w:rPr/>
              <w:t xml:space="preserve">  </w:t>
            </w:r>
          </w:p>
        </w:tc>
        <w:tc>
          <w:tcPr>
            <w:tcW w:w="1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0.90 – 3.25</w:t>
            </w:r>
          </w:p>
        </w:tc>
        <w:tc>
          <w:tcPr>
            <w:tcW w:w="228" w:type="dxa"/>
            <w:tcBorders/>
            <w:shd w:fill="FFFFFF" w:val="clear"/>
            <w:tcMar>
              <w:bottom w:w="0" w:type="dxa"/>
            </w:tcMar>
            <w:vAlign w:val="bottom"/>
          </w:tcPr>
          <w:p>
            <w:pPr>
              <w:pStyle w:val="TableContents"/>
              <w:spacing w:before="0" w:after="283"/>
              <w:rPr/>
            </w:pPr>
            <w:r>
              <w:rPr/>
              <w:t> </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283"/>
              <w:rPr/>
            </w:pPr>
            <w:r>
              <w:rPr/>
              <w:t xml:space="preserve">  </w:t>
            </w:r>
          </w:p>
        </w:tc>
        <w:tc>
          <w:tcPr>
            <w:tcW w:w="19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0.25</w:t>
            </w:r>
          </w:p>
        </w:tc>
        <w:tc>
          <w:tcPr>
            <w:tcW w:w="223" w:type="dxa"/>
            <w:tcBorders/>
            <w:shd w:fill="FFFFFF" w:val="clear"/>
            <w:tcMar>
              <w:bottom w:w="0" w:type="dxa"/>
            </w:tcMar>
            <w:vAlign w:val="bottom"/>
          </w:tcPr>
          <w:p>
            <w:pPr>
              <w:pStyle w:val="TableContents"/>
              <w:spacing w:before="0" w:after="283"/>
              <w:rPr/>
            </w:pPr>
            <w:r>
              <w:rPr/>
              <w:t xml:space="preserve">  </w:t>
            </w:r>
          </w:p>
        </w:tc>
      </w:tr>
      <w:tr>
        <w:trPr/>
        <w:tc>
          <w:tcPr>
            <w:tcW w:w="513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2" w:type="dxa"/>
            <w:tcBorders/>
            <w:shd w:fill="CCEEFF" w:val="clear"/>
            <w:tcMar>
              <w:bottom w:w="0" w:type="dxa"/>
            </w:tcMar>
            <w:vAlign w:val="bottom"/>
          </w:tcPr>
          <w:p>
            <w:pPr>
              <w:pStyle w:val="TableContents"/>
              <w:spacing w:before="0" w:after="283"/>
              <w:rPr/>
            </w:pPr>
            <w:r>
              <w:rPr/>
              <w:t xml:space="preserve">  </w:t>
            </w:r>
          </w:p>
        </w:tc>
        <w:tc>
          <w:tcPr>
            <w:tcW w:w="233" w:type="dxa"/>
            <w:tcBorders/>
            <w:shd w:fill="CCEEFF" w:val="clear"/>
            <w:tcMar>
              <w:bottom w:w="0" w:type="dxa"/>
            </w:tcMar>
            <w:vAlign w:val="bottom"/>
          </w:tcPr>
          <w:p>
            <w:pPr>
              <w:pStyle w:val="TableContents"/>
              <w:spacing w:before="0" w:after="283"/>
              <w:rPr/>
            </w:pPr>
            <w:r>
              <w:rPr/>
              <w:t xml:space="preserve">  </w:t>
            </w:r>
          </w:p>
        </w:tc>
        <w:tc>
          <w:tcPr>
            <w:tcW w:w="1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65.7% - 82.8</w:t>
            </w:r>
          </w:p>
        </w:tc>
        <w:tc>
          <w:tcPr>
            <w:tcW w:w="228"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41.1</w:t>
            </w:r>
          </w:p>
        </w:tc>
        <w:tc>
          <w:tcPr>
            <w:tcW w:w="223"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2" w:type="dxa"/>
            <w:tcBorders/>
            <w:shd w:fill="FFFFFF" w:val="clear"/>
            <w:tcMar>
              <w:bottom w:w="0" w:type="dxa"/>
            </w:tcMar>
            <w:vAlign w:val="bottom"/>
          </w:tcPr>
          <w:p>
            <w:pPr>
              <w:pStyle w:val="TableContents"/>
              <w:spacing w:before="0" w:after="283"/>
              <w:rPr/>
            </w:pPr>
            <w:r>
              <w:rPr/>
              <w:t xml:space="preserve">  </w:t>
            </w:r>
          </w:p>
        </w:tc>
        <w:tc>
          <w:tcPr>
            <w:tcW w:w="233" w:type="dxa"/>
            <w:tcBorders/>
            <w:shd w:fill="FFFFFF" w:val="clear"/>
            <w:tcMar>
              <w:bottom w:w="0" w:type="dxa"/>
            </w:tcMar>
            <w:vAlign w:val="bottom"/>
          </w:tcPr>
          <w:p>
            <w:pPr>
              <w:pStyle w:val="TableContents"/>
              <w:spacing w:before="0" w:after="283"/>
              <w:rPr/>
            </w:pPr>
            <w:r>
              <w:rPr/>
              <w:t xml:space="preserve">  </w:t>
            </w:r>
          </w:p>
        </w:tc>
        <w:tc>
          <w:tcPr>
            <w:tcW w:w="1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28"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283"/>
              <w:rPr/>
            </w:pPr>
            <w:r>
              <w:rPr/>
              <w:t xml:space="preserve">  </w:t>
            </w:r>
          </w:p>
        </w:tc>
        <w:tc>
          <w:tcPr>
            <w:tcW w:w="19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23"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30"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c>
          <w:tcPr>
            <w:tcW w:w="233" w:type="dxa"/>
            <w:tcBorders/>
            <w:shd w:fill="CCEEFF" w:val="clear"/>
            <w:tcMar>
              <w:bottom w:w="0" w:type="dxa"/>
            </w:tcMar>
            <w:vAlign w:val="bottom"/>
          </w:tcPr>
          <w:p>
            <w:pPr>
              <w:pStyle w:val="TableContents"/>
              <w:spacing w:before="0" w:after="283"/>
              <w:rPr/>
            </w:pPr>
            <w:r>
              <w:rPr/>
              <w:t xml:space="preserve">  </w:t>
            </w:r>
          </w:p>
        </w:tc>
        <w:tc>
          <w:tcPr>
            <w:tcW w:w="1945" w:type="dxa"/>
            <w:tcBorders/>
            <w:shd w:fill="CCEEFF" w:val="clear"/>
            <w:tcMar>
              <w:bottom w:w="0" w:type="dxa"/>
            </w:tcMar>
            <w:vAlign w:val="bottom"/>
          </w:tcPr>
          <w:p>
            <w:pPr>
              <w:pStyle w:val="TableContents"/>
              <w:spacing w:before="0" w:after="283"/>
              <w:rPr/>
            </w:pPr>
            <w:r>
              <w:rPr/>
              <w:t xml:space="preserve">  </w:t>
            </w:r>
          </w:p>
        </w:tc>
        <w:tc>
          <w:tcPr>
            <w:tcW w:w="228"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7" w:type="dxa"/>
            <w:tcBorders/>
            <w:shd w:fill="CCEEFF" w:val="clear"/>
            <w:tcMar>
              <w:bottom w:w="0" w:type="dxa"/>
            </w:tcMar>
            <w:vAlign w:val="bottom"/>
          </w:tcPr>
          <w:p>
            <w:pPr>
              <w:pStyle w:val="TableContents"/>
              <w:spacing w:before="0" w:after="283"/>
              <w:rPr/>
            </w:pPr>
            <w:r>
              <w:rPr/>
              <w:t xml:space="preserve">  </w:t>
            </w:r>
          </w:p>
        </w:tc>
        <w:tc>
          <w:tcPr>
            <w:tcW w:w="223" w:type="dxa"/>
            <w:tcBorders/>
            <w:shd w:fill="CCEEFF" w:val="clear"/>
            <w:tcMar>
              <w:bottom w:w="0" w:type="dxa"/>
            </w:tcMar>
            <w:vAlign w:val="bottom"/>
          </w:tcPr>
          <w:p>
            <w:pPr>
              <w:pStyle w:val="TableContents"/>
              <w:spacing w:before="0" w:after="283"/>
              <w:rPr/>
            </w:pPr>
            <w:r>
              <w:rPr/>
              <w:t xml:space="preserve">  </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2" w:type="dxa"/>
            <w:tcBorders/>
            <w:shd w:fill="FFFFFF" w:val="clear"/>
            <w:tcMar>
              <w:bottom w:w="0" w:type="dxa"/>
            </w:tcMar>
            <w:vAlign w:val="bottom"/>
          </w:tcPr>
          <w:p>
            <w:pPr>
              <w:pStyle w:val="TableContents"/>
              <w:spacing w:before="0" w:after="283"/>
              <w:rPr/>
            </w:pPr>
            <w:r>
              <w:rPr/>
              <w:t xml:space="preserve">  </w:t>
            </w:r>
          </w:p>
        </w:tc>
        <w:tc>
          <w:tcPr>
            <w:tcW w:w="233"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45"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1.30</w:t>
            </w:r>
          </w:p>
        </w:tc>
        <w:tc>
          <w:tcPr>
            <w:tcW w:w="22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57"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1.50</w:t>
            </w:r>
          </w:p>
        </w:tc>
        <w:tc>
          <w:tcPr>
            <w:tcW w:w="223"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respect to use of the Black-Scholes Option Pricing Model for determining the fair value of warrants issued or modified, the Company employs the following in determining its valuation input assumptions.  The market price per share is based on the quoted market price of the Company’s common stock on the Over-the-Counter Bulletin Board on the date of the issuance or modification.  Because of its short history as a public company, the Company estimates volatility based on the historical volatilities of a peer group of public companies over the expected term of the warrants.  The risk-free rate of interest is based on the quoted constant maturity rate for U.S Treasury Bills on the date of issuance or modification for the term corresponding with the expected term of the warrant.  The expected dividend rate is zero as the Company has not paid and does not expect to pay dividends in the near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December 2011 Common Stock Exchange Agreement with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22, 2011, the Company entered into a Common Stock Exchange Agreement (the "</w:t>
      </w:r>
      <w:r>
        <w:rPr>
          <w:rFonts w:ascii="Times New Roman" w:hAnsi="Times New Roman"/>
          <w:i/>
          <w:sz w:val="20"/>
        </w:rPr>
        <w:t>Exchange Agreement</w:t>
      </w:r>
      <w:r>
        <w:rPr>
          <w:rFonts w:ascii="Times New Roman" w:hAnsi="Times New Roman"/>
          <w:sz w:val="20"/>
        </w:rPr>
        <w:t>") with Platinum, pursuant to which Platinum converted 484,000 restricted shares of the Company’s common stock into 45,980 restricted shares of the then newly created Series A Preferred (the "</w:t>
      </w:r>
      <w:r>
        <w:rPr>
          <w:rFonts w:ascii="Times New Roman" w:hAnsi="Times New Roman"/>
          <w:i/>
          <w:sz w:val="20"/>
        </w:rPr>
        <w:t>Exchange</w:t>
      </w:r>
      <w:r>
        <w:rPr>
          <w:rFonts w:ascii="Times New Roman" w:hAnsi="Times New Roman"/>
          <w:sz w:val="20"/>
        </w:rPr>
        <w:t>").  Each restricted share of Series A Preferred issued to Platinum is convertible into ten restricted shares of the Company’s common stock.  In consideration for the Exchange, the Series A Preferred received by Platinum in connection with the Exchange is convertible into the equivalent of 0.95 restricted shares of common stock surrendered in connection with the Exchange.  The Company determined the fair value of the common stock subject to the Exchange to be $1.55 per share and has reflected the 484,000 restricted common shares as treasury stock on that basis in the accompanying Consolidated Balance Sheet at March 31, 2012 and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2012 Exchange Agreement with Platinum and Deemed Dividend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29, 2012, the Company and Platinum entered into an Exchange Agreement (the “</w:t>
      </w:r>
      <w:r>
        <w:rPr>
          <w:rFonts w:ascii="Times New Roman" w:hAnsi="Times New Roman"/>
          <w:i/>
          <w:sz w:val="20"/>
        </w:rPr>
        <w:t>2012 Platinum Exchange Agreement</w:t>
      </w:r>
      <w:r>
        <w:rPr>
          <w:rFonts w:ascii="Times New Roman" w:hAnsi="Times New Roman"/>
          <w:sz w:val="20"/>
        </w:rPr>
        <w:t xml:space="preserve">”) pursuant to which the Company agreed to issue Platinum 62,945 restricted shares of Series A Preferred in exchange for 629,450 restricted shares of common stock then owned by Platinum, in consideration for Platinum’s agreement to purchase from the Company the July 2012 Platinum Note, as described in Note 8, </w:t>
      </w:r>
      <w:r>
        <w:rPr>
          <w:rFonts w:ascii="Times New Roman" w:hAnsi="Times New Roman"/>
          <w:i/>
          <w:sz w:val="20"/>
        </w:rPr>
        <w:t>Convertible Promissory Notes and Other Notes Payable</w:t>
      </w:r>
      <w:r>
        <w:rPr>
          <w:rFonts w:ascii="Times New Roman" w:hAnsi="Times New Roman"/>
          <w:sz w:val="20"/>
        </w:rPr>
        <w:t>. Under the terms of the 2012 Platinum Exchange Agreement, Platinum, at its option, could have exchanged all or a portion of its Series A Preferred for the securities issued in connection with a qualified financing, an equity or equity-based financing, or series of financing transactions resulting in gross proceeds to the Company of at least $3.0 million, based on the stated value of $15.00 per share of Series A Preferred.  The Company estimated the fair value of the Series A Preferred shares tendered to Platinum under the terms of the 2012 Platinum Exchange Agreement at $736,400 ($1.17 per share on a common share equivalent basis). Following the issuance of the Series A Preferred pursuant to the 2012 Platinum Exchange Agreement, Platinum owns all 500,000 authorized and outstanding restricted shares of the Company’s Series A Preferred, each share of which, in accordance with the certificate of designations, is convertible into ten shares of the Company’s common stock.  The common shares exchanged for shares of Series A Preferred are treated as treasury stock in the accompanying Consolidated Balance Sheet at March 31,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0" w:name="PGBRK93"/>
      <w:bookmarkStart w:id="951" w:name="PGBRK93"/>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2" w:name="FTR93"/>
      <w:bookmarkStart w:id="953" w:name="FTR93"/>
      <w:bookmarkEnd w:id="9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54" w:name="GLFTR93"/>
      <w:bookmarkEnd w:id="9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5" w:name="PN93"/>
      <w:bookmarkEnd w:id="955"/>
      <w:r>
        <w:rPr>
          <w:rFonts w:ascii="Times New Roman" w:hAnsi="Times New Roman"/>
          <w:sz w:val="20"/>
        </w:rPr>
        <w:t>-92-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6" w:name="HDR93"/>
      <w:bookmarkStart w:id="957" w:name="HDR93"/>
      <w:bookmarkEnd w:id="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58" w:name="GLHDR93"/>
        <w:bookmarkEnd w:id="9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Pursuant to the October 2012 Agreement described in Note 8, </w:t>
      </w:r>
      <w:r>
        <w:rPr>
          <w:rFonts w:ascii="Times New Roman" w:hAnsi="Times New Roman"/>
          <w:i/>
          <w:sz w:val="20"/>
        </w:rPr>
        <w:t>Convertible Promissory Notes and Other Notes Payable</w:t>
      </w:r>
      <w:r>
        <w:rPr>
          <w:rFonts w:ascii="Times New Roman" w:hAnsi="Times New Roman"/>
          <w:sz w:val="20"/>
        </w:rPr>
        <w:t>, Platinum’s exchange rights in the Series A Preferred were modified such that Platinum now has the right and option to exchange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Times New Roman" w:hAnsi="Times New Roman"/>
          <w:i/>
          <w:sz w:val="20"/>
        </w:rPr>
        <w:t>Series A Exchange Warrant</w:t>
      </w:r>
      <w:r>
        <w:rPr>
          <w:rFonts w:ascii="Times New Roman" w:hAnsi="Times New Roman"/>
          <w:sz w:val="20"/>
        </w:rPr>
        <w: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was determined based on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The fair value of the Series A Exchange Warrant,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was recognized as a liability in the amount of $3,068,200 at the date of the October 2012 Agreement, with a corresponding charge to Additional paid-in capital in the accompanying Consolidated Balance Sheet.  The fair value of the Series A Exchange Warrant was treated as an additional component of the deemed dividend in the accompanying Consolidated Statement of Operations and Comprehensive Loss for the fiscal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of the Series A Exchange Warrant was re-measured as of March 31, 2013 at $4,406,000 and the $1,337,800 increase in fair value since the date of the October 2012 Agreement was reflected in the accompanying Consolidated Statement of Operations and Comprehensive Loss for the year ended March 31,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2012 Private Placement of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8, </w:t>
      </w:r>
      <w:r>
        <w:rPr>
          <w:rFonts w:ascii="Times New Roman" w:hAnsi="Times New Roman"/>
          <w:i/>
          <w:sz w:val="20"/>
        </w:rPr>
        <w:t>Convertible Promissory Notes and Other Notes Payable</w:t>
      </w:r>
      <w:r>
        <w:rPr>
          <w:rFonts w:ascii="Times New Roman" w:hAnsi="Times New Roman"/>
          <w:sz w:val="20"/>
        </w:rPr>
        <w:t>, entitling the Company to sell and requiring Platinum to purchase senior secured convertible promissory notes in the aggregate face amount of $1.0 million in February and March 2013.  In connection with the settlement of legal fees payable by issuing Units, the Company recorded a loss on extinguishment of debt of $30,800 based on the fair market value of the common shares and the warrant comprising the Unit on the effective date of the settlement.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Common Stock and Warrant Grants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29, 2011, VistaGen  California issued 157,143 restricted shares of its common stock at a per share price of $1.75 as a prepayment for CRO services to be performed by Cato Research Ltd., a related party, during 2011.  The prepayment of $275,000 was recognized in research and development expense in the Consolidated Statement of Operations and Comprehensive Loss as the services were performed by Cato Research, Ltd. during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2010, VistaGen California agreed to issue 700,000 restricted shares of its common stock, valued at $1.50 per share, related to its execution of the second amendment to its Sponsored Research Collaboration Agreement (“SRCA”) with UHN as described in Note 12, </w:t>
      </w:r>
      <w:r>
        <w:rPr>
          <w:rFonts w:ascii="Times New Roman" w:hAnsi="Times New Roman"/>
          <w:i/>
          <w:sz w:val="20"/>
        </w:rPr>
        <w:t>Licensing and Collaborative Agreements</w:t>
      </w:r>
      <w:r>
        <w:rPr>
          <w:rFonts w:ascii="Times New Roman" w:hAnsi="Times New Roman"/>
          <w:sz w:val="20"/>
        </w:rPr>
        <w:t>, and recorded $1,050,000 of research and development expense in the Consolidated Statements of Operations for the fiscal year ended March 31, 2011.  Such shares were issued in May 2011. In April 2011, VistaGen California agreed to issue to UHN an additional 100,000 restricted shares of its common stock valued at $1.75 per share in conjunction with its execution of the third amendment to the SRCA, as also described in Note 12, and recorded $175,000 of research and development expense in the Consolidated Statements of Operations and Comprehensive Loss for the fiscal year ended March 31, 2012.  Such shares were issued in May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9" w:name="PGBRK94"/>
      <w:bookmarkStart w:id="960" w:name="PGBRK94"/>
      <w:bookmarkEnd w:id="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1" w:name="FTR94"/>
      <w:bookmarkStart w:id="962" w:name="FTR94"/>
      <w:bookmarkEnd w:id="9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63" w:name="GLFTR94"/>
      <w:bookmarkEnd w:id="9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4" w:name="PN94"/>
      <w:bookmarkEnd w:id="964"/>
      <w:r>
        <w:rPr>
          <w:rFonts w:ascii="Times New Roman" w:hAnsi="Times New Roman"/>
          <w:sz w:val="20"/>
        </w:rPr>
        <w:t>-93-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5" w:name="HDR94"/>
      <w:bookmarkStart w:id="966" w:name="HDR94"/>
      <w:bookmarkEnd w:id="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67" w:name="GLHDR94"/>
        <w:bookmarkEnd w:id="96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10, 2011, VistaGen California issued 75,000 restricted shares of common stock, valued at $1.75 per share, to a strategic consultant for services rendered and recorded $131,250 in general and administrative expense in the Consolidated Statements of Operations and Comprehensive Loss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2012, the Company issued an aggregate of 50,000 restricted shares of its common stock, valued at $3.15 per share, and three-year warrants to purchase an aggregate of 50,000 restricted shares of its common stock at an exercise price of $3.00 per share to two service providers as compensation for services.  The Company recorded $157,500 in general and administrative expense in the Consolidated Statements of Operations for the fiscal year ended March 31, 2012 related to the restricted stock grants.  The Company valued the warrants at a fair value of $1.73 per share on the date of issuance using the Black-Scholes option pricing model and the following assumptions:  fair value of common stock - $3.15; risk-free interest rate – 0.40%; volatility – 84.6%; contractual term – 3.00 years; dividend rate – 0%, and recorded $86,700 in general and administrative expense in the Consolidated Statements of Operations and Comprehensive Loss for the fiscal year ended March 31, 2012 related to the warrant grants.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2012, the Company granted four-year warrants to non-employee members of its Board of Directors and Scientific Advisory Board and to certain strategic consultants to purchase an aggregate of 280,000 restricted shares of its common stock at an exercise price of $3.00 per share.  The Company valued the warrants at a fair value of $1.71 per share on the date of issuance using the Black-Scholes option pricing model and the following assumptions:  fair value of common stock - $2.75; risk-free interest rate – 0.63%; volatility – 90.0%; contractual term – 4.00 years; dividend rate – 0%, and recorded $179,200 in research and development expense and $298,600 in general and administrative expense in the Consolidated Statements of Operations and Comprehensive Loss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granted three-year warrants to purchase an aggregate of 100,000 restricted shares of its common stock at an exercise price of $3.00 per share to investors who had exercised warrants generating more than $100,000 in cash proceeds to the Company during the Discounted Warrant Exercise Program.  The Company valued the warrants at a fair value of $1.38 per share on the date of issuance using the Black-Scholes option pricing model and the following assumptions:  fair value of common stock - $2.79; risk-free interest rate – 0.54%; volatility – 79.5%; contractual term – 3.00 years; dividend rate – 0%, and recorded $138,100 in interest expense in the Consolidated Statements of Operations and Comprehensive Loss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March 2012, the Company issued 50,000 restricted shares of its common stock, valued at $2.79 per share, to a strategic consultant for services rendered and recorded $139,500 in general and administrative expense in expense in the Consolidated Statements of Operations and Comprehensive Loss for the fiscal year ended March 31, 2012.  The Company also issued 55,555 restricted shares of its common stock, valued at $2.79 per share, to University Health Network, a related party, in connection with the execution of License Agreement No. 2, and recorded $155,000 in research and development expense in the Consolidated Statements of Operations and Comprehensive Loss for the fiscal year ended March 31, 2012.  The Company also issued 8,000 restricted shares of its common stock, valued at $2.80 per share, in connection with the extension of the term of a promissory note, and recorded $22,400 in interest expense in the Consolidated Statements of Operations and Comprehensive Loss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8" w:name="PGBRK95"/>
      <w:bookmarkStart w:id="969" w:name="PGBRK95"/>
      <w:bookmarkEnd w:id="9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0" w:name="FTR95"/>
      <w:bookmarkStart w:id="971" w:name="FTR95"/>
      <w:bookmarkEnd w:id="9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2" w:name="GLFTR95"/>
      <w:bookmarkEnd w:id="9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3" w:name="PN95"/>
      <w:bookmarkEnd w:id="973"/>
      <w:r>
        <w:rPr>
          <w:rFonts w:ascii="Times New Roman" w:hAnsi="Times New Roman"/>
          <w:sz w:val="20"/>
        </w:rPr>
        <w:t>-94-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4" w:name="HDR95"/>
      <w:bookmarkStart w:id="975" w:name="HDR95"/>
      <w:bookmarkEnd w:id="9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76" w:name="GLHDR95"/>
        <w:bookmarkEnd w:id="9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August 2012, the Company modified an existing warrant and issued a new warrant to Morrison &amp; Foerster as additional consideration for the Restructuring Agreement, as disclosed in Note 8, </w:t>
      </w:r>
      <w:r>
        <w:rPr>
          <w:rFonts w:ascii="Times New Roman" w:hAnsi="Times New Roman"/>
          <w:i/>
          <w:sz w:val="20"/>
        </w:rPr>
        <w:t>Convertible Promissory Notes and Other Notes Payable</w:t>
      </w:r>
      <w:r>
        <w:rPr>
          <w:rFonts w:ascii="Times New Roman" w:hAnsi="Times New Roman"/>
          <w:sz w:val="20"/>
        </w:rPr>
        <w:t>.  As described in Note 8, the Company has treated the aggregate of the incremental value of the Amended M&amp;F Warrant and the fair value of the New M&amp;F Warrant as a discount to the Replacement Notes, which discount is being amortized to interest expense using the effective interest rate method over the term of the Replacement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Times New Roman" w:hAnsi="Times New Roman"/>
          <w:i/>
          <w:sz w:val="20"/>
        </w:rPr>
        <w:t>Convertible Promissory Notes and Other Notes Payable</w:t>
      </w:r>
      <w:r>
        <w:rPr>
          <w:rFonts w:ascii="Times New Roman" w:hAnsi="Times New Roman"/>
          <w:sz w:val="20"/>
        </w:rPr>
        <w:t>, in August 2012, the Company issued a promissory note in the principal amount of $60,000 and 15,000 restricted shares of its common stock valued at $0.94 per share in settlement of its past due obligation for AV-101 clinical development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share of its common stock at an exercise price of $3.00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7" w:name="PGBRK96"/>
      <w:bookmarkStart w:id="978" w:name="PGBRK96"/>
      <w:bookmarkEnd w:id="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9" w:name="FTR96"/>
      <w:bookmarkStart w:id="980" w:name="FTR96"/>
      <w:bookmarkEnd w:id="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81" w:name="GLFTR96"/>
      <w:bookmarkEnd w:id="9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2" w:name="PN96"/>
      <w:bookmarkEnd w:id="982"/>
      <w:r>
        <w:rPr>
          <w:rFonts w:ascii="Times New Roman" w:hAnsi="Times New Roman"/>
          <w:sz w:val="20"/>
        </w:rPr>
        <w:t>-95-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3" w:name="HDR96"/>
      <w:bookmarkStart w:id="984" w:name="HDR96"/>
      <w:bookmarkEnd w:id="9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85" w:name="GLHDR96"/>
        <w:bookmarkEnd w:id="9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22"/>
        <w:gridCol w:w="116"/>
        <w:gridCol w:w="365"/>
        <w:gridCol w:w="1911"/>
        <w:gridCol w:w="116"/>
        <w:gridCol w:w="116"/>
        <w:gridCol w:w="377"/>
        <w:gridCol w:w="1948"/>
        <w:gridCol w:w="134"/>
      </w:tblGrid>
      <w:tr>
        <w:trPr/>
        <w:tc>
          <w:tcPr>
            <w:tcW w:w="5122"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27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32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134" w:type="dxa"/>
            <w:tcBorders/>
            <w:shd w:fill="auto" w:val="clear"/>
            <w:tcMar>
              <w:bottom w:w="0" w:type="dxa"/>
            </w:tcMar>
            <w:vAlign w:val="bottom"/>
          </w:tcPr>
          <w:p>
            <w:pPr>
              <w:pStyle w:val="TableContents"/>
              <w:spacing w:before="0" w:after="283"/>
              <w:jc w:val="left"/>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0.29%</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0.06%</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1.93</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0.12</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78.0%</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85.7%</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283"/>
              <w:rPr/>
            </w:pPr>
            <w:r>
              <w:rPr/>
              <w:t xml:space="preserve">  </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0.64</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1.45</w:t>
            </w:r>
          </w:p>
        </w:tc>
        <w:tc>
          <w:tcPr>
            <w:tcW w:w="134"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22"/>
        <w:gridCol w:w="116"/>
        <w:gridCol w:w="365"/>
        <w:gridCol w:w="1911"/>
        <w:gridCol w:w="116"/>
        <w:gridCol w:w="116"/>
        <w:gridCol w:w="377"/>
        <w:gridCol w:w="1948"/>
        <w:gridCol w:w="134"/>
      </w:tblGrid>
      <w:tr>
        <w:trPr/>
        <w:tc>
          <w:tcPr>
            <w:tcW w:w="5122"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27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32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134" w:type="dxa"/>
            <w:tcBorders/>
            <w:shd w:fill="auto" w:val="clear"/>
            <w:tcMar>
              <w:bottom w:w="0" w:type="dxa"/>
            </w:tcMar>
            <w:vAlign w:val="bottom"/>
          </w:tcPr>
          <w:p>
            <w:pPr>
              <w:pStyle w:val="TableContents"/>
              <w:spacing w:before="0" w:after="283"/>
              <w:jc w:val="left"/>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0.60</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0.60</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2.51</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0.21%</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0.21%</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1.38</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1.38</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80.8%</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80.8%</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283"/>
              <w:rPr/>
            </w:pPr>
            <w:r>
              <w:rPr/>
              <w:t xml:space="preserve">  </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0.03</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0.07</w:t>
            </w:r>
          </w:p>
        </w:tc>
        <w:tc>
          <w:tcPr>
            <w:tcW w:w="134" w:type="dxa"/>
            <w:tcBorders/>
            <w:shd w:fill="FFFFFF" w:val="clear"/>
            <w:tcMar>
              <w:bottom w:w="0" w:type="dxa"/>
            </w:tcMar>
            <w:vAlign w:val="bottom"/>
          </w:tcPr>
          <w:p>
            <w:pPr>
              <w:pStyle w:val="TableContents"/>
              <w:spacing w:before="0" w:after="283"/>
              <w:rPr/>
            </w:pPr>
            <w:r>
              <w:rPr/>
              <w:t xml:space="preserve">  </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86" w:name="PGBRK97"/>
      <w:bookmarkStart w:id="987" w:name="PGBRK97"/>
      <w:bookmarkEnd w:id="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88" w:name="FTR97"/>
      <w:bookmarkStart w:id="989" w:name="FTR97"/>
      <w:bookmarkEnd w:id="9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90" w:name="GLFTR97"/>
      <w:bookmarkEnd w:id="9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1" w:name="PN97"/>
      <w:bookmarkEnd w:id="991"/>
      <w:r>
        <w:rPr>
          <w:rFonts w:ascii="Times New Roman" w:hAnsi="Times New Roman"/>
          <w:sz w:val="20"/>
        </w:rPr>
        <w:t>-96-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92" w:name="HDR97"/>
      <w:bookmarkStart w:id="993" w:name="HDR97"/>
      <w:bookmarkEnd w:id="9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994" w:name="GLHDR97"/>
        <w:bookmarkEnd w:id="9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i/>
          <w:sz w:val="20"/>
        </w:rPr>
      </w:pPr>
      <w:r>
        <w:rPr>
          <w:rFonts w:ascii="Times New Roman" w:hAnsi="Times New Roman"/>
          <w:b/>
          <w:i/>
          <w:sz w:val="20"/>
        </w:rPr>
        <w:t>Other Warrant Modifications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entered into a consulting agreement with a strategic consultant for general and capital markets advisory services.  As consideration for the services to be provided under this agreement, the Company modified the term and exercise price of certain previously-issued warrants to purchase an aggregate of 384,184 restricted shares of its common stock.  The Company determined that the increase in the fair value of the modified warrants was $397,500, which is reflected in general and administrative expense for the fiscal year ended March 31, 2012 in the accompanying Consolidated Statements of Operations and Comprehensive Loss.  The warrants modified were valued using the Black-Scholes Option Pricing Model and using the following assumptions: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30"/>
        <w:gridCol w:w="112"/>
        <w:gridCol w:w="258"/>
        <w:gridCol w:w="1920"/>
        <w:gridCol w:w="228"/>
        <w:gridCol w:w="112"/>
        <w:gridCol w:w="265"/>
        <w:gridCol w:w="1957"/>
        <w:gridCol w:w="223"/>
      </w:tblGrid>
      <w:tr>
        <w:trPr/>
        <w:tc>
          <w:tcPr>
            <w:tcW w:w="5130"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2" w:type="dxa"/>
            <w:tcBorders/>
            <w:shd w:fill="auto" w:val="clear"/>
            <w:tcMar>
              <w:bottom w:w="0" w:type="dxa"/>
            </w:tcMar>
            <w:vAlign w:val="bottom"/>
          </w:tcPr>
          <w:p>
            <w:pPr>
              <w:pStyle w:val="TableContents"/>
              <w:spacing w:before="0" w:after="283"/>
              <w:jc w:val="left"/>
              <w:rPr/>
            </w:pPr>
            <w:r>
              <w:rPr/>
              <w:t xml:space="preserve">  </w:t>
            </w:r>
          </w:p>
        </w:tc>
        <w:tc>
          <w:tcPr>
            <w:tcW w:w="217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228" w:type="dxa"/>
            <w:tcBorders/>
            <w:shd w:fill="auto" w:val="clear"/>
            <w:tcMar>
              <w:bottom w:w="0" w:type="dxa"/>
            </w:tcMar>
            <w:vAlign w:val="bottom"/>
          </w:tcPr>
          <w:p>
            <w:pPr>
              <w:pStyle w:val="TableContents"/>
              <w:spacing w:before="0" w:after="283"/>
              <w:jc w:val="left"/>
              <w:rPr/>
            </w:pPr>
            <w:r>
              <w:rPr/>
              <w:t xml:space="preserve">  </w:t>
            </w:r>
          </w:p>
        </w:tc>
        <w:tc>
          <w:tcPr>
            <w:tcW w:w="112" w:type="dxa"/>
            <w:tcBorders/>
            <w:shd w:fill="auto" w:val="clear"/>
            <w:tcMar>
              <w:bottom w:w="0" w:type="dxa"/>
            </w:tcMar>
            <w:vAlign w:val="bottom"/>
          </w:tcPr>
          <w:p>
            <w:pPr>
              <w:pStyle w:val="TableContents"/>
              <w:spacing w:before="0" w:after="283"/>
              <w:jc w:val="left"/>
              <w:rPr/>
            </w:pPr>
            <w:r>
              <w:rPr/>
              <w:t xml:space="preserve">  </w:t>
            </w:r>
          </w:p>
        </w:tc>
        <w:tc>
          <w:tcPr>
            <w:tcW w:w="22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223" w:type="dxa"/>
            <w:tcBorders/>
            <w:shd w:fill="auto" w:val="clear"/>
            <w:tcMar>
              <w:bottom w:w="0" w:type="dxa"/>
            </w:tcMar>
            <w:vAlign w:val="bottom"/>
          </w:tcPr>
          <w:p>
            <w:pPr>
              <w:pStyle w:val="TableContents"/>
              <w:spacing w:before="0" w:after="283"/>
              <w:jc w:val="left"/>
              <w:rPr/>
            </w:pPr>
            <w:r>
              <w:rPr/>
              <w:t xml:space="preserve">  </w:t>
            </w:r>
          </w:p>
        </w:tc>
      </w:tr>
      <w:tr>
        <w:trPr/>
        <w:tc>
          <w:tcPr>
            <w:tcW w:w="513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2" w:type="dxa"/>
            <w:tcBorders/>
            <w:shd w:fill="CCEEFF" w:val="clear"/>
            <w:tcMar>
              <w:bottom w:w="0" w:type="dxa"/>
            </w:tcMar>
            <w:vAlign w:val="bottom"/>
          </w:tcPr>
          <w:p>
            <w:pPr>
              <w:pStyle w:val="TableContents"/>
              <w:spacing w:before="0" w:after="283"/>
              <w:rPr/>
            </w:pPr>
            <w:r>
              <w:rPr/>
              <w:t xml:space="preserve">  </w:t>
            </w:r>
          </w:p>
        </w:tc>
        <w:tc>
          <w:tcPr>
            <w:tcW w:w="25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2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2.99</w:t>
            </w:r>
          </w:p>
        </w:tc>
        <w:tc>
          <w:tcPr>
            <w:tcW w:w="228"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2.99</w:t>
            </w:r>
          </w:p>
        </w:tc>
        <w:tc>
          <w:tcPr>
            <w:tcW w:w="223" w:type="dxa"/>
            <w:tcBorders/>
            <w:shd w:fill="CCEEFF" w:val="clear"/>
            <w:tcMar>
              <w:bottom w:w="0" w:type="dxa"/>
            </w:tcMar>
            <w:vAlign w:val="bottom"/>
          </w:tcPr>
          <w:p>
            <w:pPr>
              <w:pStyle w:val="TableContents"/>
              <w:spacing w:before="0" w:after="283"/>
              <w:rPr/>
            </w:pPr>
            <w:r>
              <w:rPr/>
              <w:t xml:space="preserve">  </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2" w:type="dxa"/>
            <w:tcBorders/>
            <w:shd w:fill="FFFFFF" w:val="clear"/>
            <w:tcMar>
              <w:bottom w:w="0" w:type="dxa"/>
            </w:tcMar>
            <w:vAlign w:val="bottom"/>
          </w:tcPr>
          <w:p>
            <w:pPr>
              <w:pStyle w:val="TableContents"/>
              <w:spacing w:before="0" w:after="283"/>
              <w:rPr/>
            </w:pPr>
            <w:r>
              <w:rPr/>
              <w:t xml:space="preserve">  </w:t>
            </w:r>
          </w:p>
        </w:tc>
        <w:tc>
          <w:tcPr>
            <w:tcW w:w="25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20"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2.25 - $3.00</w:t>
            </w:r>
          </w:p>
        </w:tc>
        <w:tc>
          <w:tcPr>
            <w:tcW w:w="22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57"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1.125 - $1.50</w:t>
            </w:r>
          </w:p>
        </w:tc>
        <w:tc>
          <w:tcPr>
            <w:tcW w:w="223" w:type="dxa"/>
            <w:tcBorders/>
            <w:shd w:fill="FFFFFF" w:val="clear"/>
            <w:tcMar>
              <w:bottom w:w="0" w:type="dxa"/>
            </w:tcMar>
            <w:vAlign w:val="bottom"/>
          </w:tcPr>
          <w:p>
            <w:pPr>
              <w:pStyle w:val="TableContents"/>
              <w:spacing w:before="0" w:after="283"/>
              <w:rPr/>
            </w:pPr>
            <w:r>
              <w:rPr/>
              <w:t xml:space="preserve">  </w:t>
            </w:r>
          </w:p>
        </w:tc>
      </w:tr>
      <w:tr>
        <w:trPr/>
        <w:tc>
          <w:tcPr>
            <w:tcW w:w="513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2" w:type="dxa"/>
            <w:tcBorders/>
            <w:shd w:fill="CCEEFF" w:val="clear"/>
            <w:tcMar>
              <w:bottom w:w="0" w:type="dxa"/>
            </w:tcMar>
            <w:vAlign w:val="bottom"/>
          </w:tcPr>
          <w:p>
            <w:pPr>
              <w:pStyle w:val="TableContents"/>
              <w:spacing w:before="0" w:after="283"/>
              <w:rPr/>
            </w:pPr>
            <w:r>
              <w:rPr/>
              <w:t xml:space="preserve">  </w:t>
            </w:r>
          </w:p>
        </w:tc>
        <w:tc>
          <w:tcPr>
            <w:tcW w:w="258" w:type="dxa"/>
            <w:tcBorders/>
            <w:shd w:fill="CCEEFF" w:val="clear"/>
            <w:tcMar>
              <w:bottom w:w="0" w:type="dxa"/>
            </w:tcMar>
            <w:vAlign w:val="bottom"/>
          </w:tcPr>
          <w:p>
            <w:pPr>
              <w:pStyle w:val="TableContents"/>
              <w:spacing w:before="0" w:after="283"/>
              <w:rPr/>
            </w:pPr>
            <w:r>
              <w:rPr/>
              <w:t xml:space="preserve">  </w:t>
            </w:r>
          </w:p>
        </w:tc>
        <w:tc>
          <w:tcPr>
            <w:tcW w:w="1920"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0.02% - 0.29</w:t>
            </w:r>
          </w:p>
        </w:tc>
        <w:tc>
          <w:tcPr>
            <w:tcW w:w="228" w:type="dxa"/>
            <w:tcBorders/>
            <w:shd w:fill="CCEEFF" w:val="clear"/>
            <w:tcMar>
              <w:bottom w:w="0" w:type="dxa"/>
            </w:tcMar>
            <w:vAlign w:val="bottom"/>
          </w:tcPr>
          <w:p>
            <w:pPr>
              <w:pStyle w:val="TableContents"/>
              <w:spacing w:before="0" w:after="0"/>
              <w:ind w:left="0" w:right="0" w:hanging="0"/>
              <w:jc w:val="left"/>
              <w:rPr/>
            </w:pPr>
            <w:r>
              <w:rPr/>
              <w:t>%</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7"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0.29</w:t>
            </w:r>
          </w:p>
        </w:tc>
        <w:tc>
          <w:tcPr>
            <w:tcW w:w="223"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w:t>
            </w:r>
          </w:p>
        </w:tc>
        <w:tc>
          <w:tcPr>
            <w:tcW w:w="112" w:type="dxa"/>
            <w:tcBorders/>
            <w:shd w:fill="FFFFFF" w:val="clear"/>
            <w:tcMar>
              <w:bottom w:w="0" w:type="dxa"/>
            </w:tcMar>
            <w:vAlign w:val="bottom"/>
          </w:tcPr>
          <w:p>
            <w:pPr>
              <w:pStyle w:val="TableContents"/>
              <w:spacing w:before="0" w:after="283"/>
              <w:rPr/>
            </w:pPr>
            <w:r>
              <w:rPr/>
              <w:t xml:space="preserve">  </w:t>
            </w:r>
          </w:p>
        </w:tc>
        <w:tc>
          <w:tcPr>
            <w:tcW w:w="258" w:type="dxa"/>
            <w:tcBorders/>
            <w:shd w:fill="FFFFFF" w:val="clear"/>
            <w:tcMar>
              <w:bottom w:w="0" w:type="dxa"/>
            </w:tcMar>
            <w:vAlign w:val="bottom"/>
          </w:tcPr>
          <w:p>
            <w:pPr>
              <w:pStyle w:val="TableContents"/>
              <w:spacing w:before="0" w:after="283"/>
              <w:rPr/>
            </w:pPr>
            <w:r>
              <w:rPr/>
              <w:t xml:space="preserve">  </w:t>
            </w:r>
          </w:p>
        </w:tc>
        <w:tc>
          <w:tcPr>
            <w:tcW w:w="1920"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0.53 – 2.39</w:t>
            </w:r>
          </w:p>
        </w:tc>
        <w:tc>
          <w:tcPr>
            <w:tcW w:w="22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283"/>
              <w:rPr/>
            </w:pPr>
            <w:r>
              <w:rPr/>
              <w:t xml:space="preserve">  </w:t>
            </w:r>
          </w:p>
        </w:tc>
        <w:tc>
          <w:tcPr>
            <w:tcW w:w="1957"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2.39</w:t>
            </w:r>
          </w:p>
        </w:tc>
        <w:tc>
          <w:tcPr>
            <w:tcW w:w="223" w:type="dxa"/>
            <w:tcBorders/>
            <w:shd w:fill="FFFFFF" w:val="clear"/>
            <w:tcMar>
              <w:bottom w:w="0" w:type="dxa"/>
            </w:tcMar>
            <w:vAlign w:val="bottom"/>
          </w:tcPr>
          <w:p>
            <w:pPr>
              <w:pStyle w:val="TableContents"/>
              <w:spacing w:before="0" w:after="283"/>
              <w:rPr/>
            </w:pPr>
            <w:r>
              <w:rPr/>
              <w:t xml:space="preserve">  </w:t>
            </w:r>
          </w:p>
        </w:tc>
      </w:tr>
      <w:tr>
        <w:trPr/>
        <w:tc>
          <w:tcPr>
            <w:tcW w:w="513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2" w:type="dxa"/>
            <w:tcBorders/>
            <w:shd w:fill="CCEEFF" w:val="clear"/>
            <w:tcMar>
              <w:bottom w:w="0" w:type="dxa"/>
            </w:tcMar>
            <w:vAlign w:val="bottom"/>
          </w:tcPr>
          <w:p>
            <w:pPr>
              <w:pStyle w:val="TableContents"/>
              <w:spacing w:before="0" w:after="283"/>
              <w:rPr/>
            </w:pPr>
            <w:r>
              <w:rPr/>
              <w:t xml:space="preserve">  </w:t>
            </w:r>
          </w:p>
        </w:tc>
        <w:tc>
          <w:tcPr>
            <w:tcW w:w="258" w:type="dxa"/>
            <w:tcBorders/>
            <w:shd w:fill="CCEEFF" w:val="clear"/>
            <w:tcMar>
              <w:bottom w:w="0" w:type="dxa"/>
            </w:tcMar>
            <w:vAlign w:val="bottom"/>
          </w:tcPr>
          <w:p>
            <w:pPr>
              <w:pStyle w:val="TableContents"/>
              <w:spacing w:before="0" w:after="283"/>
              <w:rPr/>
            </w:pPr>
            <w:r>
              <w:rPr/>
              <w:t xml:space="preserve">  </w:t>
            </w:r>
          </w:p>
        </w:tc>
        <w:tc>
          <w:tcPr>
            <w:tcW w:w="1920"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69.4% – 81.0</w:t>
            </w:r>
          </w:p>
        </w:tc>
        <w:tc>
          <w:tcPr>
            <w:tcW w:w="228"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7"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81.0</w:t>
            </w:r>
          </w:p>
        </w:tc>
        <w:tc>
          <w:tcPr>
            <w:tcW w:w="223"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2" w:type="dxa"/>
            <w:tcBorders/>
            <w:shd w:fill="FFFFFF" w:val="clear"/>
            <w:tcMar>
              <w:bottom w:w="0" w:type="dxa"/>
            </w:tcMar>
            <w:vAlign w:val="bottom"/>
          </w:tcPr>
          <w:p>
            <w:pPr>
              <w:pStyle w:val="TableContents"/>
              <w:spacing w:before="0" w:after="283"/>
              <w:rPr/>
            </w:pPr>
            <w:r>
              <w:rPr/>
              <w:t xml:space="preserve">  </w:t>
            </w:r>
          </w:p>
        </w:tc>
        <w:tc>
          <w:tcPr>
            <w:tcW w:w="258" w:type="dxa"/>
            <w:tcBorders/>
            <w:shd w:fill="FFFFFF" w:val="clear"/>
            <w:tcMar>
              <w:bottom w:w="0" w:type="dxa"/>
            </w:tcMar>
            <w:vAlign w:val="bottom"/>
          </w:tcPr>
          <w:p>
            <w:pPr>
              <w:pStyle w:val="TableContents"/>
              <w:spacing w:before="0" w:after="283"/>
              <w:rPr/>
            </w:pPr>
            <w:r>
              <w:rPr/>
              <w:t xml:space="preserve">  </w:t>
            </w:r>
          </w:p>
        </w:tc>
        <w:tc>
          <w:tcPr>
            <w:tcW w:w="192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28"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283"/>
              <w:rPr/>
            </w:pPr>
            <w:r>
              <w:rPr/>
              <w:t xml:space="preserve">  </w:t>
            </w:r>
          </w:p>
        </w:tc>
        <w:tc>
          <w:tcPr>
            <w:tcW w:w="19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23"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 xml:space="preserve">% </w:t>
            </w:r>
          </w:p>
        </w:tc>
      </w:tr>
      <w:tr>
        <w:trPr/>
        <w:tc>
          <w:tcPr>
            <w:tcW w:w="5130"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c>
          <w:tcPr>
            <w:tcW w:w="258" w:type="dxa"/>
            <w:tcBorders/>
            <w:shd w:fill="CCEEFF" w:val="clear"/>
            <w:tcMar>
              <w:bottom w:w="0" w:type="dxa"/>
            </w:tcMar>
            <w:vAlign w:val="bottom"/>
          </w:tcPr>
          <w:p>
            <w:pPr>
              <w:pStyle w:val="TableContents"/>
              <w:spacing w:before="0" w:after="283"/>
              <w:rPr/>
            </w:pPr>
            <w:r>
              <w:rPr/>
              <w:t xml:space="preserve">  </w:t>
            </w:r>
          </w:p>
        </w:tc>
        <w:tc>
          <w:tcPr>
            <w:tcW w:w="1920" w:type="dxa"/>
            <w:tcBorders/>
            <w:shd w:fill="CCEEFF" w:val="clear"/>
            <w:tcMar>
              <w:bottom w:w="0" w:type="dxa"/>
            </w:tcMar>
            <w:vAlign w:val="bottom"/>
          </w:tcPr>
          <w:p>
            <w:pPr>
              <w:pStyle w:val="TableContents"/>
              <w:spacing w:before="0" w:after="283"/>
              <w:rPr/>
            </w:pPr>
            <w:r>
              <w:rPr/>
              <w:t xml:space="preserve">  </w:t>
            </w:r>
          </w:p>
        </w:tc>
        <w:tc>
          <w:tcPr>
            <w:tcW w:w="228"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7" w:type="dxa"/>
            <w:tcBorders/>
            <w:shd w:fill="CCEEFF" w:val="clear"/>
            <w:tcMar>
              <w:bottom w:w="0" w:type="dxa"/>
            </w:tcMar>
            <w:vAlign w:val="bottom"/>
          </w:tcPr>
          <w:p>
            <w:pPr>
              <w:pStyle w:val="TableContents"/>
              <w:spacing w:before="0" w:after="283"/>
              <w:rPr/>
            </w:pPr>
            <w:r>
              <w:rPr/>
              <w:t xml:space="preserve">  </w:t>
            </w:r>
          </w:p>
        </w:tc>
        <w:tc>
          <w:tcPr>
            <w:tcW w:w="223" w:type="dxa"/>
            <w:tcBorders/>
            <w:shd w:fill="CCEEFF" w:val="clear"/>
            <w:tcMar>
              <w:bottom w:w="0" w:type="dxa"/>
            </w:tcMar>
            <w:vAlign w:val="bottom"/>
          </w:tcPr>
          <w:p>
            <w:pPr>
              <w:pStyle w:val="TableContents"/>
              <w:spacing w:before="0" w:after="283"/>
              <w:rPr/>
            </w:pPr>
            <w:r>
              <w:rPr/>
              <w:t xml:space="preserve">  </w:t>
            </w:r>
          </w:p>
        </w:tc>
      </w:tr>
      <w:tr>
        <w:trPr/>
        <w:tc>
          <w:tcPr>
            <w:tcW w:w="5130"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2" w:type="dxa"/>
            <w:tcBorders/>
            <w:shd w:fill="FFFFFF" w:val="clear"/>
            <w:tcMar>
              <w:bottom w:w="0" w:type="dxa"/>
            </w:tcMar>
            <w:vAlign w:val="bottom"/>
          </w:tcPr>
          <w:p>
            <w:pPr>
              <w:pStyle w:val="TableContents"/>
              <w:spacing w:before="0" w:after="283"/>
              <w:rPr/>
            </w:pPr>
            <w:r>
              <w:rPr/>
              <w:t xml:space="preserve">  </w:t>
            </w:r>
          </w:p>
        </w:tc>
        <w:tc>
          <w:tcPr>
            <w:tcW w:w="258"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20"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1.00</w:t>
            </w:r>
          </w:p>
        </w:tc>
        <w:tc>
          <w:tcPr>
            <w:tcW w:w="22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57"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2.03</w:t>
            </w:r>
          </w:p>
        </w:tc>
        <w:tc>
          <w:tcPr>
            <w:tcW w:w="223"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also entered into a consulting agreement with an individual for strategic consulting services.  As consideration for the services to be provided under this agreement, the Company modified the term and exercise price of certain previously-issued warrants to purchase an aggregate of 23,138 restricted shares of its common stock and will pay the consultant $1,000 per month for the period June 2012 through December 2012.  The Company determined that the increase in the fair value of the modified warrants was $13,100, which is reflected in general and administrative expense for the fiscal year ended March 31, 2012 in the accompanying Consolidated Statements of Operations and Comprehensive Loss.  The warrants modified were valued using the Black-Scholes Option Pricing Model and using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50"/>
        <w:gridCol w:w="113"/>
        <w:gridCol w:w="257"/>
        <w:gridCol w:w="1922"/>
        <w:gridCol w:w="205"/>
        <w:gridCol w:w="113"/>
        <w:gridCol w:w="265"/>
        <w:gridCol w:w="1959"/>
        <w:gridCol w:w="221"/>
      </w:tblGrid>
      <w:tr>
        <w:trPr/>
        <w:tc>
          <w:tcPr>
            <w:tcW w:w="5150"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217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205"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222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221" w:type="dxa"/>
            <w:tcBorders/>
            <w:shd w:fill="auto" w:val="clear"/>
            <w:tcMar>
              <w:bottom w:w="0" w:type="dxa"/>
            </w:tcMar>
            <w:vAlign w:val="bottom"/>
          </w:tcPr>
          <w:p>
            <w:pPr>
              <w:pStyle w:val="TableContents"/>
              <w:spacing w:before="0" w:after="283"/>
              <w:jc w:val="left"/>
              <w:rPr/>
            </w:pPr>
            <w:r>
              <w:rPr/>
              <w:t xml:space="preserve">  </w:t>
            </w:r>
          </w:p>
        </w:tc>
      </w:tr>
      <w:tr>
        <w:trPr/>
        <w:tc>
          <w:tcPr>
            <w:tcW w:w="515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3" w:type="dxa"/>
            <w:tcBorders/>
            <w:shd w:fill="CCEEFF" w:val="clear"/>
            <w:tcMar>
              <w:bottom w:w="0" w:type="dxa"/>
            </w:tcMar>
            <w:vAlign w:val="bottom"/>
          </w:tcPr>
          <w:p>
            <w:pPr>
              <w:pStyle w:val="TableContents"/>
              <w:spacing w:before="0" w:after="283"/>
              <w:rPr/>
            </w:pPr>
            <w:r>
              <w:rPr/>
              <w:t xml:space="preserve">  </w:t>
            </w:r>
          </w:p>
        </w:tc>
        <w:tc>
          <w:tcPr>
            <w:tcW w:w="2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22"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3.05</w:t>
            </w:r>
          </w:p>
        </w:tc>
        <w:tc>
          <w:tcPr>
            <w:tcW w:w="205" w:type="dxa"/>
            <w:tcBorders/>
            <w:shd w:fill="CCEEFF" w:val="clear"/>
            <w:tcMar>
              <w:bottom w:w="0" w:type="dxa"/>
            </w:tcMar>
            <w:vAlign w:val="bottom"/>
          </w:tcPr>
          <w:p>
            <w:pPr>
              <w:pStyle w:val="TableContents"/>
              <w:spacing w:before="0" w:after="283"/>
              <w:rPr/>
            </w:pPr>
            <w:r>
              <w:rPr/>
              <w:t xml:space="preserve">  </w:t>
            </w:r>
          </w:p>
        </w:tc>
        <w:tc>
          <w:tcPr>
            <w:tcW w:w="113"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5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$3.05</w:t>
            </w:r>
          </w:p>
        </w:tc>
        <w:tc>
          <w:tcPr>
            <w:tcW w:w="221" w:type="dxa"/>
            <w:tcBorders/>
            <w:shd w:fill="CCEEFF" w:val="clear"/>
            <w:tcMar>
              <w:bottom w:w="0" w:type="dxa"/>
            </w:tcMar>
            <w:vAlign w:val="bottom"/>
          </w:tcPr>
          <w:p>
            <w:pPr>
              <w:pStyle w:val="TableContents"/>
              <w:spacing w:before="0" w:after="283"/>
              <w:rPr/>
            </w:pPr>
            <w:r>
              <w:rPr/>
              <w:t xml:space="preserve">  </w:t>
            </w:r>
          </w:p>
        </w:tc>
      </w:tr>
      <w:tr>
        <w:trPr/>
        <w:tc>
          <w:tcPr>
            <w:tcW w:w="515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3" w:type="dxa"/>
            <w:tcBorders/>
            <w:shd w:fill="FFFFFF" w:val="clear"/>
            <w:tcMar>
              <w:bottom w:w="0" w:type="dxa"/>
            </w:tcMar>
            <w:vAlign w:val="bottom"/>
          </w:tcPr>
          <w:p>
            <w:pPr>
              <w:pStyle w:val="TableContents"/>
              <w:spacing w:before="0" w:after="283"/>
              <w:rPr/>
            </w:pPr>
            <w:r>
              <w:rPr/>
              <w:t xml:space="preserve">  </w:t>
            </w:r>
          </w:p>
        </w:tc>
        <w:tc>
          <w:tcPr>
            <w:tcW w:w="2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22"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1.75 - $2.50</w:t>
            </w:r>
          </w:p>
        </w:tc>
        <w:tc>
          <w:tcPr>
            <w:tcW w:w="205" w:type="dxa"/>
            <w:tcBorders/>
            <w:shd w:fill="FFFFFF" w:val="clear"/>
            <w:tcMar>
              <w:bottom w:w="0" w:type="dxa"/>
            </w:tcMar>
            <w:vAlign w:val="bottom"/>
          </w:tcPr>
          <w:p>
            <w:pPr>
              <w:pStyle w:val="TableContents"/>
              <w:spacing w:before="0" w:after="283"/>
              <w:rPr/>
            </w:pPr>
            <w:r>
              <w:rPr/>
              <w:t xml:space="preserve">  </w:t>
            </w:r>
          </w:p>
        </w:tc>
        <w:tc>
          <w:tcPr>
            <w:tcW w:w="113"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5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$0.88 - $1.25</w:t>
            </w:r>
          </w:p>
        </w:tc>
        <w:tc>
          <w:tcPr>
            <w:tcW w:w="221" w:type="dxa"/>
            <w:tcBorders/>
            <w:shd w:fill="FFFFFF" w:val="clear"/>
            <w:tcMar>
              <w:bottom w:w="0" w:type="dxa"/>
            </w:tcMar>
            <w:vAlign w:val="bottom"/>
          </w:tcPr>
          <w:p>
            <w:pPr>
              <w:pStyle w:val="TableContents"/>
              <w:spacing w:before="0" w:after="283"/>
              <w:rPr/>
            </w:pPr>
            <w:r>
              <w:rPr/>
              <w:t xml:space="preserve">  </w:t>
            </w:r>
          </w:p>
        </w:tc>
      </w:tr>
      <w:tr>
        <w:trPr/>
        <w:tc>
          <w:tcPr>
            <w:tcW w:w="515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3" w:type="dxa"/>
            <w:tcBorders/>
            <w:shd w:fill="CCEEFF" w:val="clear"/>
            <w:tcMar>
              <w:bottom w:w="0" w:type="dxa"/>
            </w:tcMar>
            <w:vAlign w:val="bottom"/>
          </w:tcPr>
          <w:p>
            <w:pPr>
              <w:pStyle w:val="TableContents"/>
              <w:spacing w:before="0" w:after="283"/>
              <w:rPr/>
            </w:pPr>
            <w:r>
              <w:rPr/>
              <w:t xml:space="preserve">  </w:t>
            </w:r>
          </w:p>
        </w:tc>
        <w:tc>
          <w:tcPr>
            <w:tcW w:w="257" w:type="dxa"/>
            <w:tcBorders/>
            <w:shd w:fill="CCEEFF" w:val="clear"/>
            <w:tcMar>
              <w:bottom w:w="0" w:type="dxa"/>
            </w:tcMar>
            <w:vAlign w:val="bottom"/>
          </w:tcPr>
          <w:p>
            <w:pPr>
              <w:pStyle w:val="TableContents"/>
              <w:spacing w:before="0" w:after="283"/>
              <w:rPr/>
            </w:pPr>
            <w:r>
              <w:rPr/>
              <w:t xml:space="preserve">  </w:t>
            </w:r>
          </w:p>
        </w:tc>
        <w:tc>
          <w:tcPr>
            <w:tcW w:w="1922"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0.25% - 0.29</w:t>
            </w:r>
          </w:p>
        </w:tc>
        <w:tc>
          <w:tcPr>
            <w:tcW w:w="20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0.29</w:t>
            </w:r>
          </w:p>
        </w:tc>
        <w:tc>
          <w:tcPr>
            <w:tcW w:w="221"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5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w:t>
            </w:r>
          </w:p>
        </w:tc>
        <w:tc>
          <w:tcPr>
            <w:tcW w:w="113" w:type="dxa"/>
            <w:tcBorders/>
            <w:shd w:fill="FFFFFF" w:val="clear"/>
            <w:tcMar>
              <w:bottom w:w="0" w:type="dxa"/>
            </w:tcMar>
            <w:vAlign w:val="bottom"/>
          </w:tcPr>
          <w:p>
            <w:pPr>
              <w:pStyle w:val="TableContents"/>
              <w:spacing w:before="0" w:after="283"/>
              <w:rPr/>
            </w:pPr>
            <w:r>
              <w:rPr/>
              <w:t xml:space="preserve">  </w:t>
            </w:r>
          </w:p>
        </w:tc>
        <w:tc>
          <w:tcPr>
            <w:tcW w:w="257" w:type="dxa"/>
            <w:tcBorders/>
            <w:shd w:fill="FFFFFF" w:val="clear"/>
            <w:tcMar>
              <w:bottom w:w="0" w:type="dxa"/>
            </w:tcMar>
            <w:vAlign w:val="bottom"/>
          </w:tcPr>
          <w:p>
            <w:pPr>
              <w:pStyle w:val="TableContents"/>
              <w:spacing w:before="0" w:after="283"/>
              <w:rPr/>
            </w:pPr>
            <w:r>
              <w:rPr/>
              <w:t xml:space="preserve">  </w:t>
            </w:r>
          </w:p>
        </w:tc>
        <w:tc>
          <w:tcPr>
            <w:tcW w:w="1922"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2.00 – 2.36</w:t>
            </w:r>
          </w:p>
        </w:tc>
        <w:tc>
          <w:tcPr>
            <w:tcW w:w="205" w:type="dxa"/>
            <w:tcBorders/>
            <w:shd w:fill="FFFFFF" w:val="clear"/>
            <w:tcMar>
              <w:bottom w:w="0" w:type="dxa"/>
            </w:tcMar>
            <w:vAlign w:val="bottom"/>
          </w:tcPr>
          <w:p>
            <w:pPr>
              <w:pStyle w:val="TableContents"/>
              <w:spacing w:before="0" w:after="283"/>
              <w:rPr/>
            </w:pPr>
            <w:r>
              <w:rPr/>
              <w:t xml:space="preserve">  </w:t>
            </w:r>
          </w:p>
        </w:tc>
        <w:tc>
          <w:tcPr>
            <w:tcW w:w="113"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283"/>
              <w:rPr/>
            </w:pPr>
            <w:r>
              <w:rPr/>
              <w:t xml:space="preserve">  </w:t>
            </w:r>
          </w:p>
        </w:tc>
        <w:tc>
          <w:tcPr>
            <w:tcW w:w="195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2.36</w:t>
            </w:r>
          </w:p>
        </w:tc>
        <w:tc>
          <w:tcPr>
            <w:tcW w:w="221" w:type="dxa"/>
            <w:tcBorders/>
            <w:shd w:fill="FFFFFF" w:val="clear"/>
            <w:tcMar>
              <w:bottom w:w="0" w:type="dxa"/>
            </w:tcMar>
            <w:vAlign w:val="bottom"/>
          </w:tcPr>
          <w:p>
            <w:pPr>
              <w:pStyle w:val="TableContents"/>
              <w:spacing w:before="0" w:after="283"/>
              <w:rPr/>
            </w:pPr>
            <w:r>
              <w:rPr/>
              <w:t xml:space="preserve">  </w:t>
            </w:r>
          </w:p>
        </w:tc>
      </w:tr>
      <w:tr>
        <w:trPr/>
        <w:tc>
          <w:tcPr>
            <w:tcW w:w="515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3" w:type="dxa"/>
            <w:tcBorders/>
            <w:shd w:fill="CCEEFF" w:val="clear"/>
            <w:tcMar>
              <w:bottom w:w="0" w:type="dxa"/>
            </w:tcMar>
            <w:vAlign w:val="bottom"/>
          </w:tcPr>
          <w:p>
            <w:pPr>
              <w:pStyle w:val="TableContents"/>
              <w:spacing w:before="0" w:after="283"/>
              <w:rPr/>
            </w:pPr>
            <w:r>
              <w:rPr/>
              <w:t xml:space="preserve">  </w:t>
            </w:r>
          </w:p>
        </w:tc>
        <w:tc>
          <w:tcPr>
            <w:tcW w:w="257" w:type="dxa"/>
            <w:tcBorders/>
            <w:shd w:fill="CCEEFF" w:val="clear"/>
            <w:tcMar>
              <w:bottom w:w="0" w:type="dxa"/>
            </w:tcMar>
            <w:vAlign w:val="bottom"/>
          </w:tcPr>
          <w:p>
            <w:pPr>
              <w:pStyle w:val="TableContents"/>
              <w:spacing w:before="0" w:after="283"/>
              <w:rPr/>
            </w:pPr>
            <w:r>
              <w:rPr/>
              <w:t xml:space="preserve">  </w:t>
            </w:r>
          </w:p>
        </w:tc>
        <w:tc>
          <w:tcPr>
            <w:tcW w:w="1922"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74.8% – 78.3</w:t>
            </w:r>
          </w:p>
        </w:tc>
        <w:tc>
          <w:tcPr>
            <w:tcW w:w="205"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3"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78.3</w:t>
            </w:r>
          </w:p>
        </w:tc>
        <w:tc>
          <w:tcPr>
            <w:tcW w:w="221" w:type="dxa"/>
            <w:tcBorders/>
            <w:shd w:fill="CCEE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 xml:space="preserve">% </w:t>
            </w:r>
          </w:p>
        </w:tc>
      </w:tr>
      <w:tr>
        <w:trPr/>
        <w:tc>
          <w:tcPr>
            <w:tcW w:w="515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3" w:type="dxa"/>
            <w:tcBorders/>
            <w:shd w:fill="FFFFFF" w:val="clear"/>
            <w:tcMar>
              <w:bottom w:w="0" w:type="dxa"/>
            </w:tcMar>
            <w:vAlign w:val="bottom"/>
          </w:tcPr>
          <w:p>
            <w:pPr>
              <w:pStyle w:val="TableContents"/>
              <w:spacing w:before="0" w:after="283"/>
              <w:rPr/>
            </w:pPr>
            <w:r>
              <w:rPr/>
              <w:t xml:space="preserve">  </w:t>
            </w:r>
          </w:p>
        </w:tc>
        <w:tc>
          <w:tcPr>
            <w:tcW w:w="257" w:type="dxa"/>
            <w:tcBorders/>
            <w:shd w:fill="FFFFFF" w:val="clear"/>
            <w:tcMar>
              <w:bottom w:w="0" w:type="dxa"/>
            </w:tcMar>
            <w:vAlign w:val="bottom"/>
          </w:tcPr>
          <w:p>
            <w:pPr>
              <w:pStyle w:val="TableContents"/>
              <w:spacing w:before="0" w:after="283"/>
              <w:rPr/>
            </w:pPr>
            <w:r>
              <w:rPr/>
              <w:t xml:space="preserve">  </w:t>
            </w:r>
          </w:p>
        </w:tc>
        <w:tc>
          <w:tcPr>
            <w:tcW w:w="192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05"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c>
          <w:tcPr>
            <w:tcW w:w="113"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283"/>
              <w:rPr/>
            </w:pPr>
            <w:r>
              <w:rPr/>
              <w:t xml:space="preserve">  </w:t>
            </w:r>
          </w:p>
        </w:tc>
        <w:tc>
          <w:tcPr>
            <w:tcW w:w="1959"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221" w:type="dxa"/>
            <w:tcBorders/>
            <w:shd w:fill="FFFFFF" w:val="clear"/>
            <w:tcMar>
              <w:bottom w:w="0" w:type="dxa"/>
            </w:tcM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50" w:type="dxa"/>
            <w:tcBorders/>
            <w:shd w:fill="CCEEFF" w:val="clear"/>
            <w:tcMar>
              <w:bottom w:w="0" w:type="dxa"/>
            </w:tcMar>
            <w:vAlign w:val="bottom"/>
          </w:tcPr>
          <w:p>
            <w:pPr>
              <w:pStyle w:val="TableContents"/>
              <w:spacing w:before="0" w:after="283"/>
              <w:rPr/>
            </w:pPr>
            <w:r>
              <w:rPr/>
              <w:t xml:space="preserve">  </w:t>
            </w:r>
          </w:p>
        </w:tc>
        <w:tc>
          <w:tcPr>
            <w:tcW w:w="113" w:type="dxa"/>
            <w:tcBorders/>
            <w:shd w:fill="CCEEFF" w:val="clear"/>
            <w:tcMar>
              <w:bottom w:w="0" w:type="dxa"/>
            </w:tcMar>
            <w:vAlign w:val="bottom"/>
          </w:tcPr>
          <w:p>
            <w:pPr>
              <w:pStyle w:val="TableContents"/>
              <w:spacing w:before="0" w:after="283"/>
              <w:rPr/>
            </w:pPr>
            <w:r>
              <w:rPr/>
              <w:t xml:space="preserve">  </w:t>
            </w:r>
          </w:p>
        </w:tc>
        <w:tc>
          <w:tcPr>
            <w:tcW w:w="257" w:type="dxa"/>
            <w:tcBorders/>
            <w:shd w:fill="CCEEFF" w:val="clear"/>
            <w:tcMar>
              <w:bottom w:w="0" w:type="dxa"/>
            </w:tcMar>
            <w:vAlign w:val="bottom"/>
          </w:tcPr>
          <w:p>
            <w:pPr>
              <w:pStyle w:val="TableContents"/>
              <w:spacing w:before="0" w:after="283"/>
              <w:rPr/>
            </w:pPr>
            <w:r>
              <w:rPr/>
              <w:t xml:space="preserve">  </w:t>
            </w:r>
          </w:p>
        </w:tc>
        <w:tc>
          <w:tcPr>
            <w:tcW w:w="1922" w:type="dxa"/>
            <w:tcBorders/>
            <w:shd w:fill="CCEEFF" w:val="clear"/>
            <w:tcMar>
              <w:bottom w:w="0" w:type="dxa"/>
            </w:tcMar>
            <w:vAlign w:val="bottom"/>
          </w:tcPr>
          <w:p>
            <w:pPr>
              <w:pStyle w:val="TableContents"/>
              <w:spacing w:before="0" w:after="283"/>
              <w:rPr/>
            </w:pPr>
            <w:r>
              <w:rPr/>
              <w:t xml:space="preserve">  </w:t>
            </w:r>
          </w:p>
        </w:tc>
        <w:tc>
          <w:tcPr>
            <w:tcW w:w="205" w:type="dxa"/>
            <w:tcBorders/>
            <w:shd w:fill="CCEEFF" w:val="clear"/>
            <w:tcMar>
              <w:bottom w:w="0" w:type="dxa"/>
            </w:tcMar>
            <w:vAlign w:val="bottom"/>
          </w:tcPr>
          <w:p>
            <w:pPr>
              <w:pStyle w:val="TableContents"/>
              <w:spacing w:before="0" w:after="283"/>
              <w:rPr/>
            </w:pPr>
            <w:r>
              <w:rPr/>
              <w:t xml:space="preserve">  </w:t>
            </w:r>
          </w:p>
        </w:tc>
        <w:tc>
          <w:tcPr>
            <w:tcW w:w="113" w:type="dxa"/>
            <w:tcBorders/>
            <w:shd w:fill="CCEEFF" w:val="clear"/>
            <w:tcMar>
              <w:bottom w:w="0" w:type="dxa"/>
            </w:tcMar>
            <w:vAlign w:val="bottom"/>
          </w:tcPr>
          <w:p>
            <w:pPr>
              <w:pStyle w:val="TableContents"/>
              <w:spacing w:before="0" w:after="283"/>
              <w:rPr/>
            </w:pPr>
            <w:r>
              <w:rPr/>
              <w:t xml:space="preserve">  </w:t>
            </w:r>
          </w:p>
        </w:tc>
        <w:tc>
          <w:tcPr>
            <w:tcW w:w="265" w:type="dxa"/>
            <w:tcBorders/>
            <w:shd w:fill="CCEEFF" w:val="clear"/>
            <w:tcMar>
              <w:bottom w:w="0" w:type="dxa"/>
            </w:tcMar>
            <w:vAlign w:val="bottom"/>
          </w:tcPr>
          <w:p>
            <w:pPr>
              <w:pStyle w:val="TableContents"/>
              <w:spacing w:before="0" w:after="283"/>
              <w:rPr/>
            </w:pPr>
            <w:r>
              <w:rPr/>
              <w:t xml:space="preserve">  </w:t>
            </w:r>
          </w:p>
        </w:tc>
        <w:tc>
          <w:tcPr>
            <w:tcW w:w="1959" w:type="dxa"/>
            <w:tcBorders/>
            <w:shd w:fill="CCEEFF" w:val="clear"/>
            <w:tcMar>
              <w:bottom w:w="0" w:type="dxa"/>
            </w:tcMar>
            <w:vAlign w:val="bottom"/>
          </w:tcPr>
          <w:p>
            <w:pPr>
              <w:pStyle w:val="TableContents"/>
              <w:spacing w:before="0" w:after="283"/>
              <w:rPr/>
            </w:pPr>
            <w:r>
              <w:rPr/>
              <w:t xml:space="preserve">  </w:t>
            </w:r>
          </w:p>
        </w:tc>
        <w:tc>
          <w:tcPr>
            <w:tcW w:w="221" w:type="dxa"/>
            <w:tcBorders/>
            <w:shd w:fill="CCEEFF" w:val="clear"/>
            <w:tcMar>
              <w:bottom w:w="0" w:type="dxa"/>
            </w:tcMar>
            <w:vAlign w:val="bottom"/>
          </w:tcPr>
          <w:p>
            <w:pPr>
              <w:pStyle w:val="TableContents"/>
              <w:spacing w:before="0" w:after="283"/>
              <w:rPr/>
            </w:pPr>
            <w:r>
              <w:rPr/>
              <w:t xml:space="preserve">  </w:t>
            </w:r>
          </w:p>
        </w:tc>
      </w:tr>
      <w:tr>
        <w:trPr/>
        <w:tc>
          <w:tcPr>
            <w:tcW w:w="5150"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3" w:type="dxa"/>
            <w:tcBorders/>
            <w:shd w:fill="FFFFFF" w:val="clear"/>
            <w:tcMar>
              <w:bottom w:w="0" w:type="dxa"/>
            </w:tcMar>
            <w:vAlign w:val="bottom"/>
          </w:tcPr>
          <w:p>
            <w:pPr>
              <w:pStyle w:val="TableContents"/>
              <w:spacing w:before="0" w:after="283"/>
              <w:rPr/>
            </w:pPr>
            <w:r>
              <w:rPr/>
              <w:t xml:space="preserve">  </w:t>
            </w:r>
          </w:p>
        </w:tc>
        <w:tc>
          <w:tcPr>
            <w:tcW w:w="25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22"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1.69</w:t>
            </w:r>
          </w:p>
        </w:tc>
        <w:tc>
          <w:tcPr>
            <w:tcW w:w="205" w:type="dxa"/>
            <w:tcBorders/>
            <w:shd w:fill="FFFFFF" w:val="clear"/>
            <w:tcMar>
              <w:bottom w:w="0" w:type="dxa"/>
            </w:tcMar>
            <w:vAlign w:val="bottom"/>
          </w:tcPr>
          <w:p>
            <w:pPr>
              <w:pStyle w:val="TableContents"/>
              <w:spacing w:before="0" w:after="283"/>
              <w:rPr/>
            </w:pPr>
            <w:r>
              <w:rPr/>
              <w:t xml:space="preserve">  </w:t>
            </w:r>
          </w:p>
        </w:tc>
        <w:tc>
          <w:tcPr>
            <w:tcW w:w="113" w:type="dxa"/>
            <w:tcBorders/>
            <w:shd w:fill="FFFFFF" w:val="clear"/>
            <w:tcMar>
              <w:bottom w:w="0" w:type="dxa"/>
            </w:tcMar>
            <w:vAlign w:val="bottom"/>
          </w:tcPr>
          <w:p>
            <w:pPr>
              <w:pStyle w:val="TableContents"/>
              <w:spacing w:before="0" w:after="283"/>
              <w:rPr/>
            </w:pPr>
            <w:r>
              <w:rPr/>
              <w:t xml:space="preserve">  </w:t>
            </w:r>
          </w:p>
        </w:tc>
        <w:tc>
          <w:tcPr>
            <w:tcW w:w="2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59"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2.25</w:t>
            </w:r>
          </w:p>
        </w:tc>
        <w:tc>
          <w:tcPr>
            <w:tcW w:w="221"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Warrants Outstanding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outstanding warrants to purchase restricted shares of the Company’s common stock as of March 31, 2013 and 2012.  The weighted average exercise price of outstanding warrants at March 31, 2013 and 2012 was $1.26 and $2.16 per share, respectively.</w:t>
      </w:r>
    </w:p>
    <w:tbl>
      <w:tblPr>
        <w:tblW w:w="5000" w:type="pct"/>
        <w:jc w:val="left"/>
        <w:tblInd w:w="0" w:type="dxa"/>
        <w:tblCellMar>
          <w:top w:w="0" w:type="dxa"/>
          <w:left w:w="0" w:type="dxa"/>
          <w:bottom w:w="0" w:type="dxa"/>
          <w:right w:w="0" w:type="dxa"/>
        </w:tblCellMar>
      </w:tblPr>
      <w:tblGrid>
        <w:gridCol w:w="1634"/>
        <w:gridCol w:w="100"/>
        <w:gridCol w:w="4802"/>
        <w:gridCol w:w="101"/>
        <w:gridCol w:w="101"/>
        <w:gridCol w:w="1531"/>
        <w:gridCol w:w="101"/>
        <w:gridCol w:w="101"/>
        <w:gridCol w:w="101"/>
        <w:gridCol w:w="1532"/>
        <w:gridCol w:w="101"/>
      </w:tblGrid>
      <w:tr>
        <w:trPr/>
        <w:tc>
          <w:tcPr>
            <w:tcW w:w="1634"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283"/>
              <w:jc w:val="left"/>
              <w:rPr/>
            </w:pPr>
            <w:r>
              <w:rPr/>
              <w:t> </w:t>
            </w:r>
          </w:p>
        </w:tc>
        <w:tc>
          <w:tcPr>
            <w:tcW w:w="4802"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346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 Subject to Purchase</w:t>
            </w:r>
          </w:p>
        </w:tc>
        <w:tc>
          <w:tcPr>
            <w:tcW w:w="101" w:type="dxa"/>
            <w:tcBorders/>
            <w:shd w:fill="auto" w:val="clear"/>
            <w:vAlign w:val="bottom"/>
          </w:tcPr>
          <w:p>
            <w:pPr>
              <w:pStyle w:val="TableContents"/>
              <w:spacing w:before="0" w:after="283"/>
              <w:jc w:val="left"/>
              <w:rPr/>
            </w:pPr>
            <w:r>
              <w:rPr/>
              <w:t> </w:t>
            </w:r>
          </w:p>
        </w:tc>
      </w:tr>
      <w:tr>
        <w:trPr/>
        <w:tc>
          <w:tcPr>
            <w:tcW w:w="1634"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tc>
        <w:tc>
          <w:tcPr>
            <w:tcW w:w="100" w:type="dxa"/>
            <w:tcBorders/>
            <w:shd w:fill="auto" w:val="clear"/>
            <w:vAlign w:val="bottom"/>
          </w:tcPr>
          <w:p>
            <w:pPr>
              <w:pStyle w:val="TableContents"/>
              <w:spacing w:before="0" w:after="283"/>
              <w:jc w:val="left"/>
              <w:rPr/>
            </w:pPr>
            <w:r>
              <w:rPr/>
              <w:t> </w:t>
            </w:r>
          </w:p>
        </w:tc>
        <w:tc>
          <w:tcPr>
            <w:tcW w:w="4802"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c>
          <w:tcPr>
            <w:tcW w:w="101" w:type="dxa"/>
            <w:tcBorders/>
            <w:shd w:fill="auto" w:val="clear"/>
            <w:vAlign w:val="bottom"/>
          </w:tcPr>
          <w:p>
            <w:pPr>
              <w:pStyle w:val="TableContents"/>
              <w:spacing w:before="0" w:after="283"/>
              <w:rPr/>
            </w:pPr>
            <w:r>
              <w:rPr/>
              <w:t> </w:t>
            </w:r>
          </w:p>
        </w:tc>
        <w:tc>
          <w:tcPr>
            <w:tcW w:w="163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01" w:type="dxa"/>
            <w:tcBorders/>
            <w:shd w:fill="auto" w:val="clear"/>
            <w:vAlign w:val="bottom"/>
          </w:tcPr>
          <w:p>
            <w:pPr>
              <w:pStyle w:val="TableContents"/>
              <w:spacing w:before="0" w:after="283"/>
              <w:jc w:val="left"/>
              <w:rPr/>
            </w:pPr>
            <w:r>
              <w:rPr/>
              <w:t> </w:t>
            </w:r>
          </w:p>
        </w:tc>
      </w:tr>
      <w:tr>
        <w:trPr/>
        <w:tc>
          <w:tcPr>
            <w:tcW w:w="1634"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00" w:type="dxa"/>
            <w:tcBorders/>
            <w:shd w:fill="auto" w:val="clear"/>
            <w:vAlign w:val="bottom"/>
          </w:tcPr>
          <w:p>
            <w:pPr>
              <w:pStyle w:val="TableContents"/>
              <w:spacing w:before="0" w:after="283"/>
              <w:jc w:val="left"/>
              <w:rPr/>
            </w:pPr>
            <w:r>
              <w:rPr/>
              <w:t> </w:t>
            </w:r>
          </w:p>
        </w:tc>
        <w:tc>
          <w:tcPr>
            <w:tcW w:w="480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c>
          <w:tcPr>
            <w:tcW w:w="101" w:type="dxa"/>
            <w:tcBorders/>
            <w:shd w:fill="auto" w:val="clear"/>
            <w:vAlign w:val="bottom"/>
          </w:tcPr>
          <w:p>
            <w:pPr>
              <w:pStyle w:val="TableContents"/>
              <w:spacing w:before="0" w:after="283"/>
              <w:rPr/>
            </w:pPr>
            <w:r>
              <w:rPr/>
              <w:t> </w:t>
            </w:r>
          </w:p>
        </w:tc>
        <w:tc>
          <w:tcPr>
            <w:tcW w:w="16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6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1" w:type="dxa"/>
            <w:tcBorders/>
            <w:shd w:fill="auto"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$0.64</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3/3/2023</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$0.88</w:t>
            </w:r>
          </w:p>
        </w:tc>
        <w:tc>
          <w:tcPr>
            <w:tcW w:w="100" w:type="dxa"/>
            <w:tcBorders/>
            <w:shd w:fill="FFFFFF" w:val="clear"/>
            <w:vAlign w:val="bottom"/>
          </w:tcPr>
          <w:p>
            <w:pPr>
              <w:pStyle w:val="TableContents"/>
              <w:spacing w:before="0" w:after="283"/>
              <w:jc w:val="left"/>
              <w:rPr/>
            </w:pPr>
            <w:r>
              <w:rPr/>
              <w:t> </w:t>
            </w:r>
          </w:p>
        </w:tc>
        <w:tc>
          <w:tcPr>
            <w:tcW w:w="4802"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15,428</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314,328</w:t>
            </w:r>
          </w:p>
        </w:tc>
        <w:tc>
          <w:tcPr>
            <w:tcW w:w="101" w:type="dxa"/>
            <w:tcBorders/>
            <w:shd w:fill="FFFF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 to 9/30/2017</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3,053,573</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$1.125</w:t>
            </w:r>
          </w:p>
        </w:tc>
        <w:tc>
          <w:tcPr>
            <w:tcW w:w="100" w:type="dxa"/>
            <w:tcBorders/>
            <w:shd w:fill="FFFFFF" w:val="clear"/>
            <w:vAlign w:val="bottom"/>
          </w:tcPr>
          <w:p>
            <w:pPr>
              <w:pStyle w:val="TableContents"/>
              <w:spacing w:before="0" w:after="283"/>
              <w:jc w:val="left"/>
              <w:rPr/>
            </w:pPr>
            <w:r>
              <w:rPr/>
              <w:t> </w:t>
            </w:r>
          </w:p>
        </w:tc>
        <w:tc>
          <w:tcPr>
            <w:tcW w:w="4802"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12/28/2012</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97,679</w:t>
            </w:r>
          </w:p>
        </w:tc>
        <w:tc>
          <w:tcPr>
            <w:tcW w:w="101" w:type="dxa"/>
            <w:tcBorders/>
            <w:shd w:fill="FFFF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$1.25</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 to 12/31/2014</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$1.50</w:t>
            </w:r>
          </w:p>
        </w:tc>
        <w:tc>
          <w:tcPr>
            <w:tcW w:w="100" w:type="dxa"/>
            <w:tcBorders/>
            <w:shd w:fill="FFFFFF" w:val="clear"/>
            <w:vAlign w:val="bottom"/>
          </w:tcPr>
          <w:p>
            <w:pPr>
              <w:pStyle w:val="TableContents"/>
              <w:spacing w:before="0" w:after="283"/>
              <w:jc w:val="left"/>
              <w:rPr/>
            </w:pPr>
            <w:r>
              <w:rPr/>
              <w:t> </w:t>
            </w:r>
          </w:p>
        </w:tc>
        <w:tc>
          <w:tcPr>
            <w:tcW w:w="4802"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12/31/2012 to 3/14/2018</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7,460,816</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01" w:type="dxa"/>
            <w:tcBorders/>
            <w:shd w:fill="FFFF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$1.75</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349,235</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643,184</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$2.00</w:t>
            </w:r>
          </w:p>
        </w:tc>
        <w:tc>
          <w:tcPr>
            <w:tcW w:w="100" w:type="dxa"/>
            <w:tcBorders/>
            <w:shd w:fill="FFFFFF" w:val="clear"/>
            <w:vAlign w:val="bottom"/>
          </w:tcPr>
          <w:p>
            <w:pPr>
              <w:pStyle w:val="TableContents"/>
              <w:spacing w:before="0" w:after="283"/>
              <w:jc w:val="left"/>
              <w:rPr/>
            </w:pPr>
            <w:r>
              <w:rPr/>
              <w:t> </w:t>
            </w:r>
          </w:p>
        </w:tc>
        <w:tc>
          <w:tcPr>
            <w:tcW w:w="4802"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8/3/2013 to 9/15/2017</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609,000</w:t>
            </w:r>
          </w:p>
        </w:tc>
        <w:tc>
          <w:tcPr>
            <w:tcW w:w="101" w:type="dxa"/>
            <w:tcBorders/>
            <w:shd w:fill="FFFF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$2.50</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42,443</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617,394</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$2.625</w:t>
            </w:r>
          </w:p>
        </w:tc>
        <w:tc>
          <w:tcPr>
            <w:tcW w:w="100" w:type="dxa"/>
            <w:tcBorders/>
            <w:shd w:fill="FFFFFF" w:val="clear"/>
            <w:vAlign w:val="bottom"/>
          </w:tcPr>
          <w:p>
            <w:pPr>
              <w:pStyle w:val="TableContents"/>
              <w:spacing w:before="0" w:after="283"/>
              <w:jc w:val="left"/>
              <w:rPr/>
            </w:pPr>
            <w:r>
              <w:rPr/>
              <w:t> </w:t>
            </w:r>
          </w:p>
        </w:tc>
        <w:tc>
          <w:tcPr>
            <w:tcW w:w="4802"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68,560</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588,200</w:t>
            </w:r>
          </w:p>
        </w:tc>
        <w:tc>
          <w:tcPr>
            <w:tcW w:w="101" w:type="dxa"/>
            <w:tcBorders/>
            <w:shd w:fill="FFFF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$2.75</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2/28/2017</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272,724</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$3.00</w:t>
            </w:r>
          </w:p>
        </w:tc>
        <w:tc>
          <w:tcPr>
            <w:tcW w:w="100" w:type="dxa"/>
            <w:tcBorders/>
            <w:shd w:fill="FFFFFF" w:val="clear"/>
            <w:vAlign w:val="bottom"/>
          </w:tcPr>
          <w:p>
            <w:pPr>
              <w:pStyle w:val="TableContents"/>
              <w:spacing w:before="0" w:after="283"/>
              <w:jc w:val="left"/>
              <w:rPr/>
            </w:pPr>
            <w:r>
              <w:rPr/>
              <w:t> </w:t>
            </w:r>
          </w:p>
        </w:tc>
        <w:tc>
          <w:tcPr>
            <w:tcW w:w="4802"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5/11/2015 to 2/13/2016</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430,000</w:t>
            </w:r>
          </w:p>
        </w:tc>
        <w:tc>
          <w:tcPr>
            <w:tcW w:w="101" w:type="dxa"/>
            <w:tcBorders/>
            <w:shd w:fill="FFFF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$6.00</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6/28/2012 to 12/31/2013</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57,300</w:t>
            </w:r>
          </w:p>
        </w:tc>
        <w:tc>
          <w:tcPr>
            <w:tcW w:w="101" w:type="dxa"/>
            <w:tcBorders/>
            <w:shd w:fill="CCEEFF" w:val="clear"/>
            <w:vAlign w:val="bottom"/>
          </w:tcPr>
          <w:p>
            <w:pPr>
              <w:pStyle w:val="TableContents"/>
              <w:spacing w:before="0" w:after="283"/>
              <w:jc w:val="left"/>
              <w:rPr/>
            </w:pPr>
            <w:r>
              <w:rPr/>
              <w:t> </w:t>
            </w:r>
          </w:p>
        </w:tc>
      </w:tr>
      <w:tr>
        <w:trPr/>
        <w:tc>
          <w:tcPr>
            <w:tcW w:w="1634"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4802"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jc w:val="right"/>
              <w:rPr/>
            </w:pPr>
            <w:r>
              <w:rPr/>
              <w:t> </w:t>
            </w:r>
          </w:p>
        </w:tc>
        <w:tc>
          <w:tcPr>
            <w:tcW w:w="10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5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14,660,335</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53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4,126,589</w:t>
            </w:r>
          </w:p>
        </w:tc>
        <w:tc>
          <w:tcPr>
            <w:tcW w:w="101"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95" w:name="PGBRK98"/>
      <w:bookmarkStart w:id="996" w:name="PGBRK98"/>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97" w:name="FTR98"/>
      <w:bookmarkStart w:id="998" w:name="FTR98"/>
      <w:bookmarkEnd w:id="9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99" w:name="GLFTR98"/>
      <w:bookmarkEnd w:id="9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0" w:name="PN98"/>
      <w:bookmarkEnd w:id="1000"/>
      <w:r>
        <w:rPr>
          <w:rFonts w:ascii="Times New Roman" w:hAnsi="Times New Roman"/>
          <w:sz w:val="20"/>
        </w:rPr>
        <w:t>-97-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01" w:name="HDR98"/>
      <w:bookmarkStart w:id="1002" w:name="HDR98"/>
      <w:bookmarkEnd w:id="10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003" w:name="GLHDR98"/>
        <w:bookmarkEnd w:id="10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Reserved Shares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 March 31, 2013, the Company has reserved shares of its common stock for future issuance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895"/>
        <w:gridCol w:w="105"/>
        <w:gridCol w:w="105"/>
        <w:gridCol w:w="991"/>
        <w:gridCol w:w="109"/>
      </w:tblGrid>
      <w:tr>
        <w:trPr/>
        <w:tc>
          <w:tcPr>
            <w:tcW w:w="889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Upon exchange of all shares of Series A Preferred Stock currently issued and outstanding (1)</w:t>
            </w:r>
          </w:p>
        </w:tc>
        <w:tc>
          <w:tcPr>
            <w:tcW w:w="10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15,000,000</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shares issuable to Platinum upon exercise of common stock warrant upon exchange of Series A preferred stock under the terms of the October 11, 2012 Note Purchase and Exchange Agreement</w:t>
            </w:r>
          </w:p>
        </w:tc>
        <w:tc>
          <w:tcPr>
            <w:tcW w:w="10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7,500,000</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110% of shares issuable upon conversion of 10% convertible Exchange Note and Investment Notes issued to Platinum in October 2012, February 2013 and March 2013, including interest accrued through maturity (2)</w:t>
            </w:r>
          </w:p>
        </w:tc>
        <w:tc>
          <w:tcPr>
            <w:tcW w:w="10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9,747,422</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Pursuant to warrants to purchase common stock:</w:t>
            </w:r>
          </w:p>
        </w:tc>
        <w:tc>
          <w:tcPr>
            <w:tcW w:w="10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Subject to outstanding warrants</w:t>
            </w:r>
          </w:p>
        </w:tc>
        <w:tc>
          <w:tcPr>
            <w:tcW w:w="10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14,660,335</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Issuable pursuant to accrued interest through maturity on outstanding promissory notes</w:t>
            </w:r>
          </w:p>
        </w:tc>
        <w:tc>
          <w:tcPr>
            <w:tcW w:w="10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issued to Morrison &amp; Foerster, Cato Research Ltd., and University Health Network</w:t>
            </w:r>
          </w:p>
        </w:tc>
        <w:tc>
          <w:tcPr>
            <w:tcW w:w="105" w:type="dxa"/>
            <w:tcBorders/>
            <w:shd w:fill="CCEEFF" w:val="clear"/>
            <w:vAlign w:val="bottom"/>
          </w:tcPr>
          <w:p>
            <w:pPr>
              <w:pStyle w:val="TableContents"/>
              <w:spacing w:before="0" w:after="283"/>
              <w:jc w:val="right"/>
              <w:rPr/>
            </w:pPr>
            <w:r>
              <w:rPr/>
              <w:t> </w:t>
            </w:r>
          </w:p>
        </w:tc>
        <w:tc>
          <w:tcPr>
            <w:tcW w:w="10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1,196,427</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15,856,762</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Pursuant to stock incentive plans:</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Subject to outstanding options under the 2008 and 1999 Stock Incentive Plans</w:t>
            </w:r>
          </w:p>
        </w:tc>
        <w:tc>
          <w:tcPr>
            <w:tcW w:w="10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4,912,604</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Available for future grants</w:t>
            </w:r>
          </w:p>
        </w:tc>
        <w:tc>
          <w:tcPr>
            <w:tcW w:w="105" w:type="dxa"/>
            <w:tcBorders/>
            <w:shd w:fill="FFFFFF" w:val="clear"/>
            <w:vAlign w:val="bottom"/>
          </w:tcPr>
          <w:p>
            <w:pPr>
              <w:pStyle w:val="TableContents"/>
              <w:spacing w:before="0" w:after="283"/>
              <w:jc w:val="right"/>
              <w:rPr/>
            </w:pPr>
            <w:r>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257,867</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5,170,471</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Upon sales of additional Units pursuant to the 2012 Private Placement of Units</w:t>
            </w:r>
          </w:p>
        </w:tc>
        <w:tc>
          <w:tcPr>
            <w:tcW w:w="105" w:type="dxa"/>
            <w:tcBorders/>
            <w:shd w:fill="CCEEFF" w:val="clear"/>
            <w:vAlign w:val="bottom"/>
          </w:tcPr>
          <w:p>
            <w:pPr>
              <w:pStyle w:val="TableContents"/>
              <w:spacing w:before="0" w:after="283"/>
              <w:jc w:val="right"/>
              <w:rPr/>
            </w:pPr>
            <w:r>
              <w:rPr/>
              <w:t> </w:t>
            </w:r>
          </w:p>
        </w:tc>
        <w:tc>
          <w:tcPr>
            <w:tcW w:w="10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15,414,583</w:t>
            </w:r>
          </w:p>
        </w:tc>
        <w:tc>
          <w:tcPr>
            <w:tcW w:w="109" w:type="dxa"/>
            <w:tcBorders/>
            <w:shd w:fill="CCEEFF" w:val="clear"/>
            <w:vAlign w:val="bottom"/>
          </w:tcPr>
          <w:p>
            <w:pPr>
              <w:pStyle w:val="TableContents"/>
              <w:spacing w:before="0" w:after="283"/>
              <w:jc w:val="left"/>
              <w:rPr/>
            </w:pPr>
            <w:r>
              <w:rPr/>
              <w:t> </w:t>
            </w:r>
          </w:p>
        </w:tc>
      </w:tr>
      <w:tr>
        <w:trPr/>
        <w:tc>
          <w:tcPr>
            <w:tcW w:w="889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88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5" w:type="dxa"/>
            <w:tcBorders/>
            <w:shd w:fill="CCEEFF" w:val="clear"/>
            <w:vAlign w:val="bottom"/>
          </w:tcPr>
          <w:p>
            <w:pPr>
              <w:pStyle w:val="TableContents"/>
              <w:spacing w:before="0" w:after="283"/>
              <w:jc w:val="right"/>
              <w:rPr/>
            </w:pPr>
            <w:r>
              <w:rPr/>
              <w:t> </w:t>
            </w:r>
          </w:p>
        </w:tc>
        <w:tc>
          <w:tcPr>
            <w:tcW w:w="10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68,689,238</w:t>
            </w:r>
          </w:p>
        </w:tc>
        <w:tc>
          <w:tcPr>
            <w:tcW w:w="109"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10"/>
        <w:gridCol w:w="95"/>
      </w:tblGrid>
      <w:tr>
        <w:trPr/>
        <w:tc>
          <w:tcPr>
            <w:tcW w:w="101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 assumes exchange under the terms of the October 11, 2012 Note Exchange and Purchase Agreement with Platinum</w:t>
            </w:r>
          </w:p>
        </w:tc>
        <w:tc>
          <w:tcPr>
            <w:tcW w:w="95" w:type="dxa"/>
            <w:tcBorders/>
            <w:shd w:fill="FFFFFF" w:val="clear"/>
            <w:vAlign w:val="bottom"/>
          </w:tcPr>
          <w:p>
            <w:pPr>
              <w:pStyle w:val="TableContents"/>
              <w:spacing w:before="0" w:after="283"/>
              <w:jc w:val="left"/>
              <w:rPr/>
            </w:pPr>
            <w:r>
              <w:rPr/>
              <w:t> </w:t>
            </w:r>
          </w:p>
        </w:tc>
      </w:tr>
      <w:tr>
        <w:trPr/>
        <w:tc>
          <w:tcPr>
            <w:tcW w:w="10205" w:type="dxa"/>
            <w:gridSpan w:val="2"/>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 assumes conversion under the terms of the October 11, 2012 Note Exchange and Purchase Agreement with Platinum and the terms of the individual notes</w:t>
            </w:r>
          </w:p>
        </w:tc>
      </w:tr>
    </w:tbl>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10.  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research and development expenses of approximately $3.4 million and $5.4 million in the fiscal years ended March 31, 2013 and 2012,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11.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provision for income taxes for the periods presented in the consolidated statements of operations represents minimum California franchise taxes. Income tax expense differed from the amounts computed by applying the U.S. federal income tax rate of 34% to pretax losses as a result of the following:</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86"/>
        <w:gridCol w:w="108"/>
        <w:gridCol w:w="108"/>
        <w:gridCol w:w="1236"/>
        <w:gridCol w:w="249"/>
        <w:gridCol w:w="108"/>
        <w:gridCol w:w="108"/>
        <w:gridCol w:w="1236"/>
        <w:gridCol w:w="266"/>
      </w:tblGrid>
      <w:tr>
        <w:trPr/>
        <w:tc>
          <w:tcPr>
            <w:tcW w:w="678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30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266" w:type="dxa"/>
            <w:tcBorders/>
            <w:shd w:fill="auto" w:val="clear"/>
            <w:vAlign w:val="bottom"/>
          </w:tcPr>
          <w:p>
            <w:pPr>
              <w:pStyle w:val="TableContents"/>
              <w:spacing w:before="0" w:after="283"/>
              <w:jc w:val="left"/>
              <w:rPr/>
            </w:pPr>
            <w:r>
              <w:rPr/>
              <w:t> </w:t>
            </w:r>
          </w:p>
        </w:tc>
      </w:tr>
      <w:tr>
        <w:trPr/>
        <w:tc>
          <w:tcPr>
            <w:tcW w:w="678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3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24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266" w:type="dxa"/>
            <w:tcBorders/>
            <w:shd w:fill="auto" w:val="clear"/>
            <w:vAlign w:val="bottom"/>
          </w:tcPr>
          <w:p>
            <w:pPr>
              <w:pStyle w:val="TableContents"/>
              <w:spacing w:before="0" w:after="283"/>
              <w:jc w:val="left"/>
              <w:rPr/>
            </w:pPr>
            <w:r>
              <w:rPr/>
              <w:t> </w:t>
            </w:r>
          </w:p>
        </w:tc>
      </w:tr>
      <w:tr>
        <w:trPr/>
        <w:tc>
          <w:tcPr>
            <w:tcW w:w="678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344" w:type="dxa"/>
            <w:gridSpan w:val="2"/>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4" w:type="dxa"/>
            <w:gridSpan w:val="2"/>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 </w:t>
            </w:r>
          </w:p>
        </w:tc>
      </w:tr>
      <w:tr>
        <w:trPr/>
        <w:tc>
          <w:tcPr>
            <w:tcW w:w="67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Computed expected tax benefit</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2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4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2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6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Losses not benefitted</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2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4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2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6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8" w:type="dxa"/>
            <w:tcBorders/>
            <w:shd w:fill="CCEEFF" w:val="clear"/>
            <w:vAlign w:val="bottom"/>
          </w:tcPr>
          <w:p>
            <w:pPr>
              <w:pStyle w:val="TableContents"/>
              <w:spacing w:before="0" w:after="283"/>
              <w:jc w:val="right"/>
              <w:rPr/>
            </w:pPr>
            <w:r>
              <w:rPr/>
              <w:t> </w:t>
            </w:r>
          </w:p>
        </w:tc>
        <w:tc>
          <w:tcPr>
            <w:tcW w:w="1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4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6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86"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236" w:type="dxa"/>
            <w:tcBorders/>
            <w:shd w:fill="FFFFFF" w:val="clear"/>
            <w:vAlign w:val="bottom"/>
          </w:tcPr>
          <w:p>
            <w:pPr>
              <w:pStyle w:val="TableContents"/>
              <w:spacing w:before="0" w:after="283"/>
              <w:jc w:val="right"/>
              <w:rPr/>
            </w:pPr>
            <w:r>
              <w:rPr/>
              <w:t> </w:t>
            </w:r>
          </w:p>
        </w:tc>
        <w:tc>
          <w:tcPr>
            <w:tcW w:w="249"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236" w:type="dxa"/>
            <w:tcBorders/>
            <w:shd w:fill="FFFFFF" w:val="clear"/>
            <w:vAlign w:val="bottom"/>
          </w:tcPr>
          <w:p>
            <w:pPr>
              <w:pStyle w:val="TableContents"/>
              <w:spacing w:before="0" w:after="283"/>
              <w:jc w:val="right"/>
              <w:rPr/>
            </w:pPr>
            <w:r>
              <w:rPr/>
              <w:t> </w:t>
            </w:r>
          </w:p>
        </w:tc>
        <w:tc>
          <w:tcPr>
            <w:tcW w:w="266" w:type="dxa"/>
            <w:tcBorders/>
            <w:shd w:fill="FFFFFF" w:val="clear"/>
            <w:vAlign w:val="bottom"/>
          </w:tcPr>
          <w:p>
            <w:pPr>
              <w:pStyle w:val="TableContents"/>
              <w:spacing w:before="0" w:after="283"/>
              <w:jc w:val="left"/>
              <w:rPr/>
            </w:pPr>
            <w:r>
              <w:rPr/>
              <w:t> </w:t>
            </w:r>
          </w:p>
        </w:tc>
      </w:tr>
      <w:tr>
        <w:trPr/>
        <w:tc>
          <w:tcPr>
            <w:tcW w:w="67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expense</w:t>
            </w:r>
          </w:p>
        </w:tc>
        <w:tc>
          <w:tcPr>
            <w:tcW w:w="108"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4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6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1004" w:name="PGBRK99"/>
      <w:bookmarkStart w:id="1005" w:name="PGBRK99"/>
      <w:bookmarkEnd w:id="1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006" w:name="FTR99"/>
      <w:bookmarkStart w:id="1007" w:name="FTR99"/>
      <w:bookmarkEnd w:id="10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08" w:name="GLFTR99"/>
      <w:bookmarkEnd w:id="10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9" w:name="PN99"/>
      <w:bookmarkEnd w:id="1009"/>
      <w:r>
        <w:rPr>
          <w:rFonts w:ascii="Times New Roman" w:hAnsi="Times New Roman"/>
          <w:sz w:val="20"/>
        </w:rPr>
        <w:t>-98-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010" w:name="HDR99"/>
      <w:bookmarkStart w:id="1011" w:name="HDR99"/>
      <w:bookmarkEnd w:id="10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012" w:name="GLHDR99"/>
        <w:bookmarkEnd w:id="10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72"/>
        <w:gridCol w:w="109"/>
        <w:gridCol w:w="125"/>
        <w:gridCol w:w="1015"/>
        <w:gridCol w:w="114"/>
        <w:gridCol w:w="109"/>
        <w:gridCol w:w="125"/>
        <w:gridCol w:w="1015"/>
        <w:gridCol w:w="121"/>
      </w:tblGrid>
      <w:tr>
        <w:trPr/>
        <w:tc>
          <w:tcPr>
            <w:tcW w:w="747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0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1" w:type="dxa"/>
            <w:tcBorders/>
            <w:shd w:fill="auto" w:val="clear"/>
            <w:vAlign w:val="bottom"/>
          </w:tcPr>
          <w:p>
            <w:pPr>
              <w:pStyle w:val="TableContents"/>
              <w:spacing w:before="0" w:after="283"/>
              <w:jc w:val="left"/>
              <w:rPr/>
            </w:pPr>
            <w:r>
              <w:rPr/>
              <w:t> </w:t>
            </w:r>
          </w:p>
        </w:tc>
      </w:tr>
      <w:tr>
        <w:trPr/>
        <w:tc>
          <w:tcPr>
            <w:tcW w:w="747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1" w:type="dxa"/>
            <w:tcBorders/>
            <w:shd w:fill="auto" w:val="clear"/>
            <w:vAlign w:val="bottom"/>
          </w:tcPr>
          <w:p>
            <w:pPr>
              <w:pStyle w:val="TableContents"/>
              <w:spacing w:before="0" w:after="283"/>
              <w:jc w:val="left"/>
              <w:rPr/>
            </w:pPr>
            <w:r>
              <w:rPr/>
              <w:t> </w:t>
            </w:r>
          </w:p>
        </w:tc>
      </w:tr>
      <w:tr>
        <w:trPr/>
        <w:tc>
          <w:tcPr>
            <w:tcW w:w="74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9"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operating loss carryovers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19,010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16,191</w:t>
            </w:r>
          </w:p>
        </w:tc>
        <w:tc>
          <w:tcPr>
            <w:tcW w:w="121" w:type="dxa"/>
            <w:tcBorders/>
            <w:shd w:fill="CCEEFF" w:val="clear"/>
            <w:vAlign w:val="bottom"/>
          </w:tcPr>
          <w:p>
            <w:pPr>
              <w:pStyle w:val="TableContents"/>
              <w:spacing w:before="0" w:after="283"/>
              <w:jc w:val="left"/>
              <w:rPr/>
            </w:pPr>
            <w:r>
              <w:rPr/>
              <w:t> </w:t>
            </w:r>
          </w:p>
        </w:tc>
      </w:tr>
      <w:tr>
        <w:trPr/>
        <w:tc>
          <w:tcPr>
            <w:tcW w:w="74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Basis differences in fixed assets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FFFFFF" w:val="clear"/>
            <w:vAlign w:val="bottom"/>
          </w:tcPr>
          <w:p>
            <w:pPr>
              <w:pStyle w:val="TableContents"/>
              <w:spacing w:before="0" w:after="283"/>
              <w:jc w:val="left"/>
              <w:rPr/>
            </w:pPr>
            <w:r>
              <w:rPr/>
              <w:t> </w:t>
            </w:r>
          </w:p>
        </w:tc>
      </w:tr>
      <w:tr>
        <w:trPr/>
        <w:tc>
          <w:tcPr>
            <w:tcW w:w="7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Accruals and reserves</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CCEEFF" w:val="clear"/>
            <w:vAlign w:val="bottom"/>
          </w:tcPr>
          <w:p>
            <w:pPr>
              <w:pStyle w:val="TableContents"/>
              <w:spacing w:before="0" w:after="283"/>
              <w:jc w:val="left"/>
              <w:rPr/>
            </w:pPr>
            <w:r>
              <w:rPr/>
              <w:t> </w:t>
            </w:r>
          </w:p>
        </w:tc>
      </w:tr>
      <w:tr>
        <w:trPr/>
        <w:tc>
          <w:tcPr>
            <w:tcW w:w="747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deferred tax assets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19,027</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16,213</w:t>
            </w:r>
          </w:p>
        </w:tc>
        <w:tc>
          <w:tcPr>
            <w:tcW w:w="121" w:type="dxa"/>
            <w:tcBorders/>
            <w:shd w:fill="CCEEFF" w:val="clear"/>
            <w:vAlign w:val="bottom"/>
          </w:tcPr>
          <w:p>
            <w:pPr>
              <w:pStyle w:val="TableContents"/>
              <w:spacing w:before="0" w:after="283"/>
              <w:jc w:val="left"/>
              <w:rPr/>
            </w:pPr>
            <w:r>
              <w:rPr/>
              <w:t> </w:t>
            </w:r>
          </w:p>
        </w:tc>
      </w:tr>
      <w:tr>
        <w:trPr/>
        <w:tc>
          <w:tcPr>
            <w:tcW w:w="747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Valuation allowance</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(19,027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(16,213</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tax assets</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firstLine="72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Realization of deferred tax assets is dependent upon future earnings, if any, the timing and amount of which are uncertain. Accordingly, the deferred tax assets have been fully offset by a valuation allowance. The valuation allowance increased by $2,814,000 and $2,991,000 during the fiscal years ended March 31, 2013 and 2012, respectively. When realized, deferred tax assets related to employee stock options will be credited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the Company had U.S. federal net operating loss carryforwards of $47.9 million, which will expire in fiscal years 2019 through 2033.  As of March 31, 2013, the Company had state net operating loss carryforwards of $34.8 million, which will expire in fiscal years 2013 through 2033.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2013, that could result in the expiration of the loss carryforwards before they are utilized.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files income tax returns in the U.S. federal and Canadian jurisdictions and California and Maryland state jurisdictions. The Company is subject to U.S. federal and state income tax examinations by tax authorities for tax years 1999 through 2013 due to net operating losses that are being carried forward for tax purposes.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does not have any uncertain tax positions or unrecognized tax benefits at March 31, 2013 and 2012. The Company’s policy is to recognize interest and penalties related to income taxes as components of interest expense and other expense,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3" w:name="PGBRK100"/>
      <w:bookmarkStart w:id="1014" w:name="PGBRK100"/>
      <w:bookmarkEnd w:id="10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5" w:name="FTR100"/>
      <w:bookmarkStart w:id="1016" w:name="FTR100"/>
      <w:bookmarkEnd w:id="10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17" w:name="GLFTR100"/>
      <w:bookmarkEnd w:id="10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8" w:name="PN100"/>
      <w:bookmarkEnd w:id="1018"/>
      <w:r>
        <w:rPr>
          <w:rFonts w:ascii="Times New Roman" w:hAnsi="Times New Roman"/>
          <w:sz w:val="20"/>
        </w:rPr>
        <w:t>-99-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9" w:name="HDR100"/>
      <w:bookmarkStart w:id="1020" w:name="HDR100"/>
      <w:bookmarkEnd w:id="10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21" w:name="GLHDR100"/>
        <w:bookmarkEnd w:id="10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12.  Licensing and Collaborative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University Health Network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 and UHN entered into a Sponsored Research Collaboration Agreement (“</w:t>
      </w:r>
      <w:r>
        <w:rPr>
          <w:rFonts w:ascii="Times New Roman" w:hAnsi="Times New Roman"/>
          <w:i/>
          <w:sz w:val="20"/>
        </w:rPr>
        <w:t>SRCA</w:t>
      </w:r>
      <w:r>
        <w:rPr>
          <w:rFonts w:ascii="Times New Roman" w:hAnsi="Times New Roman"/>
          <w:sz w:val="20"/>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elected to fund additional projects through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8, </w:t>
      </w:r>
      <w:r>
        <w:rPr>
          <w:rFonts w:ascii="Times New Roman" w:hAnsi="Times New Roman"/>
          <w:i/>
          <w:sz w:val="20"/>
        </w:rPr>
        <w:t>Convertible Notes and Other Notes Payable</w:t>
      </w:r>
      <w:r>
        <w:rPr>
          <w:rFonts w:ascii="Times New Roman" w:hAnsi="Times New Roman"/>
          <w:sz w:val="20"/>
        </w:rPr>
        <w:t>, in October 2012, the Company issued to UHN a promissory note in the principal amount of $549,500 and a warrant to purchase 549,500 restricted shares of the Company’s common stock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 including payments aggregating $150,000 applicable to services for the period from October 1, 2012 through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if any, by the Company attributable to the licensed patents.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and UHN entered into License Agreement No. 2 under the terms of which UHN granted the Company exclusive rights to the use of technology included in a new U.S. patent application to develop hematopoietic precursor stem cells from human pluripotent stem cells.  Hematopoietic precursor stem cells give rise to all red and white blood cells and platelets in the body. The Company plans to use the UHN invention to improve the cell culture methods utilized to efficiently produce hematopoietic stem cell populations. In consideration for the grant of the license, the Company issued to UHN 55,555 restricted shares of its common stock, valued at $155,000 in March 2012 and was obligated to make a cash payment of $25,000 in July 2012.  Under the terms of License Agreement No. 2, the Company has also agreed to make payments to UHN totaling $3.9 million, if, and when, it achieves certain milestones designated in License Agreement No. 2, and to pay UHN royalties based on the receipt of revenue, if any, by the Company attributable to the licensed patents.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U.S. National Institutes of Health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1998 through 2008, the U.S. National Institutes of Health ("</w:t>
      </w:r>
      <w:r>
        <w:rPr>
          <w:rFonts w:ascii="Times New Roman" w:hAnsi="Times New Roman"/>
          <w:i/>
          <w:sz w:val="20"/>
        </w:rPr>
        <w:t>NIH</w:t>
      </w:r>
      <w:r>
        <w:rPr>
          <w:rFonts w:ascii="Times New Roman" w:hAnsi="Times New Roman"/>
          <w:sz w:val="20"/>
        </w:rPr>
        <w:t xml:space="preserve">") awarded VistaGen California a total of $11.3 million in non-dilutive research and development grants, including $2.3 million to support research and development of its stem cell technology-based </w:t>
      </w:r>
      <w:r>
        <w:rPr>
          <w:rFonts w:ascii="Times New Roman" w:hAnsi="Times New Roman"/>
          <w:i/>
          <w:sz w:val="20"/>
        </w:rPr>
        <w:t>Human Clinical Trials in a Test Tube™</w:t>
      </w:r>
      <w:r>
        <w:rPr>
          <w:rFonts w:ascii="Times New Roman" w:hAnsi="Times New Roman"/>
          <w:sz w:val="20"/>
        </w:rPr>
        <w:t xml:space="preserve"> platform and, as described below, a total of $8.8 million for nonclinical and Phase 1 clinical development of AV-101 (also referred to in scientific literature as “4-Cl-KYN”).  AV-101, the Company’s small molecule drug candidate, has successfully completed Phase 1 clinical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fiscal years 2006 through 2008, the NIH awarded VistaGen California a $4.2 million grant to support preclinical development of AV-101 for treatment of neuropathic pain and other neurodegenerative diseases such as Huntington’s and Parkinson’s diseases. In April 2009, the NIH awarded VistaGen California a $4.2 million grant to support the Phase I clinical development of AV-101, which amount was subsequently increased to a total of $4.6 million in July 2010. The Company recognized $0.2 million and $1.2 million of grant revenue related to AV-101 in the fiscal years ended March 31, 2013 and 2012,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2" w:name="PGBRK101"/>
      <w:bookmarkStart w:id="1023" w:name="PGBRK101"/>
      <w:bookmarkEnd w:id="1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4" w:name="FTR101"/>
      <w:bookmarkStart w:id="1025" w:name="FTR101"/>
      <w:bookmarkEnd w:id="1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26" w:name="GLFTR101"/>
      <w:bookmarkEnd w:id="10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7" w:name="PN101"/>
      <w:bookmarkEnd w:id="1027"/>
      <w:r>
        <w:rPr>
          <w:rFonts w:ascii="Times New Roman" w:hAnsi="Times New Roman"/>
          <w:sz w:val="20"/>
        </w:rPr>
        <w:t>-100-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8" w:name="HDR101"/>
      <w:bookmarkStart w:id="1029" w:name="HDR101"/>
      <w:bookmarkEnd w:id="10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30" w:name="GLHDR101"/>
        <w:bookmarkEnd w:id="10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Cato Research Ltd.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built a strategic development relationship with Cato Research Ltd. (“</w:t>
      </w:r>
      <w:r>
        <w:rPr>
          <w:rFonts w:ascii="Times New Roman" w:hAnsi="Times New Roman"/>
          <w:i/>
          <w:sz w:val="20"/>
        </w:rPr>
        <w:t>CRL</w:t>
      </w:r>
      <w:r>
        <w:rPr>
          <w:rFonts w:ascii="Times New Roman" w:hAnsi="Times New Roman"/>
          <w:sz w:val="20"/>
        </w:rPr>
        <w:t xml:space="preserve">”), a global contract research and development organization, or CRO, and an affiliate of one of the Company’s largest stockholders.  See Note 14, </w:t>
      </w:r>
      <w:r>
        <w:rPr>
          <w:rFonts w:ascii="Times New Roman" w:hAnsi="Times New Roman"/>
          <w:i/>
          <w:sz w:val="20"/>
        </w:rPr>
        <w:t>Related Party Transactions</w:t>
      </w:r>
      <w:r>
        <w:rPr>
          <w:rFonts w:ascii="Times New Roman" w:hAnsi="Times New Roman"/>
          <w:sz w:val="20"/>
        </w:rPr>
        <w:t xml:space="preserve">.  CRL has provided the Company with access to essential CRO services supporting its nonclinical and Phase 1 clinical development programs. The Company recorded research and development expenses of $703,800 and $1,461,300 in the fiscal years ended March 31, 2013 and 2012, respectively, for services provided by CRL.  As disclosed in Note 8, </w:t>
      </w:r>
      <w:r>
        <w:rPr>
          <w:rFonts w:ascii="Times New Roman" w:hAnsi="Times New Roman"/>
          <w:i/>
          <w:sz w:val="20"/>
        </w:rPr>
        <w:t>Convertible Notes and Other Notes Payable</w:t>
      </w:r>
      <w:r>
        <w:rPr>
          <w:rFonts w:ascii="Times New Roman" w:hAnsi="Times New Roman"/>
          <w:sz w:val="20"/>
        </w:rPr>
        <w:t>, in October 2012, the Company issued to CRL a promissory note in the initial principal amount of $1,009,000, which is payable solely in restricted shares of the Company’s common stock as payment in full for all contract research and development services and regulatory advice  rendered by CRL to the Company and its affiliates through December 31, 2012 with respect to the preclinical and clinical development of AV-101, and a five-year warrant to purchase 1,009,000 restricted shares of the Company’s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13.  Stock Option Plans and 401(k)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the following share-based compensation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2008 Stock Incentive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2008 Stock Incentive Plan (the “</w:t>
      </w:r>
      <w:r>
        <w:rPr>
          <w:rFonts w:ascii="Times New Roman" w:hAnsi="Times New Roman"/>
          <w:i/>
          <w:sz w:val="20"/>
        </w:rPr>
        <w:t>2008 Plan</w:t>
      </w:r>
      <w:r>
        <w:rPr>
          <w:rFonts w:ascii="Times New Roman" w:hAnsi="Times New Roman"/>
          <w:sz w:val="20"/>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1999 Stock Incentive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1999 Stock Incentive Plan (the “</w:t>
      </w:r>
      <w:r>
        <w:rPr>
          <w:rFonts w:ascii="Times New Roman" w:hAnsi="Times New Roman"/>
          <w:i/>
          <w:sz w:val="20"/>
        </w:rPr>
        <w:t>1999 Plan</w:t>
      </w:r>
      <w:r>
        <w:rPr>
          <w:rFonts w:ascii="Times New Roman" w:hAnsi="Times New Roman"/>
          <w:sz w:val="20"/>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Scientific Advisory Board 1998 Stock Incentive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Scientific Advisory Board 1998 Stock Incentive Plan (the “</w:t>
      </w:r>
      <w:r>
        <w:rPr>
          <w:rFonts w:ascii="Times New Roman" w:hAnsi="Times New Roman"/>
          <w:i/>
          <w:sz w:val="20"/>
        </w:rPr>
        <w:t>SAB Plan</w:t>
      </w:r>
      <w:r>
        <w:rPr>
          <w:rFonts w:ascii="Times New Roman" w:hAnsi="Times New Roman"/>
          <w:sz w:val="20"/>
        </w:rPr>
        <w:t>”) was adopted by VistaGen California’s Board of Directors in July 1998. The VistaGen California Board of Directors authorized 25,000 shares of common stock for awards from the SAB Plan.  No awards have been granted from the SAB Plan since August 2001.  The SAB Plan expired in July 2008 and all of the options granted from the SAB Plan have either been exercised or expired during fiscal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Description of the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 </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1" w:name="PGBRK102"/>
      <w:bookmarkStart w:id="1032" w:name="PGBRK102"/>
      <w:bookmarkEnd w:id="1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3" w:name="FTR102"/>
      <w:bookmarkStart w:id="1034" w:name="FTR102"/>
      <w:bookmarkEnd w:id="1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35" w:name="GLFTR102"/>
      <w:bookmarkEnd w:id="10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6" w:name="PN102"/>
      <w:bookmarkEnd w:id="1036"/>
      <w:r>
        <w:rPr>
          <w:rFonts w:ascii="Times New Roman" w:hAnsi="Times New Roman"/>
          <w:sz w:val="20"/>
        </w:rPr>
        <w:t>-101-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7" w:name="HDR102"/>
      <w:bookmarkStart w:id="1038" w:name="HDR102"/>
      <w:bookmarkEnd w:id="10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39" w:name="GLHDR102"/>
        <w:bookmarkEnd w:id="10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Unless terminated sooner, the 2008 Plan will automatically terminate in 2017. The Board of Directors may at any time amend, suspend or terminate the Company’s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first quarter of fiscal 2013, when the quoted market price of the Company’s common stock was $0.51, the Company granted options to purchase an aggregate of 155,000 shares of its common stock at an exercise price of $0.51 per share to certain of its employees, excluding the Company’s Chief Executive Officer and President and Chief Scientific Officer, and to certain scientific consultants. Options granted during the first quarter of fiscal 2013 have a contractual term of 10 years and vest over a period of 4 years.  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Options granted during the third quarter of fiscal 2013 have a contractual term of 10 years and options to purchase 604,699 shares were granted as immediately vested, with the remaining option shares vesting over a period of two years.  The cancellation and reissuance was accounted for as a modification of the options.  During fiscal year 2012, the Company granted options to purchase an aggregate of 1,020,000 shares of its common stock at exercise prices ranging from $1.75 per share to $2.99 per share to certain of its employees and scientific and business consultants, including members of the Company's Board of Directors and Scientific Advisory Board, and one of the Company’s officers exercised options to purchase 113,636 restricted shares of its common stock at an exercise price of $0.88 per share.  Including the impact of the modification of the option grants during fiscal 2013 described above, the Company recorded share-based compensation costs related to 2008 Plan option grants of $438,800 for the fiscal year ended March 31, 2013 compared with $1,591,300 for the fiscal year ended March 31, 2012.</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following table summarizes share-based compensation expense, including share-based expense related to the March 2013 grant of warrants to certain of the Company’s officers and to its independent directors as described in Note 9, </w:t>
      </w:r>
      <w:r>
        <w:rPr>
          <w:rFonts w:ascii="Times New Roman" w:hAnsi="Times New Roman"/>
          <w:i/>
          <w:sz w:val="20"/>
        </w:rPr>
        <w:t xml:space="preserve">Capital Stock, </w:t>
      </w:r>
      <w:r>
        <w:rPr>
          <w:rFonts w:ascii="Times New Roman" w:hAnsi="Times New Roman"/>
          <w:sz w:val="20"/>
        </w:rPr>
        <w:t>included in the accompanying Consolidated Statement of Operations and Comprehensive Loss for the years ended March 31, 2013 and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00"/>
        <w:gridCol w:w="108"/>
        <w:gridCol w:w="125"/>
        <w:gridCol w:w="1058"/>
        <w:gridCol w:w="108"/>
        <w:gridCol w:w="108"/>
        <w:gridCol w:w="125"/>
        <w:gridCol w:w="1058"/>
        <w:gridCol w:w="115"/>
      </w:tblGrid>
      <w:tr>
        <w:trPr/>
        <w:tc>
          <w:tcPr>
            <w:tcW w:w="7400"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58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 March 31,</w:t>
            </w:r>
          </w:p>
        </w:tc>
        <w:tc>
          <w:tcPr>
            <w:tcW w:w="115" w:type="dxa"/>
            <w:tcBorders/>
            <w:shd w:fill="auto" w:val="clear"/>
            <w:vAlign w:val="bottom"/>
          </w:tcPr>
          <w:p>
            <w:pPr>
              <w:pStyle w:val="TableContents"/>
              <w:spacing w:before="0" w:after="283"/>
              <w:jc w:val="left"/>
              <w:rPr/>
            </w:pPr>
            <w:r>
              <w:rPr/>
              <w:t> </w:t>
            </w:r>
          </w:p>
        </w:tc>
      </w:tr>
      <w:tr>
        <w:trPr/>
        <w:tc>
          <w:tcPr>
            <w:tcW w:w="7400"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5" w:type="dxa"/>
            <w:tcBorders/>
            <w:shd w:fill="auto" w:val="clear"/>
            <w:vAlign w:val="bottom"/>
          </w:tcPr>
          <w:p>
            <w:pPr>
              <w:pStyle w:val="TableContents"/>
              <w:spacing w:before="0" w:after="283"/>
              <w:jc w:val="left"/>
              <w:rPr/>
            </w:pPr>
            <w:r>
              <w:rPr/>
              <w:t> </w:t>
            </w:r>
          </w:p>
        </w:tc>
      </w:tr>
      <w:tr>
        <w:trPr/>
        <w:tc>
          <w:tcPr>
            <w:tcW w:w="740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expense:</w:t>
            </w:r>
          </w:p>
        </w:tc>
        <w:tc>
          <w:tcPr>
            <w:tcW w:w="108"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r>
      <w:tr>
        <w:trPr/>
        <w:tc>
          <w:tcPr>
            <w:tcW w:w="74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to stock option grants</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242,300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477,400</w:t>
            </w:r>
          </w:p>
        </w:tc>
        <w:tc>
          <w:tcPr>
            <w:tcW w:w="115" w:type="dxa"/>
            <w:tcBorders/>
            <w:shd w:fill="CCEEFF" w:val="clear"/>
            <w:vAlign w:val="bottom"/>
          </w:tcPr>
          <w:p>
            <w:pPr>
              <w:pStyle w:val="TableContents"/>
              <w:spacing w:before="0" w:after="283"/>
              <w:jc w:val="left"/>
              <w:rPr/>
            </w:pPr>
            <w:r>
              <w:rPr/>
              <w:t> </w:t>
            </w:r>
          </w:p>
        </w:tc>
      </w:tr>
      <w:tr>
        <w:trPr/>
        <w:tc>
          <w:tcPr>
            <w:tcW w:w="74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to warrant grants to officers and directors</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267,500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r>
      <w:tr>
        <w:trPr/>
        <w:tc>
          <w:tcPr>
            <w:tcW w:w="7400"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509,800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477,400</w:t>
            </w:r>
          </w:p>
        </w:tc>
        <w:tc>
          <w:tcPr>
            <w:tcW w:w="115" w:type="dxa"/>
            <w:tcBorders/>
            <w:shd w:fill="CCEEFF" w:val="clear"/>
            <w:vAlign w:val="bottom"/>
          </w:tcPr>
          <w:p>
            <w:pPr>
              <w:pStyle w:val="TableContents"/>
              <w:spacing w:before="0" w:after="283"/>
              <w:jc w:val="left"/>
              <w:rPr/>
            </w:pPr>
            <w:r>
              <w:rPr/>
              <w:t> </w:t>
            </w:r>
          </w:p>
        </w:tc>
      </w:tr>
      <w:tr>
        <w:trPr/>
        <w:tc>
          <w:tcPr>
            <w:tcW w:w="74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 expense:</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74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to stock option grants</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196,600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1,113,900</w:t>
            </w:r>
          </w:p>
        </w:tc>
        <w:tc>
          <w:tcPr>
            <w:tcW w:w="115" w:type="dxa"/>
            <w:tcBorders/>
            <w:shd w:fill="CCEEFF" w:val="clear"/>
            <w:vAlign w:val="bottom"/>
          </w:tcPr>
          <w:p>
            <w:pPr>
              <w:pStyle w:val="TableContents"/>
              <w:spacing w:before="0" w:after="283"/>
              <w:jc w:val="left"/>
              <w:rPr/>
            </w:pPr>
            <w:r>
              <w:rPr/>
              <w:t> </w:t>
            </w:r>
          </w:p>
        </w:tc>
      </w:tr>
      <w:tr>
        <w:trPr/>
        <w:tc>
          <w:tcPr>
            <w:tcW w:w="74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to warrant grants to officers and directors</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534,900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r>
      <w:tr>
        <w:trPr/>
        <w:tc>
          <w:tcPr>
            <w:tcW w:w="7400"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731,500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1,113,900</w:t>
            </w:r>
          </w:p>
        </w:tc>
        <w:tc>
          <w:tcPr>
            <w:tcW w:w="115" w:type="dxa"/>
            <w:tcBorders/>
            <w:shd w:fill="CCEEFF" w:val="clear"/>
            <w:vAlign w:val="bottom"/>
          </w:tcPr>
          <w:p>
            <w:pPr>
              <w:pStyle w:val="TableContents"/>
              <w:spacing w:before="0" w:after="283"/>
              <w:jc w:val="left"/>
              <w:rPr/>
            </w:pPr>
            <w:r>
              <w:rPr/>
              <w:t> </w:t>
            </w:r>
          </w:p>
        </w:tc>
      </w:tr>
      <w:tr>
        <w:trPr/>
        <w:tc>
          <w:tcPr>
            <w:tcW w:w="74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share-based compensation expense</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1,241,300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1,591,300</w:t>
            </w:r>
          </w:p>
        </w:tc>
        <w:tc>
          <w:tcPr>
            <w:tcW w:w="115"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used the Black-Scholes option valuation model with the following assumptions to determine share-based compensation expense related to option grants during the fiscal years ended March 31, 2013 and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322"/>
        <w:gridCol w:w="112"/>
        <w:gridCol w:w="136"/>
        <w:gridCol w:w="1582"/>
        <w:gridCol w:w="112"/>
        <w:gridCol w:w="112"/>
        <w:gridCol w:w="133"/>
        <w:gridCol w:w="1573"/>
        <w:gridCol w:w="123"/>
      </w:tblGrid>
      <w:tr>
        <w:trPr/>
        <w:tc>
          <w:tcPr>
            <w:tcW w:w="6322"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364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 March 31,</w:t>
            </w:r>
          </w:p>
        </w:tc>
        <w:tc>
          <w:tcPr>
            <w:tcW w:w="123" w:type="dxa"/>
            <w:tcBorders/>
            <w:shd w:fill="auto" w:val="clear"/>
            <w:vAlign w:val="bottom"/>
          </w:tcPr>
          <w:p>
            <w:pPr>
              <w:pStyle w:val="TableContents"/>
              <w:spacing w:before="0" w:after="283"/>
              <w:jc w:val="left"/>
              <w:rPr/>
            </w:pPr>
            <w:r>
              <w:rPr/>
              <w:t> </w:t>
            </w:r>
          </w:p>
        </w:tc>
      </w:tr>
      <w:tr>
        <w:trPr/>
        <w:tc>
          <w:tcPr>
            <w:tcW w:w="6322"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7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7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3" w:type="dxa"/>
            <w:tcBorders/>
            <w:shd w:fill="auto" w:val="clear"/>
            <w:vAlign w:val="bottom"/>
          </w:tcPr>
          <w:p>
            <w:pPr>
              <w:pStyle w:val="TableContents"/>
              <w:spacing w:before="0" w:after="283"/>
              <w:jc w:val="left"/>
              <w:rPr/>
            </w:pPr>
            <w:r>
              <w:rPr/>
              <w:t> </w:t>
            </w:r>
          </w:p>
        </w:tc>
      </w:tr>
      <w:tr>
        <w:trPr/>
        <w:tc>
          <w:tcPr>
            <w:tcW w:w="6322"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71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70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63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price</w:t>
            </w:r>
          </w:p>
        </w:tc>
        <w:tc>
          <w:tcPr>
            <w:tcW w:w="112" w:type="dxa"/>
            <w:tcBorders/>
            <w:shd w:fill="CCEEFF" w:val="clear"/>
            <w:vAlign w:val="bottom"/>
          </w:tcPr>
          <w:p>
            <w:pPr>
              <w:pStyle w:val="TableContents"/>
              <w:spacing w:before="0" w:after="283"/>
              <w:rPr/>
            </w:pPr>
            <w:r>
              <w:rPr/>
              <w:t> </w:t>
            </w:r>
          </w:p>
        </w:tc>
        <w:tc>
          <w:tcPr>
            <w:tcW w:w="171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$0.51 and $0.75</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 to $2.99</w:t>
            </w:r>
          </w:p>
        </w:tc>
        <w:tc>
          <w:tcPr>
            <w:tcW w:w="123" w:type="dxa"/>
            <w:tcBorders/>
            <w:shd w:fill="CCEEFF" w:val="clear"/>
            <w:vAlign w:val="bottom"/>
          </w:tcPr>
          <w:p>
            <w:pPr>
              <w:pStyle w:val="TableContents"/>
              <w:spacing w:before="0" w:after="283"/>
              <w:jc w:val="left"/>
              <w:rPr/>
            </w:pPr>
            <w:r>
              <w:rPr/>
              <w:t> </w:t>
            </w:r>
          </w:p>
        </w:tc>
      </w:tr>
      <w:tr>
        <w:trPr/>
        <w:tc>
          <w:tcPr>
            <w:tcW w:w="63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Market price on date of grant</w:t>
            </w:r>
          </w:p>
        </w:tc>
        <w:tc>
          <w:tcPr>
            <w:tcW w:w="112" w:type="dxa"/>
            <w:tcBorders/>
            <w:shd w:fill="FFFFFF" w:val="clear"/>
            <w:vAlign w:val="bottom"/>
          </w:tcPr>
          <w:p>
            <w:pPr>
              <w:pStyle w:val="TableContents"/>
              <w:spacing w:before="0" w:after="283"/>
              <w:rPr/>
            </w:pPr>
            <w:r>
              <w:rPr/>
              <w:t> </w:t>
            </w:r>
          </w:p>
        </w:tc>
        <w:tc>
          <w:tcPr>
            <w:tcW w:w="171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$0.51 and $0.71</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 to $2.99</w:t>
            </w:r>
          </w:p>
        </w:tc>
        <w:tc>
          <w:tcPr>
            <w:tcW w:w="123" w:type="dxa"/>
            <w:tcBorders/>
            <w:shd w:fill="FFFFFF" w:val="clear"/>
            <w:vAlign w:val="bottom"/>
          </w:tcPr>
          <w:p>
            <w:pPr>
              <w:pStyle w:val="TableContents"/>
              <w:spacing w:before="0" w:after="283"/>
              <w:jc w:val="left"/>
              <w:rPr/>
            </w:pPr>
            <w:r>
              <w:rPr/>
              <w:t> </w:t>
            </w:r>
          </w:p>
        </w:tc>
      </w:tr>
      <w:tr>
        <w:trPr/>
        <w:tc>
          <w:tcPr>
            <w:tcW w:w="63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2" w:type="dxa"/>
            <w:tcBorders/>
            <w:shd w:fill="CCEEFF" w:val="clear"/>
            <w:vAlign w:val="bottom"/>
          </w:tcPr>
          <w:p>
            <w:pPr>
              <w:pStyle w:val="TableContents"/>
              <w:spacing w:before="0" w:after="283"/>
              <w:rPr/>
            </w:pPr>
            <w:r>
              <w:rPr/>
              <w:t> </w:t>
            </w:r>
          </w:p>
        </w:tc>
        <w:tc>
          <w:tcPr>
            <w:tcW w:w="171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0.895% to 1.74%</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706"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1.19% to 3.39%</w:t>
            </w:r>
          </w:p>
        </w:tc>
        <w:tc>
          <w:tcPr>
            <w:tcW w:w="123" w:type="dxa"/>
            <w:tcBorders/>
            <w:shd w:fill="CCEEFF" w:val="clear"/>
            <w:vAlign w:val="bottom"/>
          </w:tcPr>
          <w:p>
            <w:pPr>
              <w:pStyle w:val="TableContents"/>
              <w:spacing w:before="0" w:after="283"/>
              <w:jc w:val="left"/>
              <w:rPr/>
            </w:pPr>
            <w:r>
              <w:rPr/>
              <w:t> </w:t>
            </w:r>
          </w:p>
        </w:tc>
      </w:tr>
      <w:tr>
        <w:trPr/>
        <w:tc>
          <w:tcPr>
            <w:tcW w:w="63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 (years)</w:t>
            </w:r>
          </w:p>
        </w:tc>
        <w:tc>
          <w:tcPr>
            <w:tcW w:w="112" w:type="dxa"/>
            <w:tcBorders/>
            <w:shd w:fill="FFFFFF" w:val="clear"/>
            <w:vAlign w:val="bottom"/>
          </w:tcPr>
          <w:p>
            <w:pPr>
              <w:pStyle w:val="TableContents"/>
              <w:spacing w:before="0" w:after="283"/>
              <w:rPr/>
            </w:pPr>
            <w:r>
              <w:rPr/>
              <w:t> </w:t>
            </w:r>
          </w:p>
        </w:tc>
        <w:tc>
          <w:tcPr>
            <w:tcW w:w="171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6.25 to 10.0</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706"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6.25 to 10.0</w:t>
            </w:r>
          </w:p>
        </w:tc>
        <w:tc>
          <w:tcPr>
            <w:tcW w:w="123" w:type="dxa"/>
            <w:tcBorders/>
            <w:shd w:fill="FFFFFF" w:val="clear"/>
            <w:vAlign w:val="bottom"/>
          </w:tcPr>
          <w:p>
            <w:pPr>
              <w:pStyle w:val="TableContents"/>
              <w:spacing w:before="0" w:after="283"/>
              <w:jc w:val="left"/>
              <w:rPr/>
            </w:pPr>
            <w:r>
              <w:rPr/>
              <w:t> </w:t>
            </w:r>
          </w:p>
        </w:tc>
      </w:tr>
      <w:tr>
        <w:trPr/>
        <w:tc>
          <w:tcPr>
            <w:tcW w:w="63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Volatility</w:t>
            </w:r>
          </w:p>
        </w:tc>
        <w:tc>
          <w:tcPr>
            <w:tcW w:w="112" w:type="dxa"/>
            <w:tcBorders/>
            <w:shd w:fill="CCEEFF" w:val="clear"/>
            <w:vAlign w:val="bottom"/>
          </w:tcPr>
          <w:p>
            <w:pPr>
              <w:pStyle w:val="TableContents"/>
              <w:spacing w:before="0" w:after="283"/>
              <w:rPr/>
            </w:pPr>
            <w:r>
              <w:rPr/>
              <w:t> </w:t>
            </w:r>
          </w:p>
        </w:tc>
        <w:tc>
          <w:tcPr>
            <w:tcW w:w="171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82.9% to 85.4%</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706"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78.9% to 91.3%</w:t>
            </w:r>
          </w:p>
        </w:tc>
        <w:tc>
          <w:tcPr>
            <w:tcW w:w="123" w:type="dxa"/>
            <w:tcBorders/>
            <w:shd w:fill="CCEEFF" w:val="clear"/>
            <w:vAlign w:val="bottom"/>
          </w:tcPr>
          <w:p>
            <w:pPr>
              <w:pStyle w:val="TableContents"/>
              <w:spacing w:before="0" w:after="283"/>
              <w:jc w:val="left"/>
              <w:rPr/>
            </w:pPr>
            <w:r>
              <w:rPr/>
              <w:t> </w:t>
            </w:r>
          </w:p>
        </w:tc>
      </w:tr>
      <w:tr>
        <w:trPr/>
        <w:tc>
          <w:tcPr>
            <w:tcW w:w="63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dividend yield</w:t>
            </w:r>
          </w:p>
        </w:tc>
        <w:tc>
          <w:tcPr>
            <w:tcW w:w="112"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582"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573"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123" w:type="dxa"/>
            <w:tcBorders/>
            <w:shd w:fill="FFFFFF" w:val="clear"/>
            <w:vAlign w:val="bottom"/>
          </w:tcPr>
          <w:p>
            <w:pPr>
              <w:pStyle w:val="TableContents"/>
              <w:spacing w:before="0" w:after="283"/>
              <w:jc w:val="left"/>
              <w:rPr/>
            </w:pPr>
            <w:r>
              <w:rPr/>
              <w:t> </w:t>
            </w:r>
          </w:p>
        </w:tc>
      </w:tr>
      <w:tr>
        <w:trPr/>
        <w:tc>
          <w:tcPr>
            <w:tcW w:w="6322"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58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1573"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3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per share at grant date</w:t>
            </w:r>
          </w:p>
        </w:tc>
        <w:tc>
          <w:tcPr>
            <w:tcW w:w="112"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0.36 to $0.59</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 to $2.48</w:t>
            </w:r>
          </w:p>
        </w:tc>
        <w:tc>
          <w:tcPr>
            <w:tcW w:w="123"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040" w:name="PGBRK103"/>
      <w:bookmarkStart w:id="1041" w:name="PGBRK103"/>
      <w:bookmarkEnd w:id="1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42" w:name="FTR103"/>
      <w:bookmarkStart w:id="1043" w:name="FTR103"/>
      <w:bookmarkEnd w:id="1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44" w:name="GLFTR103"/>
      <w:bookmarkEnd w:id="10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5" w:name="PN103"/>
      <w:bookmarkEnd w:id="1045"/>
      <w:r>
        <w:rPr>
          <w:rFonts w:ascii="Times New Roman" w:hAnsi="Times New Roman"/>
          <w:sz w:val="20"/>
        </w:rPr>
        <w:t>-102-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46" w:name="HDR103"/>
      <w:bookmarkStart w:id="1047" w:name="HDR103"/>
      <w:bookmarkEnd w:id="1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048" w:name="GLHDR103"/>
        <w:bookmarkEnd w:id="10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activity for the fiscal years ended March 31, 2013 and 2012 under the Company’s stock option plans: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48"/>
        <w:gridCol w:w="108"/>
        <w:gridCol w:w="108"/>
        <w:gridCol w:w="1183"/>
        <w:gridCol w:w="122"/>
        <w:gridCol w:w="108"/>
        <w:gridCol w:w="202"/>
        <w:gridCol w:w="1029"/>
        <w:gridCol w:w="108"/>
        <w:gridCol w:w="108"/>
        <w:gridCol w:w="108"/>
        <w:gridCol w:w="1183"/>
        <w:gridCol w:w="122"/>
        <w:gridCol w:w="108"/>
        <w:gridCol w:w="202"/>
        <w:gridCol w:w="1029"/>
        <w:gridCol w:w="129"/>
      </w:tblGrid>
      <w:tr>
        <w:trPr/>
        <w:tc>
          <w:tcPr>
            <w:tcW w:w="4248"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5720"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29" w:type="dxa"/>
            <w:tcBorders/>
            <w:shd w:fill="auto" w:val="clear"/>
            <w:vAlign w:val="bottom"/>
          </w:tcPr>
          <w:p>
            <w:pPr>
              <w:pStyle w:val="TableContents"/>
              <w:spacing w:before="0" w:after="283"/>
              <w:jc w:val="left"/>
              <w:rPr/>
            </w:pPr>
            <w:r>
              <w:rPr/>
              <w:t> </w:t>
            </w:r>
          </w:p>
        </w:tc>
      </w:tr>
      <w:tr>
        <w:trPr/>
        <w:tc>
          <w:tcPr>
            <w:tcW w:w="4248"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75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275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9" w:type="dxa"/>
            <w:tcBorders/>
            <w:shd w:fill="auto" w:val="clear"/>
            <w:vAlign w:val="bottom"/>
          </w:tcPr>
          <w:p>
            <w:pPr>
              <w:pStyle w:val="TableContents"/>
              <w:spacing w:before="0" w:after="283"/>
              <w:jc w:val="left"/>
              <w:rPr/>
            </w:pPr>
            <w:r>
              <w:rPr/>
              <w:t> </w:t>
            </w:r>
          </w:p>
        </w:tc>
      </w:tr>
      <w:tr>
        <w:trPr/>
        <w:tc>
          <w:tcPr>
            <w:tcW w:w="4248"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29" w:type="dxa"/>
            <w:tcBorders/>
            <w:shd w:fill="auto" w:val="clear"/>
            <w:vAlign w:val="bottom"/>
          </w:tcPr>
          <w:p>
            <w:pPr>
              <w:pStyle w:val="TableContents"/>
              <w:spacing w:before="0" w:after="283"/>
              <w:jc w:val="left"/>
              <w:rPr/>
            </w:pPr>
            <w:r>
              <w:rPr/>
              <w:t> </w:t>
            </w:r>
          </w:p>
        </w:tc>
      </w:tr>
      <w:tr>
        <w:trPr/>
        <w:tc>
          <w:tcPr>
            <w:tcW w:w="4248"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29" w:type="dxa"/>
            <w:tcBorders/>
            <w:shd w:fill="auto" w:val="clear"/>
            <w:vAlign w:val="bottom"/>
          </w:tcPr>
          <w:p>
            <w:pPr>
              <w:pStyle w:val="TableContents"/>
              <w:spacing w:before="0" w:after="283"/>
              <w:jc w:val="left"/>
              <w:rPr/>
            </w:pPr>
            <w:r>
              <w:rPr/>
              <w:t> </w:t>
            </w:r>
          </w:p>
        </w:tc>
      </w:tr>
      <w:tr>
        <w:trPr/>
        <w:tc>
          <w:tcPr>
            <w:tcW w:w="4248"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29" w:type="dxa"/>
            <w:tcBorders/>
            <w:shd w:fill="auto" w:val="clear"/>
            <w:vAlign w:val="bottom"/>
          </w:tcPr>
          <w:p>
            <w:pPr>
              <w:pStyle w:val="TableContents"/>
              <w:spacing w:before="0" w:after="283"/>
              <w:jc w:val="left"/>
              <w:rPr/>
            </w:pPr>
            <w:r>
              <w:rPr/>
              <w:t> </w:t>
            </w:r>
          </w:p>
        </w:tc>
      </w:tr>
      <w:tr>
        <w:trPr/>
        <w:tc>
          <w:tcPr>
            <w:tcW w:w="4248"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29" w:type="dxa"/>
            <w:tcBorders/>
            <w:shd w:fill="auto"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outstanding at beginning of period</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9" w:type="dxa"/>
            <w:tcBorders/>
            <w:shd w:fill="CCEEFF" w:val="clear"/>
            <w:vAlign w:val="bottom"/>
          </w:tcPr>
          <w:p>
            <w:pPr>
              <w:pStyle w:val="TableContents"/>
              <w:spacing w:before="0" w:after="283"/>
              <w:jc w:val="left"/>
              <w:rPr/>
            </w:pPr>
            <w:r>
              <w:rPr/>
              <w:t> </w:t>
            </w:r>
          </w:p>
        </w:tc>
      </w:tr>
      <w:tr>
        <w:trPr/>
        <w:tc>
          <w:tcPr>
            <w:tcW w:w="42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granted</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18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1,075,550</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0.72</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18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1,020,000</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w:t>
            </w:r>
          </w:p>
        </w:tc>
        <w:tc>
          <w:tcPr>
            <w:tcW w:w="129" w:type="dxa"/>
            <w:tcBorders/>
            <w:shd w:fill="FFFFFF"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exercised</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(113,979</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129" w:type="dxa"/>
            <w:tcBorders/>
            <w:shd w:fill="CCEEFF" w:val="clear"/>
            <w:vAlign w:val="bottom"/>
          </w:tcPr>
          <w:p>
            <w:pPr>
              <w:pStyle w:val="TableContents"/>
              <w:spacing w:before="0" w:after="283"/>
              <w:jc w:val="left"/>
              <w:rPr/>
            </w:pPr>
            <w:r>
              <w:rPr/>
              <w:t> </w:t>
            </w:r>
          </w:p>
        </w:tc>
      </w:tr>
      <w:tr>
        <w:trPr/>
        <w:tc>
          <w:tcPr>
            <w:tcW w:w="42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cancelled</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18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(870,550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18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FFFFFF"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forfeited</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(29,167</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9" w:type="dxa"/>
            <w:tcBorders/>
            <w:shd w:fill="CCEEFF" w:val="clear"/>
            <w:vAlign w:val="bottom"/>
          </w:tcPr>
          <w:p>
            <w:pPr>
              <w:pStyle w:val="TableContents"/>
              <w:spacing w:before="0" w:after="283"/>
              <w:jc w:val="left"/>
              <w:rPr/>
            </w:pPr>
            <w:r>
              <w:rPr/>
              <w:t> </w:t>
            </w:r>
          </w:p>
        </w:tc>
      </w:tr>
      <w:tr>
        <w:trPr/>
        <w:tc>
          <w:tcPr>
            <w:tcW w:w="42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expired</w:t>
            </w:r>
          </w:p>
        </w:tc>
        <w:tc>
          <w:tcPr>
            <w:tcW w:w="108" w:type="dxa"/>
            <w:tcBorders/>
            <w:shd w:fill="FFFFFF" w:val="clear"/>
            <w:vAlign w:val="bottom"/>
          </w:tcPr>
          <w:p>
            <w:pPr>
              <w:pStyle w:val="TableContents"/>
              <w:spacing w:before="0" w:after="283"/>
              <w:jc w:val="right"/>
              <w:rPr/>
            </w:pPr>
            <w:r>
              <w:rPr/>
              <w:t> </w:t>
            </w:r>
          </w:p>
        </w:tc>
        <w:tc>
          <w:tcPr>
            <w:tcW w:w="1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29" w:type="dxa"/>
            <w:tcBorders/>
            <w:shd w:fill="FFFFFF"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r>
      <w:tr>
        <w:trPr/>
        <w:tc>
          <w:tcPr>
            <w:tcW w:w="42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outstanding at end of period</w:t>
            </w:r>
          </w:p>
        </w:tc>
        <w:tc>
          <w:tcPr>
            <w:tcW w:w="108" w:type="dxa"/>
            <w:tcBorders/>
            <w:shd w:fill="FFFFFF" w:val="clear"/>
            <w:vAlign w:val="bottom"/>
          </w:tcPr>
          <w:p>
            <w:pPr>
              <w:pStyle w:val="TableContents"/>
              <w:spacing w:before="0" w:after="283"/>
              <w:jc w:val="right"/>
              <w:rPr/>
            </w:pPr>
            <w:r>
              <w:rPr/>
              <w:t> </w:t>
            </w:r>
          </w:p>
        </w:tc>
        <w:tc>
          <w:tcPr>
            <w:tcW w:w="10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8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4,912,604</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0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8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9" w:type="dxa"/>
            <w:tcBorders/>
            <w:shd w:fill="FFFFFF"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exercisable at end of period</w:t>
            </w:r>
          </w:p>
        </w:tc>
        <w:tc>
          <w:tcPr>
            <w:tcW w:w="108"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8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4,227,436</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8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3,740,135</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9" w:type="dxa"/>
            <w:tcBorders/>
            <w:shd w:fill="CCEEFF"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Weighted average grant-date fair value of</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r>
      <w:tr>
        <w:trPr/>
        <w:tc>
          <w:tcPr>
            <w:tcW w:w="42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granted during the period</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8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9"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information on stock options outstanding and exercisable under the Company’s option plans as of March 31, 2013:</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69"/>
        <w:gridCol w:w="1258"/>
        <w:gridCol w:w="130"/>
        <w:gridCol w:w="130"/>
        <w:gridCol w:w="134"/>
        <w:gridCol w:w="1389"/>
        <w:gridCol w:w="130"/>
        <w:gridCol w:w="130"/>
        <w:gridCol w:w="162"/>
        <w:gridCol w:w="1308"/>
        <w:gridCol w:w="130"/>
        <w:gridCol w:w="130"/>
        <w:gridCol w:w="201"/>
        <w:gridCol w:w="1218"/>
        <w:gridCol w:w="130"/>
        <w:gridCol w:w="130"/>
        <w:gridCol w:w="131"/>
        <w:gridCol w:w="1360"/>
        <w:gridCol w:w="130"/>
        <w:gridCol w:w="130"/>
        <w:gridCol w:w="201"/>
        <w:gridCol w:w="1218"/>
        <w:gridCol w:w="156"/>
      </w:tblGrid>
      <w:tr>
        <w:trPr/>
        <w:tc>
          <w:tcPr>
            <w:tcW w:w="1427"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93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Options Outstanding</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17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Options Exercisable</w:t>
            </w:r>
          </w:p>
        </w:tc>
        <w:tc>
          <w:tcPr>
            <w:tcW w:w="156" w:type="dxa"/>
            <w:tcBorders/>
            <w:shd w:fill="auto" w:val="clear"/>
            <w:vAlign w:val="bottom"/>
          </w:tcPr>
          <w:p>
            <w:pPr>
              <w:pStyle w:val="TableContents"/>
              <w:spacing w:before="0" w:after="283"/>
              <w:jc w:val="left"/>
              <w:rPr/>
            </w:pPr>
            <w:r>
              <w:rPr/>
              <w:t> </w:t>
            </w:r>
          </w:p>
        </w:tc>
      </w:tr>
      <w:tr>
        <w:trPr/>
        <w:tc>
          <w:tcPr>
            <w:tcW w:w="1427"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523"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7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r>
      <w:tr>
        <w:trPr/>
        <w:tc>
          <w:tcPr>
            <w:tcW w:w="1427"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523"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7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56" w:type="dxa"/>
            <w:tcBorders/>
            <w:shd w:fill="auto" w:val="clear"/>
            <w:vAlign w:val="bottom"/>
          </w:tcPr>
          <w:p>
            <w:pPr>
              <w:pStyle w:val="TableContents"/>
              <w:spacing w:before="0" w:after="283"/>
              <w:jc w:val="left"/>
              <w:rPr/>
            </w:pPr>
            <w:r>
              <w:rPr/>
              <w:t> </w:t>
            </w:r>
          </w:p>
        </w:tc>
      </w:tr>
      <w:tr>
        <w:trPr/>
        <w:tc>
          <w:tcPr>
            <w:tcW w:w="1427"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523"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7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Remaining</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56" w:type="dxa"/>
            <w:tcBorders/>
            <w:shd w:fill="auto" w:val="clear"/>
            <w:vAlign w:val="bottom"/>
          </w:tcPr>
          <w:p>
            <w:pPr>
              <w:pStyle w:val="TableContents"/>
              <w:spacing w:before="0" w:after="283"/>
              <w:jc w:val="left"/>
              <w:rPr/>
            </w:pPr>
            <w:r>
              <w:rPr/>
              <w:t> </w:t>
            </w:r>
          </w:p>
        </w:tc>
      </w:tr>
      <w:tr>
        <w:trPr/>
        <w:tc>
          <w:tcPr>
            <w:tcW w:w="142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523"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7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Years until</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56" w:type="dxa"/>
            <w:tcBorders/>
            <w:shd w:fill="auto" w:val="clear"/>
            <w:vAlign w:val="bottom"/>
          </w:tcPr>
          <w:p>
            <w:pPr>
              <w:pStyle w:val="TableContents"/>
              <w:spacing w:before="0" w:after="283"/>
              <w:jc w:val="left"/>
              <w:rPr/>
            </w:pPr>
            <w:r>
              <w:rPr/>
              <w:t> </w:t>
            </w:r>
          </w:p>
        </w:tc>
      </w:tr>
      <w:tr>
        <w:trPr/>
        <w:tc>
          <w:tcPr>
            <w:tcW w:w="14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5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Outstanding</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Expiration</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Exercisable</w:t>
            </w:r>
          </w:p>
        </w:tc>
        <w:tc>
          <w:tcPr>
            <w:tcW w:w="13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56" w:type="dxa"/>
            <w:tcBorders/>
            <w:shd w:fill="auto" w:val="clear"/>
            <w:vAlign w:val="bottom"/>
          </w:tcPr>
          <w:p>
            <w:pPr>
              <w:pStyle w:val="TableContents"/>
              <w:spacing w:before="0" w:after="283"/>
              <w:jc w:val="left"/>
              <w:rPr/>
            </w:pPr>
            <w:r>
              <w:rPr/>
              <w:t> </w:t>
            </w:r>
          </w:p>
        </w:tc>
      </w:tr>
      <w:tr>
        <w:trPr/>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0.51 - $0.72</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3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267,540</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112,540</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0.72</w:t>
            </w:r>
          </w:p>
        </w:tc>
        <w:tc>
          <w:tcPr>
            <w:tcW w:w="156" w:type="dxa"/>
            <w:tcBorders/>
            <w:shd w:fill="CCEEFF" w:val="clear"/>
            <w:vAlign w:val="bottom"/>
          </w:tcPr>
          <w:p>
            <w:pPr>
              <w:pStyle w:val="TableContents"/>
              <w:spacing w:before="0" w:after="283"/>
              <w:jc w:val="left"/>
              <w:rPr/>
            </w:pPr>
            <w:r>
              <w:rPr/>
              <w:t> </w:t>
            </w:r>
          </w:p>
        </w:tc>
      </w:tr>
      <w:tr>
        <w:trPr/>
        <w:tc>
          <w:tcPr>
            <w:tcW w:w="16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3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920,550</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9.58</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670,494</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56" w:type="dxa"/>
            <w:tcBorders/>
            <w:shd w:fill="FFFFFF" w:val="clear"/>
            <w:vAlign w:val="bottom"/>
          </w:tcPr>
          <w:p>
            <w:pPr>
              <w:pStyle w:val="TableContents"/>
              <w:spacing w:before="0" w:after="283"/>
              <w:jc w:val="left"/>
              <w:rPr/>
            </w:pPr>
            <w:r>
              <w:rPr/>
              <w:t> </w:t>
            </w:r>
          </w:p>
        </w:tc>
      </w:tr>
      <w:tr>
        <w:trPr/>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0.80 - $1.13</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3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455,776</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455,776</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56" w:type="dxa"/>
            <w:tcBorders/>
            <w:shd w:fill="CCEEFF" w:val="clear"/>
            <w:vAlign w:val="bottom"/>
          </w:tcPr>
          <w:p>
            <w:pPr>
              <w:pStyle w:val="TableContents"/>
              <w:spacing w:before="0" w:after="283"/>
              <w:jc w:val="left"/>
              <w:rPr/>
            </w:pPr>
            <w:r>
              <w:rPr/>
              <w:t> </w:t>
            </w:r>
          </w:p>
        </w:tc>
      </w:tr>
      <w:tr>
        <w:trPr/>
        <w:tc>
          <w:tcPr>
            <w:tcW w:w="16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3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2,413,250</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6.68</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2,413,250</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56" w:type="dxa"/>
            <w:tcBorders/>
            <w:shd w:fill="FFFFFF" w:val="clear"/>
            <w:vAlign w:val="bottom"/>
          </w:tcPr>
          <w:p>
            <w:pPr>
              <w:pStyle w:val="TableContents"/>
              <w:spacing w:before="0" w:after="283"/>
              <w:jc w:val="left"/>
              <w:rPr/>
            </w:pPr>
            <w:r>
              <w:rPr/>
              <w:t> </w:t>
            </w:r>
          </w:p>
        </w:tc>
      </w:tr>
      <w:tr>
        <w:trPr/>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1.65 - $1.925</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3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695,833</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415,721</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56" w:type="dxa"/>
            <w:tcBorders/>
            <w:shd w:fill="CCEEFF" w:val="clear"/>
            <w:vAlign w:val="bottom"/>
          </w:tcPr>
          <w:p>
            <w:pPr>
              <w:pStyle w:val="TableContents"/>
              <w:spacing w:before="0" w:after="283"/>
              <w:jc w:val="left"/>
              <w:rPr/>
            </w:pPr>
            <w:r>
              <w:rPr/>
              <w:t> </w:t>
            </w:r>
          </w:p>
        </w:tc>
      </w:tr>
      <w:tr>
        <w:trPr/>
        <w:tc>
          <w:tcPr>
            <w:tcW w:w="16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2.10 - $2.99</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159,655</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159,655</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56" w:type="dxa"/>
            <w:tcBorders/>
            <w:shd w:fill="FFFFFF" w:val="clear"/>
            <w:vAlign w:val="bottom"/>
          </w:tcPr>
          <w:p>
            <w:pPr>
              <w:pStyle w:val="TableContents"/>
              <w:spacing w:before="0" w:after="283"/>
              <w:jc w:val="left"/>
              <w:rPr/>
            </w:pPr>
            <w:r>
              <w:rPr/>
              <w:t> </w:t>
            </w:r>
          </w:p>
        </w:tc>
      </w:tr>
      <w:tr>
        <w:trPr/>
        <w:tc>
          <w:tcPr>
            <w:tcW w:w="16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389"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360"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r>
      <w:tr>
        <w:trPr/>
        <w:tc>
          <w:tcPr>
            <w:tcW w:w="16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8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4,912,604</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6.83</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4,227,436</w:t>
            </w:r>
          </w:p>
        </w:tc>
        <w:tc>
          <w:tcPr>
            <w:tcW w:w="130"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56"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there were 257,867 shares of the Company’s common stock remaining available for grant under the 2008 Plan.  There were no option exercises during the year ended March 31, 2013. The Company received cash proceeds of $102,200 as a result of options exercised during the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Aggregate intrinsic value is the sum of the amounts by which the fair value of the stock exceeded the exercise price (“</w:t>
      </w:r>
      <w:r>
        <w:rPr>
          <w:rFonts w:ascii="Times New Roman" w:hAnsi="Times New Roman"/>
          <w:i/>
          <w:sz w:val="20"/>
        </w:rPr>
        <w:t>in-the-money-options</w:t>
      </w:r>
      <w:r>
        <w:rPr>
          <w:rFonts w:ascii="Times New Roman" w:hAnsi="Times New Roman"/>
          <w:sz w:val="20"/>
        </w:rPr>
        <w:t>”). Based on the quoted market price of the Company’s common stock of $0.83 per share on March 31, 2013, the aggregate intrinsic value of outstanding options at that date was $165,000, of which $87,300 related to exercisable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049" w:name="PGBRK104"/>
      <w:bookmarkStart w:id="1050" w:name="PGBRK104"/>
      <w:bookmarkEnd w:id="10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051" w:name="FTR104"/>
      <w:bookmarkStart w:id="1052" w:name="FTR104"/>
      <w:bookmarkEnd w:id="1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53" w:name="GLFTR104"/>
      <w:bookmarkEnd w:id="10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4" w:name="PN104"/>
      <w:bookmarkEnd w:id="1054"/>
      <w:r>
        <w:rPr>
          <w:rFonts w:ascii="Times New Roman" w:hAnsi="Times New Roman"/>
          <w:sz w:val="20"/>
        </w:rPr>
        <w:t>-103-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055" w:name="HDR104"/>
      <w:bookmarkStart w:id="1056" w:name="HDR104"/>
      <w:bookmarkEnd w:id="10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57" w:name="GLHDR104"/>
        <w:bookmarkEnd w:id="10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there was approximately $743,000 of unrecognized compensation cost related to non-vested share-based compensation awards from the 2008 Plan, which is expected to be recognized through May 2016.</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Stock Grants from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discussed in Note 8, </w:t>
      </w:r>
      <w:r>
        <w:rPr>
          <w:rFonts w:ascii="Times New Roman" w:hAnsi="Times New Roman"/>
          <w:i/>
          <w:sz w:val="20"/>
        </w:rPr>
        <w:t xml:space="preserve">Convertible Promissory Notes and Other Notes Payable, </w:t>
      </w:r>
      <w:r>
        <w:rPr>
          <w:rFonts w:ascii="Times New Roman" w:hAnsi="Times New Roman"/>
          <w:sz w:val="20"/>
        </w:rPr>
        <w:t>in April and May 2011, the Company issued an aggregate of 139,600 restricted shares of its common stock from the 2008 Plan to Desjardins and McCarthy as partial compensation for services performed by the two entities.  At the date of issuance, the shares were valued at $1.75 per share and the Company recorded $244,300 in general and administrative expense in connection with the issuances.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401(k)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14.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Cato Holding Company (“</w:t>
      </w:r>
      <w:r>
        <w:rPr>
          <w:rFonts w:ascii="Times New Roman" w:hAnsi="Times New Roman"/>
          <w:i/>
          <w:sz w:val="20"/>
        </w:rPr>
        <w:t>CHC</w:t>
      </w:r>
      <w:r>
        <w:rPr>
          <w:rFonts w:ascii="Times New Roman" w:hAnsi="Times New Roman"/>
          <w:sz w:val="20"/>
        </w:rPr>
        <w:t>”), doing business as Cato BioVentures ("</w:t>
      </w:r>
      <w:r>
        <w:rPr>
          <w:rFonts w:ascii="Times New Roman" w:hAnsi="Times New Roman"/>
          <w:i/>
          <w:sz w:val="20"/>
        </w:rPr>
        <w:t>CBV</w:t>
      </w:r>
      <w:r>
        <w:rPr>
          <w:rFonts w:ascii="Times New Roman" w:hAnsi="Times New Roman"/>
          <w:sz w:val="20"/>
        </w:rPr>
        <w:t xml:space="preserve">"), the parent of CRL, is one of the Company’s largest institutional stockholders at March 31, 2013, holding common stock and warrants to purchase common stock. Prior to the May 11, 2011 conversion of certain of the Company’s outstanding promissory notes and the conversion of preferred stock into shares of common stock, CBV held various promissory notes and a majority of the Company's Series B-1 Preferred Stock.  Shawn Singh, the Company’s Chief Executive Officer and member of its Board of Directors, served as Managing Principal of CBV and as an officer of CRL until August 2009. As described in Note 8, </w:t>
      </w:r>
      <w:r>
        <w:rPr>
          <w:rFonts w:ascii="Times New Roman" w:hAnsi="Times New Roman"/>
          <w:i/>
          <w:sz w:val="20"/>
        </w:rPr>
        <w:t>Convertible Promissory Notes and Other Notes Payable</w:t>
      </w:r>
      <w:r>
        <w:rPr>
          <w:rFonts w:ascii="Times New Roman" w:hAnsi="Times New Roman"/>
          <w:sz w:val="20"/>
        </w:rPr>
        <w:t>, in April 2011, CBV loaned the Company $352,273 under the terms of the 2011 CHC Note.  On October 10, 2012, the Company and CHC cancelled the 2011 CHC Note and exchanged it for a new unsecured promissory note in the principal amount of $310,443 (the “</w:t>
      </w:r>
      <w:r>
        <w:rPr>
          <w:rFonts w:ascii="Times New Roman" w:hAnsi="Times New Roman"/>
          <w:i/>
          <w:sz w:val="20"/>
        </w:rPr>
        <w:t>2012 CHC Note</w:t>
      </w:r>
      <w:r>
        <w:rPr>
          <w:rFonts w:ascii="Times New Roman" w:hAnsi="Times New Roman"/>
          <w:sz w:val="20"/>
        </w:rPr>
        <w:t>”) and a five-year warrant to purchase 250,000 restricted shares of the Company’s common stock at a price of $1.50 per share (the “</w:t>
      </w:r>
      <w:r>
        <w:rPr>
          <w:rFonts w:ascii="Times New Roman" w:hAnsi="Times New Roman"/>
          <w:i/>
          <w:sz w:val="20"/>
        </w:rPr>
        <w:t>CHC Warrant</w:t>
      </w:r>
      <w:r>
        <w:rPr>
          <w:rFonts w:ascii="Times New Roman" w:hAnsi="Times New Roman"/>
          <w:sz w:val="20"/>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Times New Roman" w:hAnsi="Times New Roman"/>
          <w:i/>
          <w:sz w:val="20"/>
        </w:rPr>
        <w:t>CRL Note</w:t>
      </w:r>
      <w:r>
        <w:rPr>
          <w:rFonts w:ascii="Times New Roman" w:hAnsi="Times New Roman"/>
          <w:sz w:val="20"/>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fiscal year 2007, the Company entered into a contract research organization arrangement with CRL related to the development of AV-101, under which the Company incurred expenses of $703,800 and $1,461,300 for the fiscal years ended March 31, 2013 and 2012, respectively, a substantial portion of which were reimbursed under the NIH grant.  Total interest expense on notes payable to CHC and CRL was $101,700 and $93,100 for the fiscal years ended March 31, 2013 and 2012, respectively, with the majority of amounts reported for periods prior to May 2011 having been converted to equity. On April 29, 2011, the Company issued 157,143 restricted shares of common stock, valued at $1.75 per share, as prepayment for research and development services to be performed by CRL during 2011.  As described in Note 9, </w:t>
      </w:r>
      <w:r>
        <w:rPr>
          <w:rFonts w:ascii="Times New Roman" w:hAnsi="Times New Roman"/>
          <w:i/>
          <w:sz w:val="20"/>
        </w:rPr>
        <w:t xml:space="preserve">Capital Stock, </w:t>
      </w:r>
      <w:r>
        <w:rPr>
          <w:rFonts w:ascii="Times New Roman" w:hAnsi="Times New Roman"/>
          <w:sz w:val="20"/>
        </w:rPr>
        <w:t>in December 2011, the Company entered into an Agreement Regarding Payment of Invoices and Warrant Exercises with CHC, CRL and the CHC affiliates pursuant to which CHC and the CHC Affiliates exercised warrants at discounted exercise prices to purchase an aggregate of 492,541 restricted shares of the Company’s common stock and the Company received $60,200 cash, and, in lieu of cash payment for certain of the warrant exercises, settled outstanding liabilities of $245,300 for past services received from CRL and prepaid $226,400 for future services to be received from CRL, which services had been fully received by March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8" w:name="PGBRK105"/>
      <w:bookmarkStart w:id="1059" w:name="PGBRK105"/>
      <w:bookmarkEnd w:id="10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0" w:name="FTR105"/>
      <w:bookmarkStart w:id="1061" w:name="FTR105"/>
      <w:bookmarkEnd w:id="10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62" w:name="GLFTR105"/>
      <w:bookmarkEnd w:id="10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3" w:name="PN105"/>
      <w:bookmarkEnd w:id="1063"/>
      <w:r>
        <w:rPr>
          <w:rFonts w:ascii="Times New Roman" w:hAnsi="Times New Roman"/>
          <w:sz w:val="20"/>
        </w:rPr>
        <w:t>-104-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4" w:name="HDR105"/>
      <w:bookmarkStart w:id="1065" w:name="HDR105"/>
      <w:bookmarkEnd w:id="10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66" w:name="GLHDR105"/>
        <w:bookmarkEnd w:id="10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Prior to his April 2003 appointment as one of the Company’s officers (on a part-time basis) and as a director, the Company retained Mr. Singh as a consultant to provide legal and other consulting services. During the course of the consultancy, as payment for his services, the Company issued him warrants to purchase 55,898 restricted shares of common stock at $0.80 per share and a 7% promissory note in the principal amount of $26,400. On May 11, 2011, and concurrent with the Merger, the Company paid the outstanding balance of principal and accrued interest totaling $36,000 (see Note 8, </w:t>
      </w:r>
      <w:r>
        <w:rPr>
          <w:rFonts w:ascii="Times New Roman" w:hAnsi="Times New Roman"/>
          <w:i/>
          <w:sz w:val="20"/>
        </w:rPr>
        <w:t>Convertible Promissory Notes and Other Notes</w:t>
      </w:r>
      <w:r>
        <w:rPr>
          <w:rFonts w:ascii="Times New Roman" w:hAnsi="Times New Roman"/>
          <w:sz w:val="20"/>
        </w:rPr>
        <w:t xml:space="preserve"> </w:t>
      </w:r>
      <w:r>
        <w:rPr>
          <w:rFonts w:ascii="Times New Roman" w:hAnsi="Times New Roman"/>
          <w:i/>
          <w:sz w:val="20"/>
        </w:rPr>
        <w:t>Payable</w:t>
      </w:r>
      <w:r>
        <w:rPr>
          <w:rFonts w:ascii="Times New Roman" w:hAnsi="Times New Roman"/>
          <w:sz w:val="20"/>
        </w:rPr>
        <w:t>). Upon the approval by the Board of Directors, in December 2006, VistaGen California accepted a full-recourse promissory note in the amount of $103,400 from Mr. Singh in payment of the exercise price for options and warrants to purchase an aggregate of 126,389 restricted shares of the Company’s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the principal and accrued interest on this note was cancelled in accordance with Mr. Singh's employment agreement and recorded as additional compensation. In accordance with his employment agreement, Mr. Singh is also entitled to an income tax gross-up on the compensation related to the note cancellation.  At March 31, 2012 and 2013, the Company had accrued $101,900 as an estimate of the gross-up amount, but had not yet paid that amount to Mr. Singh.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2007, VistaGen California accepted a full recourse promissory note in the amount of $46,400 from A. Franklin Rice, its former Chief Financial Officer and a former director of the Company in exchange for his exercise of options to purchase 52,681 restricted shares of the Company’s common stock.  The note accrued interest at a rate of 4.90% per annum and was due and payable no later than the earlier of (i) March 1, 2017 or (ii) ten days prior to the Company becoming subject to the requirements of the Exchange Act.  On May 11, 2011, in connection with the Merger, the $57,000 outstanding balance of principal and accrued interest on this note was cancelled in accordance with Mr. Rice's employment agreement and recorded as additional compensation.  In accordance with his employment agreement, Mr. Rice is entitled to an income tax gross-up on the compensation related to the note cancellation.  At March 31, 2012 and 2013, the Company had accrued $33,900 as an estimate of the gross-up amount, but had not paid it to Mr. Rice.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the Merger, VistaGen California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restricted shares of the Company’s common stock, of which he has exercised warrants to purchase 18,568 restricted shares.  Additionally, Mr. Saxe was issued a 7% promissory note in the amount of $8,000.  On May 11, 2011, the $14,400 balance of the note and related accrued interest plus a note cancellation premium of $5,100 was converted to 11,142 restricted shares of the Company’s common stock and a three-year warrant to purchase 2,784 restricted shares of common stock at an exercise price of $2.50 per share.  In lieu of payment from the Company, in December 2011, Mr. Saxe exercised the warrant as a part of the Discounted Warrant Exercise Program at an exercise price of $1.25 per share in satisfaction of amounts owed to him in conjunction with his service as a member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15.  Commitments, Contingencies, Guarantees and Indemnifications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time to time, the Company may become involved in claims and other legal matters arising in the ordinary course of business. Management is not currently aware of any matters that will have a material adverse effect on the Company’s consolidated financial position, results of operations or its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2013 or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7" w:name="PGBRK106"/>
      <w:bookmarkStart w:id="1068" w:name="PGBRK106"/>
      <w:bookmarkEnd w:id="10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9" w:name="FTR106"/>
      <w:bookmarkStart w:id="1070" w:name="FTR106"/>
      <w:bookmarkEnd w:id="10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71" w:name="GLFTR106"/>
      <w:bookmarkEnd w:id="10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2" w:name="PN106"/>
      <w:bookmarkEnd w:id="1072"/>
      <w:r>
        <w:rPr>
          <w:rFonts w:ascii="Times New Roman" w:hAnsi="Times New Roman"/>
          <w:sz w:val="20"/>
        </w:rPr>
        <w:t>-105-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3" w:name="HDR106"/>
      <w:bookmarkStart w:id="1074" w:name="HDR106"/>
      <w:bookmarkEnd w:id="10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75" w:name="GLHDR106"/>
        <w:bookmarkEnd w:id="10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2013 or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Leases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and 2012, the following assets are under capital lease obligations and included in property and equipment:</w:t>
      </w:r>
    </w:p>
    <w:p>
      <w:pPr>
        <w:pStyle w:val="TextBody"/>
        <w:spacing w:before="0" w:after="0"/>
        <w:ind w:left="0" w:right="0" w:firstLine="720"/>
        <w:rPr/>
      </w:pPr>
      <w:r>
        <w:rPr/>
      </w:r>
    </w:p>
    <w:tbl>
      <w:tblPr>
        <w:tblW w:w="5000" w:type="pct"/>
        <w:jc w:val="left"/>
        <w:tblInd w:w="0" w:type="dxa"/>
        <w:tblCellMar>
          <w:top w:w="0" w:type="dxa"/>
          <w:left w:w="0" w:type="dxa"/>
          <w:bottom w:w="0" w:type="dxa"/>
          <w:right w:w="0" w:type="dxa"/>
        </w:tblCellMar>
      </w:tblPr>
      <w:tblGrid>
        <w:gridCol w:w="7398"/>
        <w:gridCol w:w="109"/>
        <w:gridCol w:w="127"/>
        <w:gridCol w:w="1048"/>
        <w:gridCol w:w="115"/>
        <w:gridCol w:w="109"/>
        <w:gridCol w:w="127"/>
        <w:gridCol w:w="1048"/>
        <w:gridCol w:w="124"/>
      </w:tblGrid>
      <w:tr>
        <w:trPr/>
        <w:tc>
          <w:tcPr>
            <w:tcW w:w="739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4" w:type="dxa"/>
            <w:tcBorders/>
            <w:shd w:fill="auto" w:val="clear"/>
            <w:vAlign w:val="bottom"/>
          </w:tcPr>
          <w:p>
            <w:pPr>
              <w:pStyle w:val="TableContents"/>
              <w:spacing w:before="0" w:after="283"/>
              <w:jc w:val="left"/>
              <w:rPr/>
            </w:pPr>
            <w:r>
              <w:rPr/>
              <w:t> </w:t>
            </w:r>
          </w:p>
        </w:tc>
      </w:tr>
      <w:tr>
        <w:trPr/>
        <w:tc>
          <w:tcPr>
            <w:tcW w:w="739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4" w:type="dxa"/>
            <w:tcBorders/>
            <w:shd w:fill="auto" w:val="clear"/>
            <w:vAlign w:val="bottom"/>
          </w:tcPr>
          <w:p>
            <w:pPr>
              <w:pStyle w:val="TableContents"/>
              <w:spacing w:before="0" w:after="283"/>
              <w:jc w:val="left"/>
              <w:rPr/>
            </w:pPr>
            <w:r>
              <w:rPr/>
              <w:t> </w:t>
            </w:r>
          </w:p>
        </w:tc>
      </w:tr>
      <w:tr>
        <w:trPr/>
        <w:tc>
          <w:tcPr>
            <w:tcW w:w="739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9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Leased laboratory and computer equipment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133,200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139,700</w:t>
            </w:r>
          </w:p>
        </w:tc>
        <w:tc>
          <w:tcPr>
            <w:tcW w:w="124" w:type="dxa"/>
            <w:tcBorders/>
            <w:shd w:fill="CCEEFF" w:val="clear"/>
            <w:vAlign w:val="bottom"/>
          </w:tcPr>
          <w:p>
            <w:pPr>
              <w:pStyle w:val="TableContents"/>
              <w:spacing w:before="0" w:after="283"/>
              <w:jc w:val="left"/>
              <w:rPr/>
            </w:pPr>
            <w:r>
              <w:rPr/>
              <w:t> </w:t>
            </w:r>
          </w:p>
        </w:tc>
      </w:tr>
      <w:tr>
        <w:trPr/>
        <w:tc>
          <w:tcPr>
            <w:tcW w:w="739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Accumulated amortization</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(114,900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(119,200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98"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39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20,500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Amortization expense for assets recorded under capital leases is included in depreciation expense.  Future minimum payments, by year and in the aggregate, required under capital leases are as follows:</w:t>
      </w:r>
    </w:p>
    <w:p>
      <w:pPr>
        <w:pStyle w:val="TextBody"/>
        <w:spacing w:before="0" w:after="0"/>
        <w:ind w:left="0" w:right="0" w:firstLine="720"/>
        <w:rPr/>
      </w:pPr>
      <w:r>
        <w:rPr/>
      </w:r>
    </w:p>
    <w:tbl>
      <w:tblPr>
        <w:tblW w:w="5000" w:type="pct"/>
        <w:jc w:val="left"/>
        <w:tblInd w:w="0" w:type="dxa"/>
        <w:tblCellMar>
          <w:top w:w="0" w:type="dxa"/>
          <w:left w:w="0" w:type="dxa"/>
          <w:bottom w:w="0" w:type="dxa"/>
          <w:right w:w="0" w:type="dxa"/>
        </w:tblCellMar>
      </w:tblPr>
      <w:tblGrid>
        <w:gridCol w:w="8075"/>
        <w:gridCol w:w="118"/>
        <w:gridCol w:w="160"/>
        <w:gridCol w:w="1717"/>
        <w:gridCol w:w="135"/>
      </w:tblGrid>
      <w:tr>
        <w:trPr/>
        <w:tc>
          <w:tcPr>
            <w:tcW w:w="8075"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87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Equipment</w:t>
            </w:r>
          </w:p>
        </w:tc>
        <w:tc>
          <w:tcPr>
            <w:tcW w:w="135" w:type="dxa"/>
            <w:tcBorders/>
            <w:shd w:fill="auto" w:val="clear"/>
            <w:vAlign w:val="bottom"/>
          </w:tcPr>
          <w:p>
            <w:pPr>
              <w:pStyle w:val="TableContents"/>
              <w:spacing w:before="0" w:after="283"/>
              <w:jc w:val="left"/>
              <w:rPr/>
            </w:pPr>
            <w:r>
              <w:rPr/>
              <w:t> </w:t>
            </w:r>
          </w:p>
        </w:tc>
      </w:tr>
      <w:tr>
        <w:trPr/>
        <w:tc>
          <w:tcPr>
            <w:tcW w:w="807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Fiscal Years Ending March 31,</w:t>
            </w:r>
          </w:p>
        </w:tc>
        <w:tc>
          <w:tcPr>
            <w:tcW w:w="118" w:type="dxa"/>
            <w:tcBorders/>
            <w:shd w:fill="auto" w:val="clear"/>
            <w:vAlign w:val="bottom"/>
          </w:tcPr>
          <w:p>
            <w:pPr>
              <w:pStyle w:val="TableContents"/>
              <w:spacing w:before="0" w:after="283"/>
              <w:rPr/>
            </w:pPr>
            <w:r>
              <w:rPr/>
              <w:t> </w:t>
            </w:r>
          </w:p>
        </w:tc>
        <w:tc>
          <w:tcPr>
            <w:tcW w:w="18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Capital Leases</w:t>
            </w:r>
          </w:p>
        </w:tc>
        <w:tc>
          <w:tcPr>
            <w:tcW w:w="135" w:type="dxa"/>
            <w:tcBorders/>
            <w:shd w:fill="auto" w:val="clear"/>
            <w:vAlign w:val="bottom"/>
          </w:tcPr>
          <w:p>
            <w:pPr>
              <w:pStyle w:val="TableContents"/>
              <w:spacing w:before="0" w:after="283"/>
              <w:jc w:val="left"/>
              <w:rPr/>
            </w:pPr>
            <w:r>
              <w:rPr/>
              <w:t> </w:t>
            </w:r>
          </w:p>
        </w:tc>
      </w:tr>
      <w:tr>
        <w:trPr/>
        <w:tc>
          <w:tcPr>
            <w:tcW w:w="8075"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877"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r>
      <w:tr>
        <w:trPr/>
        <w:tc>
          <w:tcPr>
            <w:tcW w:w="80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18"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8,600</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118"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17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4,300</w:t>
            </w:r>
          </w:p>
        </w:tc>
        <w:tc>
          <w:tcPr>
            <w:tcW w:w="135" w:type="dxa"/>
            <w:tcBorders/>
            <w:shd w:fill="FFFFFF" w:val="clear"/>
            <w:vAlign w:val="bottom"/>
          </w:tcPr>
          <w:p>
            <w:pPr>
              <w:pStyle w:val="TableContents"/>
              <w:spacing w:before="0" w:after="283"/>
              <w:jc w:val="left"/>
              <w:rPr/>
            </w:pPr>
            <w:r>
              <w:rPr/>
              <w:t> </w:t>
            </w:r>
          </w:p>
        </w:tc>
      </w:tr>
      <w:tr>
        <w:trPr/>
        <w:tc>
          <w:tcPr>
            <w:tcW w:w="80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118"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118"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17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35" w:type="dxa"/>
            <w:tcBorders/>
            <w:shd w:fill="FFFFFF" w:val="clear"/>
            <w:vAlign w:val="bottom"/>
          </w:tcPr>
          <w:p>
            <w:pPr>
              <w:pStyle w:val="TableContents"/>
              <w:spacing w:before="0" w:after="283"/>
              <w:jc w:val="left"/>
              <w:rPr/>
            </w:pPr>
            <w:r>
              <w:rPr/>
              <w:t> </w:t>
            </w:r>
          </w:p>
        </w:tc>
      </w:tr>
      <w:tr>
        <w:trPr/>
        <w:tc>
          <w:tcPr>
            <w:tcW w:w="80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2018</w:t>
            </w:r>
          </w:p>
        </w:tc>
        <w:tc>
          <w:tcPr>
            <w:tcW w:w="118"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7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Future minimum lease payments</w:t>
            </w:r>
          </w:p>
        </w:tc>
        <w:tc>
          <w:tcPr>
            <w:tcW w:w="118"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17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15,400</w:t>
            </w:r>
          </w:p>
        </w:tc>
        <w:tc>
          <w:tcPr>
            <w:tcW w:w="135" w:type="dxa"/>
            <w:tcBorders/>
            <w:shd w:fill="FFFFFF" w:val="clear"/>
            <w:vAlign w:val="bottom"/>
          </w:tcPr>
          <w:p>
            <w:pPr>
              <w:pStyle w:val="TableContents"/>
              <w:spacing w:before="0" w:after="283"/>
              <w:jc w:val="left"/>
              <w:rPr/>
            </w:pPr>
            <w:r>
              <w:rPr/>
              <w:t> </w:t>
            </w:r>
          </w:p>
        </w:tc>
      </w:tr>
      <w:tr>
        <w:trPr/>
        <w:tc>
          <w:tcPr>
            <w:tcW w:w="8075"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71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Less imputed interest included in minimum lease payments</w:t>
            </w:r>
          </w:p>
        </w:tc>
        <w:tc>
          <w:tcPr>
            <w:tcW w:w="118" w:type="dxa"/>
            <w:tcBorders/>
            <w:shd w:fill="FFFFFF" w:val="clear"/>
            <w:vAlign w:val="bottom"/>
          </w:tcPr>
          <w:p>
            <w:pPr>
              <w:pStyle w:val="TableContents"/>
              <w:spacing w:before="0" w:after="283"/>
              <w:jc w:val="right"/>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7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075"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71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Present value of minimum lease payments</w:t>
            </w:r>
          </w:p>
        </w:tc>
        <w:tc>
          <w:tcPr>
            <w:tcW w:w="118"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17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13,700</w:t>
            </w:r>
          </w:p>
        </w:tc>
        <w:tc>
          <w:tcPr>
            <w:tcW w:w="135" w:type="dxa"/>
            <w:tcBorders/>
            <w:shd w:fill="FFFFFF" w:val="clear"/>
            <w:vAlign w:val="bottom"/>
          </w:tcPr>
          <w:p>
            <w:pPr>
              <w:pStyle w:val="TableContents"/>
              <w:spacing w:before="0" w:after="283"/>
              <w:jc w:val="left"/>
              <w:rPr/>
            </w:pPr>
            <w:r>
              <w:rPr/>
              <w:t> </w:t>
            </w:r>
          </w:p>
        </w:tc>
      </w:tr>
      <w:tr>
        <w:trPr/>
        <w:tc>
          <w:tcPr>
            <w:tcW w:w="8075"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71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118" w:type="dxa"/>
            <w:tcBorders/>
            <w:shd w:fill="FFFFFF" w:val="clear"/>
            <w:vAlign w:val="bottom"/>
          </w:tcPr>
          <w:p>
            <w:pPr>
              <w:pStyle w:val="TableContents"/>
              <w:spacing w:before="0" w:after="283"/>
              <w:jc w:val="right"/>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7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(7,600</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075"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71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80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capital lease obligation</w:t>
            </w:r>
          </w:p>
        </w:tc>
        <w:tc>
          <w:tcPr>
            <w:tcW w:w="118" w:type="dxa"/>
            <w:tcBorders/>
            <w:shd w:fill="FFFFFF" w:val="clear"/>
            <w:vAlign w:val="bottom"/>
          </w:tcPr>
          <w:p>
            <w:pPr>
              <w:pStyle w:val="TableContents"/>
              <w:spacing w:before="0" w:after="283"/>
              <w:jc w:val="right"/>
              <w:rPr/>
            </w:pPr>
            <w:r>
              <w:rPr/>
              <w:t> </w:t>
            </w:r>
          </w:p>
        </w:tc>
        <w:tc>
          <w:tcPr>
            <w:tcW w:w="16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35"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March 31, 2013, future minimum payments under operating leases relate to the Company’s facility lease in South San Francisco, California through June 30, 2013 and total $45,000 for the fiscal year ended March 31, 2014.  See Note 16, </w:t>
      </w:r>
      <w:r>
        <w:rPr>
          <w:rFonts w:ascii="Times New Roman" w:hAnsi="Times New Roman"/>
          <w:i/>
          <w:sz w:val="20"/>
        </w:rPr>
        <w:t>Subsequent Events</w:t>
      </w:r>
      <w:r>
        <w:rPr>
          <w:rFonts w:ascii="Times New Roman" w:hAnsi="Times New Roman"/>
          <w:sz w:val="20"/>
        </w:rPr>
        <w:t>.  Total facility rent expense incurred by the Company for the fiscal years ended March 31, 2013 and 2012 was $179,000 and $166,000,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6" w:name="PGBRK107"/>
      <w:bookmarkStart w:id="1077" w:name="PGBRK107"/>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8" w:name="FTR107"/>
      <w:bookmarkStart w:id="1079" w:name="FTR107"/>
      <w:bookmarkEnd w:id="10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80" w:name="GLFTR107"/>
      <w:bookmarkEnd w:id="10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1" w:name="PN107"/>
      <w:bookmarkEnd w:id="1081"/>
      <w:r>
        <w:rPr>
          <w:rFonts w:ascii="Times New Roman" w:hAnsi="Times New Roman"/>
          <w:sz w:val="20"/>
        </w:rPr>
        <w:t>-106-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2" w:name="HDR107"/>
      <w:bookmarkStart w:id="1083" w:name="HDR107"/>
      <w:bookmarkEnd w:id="10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84" w:name="GLHDR107"/>
        <w:bookmarkEnd w:id="10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Long-Term Debt Repayment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future minimum principal payments related to long-term debt were as follows: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753"/>
        <w:gridCol w:w="112"/>
        <w:gridCol w:w="129"/>
        <w:gridCol w:w="1092"/>
        <w:gridCol w:w="119"/>
      </w:tblGrid>
      <w:tr>
        <w:trPr/>
        <w:tc>
          <w:tcPr>
            <w:tcW w:w="875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Fiscal Years Ending March 31,</w:t>
            </w:r>
          </w:p>
        </w:tc>
        <w:tc>
          <w:tcPr>
            <w:tcW w:w="112" w:type="dxa"/>
            <w:tcBorders/>
            <w:shd w:fill="auto" w:val="clear"/>
            <w:tcMar>
              <w:bottom w:w="0" w:type="dxa"/>
            </w:tcMar>
            <w:vAlign w:val="bottom"/>
          </w:tcPr>
          <w:p>
            <w:pPr>
              <w:pStyle w:val="TableContents"/>
              <w:spacing w:before="0" w:after="283"/>
              <w:rPr/>
            </w:pPr>
            <w:r>
              <w:rPr/>
              <w:t> </w:t>
            </w:r>
          </w:p>
        </w:tc>
        <w:tc>
          <w:tcPr>
            <w:tcW w:w="122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75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684,200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5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609,800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5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541,700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5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185,800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5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2018</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5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 through October 2023</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bottom w:val="single" w:sz="12" w:space="0" w:color="000000"/>
            </w:tcBorders>
            <w:shd w:fill="FFFFFF" w:val="clear"/>
            <w:vAlign w:val="bottom"/>
          </w:tcPr>
          <w:p>
            <w:pPr>
              <w:pStyle w:val="TableContents"/>
              <w:spacing w:before="0" w:after="283"/>
              <w:jc w:val="left"/>
              <w:rPr/>
            </w:pPr>
            <w:r>
              <w:rPr/>
              <w:t> </w:t>
            </w:r>
          </w:p>
        </w:tc>
        <w:tc>
          <w:tcPr>
            <w:tcW w:w="10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71,600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53"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92" w:type="dxa"/>
            <w:tcBorders/>
            <w:shd w:fill="CCEEFF" w:val="clear"/>
            <w:tcMar>
              <w:bottom w:w="0" w:type="dxa"/>
            </w:tcM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53"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2,111,100</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16.  Subsequent Events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evaluated subsequent events through July 12, 2013 and has identified the following material events and transactions that occurred after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Autilion AG Securities Purchase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8, 2013, the Company entered into a Securities Purchase Agreement (the “</w:t>
      </w:r>
      <w:r>
        <w:rPr>
          <w:rFonts w:ascii="Times New Roman" w:hAnsi="Times New Roman"/>
          <w:i/>
          <w:sz w:val="20"/>
        </w:rPr>
        <w:t>Purchase Agreement</w:t>
      </w:r>
      <w:r>
        <w:rPr>
          <w:rFonts w:ascii="Times New Roman" w:hAnsi="Times New Roman"/>
          <w:sz w:val="20"/>
        </w:rPr>
        <w:t>”) with Autilion AG, a company organized and existing under the laws of Switzerland (“</w:t>
      </w:r>
      <w:r>
        <w:rPr>
          <w:rFonts w:ascii="Times New Roman" w:hAnsi="Times New Roman"/>
          <w:i/>
          <w:sz w:val="20"/>
        </w:rPr>
        <w:t>Autilion</w:t>
      </w:r>
      <w:r>
        <w:rPr>
          <w:rFonts w:ascii="Times New Roman" w:hAnsi="Times New Roman"/>
          <w:sz w:val="20"/>
        </w:rPr>
        <w:t>”).  On April 12, 2013, Autilion assigned the Purchase Agreement to its affiliate, Bergamo Acquisition Corp. PTE LTD, a corporation organized and existing under the laws of Singapore (“</w:t>
      </w:r>
      <w:r>
        <w:rPr>
          <w:rFonts w:ascii="Times New Roman" w:hAnsi="Times New Roman"/>
          <w:i/>
          <w:sz w:val="20"/>
        </w:rPr>
        <w:t>Bergamo Singapore</w:t>
      </w:r>
      <w:r>
        <w:rPr>
          <w:rFonts w:ascii="Times New Roman" w:hAnsi="Times New Roman"/>
          <w:sz w:val="20"/>
        </w:rPr>
        <w:t>”). On April 30, 2013, the Company and Bergamo Singapore amended the Purchase Agreement (“</w:t>
      </w:r>
      <w:r>
        <w:rPr>
          <w:rFonts w:ascii="Times New Roman" w:hAnsi="Times New Roman"/>
          <w:i/>
          <w:sz w:val="20"/>
        </w:rPr>
        <w:t>Amendment No. 1</w:t>
      </w:r>
      <w:r>
        <w:rPr>
          <w:rFonts w:ascii="Times New Roman" w:hAnsi="Times New Roman"/>
          <w:sz w:val="20"/>
        </w:rPr>
        <w:t>”) to modify the investment dates.  On June 27, 2013, the Company, Autilion and Bergamo Singapore further amended the Agreement to vacate Autilion’s April 2013 assignment of the Purchase Agreement to Bergamo Singapore, provide for an initial closing under the Purchase Agreement, and amend certain of the investment dates under the Purchase Agreement (“</w:t>
      </w:r>
      <w:r>
        <w:rPr>
          <w:rFonts w:ascii="Times New Roman" w:hAnsi="Times New Roman"/>
          <w:i/>
          <w:sz w:val="20"/>
        </w:rPr>
        <w:t>Amendment No. 2</w:t>
      </w:r>
      <w:r>
        <w:rPr>
          <w:rFonts w:ascii="Times New Roman" w:hAnsi="Times New Roman"/>
          <w:sz w:val="20"/>
        </w:rPr>
        <w:t>”, and together with the Agreement and Amendment No. 1, the “</w:t>
      </w:r>
      <w:r>
        <w:rPr>
          <w:rFonts w:ascii="Times New Roman" w:hAnsi="Times New Roman"/>
          <w:i/>
          <w:sz w:val="20"/>
        </w:rPr>
        <w:t>Amended Agreement</w:t>
      </w:r>
      <w:r>
        <w:rPr>
          <w:rFonts w:ascii="Times New Roman" w:hAnsi="Times New Roman"/>
          <w:sz w:val="20"/>
        </w:rPr>
        <w:t>”). Under the terms of the Amended Agreement, Autilion is contractually obligated to purchase an aggregate of 72.0 million restricted shares of the Company’s common stock at a purchase price of $0.50 per share for aggregate cash consideration of $36.0 million, in a series of tranches between June 27, 2013 and September 30, 2013 (cumulatively, the “</w:t>
      </w:r>
      <w:r>
        <w:rPr>
          <w:rFonts w:ascii="Times New Roman" w:hAnsi="Times New Roman"/>
          <w:i/>
          <w:sz w:val="20"/>
        </w:rPr>
        <w:t>Autilion Financing</w:t>
      </w:r>
      <w:r>
        <w:rPr>
          <w:rFonts w:ascii="Times New Roman" w:hAnsi="Times New Roman"/>
          <w:sz w:val="20"/>
        </w:rPr>
        <w:t>”).  The Amended Agreement also provides for the election to the Company’s Board of Directors of a designee of Autilion upon completion of the Autilion Financing.  The Company has completed a nominal initial closing of the Autilion Financing.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hAnsi="Times New Roman"/>
          <w:i/>
          <w:sz w:val="20"/>
        </w:rPr>
        <w:t>Approved Transaction</w:t>
      </w:r>
      <w:r>
        <w:rPr>
          <w:rFonts w:ascii="Times New Roman" w:hAnsi="Times New Roman"/>
          <w:sz w:val="20"/>
        </w:rPr>
        <w:t>”), Autilion is required to vote all shares of capital stock of the Company held by it for such Approved Transaction.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Modification of Warrants held by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on May 24, 2013, the Company and Platinum entered into an Amendment and Waiver pursuant to which the Company agreed to reduce the exercise price of the Exchange Warrant and the Investment Warrants issued to Platinum in October 2012 and February 2013 and March 2013 (collectively, the “</w:t>
      </w:r>
      <w:r>
        <w:rPr>
          <w:rFonts w:ascii="Times New Roman" w:hAnsi="Times New Roman"/>
          <w:i/>
          <w:sz w:val="20"/>
        </w:rPr>
        <w:t>Warrants</w:t>
      </w:r>
      <w:r>
        <w:rPr>
          <w:rFonts w:ascii="Times New Roman" w:hAnsi="Times New Roman"/>
          <w:sz w:val="20"/>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Bergamo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of previously outstanding warrants for which the Company may reduce the exercise price to not less than $0.50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5" w:name="PGBRK108"/>
      <w:bookmarkStart w:id="1086" w:name="PGBRK108"/>
      <w:bookmarkEnd w:id="10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7" w:name="FTR108"/>
      <w:bookmarkStart w:id="1088" w:name="FTR108"/>
      <w:bookmarkEnd w:id="10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89" w:name="GLFTR108"/>
      <w:bookmarkEnd w:id="10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90" w:name="PN108"/>
      <w:bookmarkEnd w:id="1090"/>
      <w:r>
        <w:rPr>
          <w:rFonts w:ascii="Times New Roman" w:hAnsi="Times New Roman"/>
          <w:sz w:val="20"/>
        </w:rPr>
        <w:t>-107-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1" w:name="HDR108"/>
      <w:bookmarkStart w:id="1092" w:name="HDR108"/>
      <w:bookmarkEnd w:id="1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93" w:name="GLHDR108"/>
        <w:bookmarkEnd w:id="10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Facility Lease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24, 2013, the Company entered into a four-year facility lease for approximately 10,900 square feet of laboratory and headquarters office space in South San Francisco, California beginning July 1, 2013.  Future minimum payments under the lease are as follows: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8781"/>
        <w:gridCol w:w="113"/>
        <w:gridCol w:w="130"/>
        <w:gridCol w:w="1062"/>
        <w:gridCol w:w="119"/>
      </w:tblGrid>
      <w:tr>
        <w:trPr/>
        <w:tc>
          <w:tcPr>
            <w:tcW w:w="8781"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Fiscal Years Ending March 31,</w:t>
            </w:r>
          </w:p>
        </w:tc>
        <w:tc>
          <w:tcPr>
            <w:tcW w:w="113" w:type="dxa"/>
            <w:tcBorders/>
            <w:shd w:fill="auto" w:val="clear"/>
            <w:tcMar>
              <w:bottom w:w="0" w:type="dxa"/>
            </w:tcMar>
            <w:vAlign w:val="bottom"/>
          </w:tcPr>
          <w:p>
            <w:pPr>
              <w:pStyle w:val="TableContents"/>
              <w:spacing w:before="0" w:after="283"/>
              <w:rPr/>
            </w:pPr>
            <w:r>
              <w:rPr/>
              <w:t> </w:t>
            </w:r>
          </w:p>
        </w:tc>
        <w:tc>
          <w:tcPr>
            <w:tcW w:w="119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78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121,100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113"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265,100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113"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278,200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2018</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70,400</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June and July 2013, the Company offered certain warrant holders the opportunity to exercise their warrants to purchase restricted shares of the Company’s common stock at an exercise price reduced from $1.50 per share to $0.50 per share.  Through the date of this report, warrant holders exercised warrants to purchase an aggregate of 399,106 restricted shares of the Company’s common stock and the Company received cash proceeds of $191,200 and settled accounts payable for professional services in the amount of $8,300 in lieu of cash payment by the Company.</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17. Supplemental Financial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Quarterly Results of Operations (Unaudited)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following table presents the unaudited statements of operations data for each of the eight quarters in the period ended March 31, 2013.  This information represents the activity of VistaGen California for the pre-Merger portion of the first quarter of fiscal 2012 and the consolidated activity of VistaGen California and the Company from May 11, 2011 (the date of the Merger) through March 31, 2013. A total of 1,569,000 shares of common stock, representing the 784,500 shares held by stockholders of Excaliber immediately prior to the Merger and effected for the post-Merger two-for-one (2:1) stock split described in Note 1, </w:t>
      </w:r>
      <w:r>
        <w:rPr>
          <w:rFonts w:ascii="Times New Roman" w:hAnsi="Times New Roman"/>
          <w:i/>
          <w:sz w:val="20"/>
        </w:rPr>
        <w:t>Description of Business</w:t>
      </w:r>
      <w:r>
        <w:rPr>
          <w:rFonts w:ascii="Times New Roman" w:hAnsi="Times New Roman"/>
          <w:sz w:val="20"/>
        </w:rPr>
        <w:t>, have been retroactively reflected as outstanding for the entire fiscal year ended March 31, 2012 for purposes of determining basic and diluted loss per common share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4" w:name="PGBRK109"/>
      <w:bookmarkStart w:id="1095" w:name="PGBRK109"/>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6" w:name="FTR109"/>
      <w:bookmarkStart w:id="1097" w:name="FTR109"/>
      <w:bookmarkEnd w:id="1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8" w:name="GLFTR109"/>
      <w:bookmarkEnd w:id="10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99" w:name="PN109"/>
      <w:bookmarkEnd w:id="1099"/>
      <w:r>
        <w:rPr>
          <w:rFonts w:ascii="Times New Roman" w:hAnsi="Times New Roman"/>
          <w:sz w:val="20"/>
        </w:rPr>
        <w:t>-108-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0" w:name="HDR109"/>
      <w:bookmarkStart w:id="1101" w:name="HDR109"/>
      <w:bookmarkEnd w:id="1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02" w:name="GLHDR109"/>
        <w:bookmarkEnd w:id="11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 Quarterly Results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(in thousands, except share and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34"/>
        <w:gridCol w:w="95"/>
        <w:gridCol w:w="125"/>
        <w:gridCol w:w="1047"/>
        <w:gridCol w:w="104"/>
        <w:gridCol w:w="95"/>
        <w:gridCol w:w="125"/>
        <w:gridCol w:w="1047"/>
        <w:gridCol w:w="104"/>
        <w:gridCol w:w="95"/>
        <w:gridCol w:w="125"/>
        <w:gridCol w:w="1046"/>
        <w:gridCol w:w="104"/>
        <w:gridCol w:w="95"/>
        <w:gridCol w:w="125"/>
        <w:gridCol w:w="1047"/>
        <w:gridCol w:w="104"/>
        <w:gridCol w:w="95"/>
        <w:gridCol w:w="125"/>
        <w:gridCol w:w="1047"/>
        <w:gridCol w:w="121"/>
      </w:tblGrid>
      <w:tr>
        <w:trPr/>
        <w:tc>
          <w:tcPr>
            <w:tcW w:w="33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5284"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Fiscal Year</w:t>
            </w:r>
          </w:p>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1" w:type="dxa"/>
            <w:tcBorders/>
            <w:shd w:fill="auto" w:val="clear"/>
            <w:vAlign w:val="bottom"/>
          </w:tcPr>
          <w:p>
            <w:pPr>
              <w:pStyle w:val="TableContents"/>
              <w:spacing w:before="0" w:after="283"/>
              <w:jc w:val="left"/>
              <w:rPr/>
            </w:pPr>
            <w:r>
              <w:rPr/>
              <w:t> </w:t>
            </w:r>
          </w:p>
        </w:tc>
      </w:tr>
      <w:tr>
        <w:trPr/>
        <w:tc>
          <w:tcPr>
            <w:tcW w:w="33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vMerge w:val="continue"/>
            <w:tcBorders>
              <w:bottom w:val="single" w:sz="12" w:space="0" w:color="000000"/>
            </w:tcBorders>
            <w:shd w:fill="auto" w:val="clear"/>
            <w:tcMar>
              <w:bottom w:w="28" w:type="dxa"/>
            </w:tcMar>
            <w:vAlign w:val="bottom"/>
          </w:tcPr>
          <w:p>
            <w:pPr>
              <w:pStyle w:val="Normal"/>
              <w:rPr/>
            </w:pPr>
            <w:r>
              <w:rPr/>
            </w:r>
          </w:p>
        </w:tc>
        <w:tc>
          <w:tcPr>
            <w:tcW w:w="121" w:type="dxa"/>
            <w:tcBorders/>
            <w:shd w:fill="auto" w:val="clear"/>
            <w:vAlign w:val="bottom"/>
          </w:tcPr>
          <w:p>
            <w:pPr>
              <w:pStyle w:val="TableContents"/>
              <w:spacing w:before="0" w:after="283"/>
              <w:jc w:val="left"/>
              <w:rPr/>
            </w:pPr>
            <w:r>
              <w:rPr/>
              <w:t> </w:t>
            </w:r>
          </w:p>
        </w:tc>
      </w:tr>
      <w:tr>
        <w:trPr/>
        <w:tc>
          <w:tcPr>
            <w:tcW w:w="33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3334"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Revenues:</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revenues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3,431</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1,132</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3,562</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1,919</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6,993</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(1,919</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(6,793</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expenses, net: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 in put and note extension option and warrant liabilities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(1,994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(1,636</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income</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before income taxes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(1,824</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(3,770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(12,883</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Income taxes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(3,770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(12,887</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Deemed dividend on Series A Preferred Stock</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(10,193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(10,193</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 attributable to common stockholders</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(15,528</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(3,770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(23,080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Basic and diluted net loss per common share</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(0.85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Weighted average shares used in computing basic and diluted net loss per common share</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16,842,655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17,094,833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18,292,301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20,236,491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18,108,444</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Note:  reflects adjustment to amount of deemed dividend on Series A Preferred Stock in the quarter ended December 31, 2012.</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3" w:name="PGBRK110"/>
      <w:bookmarkStart w:id="1104" w:name="PGBRK110"/>
      <w:bookmarkEnd w:id="1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5" w:name="FTR110"/>
      <w:bookmarkStart w:id="1106" w:name="FTR110"/>
      <w:bookmarkEnd w:id="1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7" w:name="GLFTR110"/>
      <w:bookmarkEnd w:id="1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8" w:name="PN110"/>
      <w:bookmarkEnd w:id="1108"/>
      <w:r>
        <w:rPr>
          <w:rFonts w:ascii="Times New Roman" w:hAnsi="Times New Roman"/>
          <w:sz w:val="20"/>
        </w:rPr>
        <w:t>-109-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9" w:name="HDR110"/>
      <w:bookmarkStart w:id="1110" w:name="HDR110"/>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1" w:name="GLHDR110"/>
      <w:bookmarkEnd w:id="1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334"/>
        <w:gridCol w:w="95"/>
        <w:gridCol w:w="125"/>
        <w:gridCol w:w="1047"/>
        <w:gridCol w:w="104"/>
        <w:gridCol w:w="95"/>
        <w:gridCol w:w="125"/>
        <w:gridCol w:w="1047"/>
        <w:gridCol w:w="104"/>
        <w:gridCol w:w="95"/>
        <w:gridCol w:w="125"/>
        <w:gridCol w:w="1046"/>
        <w:gridCol w:w="104"/>
        <w:gridCol w:w="95"/>
        <w:gridCol w:w="125"/>
        <w:gridCol w:w="1047"/>
        <w:gridCol w:w="104"/>
        <w:gridCol w:w="95"/>
        <w:gridCol w:w="125"/>
        <w:gridCol w:w="1047"/>
        <w:gridCol w:w="121"/>
      </w:tblGrid>
      <w:tr>
        <w:trPr/>
        <w:tc>
          <w:tcPr>
            <w:tcW w:w="33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5284"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Fiscal Year</w:t>
            </w:r>
          </w:p>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1" w:type="dxa"/>
            <w:tcBorders/>
            <w:shd w:fill="auto" w:val="clear"/>
            <w:vAlign w:val="bottom"/>
          </w:tcPr>
          <w:p>
            <w:pPr>
              <w:pStyle w:val="TableContents"/>
              <w:spacing w:before="0" w:after="283"/>
              <w:jc w:val="left"/>
              <w:rPr/>
            </w:pPr>
            <w:r>
              <w:rPr/>
              <w:t> </w:t>
            </w:r>
          </w:p>
        </w:tc>
      </w:tr>
      <w:tr>
        <w:trPr/>
        <w:tc>
          <w:tcPr>
            <w:tcW w:w="33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p>
            <w:pPr>
              <w:pStyle w:val="TableContents"/>
              <w:spacing w:before="0" w:after="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p>
            <w:pPr>
              <w:pStyle w:val="TableContents"/>
              <w:spacing w:before="0" w:after="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vMerge w:val="continue"/>
            <w:tcBorders>
              <w:bottom w:val="single" w:sz="12" w:space="0" w:color="000000"/>
            </w:tcBorders>
            <w:shd w:fill="auto" w:val="clear"/>
            <w:tcMar>
              <w:bottom w:w="28" w:type="dxa"/>
            </w:tcMar>
            <w:vAlign w:val="bottom"/>
          </w:tcPr>
          <w:p>
            <w:pPr>
              <w:pStyle w:val="Normal"/>
              <w:rPr/>
            </w:pPr>
            <w:r>
              <w:rPr/>
            </w:r>
          </w:p>
        </w:tc>
        <w:tc>
          <w:tcPr>
            <w:tcW w:w="121" w:type="dxa"/>
            <w:tcBorders/>
            <w:shd w:fill="auto" w:val="clear"/>
            <w:vAlign w:val="bottom"/>
          </w:tcPr>
          <w:p>
            <w:pPr>
              <w:pStyle w:val="TableContents"/>
              <w:spacing w:before="0" w:after="283"/>
              <w:jc w:val="left"/>
              <w:rPr/>
            </w:pPr>
            <w:r>
              <w:rPr/>
              <w:t> </w:t>
            </w:r>
          </w:p>
        </w:tc>
      </w:tr>
      <w:tr>
        <w:trPr/>
        <w:tc>
          <w:tcPr>
            <w:tcW w:w="33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3334"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Revenues:</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2"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revenues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(1,227</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2,155</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10,386</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(2,852</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(2,787</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(9,044</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expenses, net: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 in put and note extension option and warrant liabilities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pPr>
            <w:r>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before income taxes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(2,256</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(3,043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(12,208</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Income taxes</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(2,256</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(3,043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(12,210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3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Basic and diluted net loss per common share</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21" w:type="dxa"/>
            <w:tcBorders/>
            <w:shd w:fill="CCEEFF" w:val="clear"/>
            <w:vAlign w:val="bottom"/>
          </w:tcPr>
          <w:p>
            <w:pPr>
              <w:pStyle w:val="TableContents"/>
              <w:spacing w:before="0" w:after="283"/>
              <w:jc w:val="left"/>
              <w:rPr/>
            </w:pPr>
            <w:r>
              <w:rPr/>
              <w:t> </w:t>
            </w:r>
          </w:p>
        </w:tc>
      </w:tr>
      <w:tr>
        <w:trPr/>
        <w:tc>
          <w:tcPr>
            <w:tcW w:w="333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Weighted average shares used in computing basic and diluted net loss per common share</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11,105,854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15,241,904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16,035,861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16,542,717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14,736,651</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2" w:name="PGBRK111"/>
      <w:bookmarkStart w:id="1113" w:name="PGBRK111"/>
      <w:bookmarkEnd w:id="1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4" w:name="FTR111"/>
      <w:bookmarkStart w:id="1115" w:name="FTR111"/>
      <w:bookmarkEnd w:id="1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16" w:name="GLFTR111"/>
      <w:bookmarkEnd w:id="1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7" w:name="PN111"/>
      <w:bookmarkEnd w:id="1117"/>
      <w:r>
        <w:rPr>
          <w:rFonts w:ascii="Times New Roman" w:hAnsi="Times New Roman"/>
          <w:sz w:val="20"/>
        </w:rPr>
        <w:t>-110-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HDR111"/>
      <w:bookmarkStart w:id="1119" w:name="HDR111"/>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20" w:name="GLHDR111"/>
        <w:bookmarkEnd w:id="11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bookmarkStart w:id="1121" w:name="it9j"/>
      <w:bookmarkEnd w:id="1121"/>
      <w:r>
        <w:rPr>
          <w:rFonts w:ascii="Times New Roman" w:hAnsi="Times New Roman"/>
          <w:b/>
          <w:sz w:val="20"/>
        </w:rPr>
        <w:t>Item 9.  Changes in and Disagreements With Accountants on Accounting and Financial Disclosure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13, 2011, in connection with the Merger, we dismissed Weaver &amp; Martin, LLC (“</w:t>
      </w:r>
      <w:r>
        <w:rPr>
          <w:rFonts w:ascii="Times New Roman" w:hAnsi="Times New Roman"/>
          <w:i/>
          <w:sz w:val="20"/>
        </w:rPr>
        <w:t>WM</w:t>
      </w:r>
      <w:r>
        <w:rPr>
          <w:rFonts w:ascii="Times New Roman" w:hAnsi="Times New Roman"/>
          <w:sz w:val="20"/>
        </w:rPr>
        <w:t>”) as Excaliber’s independent registered public accounting firm.  The Company’s Board of directors approved the dismissal of WM.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reports of WM on the financial statements of Excaliber as of and for the fiscal years ended December 31, 2009 and 2010 contained no adverse opinion or disclaimer of opinion and were not qualified or modified as to uncertainty, audit scope or accounting principle.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Excaliber’s fiscal years ended December 31, 2009 and 2010 and through May 13, 2011, (i) there were no disagreements with WM on any matter of accounting principles or practices, financial statement disclosure, or auditing scope or procedure, which disagreements, if not resolved to WM satisfaction, would have caused WM to make reference to the subject matter of such disagreements in its reports on Excaliber’s consolidated financial statements for such years, and (ii) there were no reportable events as defined in Item 304(a)(1)(v) of Regulation 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provided WM with a copy of the above disclosures prior to its filing with the Securities and Exchange Commission (“</w:t>
      </w:r>
      <w:r>
        <w:rPr>
          <w:rFonts w:ascii="Times New Roman" w:hAnsi="Times New Roman"/>
          <w:i/>
          <w:sz w:val="20"/>
        </w:rPr>
        <w:t>SEC</w:t>
      </w:r>
      <w:r>
        <w:rPr>
          <w:rFonts w:ascii="Times New Roman" w:hAnsi="Times New Roman"/>
          <w:sz w:val="20"/>
        </w:rPr>
        <w:t>”) of the Current Report on Form 8-K describing the Merger on May 16, 2011 and requested WM to furnish the Company with a letter addressed to the SEC stating whether WM agrees with the above statements and, if not, stating the respects in which it does not agree.  A copy of WM’s letter dated May 13, 2011 is attached as Exhibit 16.1 to the Company’s Current Report on Form 8-K filed on May 16, 2011 and is incorporated herein by reference.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Based on the Board of Directors’ approval, we engaged OUM &amp; Co. LLP (“</w:t>
      </w:r>
      <w:r>
        <w:rPr>
          <w:rFonts w:ascii="Times New Roman" w:hAnsi="Times New Roman"/>
          <w:i/>
          <w:sz w:val="20"/>
        </w:rPr>
        <w:t>OUM</w:t>
      </w:r>
      <w:r>
        <w:rPr>
          <w:rFonts w:ascii="Times New Roman" w:hAnsi="Times New Roman"/>
          <w:sz w:val="20"/>
        </w:rPr>
        <w:t>”) on May 13, 2011, as our independent registered public accounting firm for the fiscal year ending March 31, 2012. During Excaliber’s two most recent fiscal years ended December 31, 2009 and 2010 and through May 13, 2011, neither Excaliber nor anyone on its behalf consulted OUM regarding either (i) the application of accounting principles to a specified transaction, either completed or proposed, or the type of audit opinion that might be rendered on Excaliber’s financial statements, and no written report or oral advice was provided to Excaliber that OUM concluded was an important factor considered by Excaliber in reaching a decision as to the accounting, auditing or financial reporting issue; or (ii) any matter that was the subject of a disagreement or reportable event as defined in Item 304(a)(1)(iv) and Item 304(a)(1)(v), respectively, of Regulation 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OUM was VistaGen California’s auditor prior to the Merger. As such, OUM audited VistaGen California’s financial statements as of March 31, 2010 and 2009, and for the four years in the period ended March 31, 2011, and for the period from May 26, 1998 (inception) through March 31, 2011, which are included in the Company’s Current Report on Form 8-K filed on May 16, 2011, and as subsequently amended, and provided advice to VistaGen with respect to accounting, auditing, and financial reporting issues related to the Merger.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122" w:name="it9aj"/>
      <w:bookmarkEnd w:id="1122"/>
      <w:r>
        <w:rPr>
          <w:rFonts w:ascii="Times New Roman" w:hAnsi="Times New Roman"/>
          <w:b/>
          <w:sz w:val="20"/>
        </w:rPr>
        <w:t>Item 9A.  Controls and Procedures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1123" w:name="tx312367_14"/>
      <w:bookmarkEnd w:id="1123"/>
      <w:r>
        <w:rPr>
          <w:rFonts w:ascii="Times New Roman" w:hAnsi="Times New Roman"/>
          <w:b/>
          <w:sz w:val="20"/>
        </w:rPr>
        <w:t>Evaluation of 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Based on their evaluation as of the end of the period covered by this report, our Chief Executive Officer and Chief Financial Officer have concluded that our disclosure controls and procedures (as defined in Rules 13a-15(e) and 15d-15(e) under the Exchange Act) were effective as of the end of the period covered by this report to ensure that information that we are required to disclose in reports that management files or submits under the Exchange Act is recorded, processed, summarized and reported within the time periods specified in SEC rules and forms.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disclosure controls and procedures are designed to provide reasonable assurance of achieving their objectives, and our chief executive officer and acting chief financial officer have concluded that these controls and procedures are effective at the “reasonable assurance” level.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4" w:name="PGBRK112"/>
      <w:bookmarkStart w:id="1125" w:name="PGBRK112"/>
      <w:bookmarkEnd w:id="1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6" w:name="FTR112"/>
      <w:bookmarkStart w:id="1127" w:name="FTR112"/>
      <w:bookmarkEnd w:id="1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28" w:name="GLFTR112"/>
      <w:bookmarkEnd w:id="1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9" w:name="PN112"/>
      <w:bookmarkEnd w:id="1129"/>
      <w:r>
        <w:rPr>
          <w:rFonts w:ascii="Times New Roman" w:hAnsi="Times New Roman"/>
          <w:sz w:val="20"/>
        </w:rPr>
        <w:t>-111-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0" w:name="HDR112"/>
      <w:bookmarkStart w:id="1131" w:name="HDR112"/>
      <w:bookmarkEnd w:id="1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32" w:name="GLHDR112"/>
        <w:bookmarkEnd w:id="11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Annual Report on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 company’s internal control over financial reporting is a process designed to provide reasonable assurance regarding the reliability of financial reporting and the preparation of financial statements for external purposes in accordance with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are inherent limitations in the effectiveness of any system of internal control, including the possibility of human error and the circumvention or overriding of controls. Accordingly, even effective internal controls can provide only reasonable assurances with respect to financial statement preparation. Further, because of changes in conditions, the effectiveness of internal control may vary over time.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management assessed the effectiveness of our internal control over financial reporting as of March 31, 2013. In making this assessment, management used the criteria set forth by the Committee of Sponsoring Organizations (COSO) of the Treadway Commission in </w:t>
      </w:r>
      <w:r>
        <w:rPr>
          <w:rFonts w:ascii="Times New Roman" w:hAnsi="Times New Roman"/>
          <w:i/>
          <w:sz w:val="20"/>
        </w:rPr>
        <w:t>Internal Control—Integrated Framework</w:t>
      </w:r>
      <w:r>
        <w:rPr>
          <w:rFonts w:ascii="Times New Roman" w:hAnsi="Times New Roman"/>
          <w:sz w:val="20"/>
        </w:rPr>
        <w:t>. Based on its assessment using the COSO criteria, management concluded that our internal control over financial reporting was effective as of March 31,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result of the enactment of the Dodd-Frank Wall Street Reform and Consumer Protection Act of 2010, and the resulting amendment of Section 404 of the Sarbanes-Oxley Act of 2002, as a non-accelerated filer, we are not required to provide an attestation report by our independent registered public accounting firm regarding internal control over financial reporting for the fiscal year ended March 31, 2013 or thereafter, until such time as we are no longer eligible for the exemption for smaller issuers set forth within the Sarbanes-Oxley Act.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1133" w:name="it9bj"/>
      <w:bookmarkEnd w:id="1133"/>
      <w:r>
        <w:rPr>
          <w:rFonts w:ascii="Times New Roman" w:hAnsi="Times New Roman"/>
          <w:b/>
          <w:sz w:val="20"/>
        </w:rPr>
        <w:t>Item 9B.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1134" w:name="tx312367_15"/>
      <w:bookmarkEnd w:id="1134"/>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135" w:name="p3it10j"/>
      <w:bookmarkEnd w:id="1135"/>
      <w:r>
        <w:rPr>
          <w:rFonts w:ascii="Times New Roman" w:hAnsi="Times New Roman"/>
          <w:b/>
          <w:sz w:val="20"/>
        </w:rPr>
        <w:t>PART III</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10.  Directors Officers and Corporate Governance.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senior management is composed of individuals with significant management experience.  The following table sets forth specific information regarding our executive officers and directors as of June 1, 2013:</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4226"/>
        <w:gridCol w:w="102"/>
        <w:gridCol w:w="928"/>
        <w:gridCol w:w="102"/>
        <w:gridCol w:w="4847"/>
      </w:tblGrid>
      <w:tr>
        <w:trPr/>
        <w:tc>
          <w:tcPr>
            <w:tcW w:w="4226"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92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484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r>
      <w:tr>
        <w:trPr/>
        <w:tc>
          <w:tcPr>
            <w:tcW w:w="422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50</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48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Director</w:t>
            </w:r>
          </w:p>
        </w:tc>
      </w:tr>
      <w:tr>
        <w:trPr/>
        <w:tc>
          <w:tcPr>
            <w:tcW w:w="422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 Ralph Snodgrass, Ph.D.</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2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484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Scientific Officer and Director</w:t>
            </w:r>
          </w:p>
        </w:tc>
      </w:tr>
      <w:tr>
        <w:trPr/>
        <w:tc>
          <w:tcPr>
            <w:tcW w:w="422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Jerrold D. Dotson</w:t>
            </w:r>
          </w:p>
        </w:tc>
        <w:tc>
          <w:tcPr>
            <w:tcW w:w="102" w:type="dxa"/>
            <w:tcBorders/>
            <w:shd w:fill="CCEEFF" w:val="clear"/>
            <w:tcMar>
              <w:bottom w:w="0" w:type="dxa"/>
            </w:tcMar>
            <w:vAlign w:val="bottom"/>
          </w:tcPr>
          <w:p>
            <w:pPr>
              <w:pStyle w:val="TableContents"/>
              <w:spacing w:before="0" w:after="283"/>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w:t>
            </w:r>
          </w:p>
        </w:tc>
        <w:tc>
          <w:tcPr>
            <w:tcW w:w="102" w:type="dxa"/>
            <w:tcBorders/>
            <w:shd w:fill="CCEEFF" w:val="clear"/>
            <w:tcMar>
              <w:bottom w:w="0" w:type="dxa"/>
            </w:tcMar>
            <w:vAlign w:val="bottom"/>
          </w:tcPr>
          <w:p>
            <w:pPr>
              <w:pStyle w:val="TableContents"/>
              <w:spacing w:before="0" w:after="283"/>
              <w:rPr/>
            </w:pPr>
            <w:r>
              <w:rPr/>
              <w:t xml:space="preserve">  </w:t>
            </w:r>
          </w:p>
        </w:tc>
        <w:tc>
          <w:tcPr>
            <w:tcW w:w="48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422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Jon S. Saxe, J.D. </w:t>
            </w:r>
          </w:p>
        </w:tc>
        <w:tc>
          <w:tcPr>
            <w:tcW w:w="102" w:type="dxa"/>
            <w:tcBorders/>
            <w:shd w:fill="FFFFFF" w:val="clear"/>
            <w:tcMar>
              <w:bottom w:w="0" w:type="dxa"/>
            </w:tcMar>
            <w:vAlign w:val="bottom"/>
          </w:tcPr>
          <w:p>
            <w:pPr>
              <w:pStyle w:val="TableContents"/>
              <w:spacing w:before="0" w:after="283"/>
              <w:rPr/>
            </w:pPr>
            <w:r>
              <w:rPr/>
              <w:t xml:space="preserve">  </w:t>
            </w:r>
          </w:p>
        </w:tc>
        <w:tc>
          <w:tcPr>
            <w:tcW w:w="92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76</w:t>
            </w:r>
          </w:p>
        </w:tc>
        <w:tc>
          <w:tcPr>
            <w:tcW w:w="102" w:type="dxa"/>
            <w:tcBorders/>
            <w:shd w:fill="FFFFFF" w:val="clear"/>
            <w:tcMar>
              <w:bottom w:w="0" w:type="dxa"/>
            </w:tcMar>
          </w:tcPr>
          <w:p>
            <w:pPr>
              <w:pStyle w:val="TableContents"/>
              <w:spacing w:before="0" w:after="283"/>
              <w:rPr/>
            </w:pPr>
            <w:r>
              <w:rPr/>
              <w:t xml:space="preserve">  </w:t>
            </w:r>
          </w:p>
        </w:tc>
        <w:tc>
          <w:tcPr>
            <w:tcW w:w="484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422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J. Underdown, PhD.</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72</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48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Mr. Gregory A. Bonfiglio served as a member of VistaGen California’s Board of Directors beginning in February 2007 and as a member of our Board from shortly following the Merger through January 6, 2013, when he resigned to pursue his venture capital duties on a full-time basis.  The following is a brief summary of the background of each of our current executive officers and directors, including their principal occupation during the five preceding years. All directors serve until their successors are elected and qualified.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6" w:name="PGBRK113"/>
      <w:bookmarkStart w:id="1137" w:name="PGBRK113"/>
      <w:bookmarkEnd w:id="1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8" w:name="FTR113"/>
      <w:bookmarkStart w:id="1139" w:name="FTR113"/>
      <w:bookmarkEnd w:id="1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40" w:name="GLFTR113"/>
      <w:bookmarkEnd w:id="1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1" w:name="PN113"/>
      <w:bookmarkEnd w:id="1141"/>
      <w:r>
        <w:rPr>
          <w:rFonts w:ascii="Times New Roman" w:hAnsi="Times New Roman"/>
          <w:sz w:val="20"/>
        </w:rPr>
        <w:t>-112-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2" w:name="HDR113"/>
      <w:bookmarkStart w:id="1143" w:name="HDR113"/>
      <w:bookmarkEnd w:id="1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44" w:name="GLHDR113"/>
        <w:bookmarkEnd w:id="114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Shawn K. Singh, J.D.</w:t>
      </w:r>
      <w:r>
        <w:rPr>
          <w:rFonts w:ascii="Times New Roman" w:hAnsi="Times New Roman"/>
          <w:sz w:val="20"/>
        </w:rPr>
        <w:t xml:space="preserve"> has over 20 years of experience working with biotechnology, medical device and pharmaceutical companies, both private and public. Mr. Singh became VistaGen California’s Chief Executive Officer in August 2009; he joined VistaGen California’s Board of Directors in 2000.  Upon completion of the Merger in May 2011, Mr. Singh also became Chief Executive Officer and a director of the Company.  Mr. Singh served on VistaGen California’s management team on a part-time basis from late-2003, following VistaGen California’s acquisition of Artemis Neuroscience, of which he was President, to August 2009. From February 2001 to August 2009, Mr. Singh served as Managing Principal of Cato BioVentures, a life science venture capital firm, and as Chief Business Officer and General Counsel of Cato Research, a global contract research organization affiliated with Cato BioVentures. Mr. Singh served as President (part-time) of Echo Therapeutics (Nasdaq: ECTE), from September 2007 to June 2009, and as a director of the company through December 2012, and as Chief Executive Officer (part-time) of Hemodynamic Therapeutics from November 2004 to August 2009. From November 2000 to February 2001, Mr. Singh served as Managing Director of Start-Up Law, a management consulting firm serving early-stage biotechnology companies. Mr. Singh served as Chief Business Officer of SciClone Pharmaceuticals (Nasdaq: SCLN) from November 1993 to November 2000 and as a corporate finance associate of Morrison &amp; Foerster LLP, an international law firm, from May 1991 to November 1993. Mr. Singh also currently serves as a member of the Board of Directors of Armour Therapeutics, a privately-held company focused on prostate cancer.  Mr. Singh is a member of the State Bar of California.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Mr. Singh possesses substantial expertise in senior leadership roles leading biotechnology, biopharmaceutical and medical device companies from product introduction through commercialization, and that such expertise is extremely valuable to the Board of Directors and the Company as we execute our business plan.  In addition, the Board of Directors values the input provided by Mr. Singh given his extensive legal and venture capital experience working with multiple privately- and publicly-held biotechnology, pharmaceutical and medical device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H. Ralph Snodgrass, Ph.D. </w:t>
      </w:r>
      <w:r>
        <w:rPr>
          <w:rFonts w:ascii="Times New Roman" w:hAnsi="Times New Roman"/>
          <w:sz w:val="20"/>
        </w:rPr>
        <w:t>co-founded VistaGen California in 1998 with Dr. Gordon Keller, and served continuously as VistaGen California’s President, Chief Executive Officer and Director until August 2009, when he became President and Chief Scientific Officer. Upon completion of the Merger in May 2011, Dr. Snodgrass became our President and Chief Scientific Officer. Dr. Snodgrass became a director of the Company in June 2011, shortly following the Merger.  Prior to founding VistaGen California, Dr. Snodgrass was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more than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(BIO), and past member of the International Society Stem Cell Research Industry Committee. Dr. Snodgrass has published more than 80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20 years’ experience in the uses of stem cells as biological tools for drug discovery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Dr. Snodgrass’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the Company and the Board of Directors a unique understanding of the challenges and opportunities associated with pluripotent stem cell biology, as well as credibility in the markets in which we operate.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5" w:name="PGBRK114"/>
      <w:bookmarkStart w:id="1146" w:name="PGBRK114"/>
      <w:bookmarkEnd w:id="1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7" w:name="FTR114"/>
      <w:bookmarkStart w:id="1148" w:name="FTR114"/>
      <w:bookmarkEnd w:id="1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49" w:name="GLFTR114"/>
      <w:bookmarkEnd w:id="1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0" w:name="PN114"/>
      <w:bookmarkEnd w:id="1150"/>
      <w:r>
        <w:rPr>
          <w:rFonts w:ascii="Times New Roman" w:hAnsi="Times New Roman"/>
          <w:sz w:val="20"/>
        </w:rPr>
        <w:t>-113-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1" w:name="HDR114"/>
      <w:bookmarkStart w:id="1152" w:name="HDR114"/>
      <w:bookmarkEnd w:id="1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53" w:name="GLHDR114"/>
        <w:bookmarkEnd w:id="11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Jerrold D. Dotson, CPA</w:t>
      </w:r>
      <w:r>
        <w:rPr>
          <w:rFonts w:ascii="Times New Roman" w:hAnsi="Times New Roman"/>
          <w:sz w:val="20"/>
        </w:rPr>
        <w:t xml:space="preserve"> has served as VistaGen’s Chief Financial Officer since September 2011; he became a VistaGen employee in September 2012.  Prior to joining VistaGen on a consulting basis in September 2011,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Jon S. Saxe, J.D. </w:t>
      </w:r>
      <w:r>
        <w:rPr>
          <w:rFonts w:ascii="Times New Roman" w:hAnsi="Times New Roman"/>
          <w:sz w:val="20"/>
        </w:rPr>
        <w:t>served as the Chairman of VistaGen California’s Board of Directors from 2000 until the Merger. He also served as the Chairman of VistaGen California’s Audit Committee. Upon completion of the Merger, Mr. Saxe became a director and Chairman of the Company and retained his role as Chairman of the Audit Committee.  He is the retired President and was a director of PDL BioPharma. From 1989 to 1993, he was President, Chief Executive Officer and a director of Synergen, Inc. (acquired by Amgen). Mr. Saxe served as Vice President, Licensing &amp; Corporate Development for Hoffmann-LaRoche from 1984 through 1989, and Head of Patent Law from 1978 through 1989. Mr. Saxe currently is a director of SciClone Pharmaceuticals, Inc. (Nasdaq: SCLN) and Durect Corporation (Nasdaq: DRRX), and private biotechnology, medical device and pharmaceutical companies.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Mr. Saxe’s years of experience as a senior executive with major biopharmaceutical and biotechnology companies, including Protein Design Labs, Inc., Synergen, Inc. and Hoffmann-Roche, Inc. as well as his experience serving as a director of numerous private and public biotechnology and pharmaceutical companies, serving as Chairman, and Chair and member of audit, compensation and governance committees of both private and public companies, provides the Company and the Board of Directors with highly valuable insight and perspective into the biotechnology and pharmaceutical industries, as well as the strategic opportunities and challenges that we face.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Brian J. Underdown, Ph.D. </w:t>
      </w:r>
      <w:r>
        <w:rPr>
          <w:rFonts w:ascii="Times New Roman" w:hAnsi="Times New Roman"/>
          <w:sz w:val="20"/>
        </w:rPr>
        <w:t>joined VistaGen California’s Board of Directors in November 2009 and became a director of the Company shortly following the completion of the Merger, in June 2011.  Since September 1997, Dr. Underdown  is a Managing Director of Lumira Capital Corp.,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 has served on the Board of a number of biologics companies including: ID Biomedical (acquired by GSK), Trillium Therapeutics (merged with Stem Cell Therapeutics), and Ception Therapeutics (acquired by Cephalon/Teva).  Dr. Underdown’s current board positions include: Argos Therapeutics, Ontario Genomics Institute (Chair) and the McMaster Innovation Park.  He has served on a number of Boards and advisory bodies of government sponsored research organizations including CANVAC, the Canadian National Centre of Excellence in Vaccines and Allergen, the Canadian National Centre of Excellence in Allergy and Asthma. Dr. Underdown obtained his Ph.D. in immunology from McGill University and undertook post-doctoral studies at Washington University School of Medicine.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Dr. Underdown’s extensive background working in the biotechnology and pharmaceutical industries, as a director of numerous private and public companies, as well as his venture capital experience funding and advising start-up and established companies focused on therapeutics, provides the Company and its Board of Directors with an in-depth understanding of the myriad of issues facing the Company, from funding development to executing its business plan.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4" w:name="PGBRK115"/>
      <w:bookmarkStart w:id="1155" w:name="PGBRK115"/>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6" w:name="FTR115"/>
      <w:bookmarkStart w:id="1157" w:name="FTR115"/>
      <w:bookmarkEnd w:id="1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58" w:name="GLFTR115"/>
      <w:bookmarkEnd w:id="1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9" w:name="PN115"/>
      <w:bookmarkEnd w:id="1159"/>
      <w:r>
        <w:rPr>
          <w:rFonts w:ascii="Times New Roman" w:hAnsi="Times New Roman"/>
          <w:sz w:val="20"/>
        </w:rPr>
        <w:t>-114-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0" w:name="HDR115"/>
      <w:bookmarkStart w:id="1161" w:name="HDR115"/>
      <w:bookmarkEnd w:id="1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62" w:name="GLHDR115"/>
        <w:bookmarkEnd w:id="11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Each of our executive officers is elected by, and serves at the discretion of, the Board of Directors. Each of our executive officers devotes his full time to our affairs.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Family Relationships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not aware of any family relationships between any of our directors or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Board Composition and Committees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is currently composed of four members, Jon S. Saxe, Chairman, Shawn K. Singh, H. Ralph Snodgrass, Ph.D., and Brian J. Underdown, Ph.D.  All actions of the Board of Directors require the approval of a majority of the directors in attendance at a meeting at which a quorum is present. We currently have standing Audit, Compensation and Corporate Governance and Nominating Committees.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Audit Committee</w:t>
      </w:r>
    </w:p>
    <w:p>
      <w:pPr>
        <w:pStyle w:val="TextBody"/>
        <w:spacing w:before="0" w:after="0"/>
        <w:ind w:left="0" w:right="0" w:hanging="0"/>
        <w:rPr/>
      </w:pPr>
      <w:r>
        <w:rPr/>
      </w:r>
    </w:p>
    <w:p>
      <w:pPr>
        <w:pStyle w:val="TextBody"/>
        <w:spacing w:before="0" w:after="0"/>
        <w:ind w:left="0" w:right="155" w:hanging="0"/>
        <w:jc w:val="both"/>
        <w:rPr>
          <w:rFonts w:ascii="Times New Roman" w:hAnsi="Times New Roman"/>
          <w:sz w:val="20"/>
        </w:rPr>
      </w:pPr>
      <w:r>
        <w:rPr>
          <w:rFonts w:ascii="Times New Roman" w:hAnsi="Times New Roman"/>
          <w:sz w:val="20"/>
        </w:rPr>
        <w:t>The Audit Committee was established by the Board to oversee our accounting and financial reporting processes and the audits of our financial statements. In meeting this objective, the Audit Committee evaluates the performance of and assesses the qualifications and independence of our independent registered public accounting firm. The Committee also approves the engagement of our independent registered public accounting firm and determines whether to retain or terminate their services or to appoint and engage a new independent registered public accounting firm. The Committee reviews and approves the retention of the independent registered public accounting firm to perform any proposed permissible non-audit services and confers with management and our independent registered public accounting firm regarding the effectiveness of internal controls over financial reporting.  The Committee reviews the financial statements to be included in our Annual Report on Form 10-K and in our Quarterly Reports on Form 10-Q and discusses with management and our independent registered public accounting firm the results of the annual audit. Currently, our three independent directors (as independence is currently defined in Rule 10A-3(b)(1) under the Securities Exchange Act of 1934, as amended (the “</w:t>
      </w:r>
      <w:r>
        <w:rPr>
          <w:rFonts w:ascii="Times New Roman" w:hAnsi="Times New Roman"/>
          <w:i/>
          <w:sz w:val="20"/>
        </w:rPr>
        <w:t>Exchange</w:t>
      </w:r>
      <w:r>
        <w:rPr>
          <w:rFonts w:ascii="Times New Roman" w:hAnsi="Times New Roman"/>
          <w:sz w:val="20"/>
        </w:rPr>
        <w:t> </w:t>
      </w:r>
      <w:r>
        <w:rPr>
          <w:rFonts w:ascii="Times New Roman" w:hAnsi="Times New Roman"/>
          <w:i/>
          <w:sz w:val="20"/>
        </w:rPr>
        <w:t>Act</w:t>
      </w:r>
      <w:r>
        <w:rPr>
          <w:rFonts w:ascii="Times New Roman" w:hAnsi="Times New Roman"/>
          <w:sz w:val="20"/>
        </w:rPr>
        <w:t>”), Mr. Saxe (Chairman)  and Dr. Underdown comprise the Audit Committee. The Audit Committee is governed by a written charter. Our Board of Directors has made a determination that Mr. Saxe is an audit committee financial expert. </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Compensation Committee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of the Board reviews and recommends to the Board our overall compensation strategy and policies.  The Compensation Committee reviews and recommends to the Board corporate performance goals and objectives relevant to the compensation of our executive officers and other senior management; reviews and recommends to the Board the compensation and other terms of employment of our Chief Executive Officer and other executive officers; and oversees the administration of our incentive and equity-based compensation plans and other similar programs. Dr. Underdown (Chairman) and Mr. Saxe currently comprise the Compensation Committee: Both members of our Compensation Committee are independent (as independence is currently defined in Rule 4200(a)(15) of the Nasdaq listing standards). The Compensation Committee is governed by a written charter.</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Corporate Governance and Nominating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of the Board is primarily responsible for identifying, and recommending candidates to serve as directors (consistent with criteria approved by the Board), recommending to the Board candidates for election and reelection to the Board, making recommendations to the Board regarding the size and composition of the Board and its committees; assessing the performance of the Board and its committees and overseeing compliance with our corporate governance guidelines.  Dr. Underdown (Chairman), and Mr. Saxe currently comprise the Corporate Governance and Nominating Committee.  All current members of the Nominating and Corporate Governance Committee are independent (as independence is currently defined in Rule 4200(a)(15) of the Nasdaq listing standards). The Nominating and Corporate Governance Committee is governed by a written charter.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3" w:name="PGBRK116"/>
      <w:bookmarkStart w:id="1164" w:name="PGBRK116"/>
      <w:bookmarkEnd w:id="1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5" w:name="FTR116"/>
      <w:bookmarkStart w:id="1166" w:name="FTR116"/>
      <w:bookmarkEnd w:id="1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67" w:name="GLFTR116"/>
      <w:bookmarkEnd w:id="1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8" w:name="PN116"/>
      <w:bookmarkEnd w:id="1168"/>
      <w:r>
        <w:rPr>
          <w:rFonts w:ascii="Times New Roman" w:hAnsi="Times New Roman"/>
          <w:sz w:val="20"/>
        </w:rPr>
        <w:t>-115-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9" w:name="HDR116"/>
      <w:bookmarkStart w:id="1170" w:name="HDR116"/>
      <w:bookmarkEnd w:id="1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71" w:name="GLHDR116"/>
        <w:bookmarkEnd w:id="11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384 Oyster Point Boulevard, No. 8,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Committee’s process for identification and evaluation of director candidates is generally as follows:</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306"/>
        <w:gridCol w:w="9899"/>
      </w:tblGrid>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(a) 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rPr/>
            </w:pPr>
            <w:r>
              <w:rPr/>
              <w:t> </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(b) 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rPr/>
            </w:pPr>
            <w:r>
              <w:rPr/>
              <w:t> </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(c) 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2" w:name="PGBRK117"/>
      <w:bookmarkStart w:id="1173" w:name="PGBRK117"/>
      <w:bookmarkEnd w:id="1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4" w:name="FTR117"/>
      <w:bookmarkStart w:id="1175" w:name="FTR117"/>
      <w:bookmarkEnd w:id="1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6" w:name="GLFTR117"/>
      <w:bookmarkEnd w:id="1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7" w:name="PN117"/>
      <w:bookmarkEnd w:id="1177"/>
      <w:r>
        <w:rPr>
          <w:rFonts w:ascii="Times New Roman" w:hAnsi="Times New Roman"/>
          <w:sz w:val="20"/>
        </w:rPr>
        <w:t>-116-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8" w:name="HDR117"/>
      <w:bookmarkStart w:id="1179" w:name="HDR117"/>
      <w:bookmarkEnd w:id="1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80" w:name="GLHDR117"/>
        <w:bookmarkEnd w:id="118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305"/>
        <w:gridCol w:w="9900"/>
      </w:tblGrid>
      <w:tr>
        <w:trPr/>
        <w:tc>
          <w:tcPr>
            <w:tcW w:w="305" w:type="dxa"/>
            <w:tcBorders/>
            <w:shd w:fill="FFFFFF" w:val="clear"/>
            <w:vAlign w:val="center"/>
          </w:tcPr>
          <w:p>
            <w:pPr>
              <w:pStyle w:val="TableContents"/>
              <w:spacing w:before="0" w:after="283"/>
              <w:rPr/>
            </w:pPr>
            <w:r>
              <w:rPr/>
              <w:t> </w:t>
            </w:r>
          </w:p>
        </w:tc>
        <w:tc>
          <w:tcPr>
            <w:tcW w:w="9900"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(d) 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tc>
      </w:tr>
      <w:tr>
        <w:trPr/>
        <w:tc>
          <w:tcPr>
            <w:tcW w:w="305" w:type="dxa"/>
            <w:tcBorders/>
            <w:shd w:fill="FFFFFF" w:val="clear"/>
            <w:vAlign w:val="center"/>
          </w:tcPr>
          <w:p>
            <w:pPr>
              <w:pStyle w:val="TableContents"/>
              <w:spacing w:before="0" w:after="283"/>
              <w:rPr/>
            </w:pPr>
            <w:r>
              <w:rPr/>
              <w:t> </w:t>
            </w:r>
          </w:p>
        </w:tc>
        <w:tc>
          <w:tcPr>
            <w:tcW w:w="9900" w:type="dxa"/>
            <w:tcBorders/>
            <w:shd w:fill="FFFFFF" w:val="clear"/>
            <w:vAlign w:val="center"/>
          </w:tcPr>
          <w:p>
            <w:pPr>
              <w:pStyle w:val="TableContents"/>
              <w:spacing w:before="0" w:after="283"/>
              <w:rPr/>
            </w:pPr>
            <w:r>
              <w:rPr/>
              <w:t> </w:t>
            </w:r>
          </w:p>
        </w:tc>
      </w:tr>
      <w:tr>
        <w:trPr/>
        <w:tc>
          <w:tcPr>
            <w:tcW w:w="305" w:type="dxa"/>
            <w:tcBorders/>
            <w:shd w:fill="FFFFFF" w:val="clear"/>
            <w:vAlign w:val="center"/>
          </w:tcPr>
          <w:p>
            <w:pPr>
              <w:pStyle w:val="TableContents"/>
              <w:spacing w:before="0" w:after="283"/>
              <w:rPr/>
            </w:pPr>
            <w:r>
              <w:rPr/>
              <w:t> </w:t>
            </w:r>
          </w:p>
        </w:tc>
        <w:tc>
          <w:tcPr>
            <w:tcW w:w="9900"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(e) The process by the independent members of the Board for identifying and evaluating nominees for director, including nominees recommended by a stockholder, involves (with or without the assistance of a retained search firm):</w:t>
            </w:r>
          </w:p>
        </w:tc>
      </w:tr>
    </w:tbl>
    <w:p>
      <w:pPr>
        <w:pStyle w:val="TextBody"/>
        <w:spacing w:before="0" w:after="0"/>
        <w:rPr/>
      </w:pPr>
      <w:r>
        <w:rPr/>
        <w:t> </w:t>
      </w:r>
    </w:p>
    <w:p>
      <w:pPr>
        <w:pStyle w:val="Normal"/>
        <w:spacing w:before="0" w:after="0"/>
        <w:rPr>
          <w:sz w:val="4"/>
          <w:szCs w:val="4"/>
        </w:rPr>
      </w:pPr>
      <w:r>
        <w:rPr>
          <w:sz w:val="4"/>
          <w:szCs w:val="4"/>
        </w:rPr>
      </w:r>
      <w:bookmarkStart w:id="1181" w:name="list36"/>
      <w:bookmarkStart w:id="1182" w:name="list36"/>
      <w:bookmarkEnd w:id="1182"/>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compiling names of potentially eligible candidates;</w:t>
            </w:r>
          </w:p>
        </w:tc>
      </w:tr>
    </w:tbl>
    <w:p>
      <w:pPr>
        <w:pStyle w:val="Normal"/>
        <w:spacing w:before="0" w:after="0"/>
        <w:rPr>
          <w:sz w:val="4"/>
          <w:szCs w:val="4"/>
        </w:rPr>
      </w:pPr>
      <w:r>
        <w:rPr>
          <w:sz w:val="4"/>
          <w:szCs w:val="4"/>
        </w:rPr>
      </w:r>
      <w:bookmarkStart w:id="1183" w:name="list37"/>
      <w:bookmarkStart w:id="1184" w:name="list37"/>
      <w:bookmarkEnd w:id="1184"/>
    </w:p>
    <w:tbl>
      <w:tblPr>
        <w:tblW w:w="5000" w:type="pct"/>
        <w:jc w:val="left"/>
        <w:tblInd w:w="0" w:type="dxa"/>
        <w:tblCellMar>
          <w:top w:w="0" w:type="dxa"/>
          <w:left w:w="0" w:type="dxa"/>
          <w:bottom w:w="0" w:type="dxa"/>
          <w:right w:w="0" w:type="dxa"/>
        </w:tblCellMar>
      </w:tblPr>
      <w:tblGrid>
        <w:gridCol w:w="289"/>
        <w:gridCol w:w="9916"/>
      </w:tblGrid>
      <w:tr>
        <w:trPr/>
        <w:tc>
          <w:tcPr>
            <w:tcW w:w="28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conducting background and reference checks;</w:t>
            </w:r>
          </w:p>
        </w:tc>
      </w:tr>
    </w:tbl>
    <w:p>
      <w:pPr>
        <w:pStyle w:val="Normal"/>
        <w:spacing w:before="0" w:after="0"/>
        <w:rPr>
          <w:sz w:val="4"/>
          <w:szCs w:val="4"/>
        </w:rPr>
      </w:pPr>
      <w:r>
        <w:rPr>
          <w:sz w:val="4"/>
          <w:szCs w:val="4"/>
        </w:rPr>
      </w:r>
      <w:bookmarkStart w:id="1185" w:name="list38"/>
      <w:bookmarkStart w:id="1186" w:name="list38"/>
      <w:bookmarkEnd w:id="1186"/>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conducting interviews with candidates and/or others;</w:t>
            </w:r>
          </w:p>
        </w:tc>
      </w:tr>
    </w:tbl>
    <w:p>
      <w:pPr>
        <w:pStyle w:val="Normal"/>
        <w:spacing w:before="0" w:after="0"/>
        <w:rPr>
          <w:sz w:val="4"/>
          <w:szCs w:val="4"/>
        </w:rPr>
      </w:pPr>
      <w:r>
        <w:rPr>
          <w:sz w:val="4"/>
          <w:szCs w:val="4"/>
        </w:rPr>
      </w:r>
      <w:bookmarkStart w:id="1187" w:name="list39"/>
      <w:bookmarkStart w:id="1188" w:name="list39"/>
      <w:bookmarkEnd w:id="1188"/>
    </w:p>
    <w:tbl>
      <w:tblPr>
        <w:tblW w:w="5000" w:type="pct"/>
        <w:jc w:val="left"/>
        <w:tblInd w:w="0" w:type="dxa"/>
        <w:tblCellMar>
          <w:top w:w="0" w:type="dxa"/>
          <w:left w:w="0" w:type="dxa"/>
          <w:bottom w:w="0" w:type="dxa"/>
          <w:right w:w="0" w:type="dxa"/>
        </w:tblCellMar>
      </w:tblPr>
      <w:tblGrid>
        <w:gridCol w:w="192"/>
        <w:gridCol w:w="10013"/>
      </w:tblGrid>
      <w:tr>
        <w:trPr/>
        <w:tc>
          <w:tcPr>
            <w:tcW w:w="192"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meeting to consider and approve final candidates; and, as appropriate,</w:t>
            </w:r>
          </w:p>
        </w:tc>
      </w:tr>
    </w:tbl>
    <w:p>
      <w:pPr>
        <w:pStyle w:val="Normal"/>
        <w:spacing w:before="0" w:after="0"/>
        <w:rPr>
          <w:sz w:val="4"/>
          <w:szCs w:val="4"/>
        </w:rPr>
      </w:pPr>
      <w:r>
        <w:rPr>
          <w:sz w:val="4"/>
          <w:szCs w:val="4"/>
        </w:rPr>
      </w:r>
      <w:bookmarkStart w:id="1189" w:name="list40"/>
      <w:bookmarkStart w:id="1190" w:name="list40"/>
      <w:bookmarkEnd w:id="1190"/>
    </w:p>
    <w:tbl>
      <w:tblPr>
        <w:tblW w:w="5000" w:type="pct"/>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100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preparing and presenting to the full Board an analysis with regard to particular recommended candidates.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303"/>
        <w:gridCol w:w="9902"/>
      </w:tblGrid>
      <w:tr>
        <w:trPr/>
        <w:tc>
          <w:tcPr>
            <w:tcW w:w="303" w:type="dxa"/>
            <w:tcBorders/>
            <w:shd w:fill="FFFFFF" w:val="clear"/>
            <w:vAlign w:val="center"/>
          </w:tcPr>
          <w:p>
            <w:pPr>
              <w:pStyle w:val="TableContents"/>
              <w:spacing w:before="0" w:after="283"/>
              <w:rPr/>
            </w:pPr>
            <w:r>
              <w:rPr/>
              <w:t> </w:t>
            </w:r>
          </w:p>
        </w:tc>
        <w:tc>
          <w:tcPr>
            <w:tcW w:w="9902"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(f) In considering potential new directors, the independent members of the Board will review individuals from various disciplines and backgrounds. Among the qualifications to be considered in the selection of candidates are:</w:t>
            </w:r>
          </w:p>
        </w:tc>
      </w:tr>
    </w:tbl>
    <w:p>
      <w:pPr>
        <w:pStyle w:val="TextBody"/>
        <w:spacing w:before="0" w:after="0"/>
        <w:rPr/>
      </w:pPr>
      <w:r>
        <w:rPr/>
        <w:t> </w:t>
      </w:r>
    </w:p>
    <w:p>
      <w:pPr>
        <w:pStyle w:val="Normal"/>
        <w:spacing w:before="0" w:after="0"/>
        <w:rPr>
          <w:sz w:val="4"/>
          <w:szCs w:val="4"/>
        </w:rPr>
      </w:pPr>
      <w:r>
        <w:rPr>
          <w:sz w:val="4"/>
          <w:szCs w:val="4"/>
        </w:rPr>
      </w:r>
      <w:bookmarkStart w:id="1191" w:name="list41"/>
      <w:bookmarkStart w:id="1192" w:name="list41"/>
      <w:bookmarkEnd w:id="1192"/>
    </w:p>
    <w:tbl>
      <w:tblPr>
        <w:tblW w:w="5000" w:type="pct"/>
        <w:jc w:val="left"/>
        <w:tblInd w:w="0" w:type="dxa"/>
        <w:tblCellMar>
          <w:top w:w="0" w:type="dxa"/>
          <w:left w:w="0" w:type="dxa"/>
          <w:bottom w:w="0" w:type="dxa"/>
          <w:right w:w="0" w:type="dxa"/>
        </w:tblCellMar>
      </w:tblPr>
      <w:tblGrid>
        <w:gridCol w:w="371"/>
        <w:gridCol w:w="9834"/>
      </w:tblGrid>
      <w:tr>
        <w:trPr/>
        <w:tc>
          <w:tcPr>
            <w:tcW w:w="371"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8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personal and professional integrity;</w:t>
            </w:r>
          </w:p>
        </w:tc>
      </w:tr>
    </w:tbl>
    <w:p>
      <w:pPr>
        <w:pStyle w:val="Normal"/>
        <w:spacing w:before="0" w:after="0"/>
        <w:rPr>
          <w:sz w:val="4"/>
          <w:szCs w:val="4"/>
        </w:rPr>
      </w:pPr>
      <w:r>
        <w:rPr>
          <w:sz w:val="4"/>
          <w:szCs w:val="4"/>
        </w:rPr>
      </w:r>
      <w:bookmarkStart w:id="1193" w:name="list42"/>
      <w:bookmarkStart w:id="1194" w:name="list42"/>
      <w:bookmarkEnd w:id="1194"/>
    </w:p>
    <w:tbl>
      <w:tblPr>
        <w:tblW w:w="5000" w:type="pct"/>
        <w:jc w:val="left"/>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9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broad experience in business, finance or administration;</w:t>
            </w:r>
          </w:p>
        </w:tc>
      </w:tr>
    </w:tbl>
    <w:p>
      <w:pPr>
        <w:pStyle w:val="Normal"/>
        <w:spacing w:before="0" w:after="0"/>
        <w:rPr>
          <w:sz w:val="4"/>
          <w:szCs w:val="4"/>
        </w:rPr>
      </w:pPr>
      <w:r>
        <w:rPr>
          <w:sz w:val="4"/>
          <w:szCs w:val="4"/>
        </w:rPr>
      </w:r>
      <w:bookmarkStart w:id="1195" w:name="list43"/>
      <w:bookmarkStart w:id="1196" w:name="list43"/>
      <w:bookmarkEnd w:id="1196"/>
    </w:p>
    <w:tbl>
      <w:tblPr>
        <w:tblW w:w="5000" w:type="pct"/>
        <w:jc w:val="left"/>
        <w:tblInd w:w="0" w:type="dxa"/>
        <w:tblCellMar>
          <w:top w:w="0" w:type="dxa"/>
          <w:left w:w="0" w:type="dxa"/>
          <w:bottom w:w="0" w:type="dxa"/>
          <w:right w:w="0" w:type="dxa"/>
        </w:tblCellMar>
      </w:tblPr>
      <w:tblGrid>
        <w:gridCol w:w="394"/>
        <w:gridCol w:w="9811"/>
      </w:tblGrid>
      <w:tr>
        <w:trPr/>
        <w:tc>
          <w:tcPr>
            <w:tcW w:w="394"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8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familiarity with our industry; and</w:t>
            </w:r>
          </w:p>
        </w:tc>
      </w:tr>
    </w:tbl>
    <w:p>
      <w:pPr>
        <w:pStyle w:val="Normal"/>
        <w:spacing w:before="0" w:after="0"/>
        <w:rPr>
          <w:sz w:val="4"/>
          <w:szCs w:val="4"/>
        </w:rPr>
      </w:pPr>
      <w:r>
        <w:rPr>
          <w:sz w:val="4"/>
          <w:szCs w:val="4"/>
        </w:rPr>
      </w:r>
      <w:bookmarkStart w:id="1197" w:name="list44"/>
      <w:bookmarkStart w:id="1198" w:name="list44"/>
      <w:bookmarkEnd w:id="1198"/>
    </w:p>
    <w:tbl>
      <w:tblPr>
        <w:tblW w:w="5000" w:type="pct"/>
        <w:jc w:val="left"/>
        <w:tblInd w:w="0" w:type="dxa"/>
        <w:tblCellMar>
          <w:top w:w="0" w:type="dxa"/>
          <w:left w:w="0" w:type="dxa"/>
          <w:bottom w:w="0" w:type="dxa"/>
          <w:right w:w="0" w:type="dxa"/>
        </w:tblCellMar>
      </w:tblPr>
      <w:tblGrid>
        <w:gridCol w:w="471"/>
        <w:gridCol w:w="9734"/>
      </w:tblGrid>
      <w:tr>
        <w:trPr/>
        <w:tc>
          <w:tcPr>
            <w:tcW w:w="471" w:type="dxa"/>
            <w:tcBorders/>
            <w:shd w:fill="auto" w:val="clear"/>
          </w:tcPr>
          <w:p>
            <w:pPr>
              <w:pStyle w:val="TableContents"/>
              <w:spacing w:before="0" w:after="0"/>
              <w:jc w:val="center"/>
              <w:rPr>
                <w:rFonts w:ascii="Symbol;serif" w:hAnsi="Symbol;serif"/>
                <w:sz w:val="20"/>
              </w:rPr>
            </w:pPr>
            <w:r>
              <w:rPr>
                <w:rFonts w:ascii="Symbol;serif" w:hAnsi="Symbol;serif"/>
                <w:sz w:val="20"/>
              </w:rPr>
              <w:t>·</w:t>
            </w:r>
          </w:p>
        </w:tc>
        <w:tc>
          <w:tcPr>
            <w:tcW w:w="97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prominence and reputation.</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Board Attendance at Board of Directors, Committee and Stockholder Meetings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met four times and acted by unanimous written consent ten times during the fiscal year ended March 31, 2013.  Our Audit Committee met four times and our Compensation Committee requested action by the entire Board of Directors for grants of options and warrants and the modification of certain options on three occasions during the same period.  No director serving during fiscal 2013 attended fewer than 75% of the aggregate of all meetings of the Board and the committees of the Board upon which such director served.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 formal policy regarding attendance by members of the Board at our annual meeting of stockholders, but directors are encouraged to attend. We did not hold an annual meeting of stockholders during our fiscal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Code of Ethics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adopted a Code of Ethics applicable to our directors, officers and all employees.  The Code of Ethics is available on our website at </w:t>
      </w:r>
      <w:r>
        <w:rPr>
          <w:rFonts w:ascii="Times New Roman" w:hAnsi="Times New Roman"/>
          <w:sz w:val="20"/>
          <w:u w:val="single"/>
        </w:rPr>
        <w:t>www.vistagen.com</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Compensation Committee Interlocks and Insider Participation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99" w:name="PGBRK118"/>
      <w:bookmarkStart w:id="1200" w:name="PGBRK118"/>
      <w:bookmarkEnd w:id="1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1" w:name="FTR118"/>
      <w:bookmarkStart w:id="1202" w:name="FTR118"/>
      <w:bookmarkEnd w:id="1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03" w:name="GLFTR118"/>
      <w:bookmarkEnd w:id="1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4" w:name="PN118"/>
      <w:bookmarkEnd w:id="1204"/>
      <w:r>
        <w:rPr>
          <w:rFonts w:ascii="Times New Roman" w:hAnsi="Times New Roman"/>
          <w:sz w:val="20"/>
        </w:rPr>
        <w:t>-117-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5" w:name="HDR118"/>
      <w:bookmarkStart w:id="1206" w:name="HDR118"/>
      <w:bookmarkEnd w:id="1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07" w:name="GLHDR118"/>
        <w:bookmarkEnd w:id="12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Section 16 Beneficial Ownership Reporting Compliance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Exchange Act requires our officers, directors and persons who beneficially own more than ten percent of our common stock (collectively, “</w:t>
      </w:r>
      <w:r>
        <w:rPr>
          <w:rFonts w:ascii="Times New Roman" w:hAnsi="Times New Roman"/>
          <w:i/>
          <w:sz w:val="20"/>
        </w:rPr>
        <w:t>Reporting Persons</w:t>
      </w:r>
      <w:r>
        <w:rPr>
          <w:rFonts w:ascii="Times New Roman" w:hAnsi="Times New Roman"/>
          <w:sz w:val="20"/>
        </w:rPr>
        <w:t>”) to file reports of ownership on Form 3 and changes in ownership on Form 4 or Form 5 with the Commission.  The Reporting Persons are also required by SEC rules to furnish us with copies of all reports that they file pursuant to Section 16(a).  Except as described below, we believe that during our fiscal year ended March 31, 2013, all of the Reporting Persons complied with all applicable reporting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3, 2013, Mr. Saxe was granted a warrant to purchase 150,000 restricted shares of our common stock at an exercise price of $0.64 per share, but did not report this acquisition of derivative securities until March 6,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208" w:name="it11j"/>
      <w:bookmarkEnd w:id="1208"/>
      <w:r>
        <w:rPr>
          <w:rFonts w:ascii="Times New Roman" w:hAnsi="Times New Roman"/>
          <w:b/>
          <w:sz w:val="20"/>
        </w:rPr>
        <w:t>Item 11.  Executive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Compensation Objectives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The Compensation Committee seeks to tie individual goals to the area of the executive officer’s primary responsibility. These goals may include the achievement of specific financial or business development goals. The Compensation Committee seeks to set performance goals that reach across all business areas and include achievements in finance/business development and corporate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have no formal policy for a specific allocation between current and long-term compensation, or cash and non-cash compensation, we have established a pay mix for our officers with a relatively equal balance of both, providing a competitive salary with a significant portion of compensation awarded on both corporate and personal performance.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Compensation Components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compensation consists primarily of three elements: base salary, annual bonus and long-term equity incentives. We describe each element of compensation in more detail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Base Salary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9" w:name="PGBRK119"/>
      <w:bookmarkStart w:id="1210" w:name="PGBRK119"/>
      <w:bookmarkEnd w:id="1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1" w:name="FTR119"/>
      <w:bookmarkStart w:id="1212" w:name="FTR119"/>
      <w:bookmarkEnd w:id="1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13" w:name="GLFTR119"/>
      <w:bookmarkEnd w:id="12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14" w:name="PN119"/>
      <w:bookmarkEnd w:id="1214"/>
      <w:r>
        <w:rPr>
          <w:rFonts w:ascii="Times New Roman" w:hAnsi="Times New Roman"/>
          <w:sz w:val="20"/>
        </w:rPr>
        <w:t>-118-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5" w:name="HDR119"/>
      <w:bookmarkStart w:id="1216" w:name="HDR119"/>
      <w:bookmarkEnd w:id="1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17" w:name="GLHDR119"/>
        <w:bookmarkEnd w:id="121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Annual Bonus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did not seek, and our  Compensation Committee did not award, cash bonuses to executive officers during fiscal 2012 or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Long-Term Equity Incentives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 based compensation granted under our stock option plans.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i/>
          <w:sz w:val="20"/>
        </w:rPr>
        <w:t>Summary Compensation Table</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summary information concerning certain compensation awarded, paid to, or earned by the Named Executive Officers (“</w:t>
      </w:r>
      <w:r>
        <w:rPr>
          <w:rFonts w:ascii="Times New Roman" w:hAnsi="Times New Roman"/>
          <w:i/>
          <w:sz w:val="20"/>
        </w:rPr>
        <w:t>NEOs</w:t>
      </w:r>
      <w:r>
        <w:rPr>
          <w:rFonts w:ascii="Times New Roman" w:hAnsi="Times New Roman"/>
          <w:sz w:val="20"/>
        </w:rPr>
        <w:t>”) for all services rendered in all capacities to us for the fiscal years ended March 31, 2013 and March 31, 201</w:t>
      </w:r>
      <w:bookmarkStart w:id="1218" w:name="FIS_COMPENSATION_TABLE"/>
      <w:bookmarkEnd w:id="1218"/>
      <w:r>
        <w:rPr>
          <w:rFonts w:ascii="Times New Roman" w:hAnsi="Times New Roman"/>
          <w:sz w:val="20"/>
        </w:rPr>
        <w:t>2.</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1856"/>
        <w:gridCol w:w="1329"/>
        <w:gridCol w:w="93"/>
        <w:gridCol w:w="93"/>
        <w:gridCol w:w="973"/>
        <w:gridCol w:w="93"/>
        <w:gridCol w:w="93"/>
        <w:gridCol w:w="264"/>
        <w:gridCol w:w="686"/>
        <w:gridCol w:w="93"/>
        <w:gridCol w:w="93"/>
        <w:gridCol w:w="98"/>
        <w:gridCol w:w="1041"/>
        <w:gridCol w:w="292"/>
        <w:gridCol w:w="93"/>
        <w:gridCol w:w="126"/>
        <w:gridCol w:w="1356"/>
        <w:gridCol w:w="380"/>
        <w:gridCol w:w="93"/>
        <w:gridCol w:w="93"/>
        <w:gridCol w:w="882"/>
        <w:gridCol w:w="85"/>
      </w:tblGrid>
      <w:tr>
        <w:trPr/>
        <w:tc>
          <w:tcPr>
            <w:tcW w:w="1856" w:type="dxa"/>
            <w:tcBorders>
              <w:bottom w:val="single" w:sz="12"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 and Principal Position</w:t>
            </w:r>
          </w:p>
        </w:tc>
        <w:tc>
          <w:tcPr>
            <w:tcW w:w="1329" w:type="dxa"/>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Fiscal</w:t>
            </w:r>
          </w:p>
          <w:p>
            <w:pPr>
              <w:pStyle w:val="TableContents"/>
              <w:spacing w:before="0" w:after="0"/>
              <w:ind w:left="0" w:right="72" w:hanging="0"/>
              <w:jc w:val="center"/>
              <w:rPr>
                <w:rFonts w:ascii="times new roman" w:hAnsi="times new roman"/>
                <w:b/>
                <w:sz w:val="20"/>
              </w:rPr>
            </w:pPr>
            <w:r>
              <w:rPr>
                <w:rFonts w:ascii="times new roman" w:hAnsi="times new roman"/>
                <w:b/>
                <w:sz w:val="20"/>
              </w:rPr>
              <w:t>Year</w:t>
            </w:r>
          </w:p>
        </w:tc>
        <w:tc>
          <w:tcPr>
            <w:tcW w:w="93" w:type="dxa"/>
            <w:tcBorders/>
            <w:shd w:fill="auto" w:val="clear"/>
            <w:tcMar>
              <w:bottom w:w="0" w:type="dxa"/>
            </w:tcMar>
            <w:vAlign w:val="bottom"/>
          </w:tcPr>
          <w:p>
            <w:pPr>
              <w:pStyle w:val="TableContents"/>
              <w:spacing w:before="0" w:after="283"/>
              <w:jc w:val="right"/>
              <w:rPr/>
            </w:pPr>
            <w:r>
              <w:rPr/>
              <w:t> </w:t>
            </w:r>
          </w:p>
        </w:tc>
        <w:tc>
          <w:tcPr>
            <w:tcW w:w="1066" w:type="dxa"/>
            <w:gridSpan w:val="2"/>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72" w:hanging="0"/>
              <w:jc w:val="center"/>
              <w:rPr>
                <w:rFonts w:ascii="times new roman" w:hAnsi="times new roman"/>
                <w:b/>
                <w:sz w:val="20"/>
              </w:rPr>
            </w:pPr>
            <w:r>
              <w:rPr>
                <w:rFonts w:ascii="times new roman" w:hAnsi="times new roman"/>
                <w:b/>
                <w:sz w:val="20"/>
              </w:rPr>
              <w:t>($)</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950" w:type="dxa"/>
            <w:gridSpan w:val="2"/>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72" w:hanging="0"/>
              <w:jc w:val="center"/>
              <w:rPr>
                <w:rFonts w:ascii="times new roman" w:hAnsi="times new roman"/>
                <w:b/>
                <w:sz w:val="20"/>
              </w:rPr>
            </w:pPr>
            <w:r>
              <w:rPr>
                <w:rFonts w:ascii="times new roman" w:hAnsi="times new roman"/>
                <w:b/>
                <w:sz w:val="20"/>
              </w:rPr>
              <w:t>($)</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1139" w:type="dxa"/>
            <w:gridSpan w:val="2"/>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Option and Warrant</w:t>
            </w:r>
          </w:p>
          <w:p>
            <w:pPr>
              <w:pStyle w:val="TableContents"/>
              <w:spacing w:before="0" w:after="0"/>
              <w:ind w:left="0" w:right="72" w:hanging="0"/>
              <w:jc w:val="center"/>
              <w:rPr>
                <w:rFonts w:ascii="times new roman" w:hAnsi="times new roman"/>
                <w:b/>
                <w:sz w:val="20"/>
              </w:rPr>
            </w:pPr>
            <w:r>
              <w:rPr>
                <w:rFonts w:ascii="times new roman" w:hAnsi="times new roman"/>
                <w:b/>
                <w:sz w:val="20"/>
              </w:rPr>
              <w:t>Awards (4)</w:t>
            </w:r>
          </w:p>
          <w:p>
            <w:pPr>
              <w:pStyle w:val="TableContents"/>
              <w:spacing w:before="0" w:after="0"/>
              <w:ind w:left="0" w:right="72" w:hanging="0"/>
              <w:jc w:val="center"/>
              <w:rPr>
                <w:rFonts w:ascii="times new roman" w:hAnsi="times new roman"/>
                <w:b/>
                <w:sz w:val="20"/>
              </w:rPr>
            </w:pPr>
            <w:r>
              <w:rPr>
                <w:rFonts w:ascii="times new roman" w:hAnsi="times new roman"/>
                <w:b/>
                <w:sz w:val="20"/>
              </w:rPr>
              <w:t>($)</w:t>
            </w:r>
          </w:p>
        </w:tc>
        <w:tc>
          <w:tcPr>
            <w:tcW w:w="292"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1482" w:type="dxa"/>
            <w:gridSpan w:val="2"/>
            <w:tcBorders>
              <w:bottom w:val="single" w:sz="12" w:space="0" w:color="000000"/>
            </w:tcBorders>
            <w:shd w:fill="auto" w:val="cle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All Other Compensation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w:t>
            </w:r>
          </w:p>
        </w:tc>
        <w:tc>
          <w:tcPr>
            <w:tcW w:w="380"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975" w:type="dxa"/>
            <w:gridSpan w:val="2"/>
            <w:tcBorders>
              <w:bottom w:val="single" w:sz="12" w:space="0" w:color="000000"/>
            </w:tcBorders>
            <w:shd w:fill="auto" w:val="clear"/>
            <w:vAlign w:val="bottom"/>
          </w:tcPr>
          <w:p>
            <w:pPr>
              <w:pStyle w:val="TableContents"/>
              <w:spacing w:before="0" w:after="0"/>
              <w:ind w:left="0" w:right="112"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112" w:hanging="0"/>
              <w:jc w:val="center"/>
              <w:rPr>
                <w:rFonts w:ascii="times new roman" w:hAnsi="times new roman"/>
                <w:b/>
                <w:sz w:val="20"/>
              </w:rPr>
            </w:pPr>
            <w:r>
              <w:rPr>
                <w:rFonts w:ascii="times new roman" w:hAnsi="times new roman"/>
                <w:b/>
                <w:sz w:val="20"/>
              </w:rPr>
              <w:t>($)</w:t>
            </w:r>
          </w:p>
        </w:tc>
        <w:tc>
          <w:tcPr>
            <w:tcW w:w="85" w:type="dxa"/>
            <w:tcBorders/>
            <w:shd w:fill="auto" w:val="clear"/>
            <w:tcMar>
              <w:bottom w:w="0" w:type="dxa"/>
            </w:tcMar>
            <w:vAlign w:val="bottom"/>
          </w:tcPr>
          <w:p>
            <w:pPr>
              <w:pStyle w:val="TableContents"/>
              <w:spacing w:before="0" w:after="283"/>
              <w:jc w:val="left"/>
              <w:rPr/>
            </w:pPr>
            <w:r>
              <w:rPr/>
              <w:t> </w:t>
            </w:r>
          </w:p>
        </w:tc>
      </w:tr>
      <w:tr>
        <w:trPr/>
        <w:tc>
          <w:tcPr>
            <w:tcW w:w="1856" w:type="dxa"/>
            <w:tcBorders/>
            <w:shd w:fill="auto" w:val="clear"/>
            <w:tcMar>
              <w:bottom w:w="0" w:type="dxa"/>
            </w:tcMar>
            <w:vAlign w:val="bottom"/>
          </w:tcPr>
          <w:p>
            <w:pPr>
              <w:pStyle w:val="TableContents"/>
              <w:spacing w:before="0" w:after="283"/>
              <w:jc w:val="left"/>
              <w:rPr/>
            </w:pPr>
            <w:r>
              <w:rPr/>
              <w:t> </w:t>
            </w:r>
          </w:p>
        </w:tc>
        <w:tc>
          <w:tcPr>
            <w:tcW w:w="1329" w:type="dxa"/>
            <w:tcBorders/>
            <w:shd w:fill="auto" w:val="clear"/>
            <w:tcMar>
              <w:bottom w:w="0" w:type="dxa"/>
            </w:tcMar>
            <w:vAlign w:val="bottom"/>
          </w:tcPr>
          <w:p>
            <w:pPr>
              <w:pStyle w:val="TableContents"/>
              <w:spacing w:before="0" w:after="283"/>
              <w:jc w:val="righ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1066" w:type="dxa"/>
            <w:gridSpan w:val="2"/>
            <w:tcBorders/>
            <w:shd w:fill="auto" w:val="clear"/>
            <w:tcMar>
              <w:bottom w:w="0" w:type="dxa"/>
            </w:tcMar>
            <w:vAlign w:val="bottom"/>
          </w:tcPr>
          <w:p>
            <w:pPr>
              <w:pStyle w:val="TableContents"/>
              <w:spacing w:before="0" w:after="283"/>
              <w:jc w:val="right"/>
              <w:rPr/>
            </w:pPr>
            <w:r>
              <w:rPr/>
              <w:t> </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950" w:type="dxa"/>
            <w:gridSpan w:val="2"/>
            <w:tcBorders/>
            <w:shd w:fill="auto" w:val="clear"/>
            <w:tcMar>
              <w:bottom w:w="0" w:type="dxa"/>
            </w:tcMar>
            <w:vAlign w:val="bottom"/>
          </w:tcPr>
          <w:p>
            <w:pPr>
              <w:pStyle w:val="TableContents"/>
              <w:spacing w:before="0" w:after="283"/>
              <w:jc w:val="right"/>
              <w:rPr/>
            </w:pPr>
            <w:r>
              <w:rPr/>
              <w:t> </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1139" w:type="dxa"/>
            <w:gridSpan w:val="2"/>
            <w:tcBorders/>
            <w:shd w:fill="auto" w:val="clear"/>
            <w:tcMar>
              <w:bottom w:w="0" w:type="dxa"/>
            </w:tcMar>
            <w:vAlign w:val="bottom"/>
          </w:tcPr>
          <w:p>
            <w:pPr>
              <w:pStyle w:val="TableContents"/>
              <w:spacing w:before="0" w:after="283"/>
              <w:jc w:val="right"/>
              <w:rPr/>
            </w:pPr>
            <w:r>
              <w:rPr/>
              <w:t> </w:t>
            </w:r>
          </w:p>
        </w:tc>
        <w:tc>
          <w:tcPr>
            <w:tcW w:w="292"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1482" w:type="dxa"/>
            <w:gridSpan w:val="2"/>
            <w:tcBorders/>
            <w:shd w:fill="auto" w:val="clear"/>
            <w:tcMar>
              <w:bottom w:w="0" w:type="dxa"/>
            </w:tcMar>
            <w:vAlign w:val="bottom"/>
          </w:tcPr>
          <w:p>
            <w:pPr>
              <w:pStyle w:val="TableContents"/>
              <w:spacing w:before="0" w:after="283"/>
              <w:jc w:val="right"/>
              <w:rPr/>
            </w:pPr>
            <w:r>
              <w:rPr/>
              <w:t> </w:t>
            </w:r>
          </w:p>
        </w:tc>
        <w:tc>
          <w:tcPr>
            <w:tcW w:w="380"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jc w:val="right"/>
              <w:rPr/>
            </w:pPr>
            <w:r>
              <w:rPr/>
              <w:t> </w:t>
            </w:r>
          </w:p>
        </w:tc>
        <w:tc>
          <w:tcPr>
            <w:tcW w:w="975" w:type="dxa"/>
            <w:gridSpan w:val="2"/>
            <w:tcBorders/>
            <w:shd w:fill="auto" w:val="clear"/>
            <w:tcMar>
              <w:bottom w:w="0" w:type="dxa"/>
            </w:tcMar>
            <w:vAlign w:val="bottom"/>
          </w:tcPr>
          <w:p>
            <w:pPr>
              <w:pStyle w:val="TableContents"/>
              <w:spacing w:before="0" w:after="283"/>
              <w:jc w:val="right"/>
              <w:rPr/>
            </w:pPr>
            <w:r>
              <w:rPr/>
              <w:t> </w:t>
            </w:r>
          </w:p>
        </w:tc>
        <w:tc>
          <w:tcPr>
            <w:tcW w:w="85" w:type="dxa"/>
            <w:tcBorders/>
            <w:shd w:fill="auto" w:val="clear"/>
            <w:tcMar>
              <w:bottom w:w="0" w:type="dxa"/>
            </w:tcMar>
            <w:vAlign w:val="bottom"/>
          </w:tcPr>
          <w:p>
            <w:pPr>
              <w:pStyle w:val="TableContents"/>
              <w:spacing w:before="0" w:after="283"/>
              <w:jc w:val="left"/>
              <w:rPr/>
            </w:pPr>
            <w:r>
              <w:rPr/>
              <w:t> </w:t>
            </w:r>
          </w:p>
        </w:tc>
      </w:tr>
      <w:tr>
        <w:trPr/>
        <w:tc>
          <w:tcPr>
            <w:tcW w:w="185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Shawn K. Singh, J.D.  (1)</w:t>
            </w:r>
          </w:p>
        </w:tc>
        <w:tc>
          <w:tcPr>
            <w:tcW w:w="132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2013</w:t>
            </w:r>
          </w:p>
        </w:tc>
        <w:tc>
          <w:tcPr>
            <w:tcW w:w="9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201,646</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264" w:type="dxa"/>
            <w:tcBorders/>
            <w:shd w:fill="CCEEFF" w:val="clear"/>
            <w:tcMar>
              <w:bottom w:w="0" w:type="dxa"/>
            </w:tcMar>
            <w:vAlign w:val="bottom"/>
          </w:tcPr>
          <w:p>
            <w:pPr>
              <w:pStyle w:val="TableContents"/>
              <w:spacing w:before="0" w:after="283"/>
              <w:jc w:val="left"/>
              <w:rPr/>
            </w:pPr>
            <w:r>
              <w:rPr/>
              <w:t> </w:t>
            </w:r>
          </w:p>
        </w:tc>
        <w:tc>
          <w:tcPr>
            <w:tcW w:w="68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98" w:type="dxa"/>
            <w:tcBorders/>
            <w:shd w:fill="CCEEFF" w:val="clear"/>
            <w:tcMar>
              <w:bottom w:w="0" w:type="dxa"/>
            </w:tcMar>
            <w:vAlign w:val="bottom"/>
          </w:tcPr>
          <w:p>
            <w:pPr>
              <w:pStyle w:val="TableContents"/>
              <w:spacing w:before="0" w:after="283"/>
              <w:jc w:val="left"/>
              <w:rPr/>
            </w:pPr>
            <w:r>
              <w:rPr/>
              <w:t> </w:t>
            </w:r>
          </w:p>
        </w:tc>
        <w:tc>
          <w:tcPr>
            <w:tcW w:w="104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802,411</w:t>
            </w:r>
          </w:p>
        </w:tc>
        <w:tc>
          <w:tcPr>
            <w:tcW w:w="29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93"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80"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8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1,004,057</w:t>
            </w:r>
          </w:p>
        </w:tc>
        <w:tc>
          <w:tcPr>
            <w:tcW w:w="85" w:type="dxa"/>
            <w:tcBorders/>
            <w:shd w:fill="CCEEFF" w:val="clear"/>
            <w:tcMar>
              <w:bottom w:w="0" w:type="dxa"/>
            </w:tcMar>
            <w:vAlign w:val="bottom"/>
          </w:tcPr>
          <w:p>
            <w:pPr>
              <w:pStyle w:val="TableContents"/>
              <w:spacing w:before="0" w:after="283"/>
              <w:jc w:val="left"/>
              <w:rPr/>
            </w:pPr>
            <w:r>
              <w:rPr/>
              <w:t> </w:t>
            </w:r>
          </w:p>
        </w:tc>
      </w:tr>
      <w:tr>
        <w:trPr/>
        <w:tc>
          <w:tcPr>
            <w:tcW w:w="1856"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Chief Executive Officer</w:t>
            </w:r>
          </w:p>
        </w:tc>
        <w:tc>
          <w:tcPr>
            <w:tcW w:w="1329"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292,268</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264" w:type="dxa"/>
            <w:tcBorders/>
            <w:shd w:fill="FFFFFF" w:val="clear"/>
            <w:tcMar>
              <w:bottom w:w="0" w:type="dxa"/>
            </w:tcMar>
            <w:vAlign w:val="bottom"/>
          </w:tcPr>
          <w:p>
            <w:pPr>
              <w:pStyle w:val="TableContents"/>
              <w:spacing w:before="0" w:after="283"/>
              <w:jc w:val="left"/>
              <w:rPr/>
            </w:pPr>
            <w:r>
              <w:rPr/>
              <w:t> </w:t>
            </w:r>
          </w:p>
        </w:tc>
        <w:tc>
          <w:tcPr>
            <w:tcW w:w="6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98" w:type="dxa"/>
            <w:tcBorders/>
            <w:shd w:fill="FFFFFF" w:val="clear"/>
            <w:tcMar>
              <w:bottom w:w="0" w:type="dxa"/>
            </w:tcMar>
            <w:vAlign w:val="bottom"/>
          </w:tcPr>
          <w:p>
            <w:pPr>
              <w:pStyle w:val="TableContents"/>
              <w:spacing w:before="0" w:after="283"/>
              <w:jc w:val="left"/>
              <w:rPr/>
            </w:pPr>
            <w:r>
              <w:rPr/>
              <w:t> </w:t>
            </w:r>
          </w:p>
        </w:tc>
        <w:tc>
          <w:tcPr>
            <w:tcW w:w="104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108,056</w:t>
            </w:r>
          </w:p>
        </w:tc>
        <w:tc>
          <w:tcPr>
            <w:tcW w:w="29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3"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230,104</w:t>
            </w:r>
          </w:p>
        </w:tc>
        <w:tc>
          <w:tcPr>
            <w:tcW w:w="38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9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8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630,428</w:t>
            </w:r>
          </w:p>
        </w:tc>
        <w:tc>
          <w:tcPr>
            <w:tcW w:w="85" w:type="dxa"/>
            <w:tcBorders/>
            <w:shd w:fill="FFFFFF" w:val="clear"/>
            <w:tcMar>
              <w:bottom w:w="0" w:type="dxa"/>
            </w:tcMar>
            <w:vAlign w:val="bottom"/>
          </w:tcPr>
          <w:p>
            <w:pPr>
              <w:pStyle w:val="TableContents"/>
              <w:spacing w:before="0" w:after="283"/>
              <w:jc w:val="left"/>
              <w:rPr/>
            </w:pPr>
            <w:r>
              <w:rPr/>
              <w:t> </w:t>
            </w:r>
          </w:p>
        </w:tc>
      </w:tr>
      <w:tr>
        <w:trPr/>
        <w:tc>
          <w:tcPr>
            <w:tcW w:w="1856" w:type="dxa"/>
            <w:tcBorders/>
            <w:shd w:fill="CCEEFF" w:val="clear"/>
            <w:tcMar>
              <w:bottom w:w="0" w:type="dxa"/>
            </w:tcMar>
            <w:vAlign w:val="bottom"/>
          </w:tcPr>
          <w:p>
            <w:pPr>
              <w:pStyle w:val="TableContents"/>
              <w:spacing w:before="0" w:after="283"/>
              <w:rPr/>
            </w:pPr>
            <w:r>
              <w:rPr/>
              <w:t xml:space="preserve">  </w:t>
            </w:r>
          </w:p>
        </w:tc>
        <w:tc>
          <w:tcPr>
            <w:tcW w:w="1329" w:type="dxa"/>
            <w:tcBorders/>
            <w:shd w:fill="CCEEFF" w:val="clear"/>
            <w:tcMar>
              <w:bottom w:w="0" w:type="dxa"/>
            </w:tcMar>
            <w:vAlign w:val="bottom"/>
          </w:tcPr>
          <w:p>
            <w:pPr>
              <w:pStyle w:val="TableContents"/>
              <w:spacing w:before="0" w:after="283"/>
              <w:rPr/>
            </w:pPr>
            <w:r>
              <w:rPr/>
              <w:t xml:space="preserve">  </w:t>
            </w:r>
          </w:p>
        </w:tc>
        <w:tc>
          <w:tcPr>
            <w:tcW w:w="93" w:type="dxa"/>
            <w:tcBorders/>
            <w:shd w:fill="CCEEFF" w:val="clear"/>
            <w:tcMar>
              <w:bottom w:w="0" w:type="dxa"/>
            </w:tcMar>
            <w:vAlign w:val="bottom"/>
          </w:tcPr>
          <w:p>
            <w:pPr>
              <w:pStyle w:val="TableContents"/>
              <w:spacing w:before="0" w:after="283"/>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97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rPr/>
            </w:pPr>
            <w:r>
              <w:rPr/>
              <w:t> </w:t>
            </w:r>
          </w:p>
        </w:tc>
        <w:tc>
          <w:tcPr>
            <w:tcW w:w="264" w:type="dxa"/>
            <w:tcBorders/>
            <w:shd w:fill="CCEEFF" w:val="clear"/>
            <w:tcMar>
              <w:bottom w:w="0" w:type="dxa"/>
            </w:tcMar>
            <w:vAlign w:val="bottom"/>
          </w:tcPr>
          <w:p>
            <w:pPr>
              <w:pStyle w:val="TableContents"/>
              <w:spacing w:before="0" w:after="283"/>
              <w:jc w:val="left"/>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rPr/>
            </w:pPr>
            <w:r>
              <w:rPr/>
              <w:t> </w:t>
            </w:r>
          </w:p>
        </w:tc>
        <w:tc>
          <w:tcPr>
            <w:tcW w:w="98" w:type="dxa"/>
            <w:tcBorders/>
            <w:shd w:fill="CCEEFF" w:val="clear"/>
            <w:tcMar>
              <w:bottom w:w="0" w:type="dxa"/>
            </w:tcMar>
            <w:vAlign w:val="bottom"/>
          </w:tcPr>
          <w:p>
            <w:pPr>
              <w:pStyle w:val="TableContents"/>
              <w:spacing w:before="0" w:after="283"/>
              <w:jc w:val="left"/>
              <w:rPr/>
            </w:pPr>
            <w:r>
              <w:rPr/>
              <w:t> </w:t>
            </w:r>
          </w:p>
        </w:tc>
        <w:tc>
          <w:tcPr>
            <w:tcW w:w="1041" w:type="dxa"/>
            <w:tcBorders/>
            <w:shd w:fill="CCEEFF" w:val="clear"/>
            <w:tcMar>
              <w:bottom w:w="0" w:type="dxa"/>
            </w:tcMar>
            <w:vAlign w:val="bottom"/>
          </w:tcPr>
          <w:p>
            <w:pPr>
              <w:pStyle w:val="TableContents"/>
              <w:spacing w:before="0" w:after="283"/>
              <w:jc w:val="right"/>
              <w:rPr/>
            </w:pPr>
            <w:r>
              <w:rPr/>
              <w:t> </w:t>
            </w:r>
          </w:p>
        </w:tc>
        <w:tc>
          <w:tcPr>
            <w:tcW w:w="292"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56" w:type="dxa"/>
            <w:tcBorders/>
            <w:shd w:fill="CCEEFF" w:val="clear"/>
            <w:tcMar>
              <w:bottom w:w="0" w:type="dxa"/>
            </w:tcMar>
            <w:vAlign w:val="bottom"/>
          </w:tcPr>
          <w:p>
            <w:pPr>
              <w:pStyle w:val="TableContents"/>
              <w:spacing w:before="0" w:after="283"/>
              <w:jc w:val="right"/>
              <w:rPr/>
            </w:pPr>
            <w:r>
              <w:rPr/>
              <w:t> </w:t>
            </w:r>
          </w:p>
        </w:tc>
        <w:tc>
          <w:tcPr>
            <w:tcW w:w="380"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882" w:type="dxa"/>
            <w:tcBorders/>
            <w:shd w:fill="CCEEFF" w:val="clear"/>
            <w:tcMar>
              <w:bottom w:w="0" w:type="dxa"/>
            </w:tcMar>
            <w:vAlign w:val="bottom"/>
          </w:tcPr>
          <w:p>
            <w:pPr>
              <w:pStyle w:val="TableContents"/>
              <w:spacing w:before="0" w:after="283"/>
              <w:jc w:val="right"/>
              <w:rPr/>
            </w:pPr>
            <w:r>
              <w:rPr/>
              <w:t> </w:t>
            </w:r>
          </w:p>
        </w:tc>
        <w:tc>
          <w:tcPr>
            <w:tcW w:w="85" w:type="dxa"/>
            <w:tcBorders/>
            <w:shd w:fill="CCEEFF" w:val="clear"/>
            <w:tcMar>
              <w:bottom w:w="0" w:type="dxa"/>
            </w:tcMar>
            <w:vAlign w:val="bottom"/>
          </w:tcPr>
          <w:p>
            <w:pPr>
              <w:pStyle w:val="TableContents"/>
              <w:spacing w:before="0" w:after="283"/>
              <w:jc w:val="left"/>
              <w:rPr/>
            </w:pPr>
            <w:r>
              <w:rPr/>
              <w:t> </w:t>
            </w:r>
          </w:p>
        </w:tc>
      </w:tr>
      <w:tr>
        <w:trPr/>
        <w:tc>
          <w:tcPr>
            <w:tcW w:w="1856"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H. Ralph Snodgrass, Ph.D.  (2)</w:t>
            </w:r>
          </w:p>
        </w:tc>
        <w:tc>
          <w:tcPr>
            <w:tcW w:w="1329"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2013</w:t>
            </w:r>
          </w:p>
        </w:tc>
        <w:tc>
          <w:tcPr>
            <w:tcW w:w="9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203,086</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264" w:type="dxa"/>
            <w:tcBorders/>
            <w:shd w:fill="FFFFFF" w:val="clear"/>
            <w:tcMar>
              <w:bottom w:w="0" w:type="dxa"/>
            </w:tcMar>
            <w:vAlign w:val="bottom"/>
          </w:tcPr>
          <w:p>
            <w:pPr>
              <w:pStyle w:val="TableContents"/>
              <w:spacing w:before="0" w:after="283"/>
              <w:jc w:val="left"/>
              <w:rPr/>
            </w:pPr>
            <w:r>
              <w:rPr/>
              <w:t> </w:t>
            </w:r>
          </w:p>
        </w:tc>
        <w:tc>
          <w:tcPr>
            <w:tcW w:w="6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98" w:type="dxa"/>
            <w:tcBorders/>
            <w:shd w:fill="FFFFFF" w:val="clear"/>
            <w:tcMar>
              <w:bottom w:w="0" w:type="dxa"/>
            </w:tcMar>
            <w:vAlign w:val="bottom"/>
          </w:tcPr>
          <w:p>
            <w:pPr>
              <w:pStyle w:val="TableContents"/>
              <w:spacing w:before="0" w:after="283"/>
              <w:jc w:val="left"/>
              <w:rPr/>
            </w:pPr>
            <w:r>
              <w:rPr/>
              <w:t> </w:t>
            </w:r>
          </w:p>
        </w:tc>
        <w:tc>
          <w:tcPr>
            <w:tcW w:w="104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534,941</w:t>
            </w:r>
          </w:p>
        </w:tc>
        <w:tc>
          <w:tcPr>
            <w:tcW w:w="29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93"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80"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8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738,027</w:t>
            </w:r>
          </w:p>
        </w:tc>
        <w:tc>
          <w:tcPr>
            <w:tcW w:w="85" w:type="dxa"/>
            <w:tcBorders/>
            <w:shd w:fill="FFFFFF" w:val="clear"/>
            <w:tcMar>
              <w:bottom w:w="0" w:type="dxa"/>
            </w:tcMar>
            <w:vAlign w:val="bottom"/>
          </w:tcPr>
          <w:p>
            <w:pPr>
              <w:pStyle w:val="TableContents"/>
              <w:spacing w:before="0" w:after="283"/>
              <w:jc w:val="left"/>
              <w:rPr/>
            </w:pPr>
            <w:r>
              <w:rPr/>
              <w:t> </w:t>
            </w:r>
          </w:p>
        </w:tc>
      </w:tr>
      <w:tr>
        <w:trPr/>
        <w:tc>
          <w:tcPr>
            <w:tcW w:w="185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President, Chief Scientific Officer</w:t>
            </w:r>
          </w:p>
        </w:tc>
        <w:tc>
          <w:tcPr>
            <w:tcW w:w="132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249,428</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264" w:type="dxa"/>
            <w:tcBorders/>
            <w:shd w:fill="CCEEFF" w:val="clear"/>
            <w:tcMar>
              <w:bottom w:w="0" w:type="dxa"/>
            </w:tcMar>
            <w:vAlign w:val="bottom"/>
          </w:tcPr>
          <w:p>
            <w:pPr>
              <w:pStyle w:val="TableContents"/>
              <w:spacing w:before="0" w:after="283"/>
              <w:jc w:val="left"/>
              <w:rPr/>
            </w:pPr>
            <w:r>
              <w:rPr/>
              <w:t> </w:t>
            </w:r>
          </w:p>
        </w:tc>
        <w:tc>
          <w:tcPr>
            <w:tcW w:w="68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98" w:type="dxa"/>
            <w:tcBorders/>
            <w:shd w:fill="CCEEFF" w:val="clear"/>
            <w:tcMar>
              <w:bottom w:w="0" w:type="dxa"/>
            </w:tcMar>
            <w:vAlign w:val="bottom"/>
          </w:tcPr>
          <w:p>
            <w:pPr>
              <w:pStyle w:val="TableContents"/>
              <w:spacing w:before="0" w:after="283"/>
              <w:jc w:val="left"/>
              <w:rPr/>
            </w:pPr>
            <w:r>
              <w:rPr/>
              <w:t> </w:t>
            </w:r>
          </w:p>
        </w:tc>
        <w:tc>
          <w:tcPr>
            <w:tcW w:w="104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105,618</w:t>
            </w:r>
          </w:p>
        </w:tc>
        <w:tc>
          <w:tcPr>
            <w:tcW w:w="29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3"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38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9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8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455,046</w:t>
            </w:r>
          </w:p>
        </w:tc>
        <w:tc>
          <w:tcPr>
            <w:tcW w:w="85" w:type="dxa"/>
            <w:tcBorders/>
            <w:shd w:fill="CCEEFF" w:val="clear"/>
            <w:tcMar>
              <w:bottom w:w="0" w:type="dxa"/>
            </w:tcMar>
            <w:vAlign w:val="bottom"/>
          </w:tcPr>
          <w:p>
            <w:pPr>
              <w:pStyle w:val="TableContents"/>
              <w:spacing w:before="0" w:after="283"/>
              <w:jc w:val="left"/>
              <w:rPr/>
            </w:pPr>
            <w:r>
              <w:rPr/>
              <w:t> </w:t>
            </w:r>
          </w:p>
        </w:tc>
      </w:tr>
      <w:tr>
        <w:trPr/>
        <w:tc>
          <w:tcPr>
            <w:tcW w:w="1856" w:type="dxa"/>
            <w:tcBorders/>
            <w:shd w:fill="FFFFFF" w:val="clear"/>
            <w:tcMar>
              <w:bottom w:w="0" w:type="dxa"/>
            </w:tcMar>
            <w:vAlign w:val="bottom"/>
          </w:tcPr>
          <w:p>
            <w:pPr>
              <w:pStyle w:val="TableContents"/>
              <w:spacing w:before="0" w:after="283"/>
              <w:rPr/>
            </w:pPr>
            <w:r>
              <w:rPr/>
              <w:t xml:space="preserve">  </w:t>
            </w:r>
          </w:p>
        </w:tc>
        <w:tc>
          <w:tcPr>
            <w:tcW w:w="1329" w:type="dxa"/>
            <w:tcBorders/>
            <w:shd w:fill="FFFFFF" w:val="clear"/>
            <w:tcMar>
              <w:bottom w:w="0" w:type="dxa"/>
            </w:tcMar>
            <w:vAlign w:val="bottom"/>
          </w:tcPr>
          <w:p>
            <w:pPr>
              <w:pStyle w:val="TableContents"/>
              <w:spacing w:before="0" w:after="283"/>
              <w:rPr/>
            </w:pPr>
            <w:r>
              <w:rPr/>
              <w:t xml:space="preserve">  </w:t>
            </w:r>
          </w:p>
        </w:tc>
        <w:tc>
          <w:tcPr>
            <w:tcW w:w="93" w:type="dxa"/>
            <w:tcBorders/>
            <w:shd w:fill="FFFFFF" w:val="clear"/>
            <w:tcMar>
              <w:bottom w:w="0" w:type="dxa"/>
            </w:tcMar>
            <w:vAlign w:val="bottom"/>
          </w:tcPr>
          <w:p>
            <w:pPr>
              <w:pStyle w:val="TableContents"/>
              <w:spacing w:before="0" w:after="283"/>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97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rPr/>
            </w:pPr>
            <w:r>
              <w:rPr/>
              <w:t> </w:t>
            </w:r>
          </w:p>
        </w:tc>
        <w:tc>
          <w:tcPr>
            <w:tcW w:w="264" w:type="dxa"/>
            <w:tcBorders/>
            <w:shd w:fill="FFFFFF" w:val="clear"/>
            <w:tcMar>
              <w:bottom w:w="0" w:type="dxa"/>
            </w:tcMar>
            <w:vAlign w:val="bottom"/>
          </w:tcPr>
          <w:p>
            <w:pPr>
              <w:pStyle w:val="TableContents"/>
              <w:spacing w:before="0" w:after="283"/>
              <w:jc w:val="left"/>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rPr/>
            </w:pPr>
            <w:r>
              <w:rPr/>
              <w:t> </w:t>
            </w:r>
          </w:p>
        </w:tc>
        <w:tc>
          <w:tcPr>
            <w:tcW w:w="98" w:type="dxa"/>
            <w:tcBorders/>
            <w:shd w:fill="FFFFFF" w:val="clear"/>
            <w:tcMar>
              <w:bottom w:w="0" w:type="dxa"/>
            </w:tcMar>
            <w:vAlign w:val="bottom"/>
          </w:tcPr>
          <w:p>
            <w:pPr>
              <w:pStyle w:val="TableContents"/>
              <w:spacing w:before="0" w:after="283"/>
              <w:jc w:val="left"/>
              <w:rPr/>
            </w:pPr>
            <w:r>
              <w:rPr/>
              <w:t> </w:t>
            </w:r>
          </w:p>
        </w:tc>
        <w:tc>
          <w:tcPr>
            <w:tcW w:w="1041" w:type="dxa"/>
            <w:tcBorders/>
            <w:shd w:fill="FFFFFF" w:val="clear"/>
            <w:tcMar>
              <w:bottom w:w="0" w:type="dxa"/>
            </w:tcMar>
            <w:vAlign w:val="bottom"/>
          </w:tcPr>
          <w:p>
            <w:pPr>
              <w:pStyle w:val="TableContents"/>
              <w:spacing w:before="0" w:after="283"/>
              <w:jc w:val="right"/>
              <w:rPr/>
            </w:pPr>
            <w:r>
              <w:rPr/>
              <w:t> </w:t>
            </w:r>
          </w:p>
        </w:tc>
        <w:tc>
          <w:tcPr>
            <w:tcW w:w="292"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56" w:type="dxa"/>
            <w:tcBorders/>
            <w:shd w:fill="FFFFFF" w:val="clear"/>
            <w:tcMar>
              <w:bottom w:w="0" w:type="dxa"/>
            </w:tcMar>
            <w:vAlign w:val="bottom"/>
          </w:tcPr>
          <w:p>
            <w:pPr>
              <w:pStyle w:val="TableContents"/>
              <w:spacing w:before="0" w:after="283"/>
              <w:jc w:val="right"/>
              <w:rPr/>
            </w:pPr>
            <w:r>
              <w:rPr/>
              <w:t> </w:t>
            </w:r>
          </w:p>
        </w:tc>
        <w:tc>
          <w:tcPr>
            <w:tcW w:w="380"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882" w:type="dxa"/>
            <w:tcBorders/>
            <w:shd w:fill="FFFFFF" w:val="clear"/>
            <w:tcMar>
              <w:bottom w:w="0" w:type="dxa"/>
            </w:tcMar>
            <w:vAlign w:val="bottom"/>
          </w:tcPr>
          <w:p>
            <w:pPr>
              <w:pStyle w:val="TableContents"/>
              <w:spacing w:before="0" w:after="283"/>
              <w:jc w:val="right"/>
              <w:rPr/>
            </w:pPr>
            <w:r>
              <w:rPr/>
              <w:t> </w:t>
            </w:r>
          </w:p>
        </w:tc>
        <w:tc>
          <w:tcPr>
            <w:tcW w:w="85" w:type="dxa"/>
            <w:tcBorders/>
            <w:shd w:fill="FFFFFF" w:val="clear"/>
            <w:tcMar>
              <w:bottom w:w="0" w:type="dxa"/>
            </w:tcMar>
            <w:vAlign w:val="bottom"/>
          </w:tcPr>
          <w:p>
            <w:pPr>
              <w:pStyle w:val="TableContents"/>
              <w:spacing w:before="0" w:after="283"/>
              <w:jc w:val="left"/>
              <w:rPr/>
            </w:pPr>
            <w:r>
              <w:rPr/>
              <w:t> </w:t>
            </w:r>
          </w:p>
        </w:tc>
      </w:tr>
      <w:tr>
        <w:trPr/>
        <w:tc>
          <w:tcPr>
            <w:tcW w:w="185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Jerrold D. Dotson  (3)</w:t>
            </w:r>
          </w:p>
        </w:tc>
        <w:tc>
          <w:tcPr>
            <w:tcW w:w="132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2013</w:t>
            </w:r>
          </w:p>
        </w:tc>
        <w:tc>
          <w:tcPr>
            <w:tcW w:w="9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97,269</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264" w:type="dxa"/>
            <w:tcBorders/>
            <w:shd w:fill="CCEEFF" w:val="clear"/>
            <w:tcMar>
              <w:bottom w:w="0" w:type="dxa"/>
            </w:tcMar>
            <w:vAlign w:val="bottom"/>
          </w:tcPr>
          <w:p>
            <w:pPr>
              <w:pStyle w:val="TableContents"/>
              <w:spacing w:before="0" w:after="283"/>
              <w:jc w:val="left"/>
              <w:rPr/>
            </w:pPr>
            <w:r>
              <w:rPr/>
              <w:t> </w:t>
            </w:r>
          </w:p>
        </w:tc>
        <w:tc>
          <w:tcPr>
            <w:tcW w:w="68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98" w:type="dxa"/>
            <w:tcBorders/>
            <w:shd w:fill="CCEEFF" w:val="clear"/>
            <w:tcMar>
              <w:bottom w:w="0" w:type="dxa"/>
            </w:tcMar>
            <w:vAlign w:val="bottom"/>
          </w:tcPr>
          <w:p>
            <w:pPr>
              <w:pStyle w:val="TableContents"/>
              <w:spacing w:before="0" w:after="283"/>
              <w:jc w:val="left"/>
              <w:rPr/>
            </w:pPr>
            <w:r>
              <w:rPr/>
              <w:t> </w:t>
            </w:r>
          </w:p>
        </w:tc>
        <w:tc>
          <w:tcPr>
            <w:tcW w:w="104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134,316</w:t>
            </w:r>
          </w:p>
        </w:tc>
        <w:tc>
          <w:tcPr>
            <w:tcW w:w="29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93"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62,333</w:t>
            </w:r>
          </w:p>
        </w:tc>
        <w:tc>
          <w:tcPr>
            <w:tcW w:w="38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93" w:type="dxa"/>
            <w:tcBorders/>
            <w:shd w:fill="CCEEFF" w:val="clear"/>
            <w:tcMar>
              <w:bottom w:w="0" w:type="dxa"/>
            </w:tcMar>
            <w:vAlign w:val="bottom"/>
          </w:tcPr>
          <w:p>
            <w:pPr>
              <w:pStyle w:val="TableContents"/>
              <w:spacing w:before="0" w:after="283"/>
              <w:jc w:val="right"/>
              <w:rPr/>
            </w:pPr>
            <w:r>
              <w:rPr/>
              <w:t> </w:t>
            </w:r>
          </w:p>
        </w:tc>
        <w:tc>
          <w:tcPr>
            <w:tcW w:w="93" w:type="dxa"/>
            <w:tcBorders/>
            <w:shd w:fill="CCEEFF" w:val="clear"/>
            <w:tcMar>
              <w:bottom w:w="0" w:type="dxa"/>
            </w:tcMar>
            <w:vAlign w:val="bottom"/>
          </w:tcPr>
          <w:p>
            <w:pPr>
              <w:pStyle w:val="TableContents"/>
              <w:spacing w:before="0" w:after="283"/>
              <w:jc w:val="left"/>
              <w:rPr/>
            </w:pPr>
            <w:r>
              <w:rPr/>
              <w:t> </w:t>
            </w:r>
          </w:p>
        </w:tc>
        <w:tc>
          <w:tcPr>
            <w:tcW w:w="8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293,918</w:t>
            </w:r>
          </w:p>
        </w:tc>
        <w:tc>
          <w:tcPr>
            <w:tcW w:w="85" w:type="dxa"/>
            <w:tcBorders/>
            <w:shd w:fill="CCEEFF" w:val="clear"/>
            <w:tcMar>
              <w:bottom w:w="0" w:type="dxa"/>
            </w:tcMar>
            <w:vAlign w:val="bottom"/>
          </w:tcPr>
          <w:p>
            <w:pPr>
              <w:pStyle w:val="TableContents"/>
              <w:spacing w:before="0" w:after="283"/>
              <w:jc w:val="left"/>
              <w:rPr/>
            </w:pPr>
            <w:r>
              <w:rPr/>
              <w:t> </w:t>
            </w:r>
          </w:p>
        </w:tc>
      </w:tr>
      <w:tr>
        <w:trPr/>
        <w:tc>
          <w:tcPr>
            <w:tcW w:w="1856"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Chief Financial Officer</w:t>
            </w:r>
          </w:p>
        </w:tc>
        <w:tc>
          <w:tcPr>
            <w:tcW w:w="1329"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264" w:type="dxa"/>
            <w:tcBorders/>
            <w:shd w:fill="FFFFFF" w:val="clear"/>
            <w:tcMar>
              <w:bottom w:w="0" w:type="dxa"/>
            </w:tcMar>
            <w:vAlign w:val="bottom"/>
          </w:tcPr>
          <w:p>
            <w:pPr>
              <w:pStyle w:val="TableContents"/>
              <w:spacing w:before="0" w:after="283"/>
              <w:jc w:val="left"/>
              <w:rPr/>
            </w:pPr>
            <w:r>
              <w:rPr/>
              <w:t> </w:t>
            </w:r>
          </w:p>
        </w:tc>
        <w:tc>
          <w:tcPr>
            <w:tcW w:w="6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98" w:type="dxa"/>
            <w:tcBorders/>
            <w:shd w:fill="FFFFFF" w:val="clear"/>
            <w:tcMar>
              <w:bottom w:w="0" w:type="dxa"/>
            </w:tcMar>
            <w:vAlign w:val="bottom"/>
          </w:tcPr>
          <w:p>
            <w:pPr>
              <w:pStyle w:val="TableContents"/>
              <w:spacing w:before="0" w:after="283"/>
              <w:jc w:val="left"/>
              <w:rPr/>
            </w:pPr>
            <w:r>
              <w:rPr/>
              <w:t> </w:t>
            </w:r>
          </w:p>
        </w:tc>
        <w:tc>
          <w:tcPr>
            <w:tcW w:w="104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108,535</w:t>
            </w:r>
          </w:p>
        </w:tc>
        <w:tc>
          <w:tcPr>
            <w:tcW w:w="29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3"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71,293</w:t>
            </w:r>
          </w:p>
        </w:tc>
        <w:tc>
          <w:tcPr>
            <w:tcW w:w="38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93" w:type="dxa"/>
            <w:tcBorders/>
            <w:shd w:fill="FFFFFF" w:val="clear"/>
            <w:tcMar>
              <w:bottom w:w="0" w:type="dxa"/>
            </w:tcMar>
            <w:vAlign w:val="bottom"/>
          </w:tcPr>
          <w:p>
            <w:pPr>
              <w:pStyle w:val="TableContents"/>
              <w:spacing w:before="0" w:after="283"/>
              <w:jc w:val="right"/>
              <w:rPr/>
            </w:pPr>
            <w:r>
              <w:rPr/>
              <w:t> </w:t>
            </w:r>
          </w:p>
        </w:tc>
        <w:tc>
          <w:tcPr>
            <w:tcW w:w="93" w:type="dxa"/>
            <w:tcBorders/>
            <w:shd w:fill="FFFFFF" w:val="clear"/>
            <w:tcMar>
              <w:bottom w:w="0" w:type="dxa"/>
            </w:tcMar>
            <w:vAlign w:val="bottom"/>
          </w:tcPr>
          <w:p>
            <w:pPr>
              <w:pStyle w:val="TableContents"/>
              <w:spacing w:before="0" w:after="283"/>
              <w:jc w:val="left"/>
              <w:rPr/>
            </w:pPr>
            <w:r>
              <w:rPr/>
              <w:t> </w:t>
            </w:r>
          </w:p>
        </w:tc>
        <w:tc>
          <w:tcPr>
            <w:tcW w:w="8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179,828</w:t>
            </w:r>
          </w:p>
        </w:tc>
        <w:tc>
          <w:tcPr>
            <w:tcW w:w="8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9797" w:type="dxa"/>
            <w:tcBorders/>
            <w:shd w:fill="auto" w:val="clear"/>
            <w:vAlign w:val="center"/>
          </w:tcPr>
          <w:p>
            <w:pPr>
              <w:pStyle w:val="TableContents"/>
              <w:spacing w:before="0" w:after="0"/>
              <w:ind w:left="0" w:right="16" w:hanging="0"/>
              <w:jc w:val="both"/>
              <w:rPr>
                <w:rFonts w:ascii="times new roman" w:hAnsi="times new roman"/>
                <w:sz w:val="20"/>
              </w:rPr>
            </w:pPr>
            <w:r>
              <w:rPr>
                <w:rFonts w:ascii="times new roman" w:hAnsi="times new roman"/>
                <w:sz w:val="20"/>
              </w:rPr>
              <w:t>Mr. Singh became VistaGen California’s Chief Executive Officer on August 20, 2009 and the Company’s   Chief Executive Officer in May 2011, in connection with the Merger.  In our fiscal years ended March 31, 2013 and 2012, Mr. Singh’s annual base cash salary, excluding potential cash bonus amounts, pursuant to his January 2010 employment agreement was contractually set at $347,500. However, to conserve cash for our operations during our fiscal years ended March 31, 2013 and 2012,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2013 and 2012, Mr. Singh voluntarily refrained from receiving any cash bonus from the Company.</w:t>
            </w:r>
          </w:p>
        </w:tc>
      </w:tr>
      <w:tr>
        <w:trPr/>
        <w:tc>
          <w:tcPr>
            <w:tcW w:w="408" w:type="dxa"/>
            <w:tcBorders/>
            <w:shd w:fill="auto" w:val="clear"/>
          </w:tcPr>
          <w:p>
            <w:pPr>
              <w:pStyle w:val="TableContents"/>
              <w:spacing w:before="0" w:after="283"/>
              <w:jc w:val="left"/>
              <w:rPr/>
            </w:pPr>
            <w:r>
              <w:rPr/>
              <w:t xml:space="preserve">  </w:t>
            </w:r>
          </w:p>
        </w:tc>
        <w:tc>
          <w:tcPr>
            <w:tcW w:w="9797" w:type="dxa"/>
            <w:tcBorders/>
            <w:shd w:fill="auto" w:val="clear"/>
            <w:vAlign w:val="center"/>
          </w:tcPr>
          <w:p>
            <w:pPr>
              <w:pStyle w:val="TableContents"/>
              <w:spacing w:before="0" w:after="283"/>
              <w:rPr/>
            </w:pPr>
            <w:r>
              <w:rPr/>
              <w:t xml:space="preserve">  </w:t>
            </w:r>
          </w:p>
        </w:tc>
      </w:tr>
      <w:tr>
        <w:trPr/>
        <w:tc>
          <w:tcPr>
            <w:tcW w:w="40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(2)</w:t>
            </w:r>
          </w:p>
        </w:tc>
        <w:tc>
          <w:tcPr>
            <w:tcW w:w="9797" w:type="dxa"/>
            <w:tcBorders/>
            <w:shd w:fill="auto" w:val="clear"/>
            <w:vAlign w:val="center"/>
          </w:tcPr>
          <w:p>
            <w:pPr>
              <w:pStyle w:val="TableContents"/>
              <w:spacing w:before="0" w:after="0"/>
              <w:ind w:left="0" w:right="16" w:hanging="0"/>
              <w:jc w:val="both"/>
              <w:rPr>
                <w:rFonts w:ascii="times new roman" w:hAnsi="times new roman"/>
                <w:sz w:val="20"/>
              </w:rPr>
            </w:pPr>
            <w:r>
              <w:rPr>
                <w:rFonts w:ascii="times new roman" w:hAnsi="times new roman"/>
                <w:sz w:val="20"/>
              </w:rPr>
              <w:t>Through August 20, 2009, Dr. Snodgrass served as VistaGen California’s President and Chief Executive Officer, at which time he became its President and Chief Scientific Officer.  He became the Company’s President and Chief Scientific Officer in May 2011, in connection with the Merger.  In our fiscal years ended March 31, 2013 and 2012, Dr. Snodgrass’ annual base cash salary, excluding potential cash bonus amounts, pursuant to his January 2010 employment agreement was contractually set at $305,000.  However, to conserve cash for our operations during our fiscal years ended March 31, 2013 and 2012,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2013 and 2012, Dr. Snodgrass voluntarily refrained from receiving any cash bonus from the Company.</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219" w:name="PGBRK120"/>
      <w:bookmarkStart w:id="1220" w:name="PGBRK120"/>
      <w:bookmarkEnd w:id="1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21" w:name="FTR120"/>
      <w:bookmarkStart w:id="1222" w:name="FTR120"/>
      <w:bookmarkEnd w:id="1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23" w:name="GLFTR120"/>
      <w:bookmarkEnd w:id="1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4" w:name="PN120"/>
      <w:bookmarkEnd w:id="1224"/>
      <w:r>
        <w:rPr>
          <w:rFonts w:ascii="Times New Roman" w:hAnsi="Times New Roman"/>
          <w:sz w:val="20"/>
        </w:rPr>
        <w:t>-119-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25" w:name="HDR120"/>
      <w:bookmarkStart w:id="1226" w:name="HDR120"/>
      <w:bookmarkEnd w:id="1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27" w:name="GLHDR120"/>
        <w:bookmarkEnd w:id="122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(3)</w:t>
            </w:r>
          </w:p>
        </w:tc>
        <w:tc>
          <w:tcPr>
            <w:tcW w:w="9798" w:type="dxa"/>
            <w:tcBorders/>
            <w:shd w:fill="auto" w:val="clear"/>
            <w:vAlign w:val="center"/>
          </w:tcPr>
          <w:p>
            <w:pPr>
              <w:pStyle w:val="TableContents"/>
              <w:spacing w:before="0" w:after="0"/>
              <w:ind w:left="0" w:right="16" w:hanging="0"/>
              <w:jc w:val="both"/>
              <w:rPr>
                <w:rFonts w:ascii="times new roman" w:hAnsi="times new roman"/>
                <w:sz w:val="20"/>
              </w:rPr>
            </w:pPr>
            <w:r>
              <w:rPr>
                <w:rFonts w:ascii="times new roman" w:hAnsi="times new roman"/>
                <w:sz w:val="20"/>
              </w:rPr>
              <w:t>Mr. Dotson served as Chief Financial Officer on a part-time contract basis from September 19, 2011 through August 2012, at which time he became our employee.</w:t>
            </w:r>
          </w:p>
          <w:p>
            <w:pPr>
              <w:pStyle w:val="TableContents"/>
              <w:spacing w:before="0" w:after="0"/>
              <w:ind w:left="0" w:right="0" w:hanging="0"/>
              <w:rPr/>
            </w:pPr>
            <w:r>
              <w:rPr/>
              <w:t> </w:t>
            </w:r>
          </w:p>
        </w:tc>
      </w:tr>
      <w:tr>
        <w:trPr/>
        <w:tc>
          <w:tcPr>
            <w:tcW w:w="40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(4)</w:t>
            </w:r>
          </w:p>
        </w:tc>
        <w:tc>
          <w:tcPr>
            <w:tcW w:w="9798" w:type="dxa"/>
            <w:tcBorders/>
            <w:shd w:fill="auto" w:val="clear"/>
            <w:vAlign w:val="center"/>
          </w:tcPr>
          <w:p>
            <w:pPr>
              <w:pStyle w:val="TableContents"/>
              <w:spacing w:before="0" w:after="0"/>
              <w:ind w:left="0" w:right="16" w:hanging="0"/>
              <w:jc w:val="both"/>
              <w:rPr>
                <w:rFonts w:ascii="times new roman" w:hAnsi="times new roman"/>
                <w:sz w:val="20"/>
              </w:rPr>
            </w:pPr>
            <w:r>
              <w:rPr>
                <w:rFonts w:ascii="times new roman" w:hAnsi="times new roman"/>
                <w:sz w:val="20"/>
              </w:rPr>
              <w:t>The amounts in the Option and Warrant Awards column represent only the aggregate grant date fair value of options or warrants to purchase restricted shares of our common stock awarded to Mr. Singh, Dr. Snodgrass and Mr. Dotson during the fiscal year presented computed in accordance with the Financial Accounting Standards Board’s Accounting Standards Codification Topic 718, Compensation – Stock Compensation ("</w:t>
            </w:r>
            <w:r>
              <w:rPr>
                <w:rFonts w:ascii="times new roman" w:hAnsi="times new roman"/>
                <w:i/>
                <w:sz w:val="20"/>
              </w:rPr>
              <w:t>ASC 718</w:t>
            </w:r>
            <w:r>
              <w:rPr>
                <w:rFonts w:ascii="times new roman" w:hAnsi="times new roman"/>
                <w:sz w:val="20"/>
              </w:rPr>
              <w:t>”). The amounts in this column do not represent any cash payments actually received by Mr. Singh, Dr. Snodgrass or Mr. Dotson with respect to any of such options or warrants to purchase restricted shares of our common stock awarded to them during the periods presented.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pStyle w:val="TableContents"/>
              <w:spacing w:before="0" w:after="0"/>
              <w:ind w:left="0" w:right="0" w:hanging="0"/>
              <w:rPr/>
            </w:pPr>
            <w:r>
              <w:rPr/>
              <w:t> </w:t>
            </w:r>
          </w:p>
        </w:tc>
      </w:tr>
      <w:tr>
        <w:trPr/>
        <w:tc>
          <w:tcPr>
            <w:tcW w:w="40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(5)</w:t>
            </w:r>
          </w:p>
        </w:tc>
        <w:tc>
          <w:tcPr>
            <w:tcW w:w="979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used the Black Scholes Option Pricing Model and the following assumptions for determining the grant date fair value of the warrants to purchase shares of our common stock granted during the fiscal year ended March 31, 2013:</w:t>
            </w:r>
          </w:p>
        </w:tc>
      </w:tr>
    </w:tbl>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6076"/>
        <w:gridCol w:w="106"/>
        <w:gridCol w:w="151"/>
        <w:gridCol w:w="1113"/>
        <w:gridCol w:w="207"/>
      </w:tblGrid>
      <w:tr>
        <w:trPr/>
        <w:tc>
          <w:tcPr>
            <w:tcW w:w="6076" w:type="dxa"/>
            <w:tcBorders/>
            <w:shd w:fill="CCEE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Market price per share</w:t>
            </w:r>
          </w:p>
        </w:tc>
        <w:tc>
          <w:tcPr>
            <w:tcW w:w="1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207" w:type="dxa"/>
            <w:tcBorders/>
            <w:shd w:fill="CCEEFF" w:val="clear"/>
            <w:vAlign w:val="bottom"/>
          </w:tcPr>
          <w:p>
            <w:pPr>
              <w:pStyle w:val="TableContents"/>
              <w:spacing w:before="0" w:after="283"/>
              <w:jc w:val="left"/>
              <w:rPr/>
            </w:pPr>
            <w:r>
              <w:rPr/>
              <w:t> </w:t>
            </w:r>
          </w:p>
        </w:tc>
      </w:tr>
      <w:tr>
        <w:trPr/>
        <w:tc>
          <w:tcPr>
            <w:tcW w:w="6076"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Exercise price per share</w:t>
            </w:r>
          </w:p>
        </w:tc>
        <w:tc>
          <w:tcPr>
            <w:tcW w:w="106"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207"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Risk-free interest rate</w:t>
            </w:r>
          </w:p>
        </w:tc>
        <w:tc>
          <w:tcPr>
            <w:tcW w:w="1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1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76"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Expected Term (years)</w:t>
            </w:r>
          </w:p>
        </w:tc>
        <w:tc>
          <w:tcPr>
            <w:tcW w:w="106"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11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07"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Volatility</w:t>
            </w:r>
          </w:p>
        </w:tc>
        <w:tc>
          <w:tcPr>
            <w:tcW w:w="1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1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84.73</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76"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Dividend rate</w:t>
            </w:r>
          </w:p>
        </w:tc>
        <w:tc>
          <w:tcPr>
            <w:tcW w:w="106"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11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7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113"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r>
      <w:tr>
        <w:trPr/>
        <w:tc>
          <w:tcPr>
            <w:tcW w:w="6076"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Grant date fair value per share</w:t>
            </w:r>
          </w:p>
        </w:tc>
        <w:tc>
          <w:tcPr>
            <w:tcW w:w="106"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207"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tbl>
      <w:tblPr>
        <w:tblW w:w="5000" w:type="pct"/>
        <w:jc w:val="center"/>
        <w:tblInd w:w="0" w:type="dxa"/>
        <w:shd w:fill="FFFFFF" w:val="clear"/>
        <w:tblCellMar>
          <w:top w:w="0" w:type="dxa"/>
          <w:left w:w="0" w:type="dxa"/>
          <w:bottom w:w="0" w:type="dxa"/>
          <w:right w:w="0" w:type="dxa"/>
        </w:tblCellMar>
      </w:tblPr>
      <w:tblGrid>
        <w:gridCol w:w="407"/>
        <w:gridCol w:w="9798"/>
      </w:tblGrid>
      <w:tr>
        <w:trPr/>
        <w:tc>
          <w:tcPr>
            <w:tcW w:w="407"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(6)</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9798" w:type="dxa"/>
            <w:tcBorders/>
            <w:shd w:fill="FFFFFF" w:val="clear"/>
            <w:vAlign w:val="center"/>
          </w:tcPr>
          <w:p>
            <w:pPr>
              <w:pStyle w:val="TableContents"/>
              <w:spacing w:before="0" w:after="0"/>
              <w:jc w:val="both"/>
              <w:rPr>
                <w:rFonts w:ascii="times new roman" w:hAnsi="times new roman"/>
                <w:sz w:val="20"/>
              </w:rPr>
            </w:pPr>
            <w:r>
              <w:rPr>
                <w:rFonts w:ascii="times new roman" w:hAnsi="times new roman"/>
                <w:sz w:val="20"/>
              </w:rPr>
              <w:t>In October 2012, the Company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pStyle w:val="TableContents"/>
              <w:spacing w:before="0" w:after="0"/>
              <w:jc w:val="both"/>
              <w:rPr/>
            </w:pPr>
            <w:r>
              <w:rPr/>
              <w:t> </w:t>
            </w:r>
          </w:p>
        </w:tc>
      </w:tr>
      <w:tr>
        <w:trPr/>
        <w:tc>
          <w:tcPr>
            <w:tcW w:w="40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(7)</w:t>
            </w:r>
          </w:p>
        </w:tc>
        <w:tc>
          <w:tcPr>
            <w:tcW w:w="9798"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 xml:space="preserve">We used the Black Scholes Option Pricing Model and the following assumptions for determining the grant date fair value of the options to purchase shares of our common stock granted during the fiscal year ended March 31, 2012: </w:t>
            </w:r>
          </w:p>
        </w:tc>
      </w:tr>
    </w:tbl>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213"/>
        <w:gridCol w:w="75"/>
        <w:gridCol w:w="996"/>
        <w:gridCol w:w="75"/>
        <w:gridCol w:w="76"/>
        <w:gridCol w:w="995"/>
        <w:gridCol w:w="76"/>
        <w:gridCol w:w="76"/>
        <w:gridCol w:w="995"/>
        <w:gridCol w:w="76"/>
      </w:tblGrid>
      <w:tr>
        <w:trPr/>
        <w:tc>
          <w:tcPr>
            <w:tcW w:w="4213" w:type="dxa"/>
            <w:tcBorders/>
            <w:shd w:fill="auto" w:val="clear"/>
            <w:vAlign w:val="bottom"/>
          </w:tcPr>
          <w:p>
            <w:pPr>
              <w:pStyle w:val="TableContents"/>
              <w:spacing w:before="0" w:after="283"/>
              <w:rPr/>
            </w:pPr>
            <w:r>
              <w:rPr/>
              <w:t xml:space="preserve">  </w:t>
            </w:r>
          </w:p>
        </w:tc>
        <w:tc>
          <w:tcPr>
            <w:tcW w:w="75" w:type="dxa"/>
            <w:tcBorders/>
            <w:shd w:fill="auto" w:val="clear"/>
            <w:vAlign w:val="bottom"/>
          </w:tcPr>
          <w:p>
            <w:pPr>
              <w:pStyle w:val="TableContents"/>
              <w:spacing w:before="0" w:after="283"/>
              <w:rPr/>
            </w:pPr>
            <w:r>
              <w:rPr/>
              <w:t> </w:t>
            </w:r>
          </w:p>
        </w:tc>
        <w:tc>
          <w:tcPr>
            <w:tcW w:w="996"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Singh</w:t>
            </w:r>
          </w:p>
        </w:tc>
        <w:tc>
          <w:tcPr>
            <w:tcW w:w="75" w:type="dxa"/>
            <w:tcBorders/>
            <w:shd w:fill="auto" w:val="clear"/>
            <w:vAlign w:val="bottom"/>
          </w:tcPr>
          <w:p>
            <w:pPr>
              <w:pStyle w:val="TableContents"/>
              <w:spacing w:before="0" w:after="283"/>
              <w:jc w:val="left"/>
              <w:rPr/>
            </w:pPr>
            <w:r>
              <w:rPr/>
              <w:t> </w:t>
            </w:r>
          </w:p>
        </w:tc>
        <w:tc>
          <w:tcPr>
            <w:tcW w:w="76" w:type="dxa"/>
            <w:tcBorders/>
            <w:shd w:fill="auto" w:val="clear"/>
            <w:vAlign w:val="bottom"/>
          </w:tcPr>
          <w:p>
            <w:pPr>
              <w:pStyle w:val="TableContents"/>
              <w:spacing w:before="0" w:after="283"/>
              <w:rPr/>
            </w:pPr>
            <w:r>
              <w:rPr/>
              <w:t> </w:t>
            </w:r>
          </w:p>
        </w:tc>
        <w:tc>
          <w:tcPr>
            <w:tcW w:w="995"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Snodgrass</w:t>
            </w:r>
          </w:p>
        </w:tc>
        <w:tc>
          <w:tcPr>
            <w:tcW w:w="76" w:type="dxa"/>
            <w:tcBorders/>
            <w:shd w:fill="auto" w:val="clear"/>
            <w:vAlign w:val="bottom"/>
          </w:tcPr>
          <w:p>
            <w:pPr>
              <w:pStyle w:val="TableContents"/>
              <w:spacing w:before="0" w:after="283"/>
              <w:jc w:val="left"/>
              <w:rPr/>
            </w:pPr>
            <w:r>
              <w:rPr/>
              <w:t> </w:t>
            </w:r>
          </w:p>
        </w:tc>
        <w:tc>
          <w:tcPr>
            <w:tcW w:w="76" w:type="dxa"/>
            <w:tcBorders/>
            <w:shd w:fill="auto" w:val="clear"/>
            <w:vAlign w:val="bottom"/>
          </w:tcPr>
          <w:p>
            <w:pPr>
              <w:pStyle w:val="TableContents"/>
              <w:spacing w:before="0" w:after="283"/>
              <w:rPr/>
            </w:pPr>
            <w:r>
              <w:rPr/>
              <w:t> </w:t>
            </w:r>
          </w:p>
        </w:tc>
        <w:tc>
          <w:tcPr>
            <w:tcW w:w="995"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Dotson</w:t>
            </w:r>
          </w:p>
        </w:tc>
        <w:tc>
          <w:tcPr>
            <w:tcW w:w="76" w:type="dxa"/>
            <w:tcBorders/>
            <w:shd w:fill="auto" w:val="clear"/>
            <w:vAlign w:val="bottom"/>
          </w:tcPr>
          <w:p>
            <w:pPr>
              <w:pStyle w:val="TableContents"/>
              <w:spacing w:before="0" w:after="283"/>
              <w:jc w:val="left"/>
              <w:rPr/>
            </w:pPr>
            <w:r>
              <w:rPr/>
              <w:t> </w:t>
            </w:r>
          </w:p>
        </w:tc>
      </w:tr>
      <w:tr>
        <w:trPr/>
        <w:tc>
          <w:tcPr>
            <w:tcW w:w="4213" w:type="dxa"/>
            <w:tcBorders/>
            <w:shd w:fill="CCEE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Market price per share</w:t>
            </w:r>
          </w:p>
        </w:tc>
        <w:tc>
          <w:tcPr>
            <w:tcW w:w="75"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$1.58</w:t>
            </w:r>
          </w:p>
        </w:tc>
        <w:tc>
          <w:tcPr>
            <w:tcW w:w="75"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$1.58</w:t>
            </w:r>
          </w:p>
        </w:tc>
        <w:tc>
          <w:tcPr>
            <w:tcW w:w="76"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$2.58</w:t>
            </w:r>
          </w:p>
        </w:tc>
        <w:tc>
          <w:tcPr>
            <w:tcW w:w="76" w:type="dxa"/>
            <w:tcBorders/>
            <w:shd w:fill="CCEEFF" w:val="clear"/>
            <w:vAlign w:val="bottom"/>
          </w:tcPr>
          <w:p>
            <w:pPr>
              <w:pStyle w:val="TableContents"/>
              <w:spacing w:before="0" w:after="283"/>
              <w:jc w:val="left"/>
              <w:rPr/>
            </w:pPr>
            <w:r>
              <w:rPr/>
              <w:t> </w:t>
            </w:r>
          </w:p>
        </w:tc>
      </w:tr>
      <w:tr>
        <w:trPr/>
        <w:tc>
          <w:tcPr>
            <w:tcW w:w="4213"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Exercise price per share</w:t>
            </w:r>
          </w:p>
        </w:tc>
        <w:tc>
          <w:tcPr>
            <w:tcW w:w="75" w:type="dxa"/>
            <w:tcBorders/>
            <w:shd w:fill="FFFFFF" w:val="clear"/>
            <w:vAlign w:val="bottom"/>
          </w:tcPr>
          <w:p>
            <w:pPr>
              <w:pStyle w:val="TableContents"/>
              <w:spacing w:before="0" w:after="283"/>
              <w:rPr/>
            </w:pPr>
            <w:r>
              <w:rPr/>
              <w:t> </w:t>
            </w:r>
          </w:p>
        </w:tc>
        <w:tc>
          <w:tcPr>
            <w:tcW w:w="996"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$1.75</w:t>
            </w:r>
          </w:p>
        </w:tc>
        <w:tc>
          <w:tcPr>
            <w:tcW w:w="75"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$1.925</w:t>
            </w:r>
          </w:p>
        </w:tc>
        <w:tc>
          <w:tcPr>
            <w:tcW w:w="76"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$2.58</w:t>
            </w:r>
          </w:p>
        </w:tc>
        <w:tc>
          <w:tcPr>
            <w:tcW w:w="76" w:type="dxa"/>
            <w:tcBorders/>
            <w:shd w:fill="FFFFFF" w:val="clear"/>
            <w:vAlign w:val="bottom"/>
          </w:tcPr>
          <w:p>
            <w:pPr>
              <w:pStyle w:val="TableContents"/>
              <w:spacing w:before="0" w:after="283"/>
              <w:jc w:val="left"/>
              <w:rPr/>
            </w:pPr>
            <w:r>
              <w:rPr/>
              <w:t> </w:t>
            </w:r>
          </w:p>
        </w:tc>
      </w:tr>
      <w:tr>
        <w:trPr/>
        <w:tc>
          <w:tcPr>
            <w:tcW w:w="4213" w:type="dxa"/>
            <w:tcBorders/>
            <w:shd w:fill="CCEE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Risk-free interest rate</w:t>
            </w:r>
          </w:p>
        </w:tc>
        <w:tc>
          <w:tcPr>
            <w:tcW w:w="75"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2.43%</w:t>
            </w:r>
          </w:p>
        </w:tc>
        <w:tc>
          <w:tcPr>
            <w:tcW w:w="75"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2.43%</w:t>
            </w:r>
          </w:p>
        </w:tc>
        <w:tc>
          <w:tcPr>
            <w:tcW w:w="76"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1.97%</w:t>
            </w:r>
          </w:p>
        </w:tc>
        <w:tc>
          <w:tcPr>
            <w:tcW w:w="76" w:type="dxa"/>
            <w:tcBorders/>
            <w:shd w:fill="CCEEFF" w:val="clear"/>
            <w:vAlign w:val="bottom"/>
          </w:tcPr>
          <w:p>
            <w:pPr>
              <w:pStyle w:val="TableContents"/>
              <w:spacing w:before="0" w:after="283"/>
              <w:jc w:val="left"/>
              <w:rPr/>
            </w:pPr>
            <w:r>
              <w:rPr/>
              <w:t> </w:t>
            </w:r>
          </w:p>
        </w:tc>
      </w:tr>
      <w:tr>
        <w:trPr/>
        <w:tc>
          <w:tcPr>
            <w:tcW w:w="4213"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Expected Term (years)</w:t>
            </w:r>
          </w:p>
        </w:tc>
        <w:tc>
          <w:tcPr>
            <w:tcW w:w="75" w:type="dxa"/>
            <w:tcBorders/>
            <w:shd w:fill="FFFFFF" w:val="clear"/>
            <w:vAlign w:val="bottom"/>
          </w:tcPr>
          <w:p>
            <w:pPr>
              <w:pStyle w:val="TableContents"/>
              <w:spacing w:before="0" w:after="283"/>
              <w:rPr/>
            </w:pPr>
            <w:r>
              <w:rPr/>
              <w:t> </w:t>
            </w:r>
          </w:p>
        </w:tc>
        <w:tc>
          <w:tcPr>
            <w:tcW w:w="996"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6.25</w:t>
            </w:r>
          </w:p>
        </w:tc>
        <w:tc>
          <w:tcPr>
            <w:tcW w:w="75"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6.25</w:t>
            </w:r>
          </w:p>
        </w:tc>
        <w:tc>
          <w:tcPr>
            <w:tcW w:w="76"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c>
          <w:tcPr>
            <w:tcW w:w="76" w:type="dxa"/>
            <w:tcBorders/>
            <w:shd w:fill="FFFFFF" w:val="clear"/>
            <w:vAlign w:val="bottom"/>
          </w:tcPr>
          <w:p>
            <w:pPr>
              <w:pStyle w:val="TableContents"/>
              <w:spacing w:before="0" w:after="283"/>
              <w:jc w:val="left"/>
              <w:rPr/>
            </w:pPr>
            <w:r>
              <w:rPr/>
              <w:t> </w:t>
            </w:r>
          </w:p>
        </w:tc>
      </w:tr>
      <w:tr>
        <w:trPr/>
        <w:tc>
          <w:tcPr>
            <w:tcW w:w="4213" w:type="dxa"/>
            <w:tcBorders/>
            <w:shd w:fill="CCEE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Volatility</w:t>
            </w:r>
          </w:p>
        </w:tc>
        <w:tc>
          <w:tcPr>
            <w:tcW w:w="75"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78.9%</w:t>
            </w:r>
          </w:p>
        </w:tc>
        <w:tc>
          <w:tcPr>
            <w:tcW w:w="75"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78.9%</w:t>
            </w:r>
          </w:p>
        </w:tc>
        <w:tc>
          <w:tcPr>
            <w:tcW w:w="76"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85.7%</w:t>
            </w:r>
          </w:p>
        </w:tc>
        <w:tc>
          <w:tcPr>
            <w:tcW w:w="76" w:type="dxa"/>
            <w:tcBorders/>
            <w:shd w:fill="CCEEFF" w:val="clear"/>
            <w:vAlign w:val="bottom"/>
          </w:tcPr>
          <w:p>
            <w:pPr>
              <w:pStyle w:val="TableContents"/>
              <w:spacing w:before="0" w:after="283"/>
              <w:jc w:val="left"/>
              <w:rPr/>
            </w:pPr>
            <w:r>
              <w:rPr/>
              <w:t> </w:t>
            </w:r>
          </w:p>
        </w:tc>
      </w:tr>
      <w:tr>
        <w:trPr/>
        <w:tc>
          <w:tcPr>
            <w:tcW w:w="4213"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Dividend rate</w:t>
            </w:r>
          </w:p>
        </w:tc>
        <w:tc>
          <w:tcPr>
            <w:tcW w:w="75" w:type="dxa"/>
            <w:tcBorders/>
            <w:shd w:fill="FFFFFF" w:val="clear"/>
            <w:vAlign w:val="bottom"/>
          </w:tcPr>
          <w:p>
            <w:pPr>
              <w:pStyle w:val="TableContents"/>
              <w:spacing w:before="0" w:after="283"/>
              <w:rPr/>
            </w:pPr>
            <w:r>
              <w:rPr/>
              <w:t> </w:t>
            </w:r>
          </w:p>
        </w:tc>
        <w:tc>
          <w:tcPr>
            <w:tcW w:w="996"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c>
          <w:tcPr>
            <w:tcW w:w="75"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c>
          <w:tcPr>
            <w:tcW w:w="76"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c>
          <w:tcPr>
            <w:tcW w:w="76" w:type="dxa"/>
            <w:tcBorders/>
            <w:shd w:fill="FFFFFF" w:val="clear"/>
            <w:vAlign w:val="bottom"/>
          </w:tcPr>
          <w:p>
            <w:pPr>
              <w:pStyle w:val="TableContents"/>
              <w:spacing w:before="0" w:after="283"/>
              <w:jc w:val="left"/>
              <w:rPr/>
            </w:pPr>
            <w:r>
              <w:rPr/>
              <w:t> </w:t>
            </w:r>
          </w:p>
        </w:tc>
      </w:tr>
      <w:tr>
        <w:trPr/>
        <w:tc>
          <w:tcPr>
            <w:tcW w:w="4213" w:type="dxa"/>
            <w:tcBorders/>
            <w:shd w:fill="CCEEFF" w:val="clear"/>
            <w:vAlign w:val="bottom"/>
          </w:tcPr>
          <w:p>
            <w:pPr>
              <w:pStyle w:val="TableContents"/>
              <w:spacing w:before="0" w:after="283"/>
              <w:rPr/>
            </w:pPr>
            <w:r>
              <w:rPr/>
              <w:t xml:space="preserve">  </w:t>
            </w:r>
          </w:p>
        </w:tc>
        <w:tc>
          <w:tcPr>
            <w:tcW w:w="75"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center"/>
              <w:rPr/>
            </w:pPr>
            <w:r>
              <w:rPr/>
              <w:t> </w:t>
            </w:r>
          </w:p>
        </w:tc>
        <w:tc>
          <w:tcPr>
            <w:tcW w:w="76" w:type="dxa"/>
            <w:tcBorders/>
            <w:shd w:fill="CCEEFF" w:val="clear"/>
            <w:vAlign w:val="bottom"/>
          </w:tcPr>
          <w:p>
            <w:pPr>
              <w:pStyle w:val="TableContents"/>
              <w:spacing w:before="0" w:after="283"/>
              <w:jc w:val="left"/>
              <w:rPr/>
            </w:pPr>
            <w:r>
              <w:rPr/>
              <w:t> </w:t>
            </w:r>
          </w:p>
        </w:tc>
        <w:tc>
          <w:tcPr>
            <w:tcW w:w="76"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 </w:t>
            </w:r>
          </w:p>
        </w:tc>
        <w:tc>
          <w:tcPr>
            <w:tcW w:w="76" w:type="dxa"/>
            <w:tcBorders/>
            <w:shd w:fill="CCEEFF" w:val="clear"/>
            <w:vAlign w:val="bottom"/>
          </w:tcPr>
          <w:p>
            <w:pPr>
              <w:pStyle w:val="TableContents"/>
              <w:spacing w:before="0" w:after="283"/>
              <w:jc w:val="left"/>
              <w:rPr/>
            </w:pPr>
            <w:r>
              <w:rPr/>
              <w:t> </w:t>
            </w:r>
          </w:p>
        </w:tc>
      </w:tr>
      <w:tr>
        <w:trPr/>
        <w:tc>
          <w:tcPr>
            <w:tcW w:w="4213" w:type="dxa"/>
            <w:tcBorders/>
            <w:shd w:fill="FFFFFF"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Grant date fair value per share</w:t>
            </w:r>
          </w:p>
        </w:tc>
        <w:tc>
          <w:tcPr>
            <w:tcW w:w="75" w:type="dxa"/>
            <w:tcBorders/>
            <w:shd w:fill="FFFFFF" w:val="clear"/>
            <w:vAlign w:val="bottom"/>
          </w:tcPr>
          <w:p>
            <w:pPr>
              <w:pStyle w:val="TableContents"/>
              <w:spacing w:before="0" w:after="283"/>
              <w:rPr/>
            </w:pPr>
            <w:r>
              <w:rPr/>
              <w:t> </w:t>
            </w:r>
          </w:p>
        </w:tc>
        <w:tc>
          <w:tcPr>
            <w:tcW w:w="996"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$1.08</w:t>
            </w:r>
          </w:p>
        </w:tc>
        <w:tc>
          <w:tcPr>
            <w:tcW w:w="75"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$1.06</w:t>
            </w:r>
          </w:p>
        </w:tc>
        <w:tc>
          <w:tcPr>
            <w:tcW w:w="76" w:type="dxa"/>
            <w:tcBorders/>
            <w:shd w:fill="FFFFFF" w:val="clear"/>
            <w:vAlign w:val="bottom"/>
          </w:tcPr>
          <w:p>
            <w:pPr>
              <w:pStyle w:val="TableContents"/>
              <w:spacing w:before="0" w:after="283"/>
              <w:jc w:val="left"/>
              <w:rPr/>
            </w:pPr>
            <w:r>
              <w:rPr/>
              <w:t> </w:t>
            </w:r>
          </w:p>
        </w:tc>
        <w:tc>
          <w:tcPr>
            <w:tcW w:w="76"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$2.17</w:t>
            </w:r>
          </w:p>
        </w:tc>
        <w:tc>
          <w:tcPr>
            <w:tcW w:w="76" w:type="dxa"/>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228" w:name="PGBRK121"/>
      <w:bookmarkStart w:id="1229" w:name="PGBRK121"/>
      <w:bookmarkEnd w:id="1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30" w:name="FTR121"/>
      <w:bookmarkStart w:id="1231" w:name="FTR121"/>
      <w:bookmarkEnd w:id="1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32" w:name="GLFTR121"/>
      <w:bookmarkEnd w:id="1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3" w:name="PN121"/>
      <w:bookmarkEnd w:id="1233"/>
      <w:r>
        <w:rPr>
          <w:rFonts w:ascii="Times New Roman" w:hAnsi="Times New Roman"/>
          <w:sz w:val="20"/>
        </w:rPr>
        <w:t>-120-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34" w:name="HDR121"/>
      <w:bookmarkStart w:id="1235" w:name="HDR121"/>
      <w:bookmarkEnd w:id="1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36" w:name="GLHDR121"/>
        <w:bookmarkEnd w:id="123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(8)</w:t>
            </w:r>
          </w:p>
        </w:tc>
        <w:tc>
          <w:tcPr>
            <w:tcW w:w="979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 December 2006, VistaGen California accepted a full-recourse promissory note in the amount of $103,411 from Mr. Singh in payment of the exercise price for options and warrants to purchase an aggregate of 126,389 restricted shares of VistaGen California’s common stock. On May 11, 2011, in connection with the Merger, the $128,168 outstanding balance of the principal and accrued interest on this note was cancelled in accordance with Mr. Singh's 2010 employment agreement and was treated as additional compensation. In accordance with his employment agreement, Mr. Singh is entitled to an income tax gross-up on the compensation related to the note cancellation.  At March 31, 2012 and 2013, the Company had accrued $101,936 as an estimate of the gross-up amount payable to Mr. Singh, but had not yet paid such amount to Mr. Singh.</w:t>
            </w:r>
          </w:p>
        </w:tc>
      </w:tr>
      <w:tr>
        <w:trPr/>
        <w:tc>
          <w:tcPr>
            <w:tcW w:w="408" w:type="dxa"/>
            <w:tcBorders/>
            <w:shd w:fill="auto" w:val="clear"/>
          </w:tcPr>
          <w:p>
            <w:pPr>
              <w:pStyle w:val="TableContents"/>
              <w:spacing w:before="0" w:after="283"/>
              <w:rPr/>
            </w:pPr>
            <w:r>
              <w:rPr/>
              <w:t xml:space="preserve">  </w:t>
            </w:r>
          </w:p>
        </w:tc>
        <w:tc>
          <w:tcPr>
            <w:tcW w:w="9797" w:type="dxa"/>
            <w:tcBorders/>
            <w:shd w:fill="auto" w:val="clear"/>
            <w:vAlign w:val="center"/>
          </w:tcPr>
          <w:p>
            <w:pPr>
              <w:pStyle w:val="TableContents"/>
              <w:spacing w:before="0" w:after="283"/>
              <w:rPr/>
            </w:pPr>
            <w:r>
              <w:rPr/>
              <w:t xml:space="preserve">  </w:t>
            </w:r>
          </w:p>
        </w:tc>
      </w:tr>
      <w:tr>
        <w:trPr/>
        <w:tc>
          <w:tcPr>
            <w:tcW w:w="40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(9)</w:t>
            </w:r>
          </w:p>
        </w:tc>
        <w:tc>
          <w:tcPr>
            <w:tcW w:w="979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 December 2011, Dr. Snodgrass received a non-cash compensation award of $100,000 enabling his cashless exercise of previously granted options to purchase 113,636 restricted shares of our common stock at an exercise price of $0.88 per share.</w:t>
            </w:r>
          </w:p>
        </w:tc>
      </w:tr>
      <w:tr>
        <w:trPr/>
        <w:tc>
          <w:tcPr>
            <w:tcW w:w="408" w:type="dxa"/>
            <w:tcBorders/>
            <w:shd w:fill="auto" w:val="clear"/>
          </w:tcPr>
          <w:p>
            <w:pPr>
              <w:pStyle w:val="TableContents"/>
              <w:spacing w:before="0" w:after="283"/>
              <w:rPr/>
            </w:pPr>
            <w:r>
              <w:rPr/>
              <w:t xml:space="preserve">  </w:t>
            </w:r>
          </w:p>
        </w:tc>
        <w:tc>
          <w:tcPr>
            <w:tcW w:w="9797" w:type="dxa"/>
            <w:tcBorders/>
            <w:shd w:fill="auto" w:val="clear"/>
            <w:vAlign w:val="center"/>
          </w:tcPr>
          <w:p>
            <w:pPr>
              <w:pStyle w:val="TableContents"/>
              <w:spacing w:before="0" w:after="283"/>
              <w:rPr/>
            </w:pPr>
            <w:r>
              <w:rPr/>
              <w:t xml:space="preserve">  </w:t>
            </w:r>
          </w:p>
        </w:tc>
      </w:tr>
      <w:tr>
        <w:trPr/>
        <w:tc>
          <w:tcPr>
            <w:tcW w:w="40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(10)</w:t>
            </w:r>
          </w:p>
        </w:tc>
        <w:tc>
          <w:tcPr>
            <w:tcW w:w="9797" w:type="dxa"/>
            <w:tcBorders/>
            <w:shd w:fill="auto" w:val="clear"/>
            <w:vAlign w:val="center"/>
          </w:tcPr>
          <w:p>
            <w:pPr>
              <w:pStyle w:val="TableContents"/>
              <w:spacing w:before="0" w:after="0"/>
              <w:ind w:left="0" w:right="16" w:hanging="0"/>
              <w:jc w:val="both"/>
              <w:rPr>
                <w:rFonts w:ascii="times new roman" w:hAnsi="times new roman"/>
                <w:sz w:val="20"/>
              </w:rPr>
            </w:pPr>
            <w:r>
              <w:rPr>
                <w:rFonts w:ascii="times new roman" w:hAnsi="times new roman"/>
                <w:sz w:val="20"/>
              </w:rPr>
              <w:t>Amounts shown represent cash compensation paid to Mr. Dotson under the terms of the consulting agreement between the Company and Mr. Dotson for the periods April 2012 through August 2012 and September 2011 through March 2012, respectively.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 of the NEOs is entitled to perquisites or other personal benefits which, in the aggregate, are worth over $50,000 or over 10% of their base salary.</w:t>
      </w:r>
    </w:p>
    <w:p>
      <w:pPr>
        <w:pStyle w:val="TextBody"/>
        <w:spacing w:before="0" w:after="0"/>
        <w:ind w:left="0" w:right="0" w:hanging="0"/>
        <w:jc w:val="both"/>
        <w:rPr/>
      </w:pPr>
      <w:r>
        <w:rPr/>
      </w:r>
      <w:bookmarkStart w:id="1237" w:name="eolPage61"/>
      <w:bookmarkStart w:id="1238" w:name="eolPage61"/>
      <w:bookmarkEnd w:id="1238"/>
    </w:p>
    <w:p>
      <w:pPr>
        <w:pStyle w:val="TextBody"/>
        <w:spacing w:before="0" w:after="0"/>
        <w:ind w:left="0" w:right="0" w:hanging="0"/>
        <w:jc w:val="left"/>
        <w:rPr>
          <w:rFonts w:ascii="Times New Roman" w:hAnsi="Times New Roman"/>
          <w:b/>
          <w:sz w:val="20"/>
        </w:rPr>
      </w:pPr>
      <w:r>
        <w:rPr>
          <w:rFonts w:ascii="Times New Roman" w:hAnsi="Times New Roman"/>
          <w:b/>
          <w:sz w:val="20"/>
        </w:rPr>
        <w:t>Benefit Plans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401(k)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9" w:name="PGBRK122"/>
      <w:bookmarkStart w:id="1240" w:name="PGBRK122"/>
      <w:bookmarkEnd w:id="1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1" w:name="FTR122"/>
      <w:bookmarkStart w:id="1242" w:name="FTR122"/>
      <w:bookmarkEnd w:id="1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43" w:name="GLFTR122"/>
      <w:bookmarkEnd w:id="1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44" w:name="PN122"/>
      <w:bookmarkEnd w:id="1244"/>
      <w:r>
        <w:rPr>
          <w:rFonts w:ascii="Times New Roman" w:hAnsi="Times New Roman"/>
          <w:sz w:val="20"/>
        </w:rPr>
        <w:t>-121-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5" w:name="HDR122"/>
      <w:bookmarkStart w:id="1246" w:name="HDR122"/>
      <w:bookmarkEnd w:id="1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47" w:name="GLHDR122"/>
        <w:bookmarkEnd w:id="12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Options and Warrants Granted to NEOs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provides information regarding each compensation-related unexercised stock option and warrant to purchase restricted shares of our common stock held by each of the NEOs as of March 31, 2013.</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74"/>
        <w:gridCol w:w="102"/>
        <w:gridCol w:w="102"/>
        <w:gridCol w:w="1837"/>
        <w:gridCol w:w="102"/>
        <w:gridCol w:w="1735"/>
        <w:gridCol w:w="204"/>
        <w:gridCol w:w="1224"/>
        <w:gridCol w:w="102"/>
        <w:gridCol w:w="1123"/>
      </w:tblGrid>
      <w:tr>
        <w:trPr/>
        <w:tc>
          <w:tcPr>
            <w:tcW w:w="3674" w:type="dxa"/>
            <w:tcBorders/>
            <w:shd w:fill="auto" w:val="clear"/>
            <w:vAlign w:val="bottom"/>
          </w:tcPr>
          <w:p>
            <w:pPr>
              <w:pStyle w:val="TableContents"/>
              <w:spacing w:before="0" w:after="283"/>
              <w:jc w:val="left"/>
              <w:rPr/>
            </w:pPr>
            <w:r>
              <w:rPr/>
              <w:t xml:space="preserve">  </w:t>
            </w:r>
          </w:p>
        </w:tc>
        <w:tc>
          <w:tcPr>
            <w:tcW w:w="102" w:type="dxa"/>
            <w:tcBorders/>
            <w:shd w:fill="auto" w:val="clear"/>
            <w:vAlign w:val="bottom"/>
          </w:tcPr>
          <w:p>
            <w:pPr>
              <w:pStyle w:val="TableContents"/>
              <w:spacing w:before="0" w:after="283"/>
              <w:jc w:val="left"/>
              <w:rPr/>
            </w:pPr>
            <w:r>
              <w:rPr/>
              <w:t xml:space="preserve">  </w:t>
            </w:r>
          </w:p>
        </w:tc>
        <w:tc>
          <w:tcPr>
            <w:tcW w:w="6429" w:type="dxa"/>
            <w:gridSpan w:val="8"/>
            <w:tcBorders>
              <w:bottom w:val="single" w:sz="12" w:space="0" w:color="000000"/>
            </w:tcBorders>
            <w:shd w:fill="auto" w:val="clear"/>
            <w:tcMar>
              <w:bottom w:w="28" w:type="dxa"/>
            </w:tcMar>
            <w:vAlign w:val="bottom"/>
          </w:tcPr>
          <w:p>
            <w:pPr>
              <w:pStyle w:val="TableContents"/>
              <w:spacing w:before="0" w:after="0"/>
              <w:ind w:left="0" w:right="176" w:hanging="0"/>
              <w:jc w:val="center"/>
              <w:rPr>
                <w:rFonts w:ascii="times new roman" w:hAnsi="times new roman"/>
                <w:b/>
                <w:sz w:val="20"/>
              </w:rPr>
            </w:pPr>
            <w:r>
              <w:rPr>
                <w:rFonts w:ascii="times new roman" w:hAnsi="times new roman"/>
                <w:b/>
                <w:sz w:val="20"/>
              </w:rPr>
              <w:t>Stock Options</w:t>
            </w:r>
          </w:p>
        </w:tc>
      </w:tr>
      <w:tr>
        <w:trPr/>
        <w:tc>
          <w:tcPr>
            <w:tcW w:w="3674"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Name</w:t>
            </w:r>
          </w:p>
        </w:tc>
        <w:tc>
          <w:tcPr>
            <w:tcW w:w="102" w:type="dxa"/>
            <w:tcBorders/>
            <w:shd w:fill="auto" w:val="clear"/>
            <w:vAlign w:val="bottom"/>
          </w:tcPr>
          <w:p>
            <w:pPr>
              <w:pStyle w:val="TableContents"/>
              <w:spacing w:before="0" w:after="283"/>
              <w:jc w:val="left"/>
              <w:rPr/>
            </w:pPr>
            <w:r>
              <w:rPr/>
              <w:t xml:space="preserve">  </w:t>
            </w:r>
          </w:p>
        </w:tc>
        <w:tc>
          <w:tcPr>
            <w:tcW w:w="1939"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Underlying Unexercised</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 Exercisable</w:t>
            </w:r>
          </w:p>
        </w:tc>
        <w:tc>
          <w:tcPr>
            <w:tcW w:w="102" w:type="dxa"/>
            <w:tcBorders/>
            <w:shd w:fill="auto" w:val="clear"/>
            <w:vAlign w:val="bottom"/>
          </w:tcPr>
          <w:p>
            <w:pPr>
              <w:pStyle w:val="TableContents"/>
              <w:spacing w:before="0" w:after="283"/>
              <w:jc w:val="left"/>
              <w:rPr/>
            </w:pPr>
            <w:r>
              <w:rPr/>
              <w:t xml:space="preserve">  </w:t>
            </w:r>
          </w:p>
        </w:tc>
        <w:tc>
          <w:tcPr>
            <w:tcW w:w="1735" w:type="dxa"/>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Underlying Unexercised</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(#)Unexercisable</w:t>
            </w:r>
          </w:p>
        </w:tc>
        <w:tc>
          <w:tcPr>
            <w:tcW w:w="204" w:type="dxa"/>
            <w:tcBorders/>
            <w:shd w:fill="auto" w:val="clear"/>
            <w:vAlign w:val="bottom"/>
          </w:tcPr>
          <w:p>
            <w:pPr>
              <w:pStyle w:val="TableContents"/>
              <w:spacing w:before="0" w:after="283"/>
              <w:jc w:val="left"/>
              <w:rPr/>
            </w:pPr>
            <w:r>
              <w:rPr/>
              <w:t xml:space="preserve">  </w:t>
            </w:r>
          </w:p>
        </w:tc>
        <w:tc>
          <w:tcPr>
            <w:tcW w:w="1224"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16" w:hanging="0"/>
              <w:jc w:val="center"/>
              <w:rPr/>
            </w:pPr>
            <w:r>
              <w:rPr>
                <w:rFonts w:ascii="times new roman" w:hAnsi="times new roman"/>
                <w:b/>
                <w:sz w:val="20"/>
              </w:rPr>
              <w:t xml:space="preserve">Price </w:t>
            </w:r>
            <w:r>
              <w:rPr>
                <w:rFonts w:ascii="times new roman" w:hAnsi="times new roman"/>
                <w:sz w:val="20"/>
              </w:rPr>
              <w:t>($)</w:t>
            </w:r>
          </w:p>
        </w:tc>
        <w:tc>
          <w:tcPr>
            <w:tcW w:w="102" w:type="dxa"/>
            <w:tcBorders/>
            <w:shd w:fill="auto" w:val="clear"/>
            <w:vAlign w:val="bottom"/>
          </w:tcPr>
          <w:p>
            <w:pPr>
              <w:pStyle w:val="TableContents"/>
              <w:spacing w:before="0" w:after="283"/>
              <w:rPr/>
            </w:pPr>
            <w:r>
              <w:rPr/>
              <w:t> </w:t>
            </w:r>
          </w:p>
        </w:tc>
        <w:tc>
          <w:tcPr>
            <w:tcW w:w="1123"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Expiration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Date</w:t>
            </w:r>
          </w:p>
        </w:tc>
      </w:tr>
      <w:tr>
        <w:trPr/>
        <w:tc>
          <w:tcPr>
            <w:tcW w:w="3674" w:type="dxa"/>
            <w:tcBorders/>
            <w:shd w:fill="auto" w:val="clear"/>
            <w:vAlign w:val="bottom"/>
          </w:tcPr>
          <w:p>
            <w:pPr>
              <w:pStyle w:val="TableContents"/>
              <w:spacing w:before="0" w:after="283"/>
              <w:jc w:val="left"/>
              <w:rPr/>
            </w:pPr>
            <w:r>
              <w:rPr/>
              <w:t xml:space="preserve">  </w:t>
            </w:r>
          </w:p>
        </w:tc>
        <w:tc>
          <w:tcPr>
            <w:tcW w:w="102" w:type="dxa"/>
            <w:tcBorders/>
            <w:shd w:fill="auto" w:val="clear"/>
            <w:vAlign w:val="bottom"/>
          </w:tcPr>
          <w:p>
            <w:pPr>
              <w:pStyle w:val="TableContents"/>
              <w:spacing w:before="0" w:after="283"/>
              <w:jc w:val="left"/>
              <w:rPr/>
            </w:pPr>
            <w:r>
              <w:rPr/>
              <w:t xml:space="preserve">  </w:t>
            </w:r>
          </w:p>
        </w:tc>
        <w:tc>
          <w:tcPr>
            <w:tcW w:w="1939" w:type="dxa"/>
            <w:gridSpan w:val="2"/>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xml:space="preserve">  </w:t>
            </w:r>
          </w:p>
        </w:tc>
        <w:tc>
          <w:tcPr>
            <w:tcW w:w="1735"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jc w:val="left"/>
              <w:rPr/>
            </w:pPr>
            <w:r>
              <w:rPr/>
              <w:t xml:space="preserve">  </w:t>
            </w:r>
          </w:p>
        </w:tc>
        <w:tc>
          <w:tcPr>
            <w:tcW w:w="1224" w:type="dxa"/>
            <w:tcBorders/>
            <w:shd w:fill="auto" w:val="clear"/>
            <w:vAlign w:val="bottom"/>
          </w:tcPr>
          <w:p>
            <w:pPr>
              <w:pStyle w:val="TableContents"/>
              <w:spacing w:before="0" w:after="283"/>
              <w:jc w:val="left"/>
              <w:rPr/>
            </w:pPr>
            <w:r>
              <w:rPr/>
              <w:t xml:space="preserve">  </w:t>
            </w:r>
          </w:p>
        </w:tc>
        <w:tc>
          <w:tcPr>
            <w:tcW w:w="10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left"/>
              <w:rPr/>
            </w:pPr>
            <w:r>
              <w:rPr/>
              <w:t xml:space="preserve">  </w:t>
            </w:r>
          </w:p>
        </w:tc>
      </w:tr>
      <w:tr>
        <w:trPr/>
        <w:tc>
          <w:tcPr>
            <w:tcW w:w="367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Shawn K. Singh, J.D. </w:t>
            </w:r>
          </w:p>
        </w:tc>
        <w:tc>
          <w:tcPr>
            <w:tcW w:w="102"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0.80</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12/21/2016</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40,000</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0.72</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5/17/2017</w:t>
            </w:r>
          </w:p>
        </w:tc>
      </w:tr>
      <w:tr>
        <w:trPr/>
        <w:tc>
          <w:tcPr>
            <w:tcW w:w="3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2.10</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1/17/2018</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2.10</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1/17/2018</w:t>
            </w:r>
          </w:p>
        </w:tc>
      </w:tr>
      <w:tr>
        <w:trPr/>
        <w:tc>
          <w:tcPr>
            <w:tcW w:w="3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3/24/2019</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22,500</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6/17/2019</w:t>
            </w:r>
          </w:p>
        </w:tc>
      </w:tr>
      <w:tr>
        <w:trPr/>
        <w:tc>
          <w:tcPr>
            <w:tcW w:w="3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11/4/2019</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425,000</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12/30/2019</w:t>
            </w:r>
          </w:p>
        </w:tc>
      </w:tr>
      <w:tr>
        <w:trPr/>
        <w:tc>
          <w:tcPr>
            <w:tcW w:w="3674"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47,916</w:t>
            </w:r>
          </w:p>
        </w:tc>
        <w:tc>
          <w:tcPr>
            <w:tcW w:w="102" w:type="dxa"/>
            <w:tcBorders/>
            <w:shd w:fill="CCEEFF" w:val="clear"/>
            <w:vAlign w:val="bottom"/>
          </w:tcPr>
          <w:p>
            <w:pPr>
              <w:pStyle w:val="TableContents"/>
              <w:spacing w:before="0" w:after="283"/>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52,084</w:t>
            </w:r>
          </w:p>
        </w:tc>
        <w:tc>
          <w:tcPr>
            <w:tcW w:w="204" w:type="dxa"/>
            <w:tcBorders/>
            <w:shd w:fill="CCEEFF" w:val="clear"/>
            <w:vAlign w:val="bottom"/>
          </w:tcPr>
          <w:p>
            <w:pPr>
              <w:pStyle w:val="TableContents"/>
              <w:spacing w:before="0" w:after="283"/>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1.75</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4/25/2021</w:t>
            </w:r>
          </w:p>
        </w:tc>
      </w:tr>
      <w:tr>
        <w:trPr/>
        <w:tc>
          <w:tcPr>
            <w:tcW w:w="3674"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xml:space="preserve">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837" w:type="dxa"/>
            <w:tcBorders>
              <w:bottom w:val="single" w:sz="12" w:space="0" w:color="000000"/>
            </w:tcBorders>
            <w:shd w:fill="FFFF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xml:space="preserve">  </w:t>
            </w:r>
          </w:p>
        </w:tc>
        <w:tc>
          <w:tcPr>
            <w:tcW w:w="1735" w:type="dxa"/>
            <w:tcBorders>
              <w:bottom w:val="single" w:sz="12" w:space="0" w:color="000000"/>
            </w:tcBorders>
            <w:shd w:fill="FFFF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1,500,000</w:t>
            </w:r>
          </w:p>
        </w:tc>
        <w:tc>
          <w:tcPr>
            <w:tcW w:w="204"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0.64</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3/3/2023</w:t>
            </w:r>
          </w:p>
        </w:tc>
      </w:tr>
      <w:tr>
        <w:trPr/>
        <w:tc>
          <w:tcPr>
            <w:tcW w:w="3674" w:type="dxa"/>
            <w:tcBorders/>
            <w:shd w:fill="CCEEFF" w:val="clear"/>
            <w:vAlign w:val="bottom"/>
          </w:tcPr>
          <w:p>
            <w:pPr>
              <w:pStyle w:val="TableContents"/>
              <w:spacing w:before="0" w:after="0"/>
              <w:ind w:left="0" w:right="16" w:hanging="0"/>
              <w:jc w:val="left"/>
              <w:rPr/>
            </w:pPr>
            <w:r>
              <w:rPr/>
              <w:t xml:space="preserve">  </w:t>
            </w:r>
            <w:r>
              <w:rPr>
                <w:rFonts w:ascii="times new roman" w:hAnsi="times new roman"/>
                <w:b/>
                <w:sz w:val="20"/>
              </w:rPr>
              <w:t>Total:</w:t>
            </w:r>
          </w:p>
        </w:tc>
        <w:tc>
          <w:tcPr>
            <w:tcW w:w="102"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1,655,416</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pPr>
            <w:r>
              <w:rPr/>
              <w:t> </w:t>
            </w:r>
            <w:r>
              <w:rPr>
                <w:rFonts w:ascii="times new roman" w:hAnsi="times new roman"/>
                <w:sz w:val="20"/>
              </w:rPr>
              <w:t>1,552,084</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left"/>
              <w:rPr/>
            </w:pPr>
            <w:r>
              <w:rPr/>
              <w:t xml:space="preserve">  </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735"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122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rPr/>
            </w:pPr>
            <w:r>
              <w:rPr/>
              <w:t xml:space="preserve">  </w:t>
            </w:r>
          </w:p>
        </w:tc>
      </w:tr>
      <w:tr>
        <w:trPr/>
        <w:tc>
          <w:tcPr>
            <w:tcW w:w="367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H. Ralph Snodgrass, Ph.D. </w:t>
            </w:r>
          </w:p>
        </w:tc>
        <w:tc>
          <w:tcPr>
            <w:tcW w:w="102"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3/24/2014</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25,000</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6/17/2014</w:t>
            </w:r>
          </w:p>
        </w:tc>
      </w:tr>
      <w:tr>
        <w:trPr/>
        <w:tc>
          <w:tcPr>
            <w:tcW w:w="3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1.65</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11/4/2014</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6,362</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0.88</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12/20/2016</w:t>
            </w:r>
          </w:p>
        </w:tc>
      </w:tr>
      <w:tr>
        <w:trPr/>
        <w:tc>
          <w:tcPr>
            <w:tcW w:w="3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837"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250,000</w:t>
            </w:r>
          </w:p>
        </w:tc>
        <w:tc>
          <w:tcPr>
            <w:tcW w:w="102" w:type="dxa"/>
            <w:tcBorders/>
            <w:shd w:fill="CCEEFF" w:val="clear"/>
            <w:vAlign w:val="bottom"/>
          </w:tcPr>
          <w:p>
            <w:pPr>
              <w:pStyle w:val="TableContents"/>
              <w:spacing w:before="0" w:after="283"/>
              <w:jc w:val="left"/>
              <w:rPr/>
            </w:pPr>
            <w:r>
              <w:rPr/>
              <w:t xml:space="preserve">  </w:t>
            </w:r>
          </w:p>
        </w:tc>
        <w:tc>
          <w:tcPr>
            <w:tcW w:w="1735"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04" w:type="dxa"/>
            <w:tcBorders/>
            <w:shd w:fill="CCEEFF" w:val="clear"/>
            <w:vAlign w:val="bottom"/>
          </w:tcPr>
          <w:p>
            <w:pPr>
              <w:pStyle w:val="TableContents"/>
              <w:spacing w:before="0" w:after="283"/>
              <w:jc w:val="left"/>
              <w:rPr/>
            </w:pPr>
            <w:r>
              <w:rPr/>
              <w:t xml:space="preserve">  </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12/30/2019</w:t>
            </w:r>
          </w:p>
        </w:tc>
      </w:tr>
      <w:tr>
        <w:trPr/>
        <w:tc>
          <w:tcPr>
            <w:tcW w:w="3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47,916</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52,084</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1.925</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4/25/2021</w:t>
            </w:r>
          </w:p>
        </w:tc>
      </w:tr>
      <w:tr>
        <w:trPr/>
        <w:tc>
          <w:tcPr>
            <w:tcW w:w="3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xml:space="preserve">  </w:t>
            </w:r>
          </w:p>
        </w:tc>
        <w:tc>
          <w:tcPr>
            <w:tcW w:w="102"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1837"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xml:space="preserve">  </w:t>
            </w:r>
          </w:p>
        </w:tc>
        <w:tc>
          <w:tcPr>
            <w:tcW w:w="1735"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1,000,000</w:t>
            </w:r>
          </w:p>
        </w:tc>
        <w:tc>
          <w:tcPr>
            <w:tcW w:w="20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122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0.64</w:t>
            </w:r>
          </w:p>
        </w:tc>
        <w:tc>
          <w:tcPr>
            <w:tcW w:w="10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3/3/2023</w:t>
            </w:r>
          </w:p>
        </w:tc>
      </w:tr>
      <w:tr>
        <w:trPr/>
        <w:tc>
          <w:tcPr>
            <w:tcW w:w="3674" w:type="dxa"/>
            <w:tcBorders/>
            <w:shd w:fill="FFFFFF" w:val="clear"/>
            <w:vAlign w:val="bottom"/>
          </w:tcPr>
          <w:p>
            <w:pPr>
              <w:pStyle w:val="TableContents"/>
              <w:spacing w:before="0" w:after="0"/>
              <w:ind w:left="0" w:right="16" w:hanging="0"/>
              <w:jc w:val="left"/>
              <w:rPr/>
            </w:pPr>
            <w:r>
              <w:rPr/>
              <w:t xml:space="preserve">  </w:t>
            </w:r>
            <w:r>
              <w:rPr>
                <w:rFonts w:ascii="times new roman" w:hAnsi="times new roman"/>
                <w:b/>
                <w:sz w:val="20"/>
              </w:rPr>
              <w:t>Total:</w:t>
            </w:r>
          </w:p>
        </w:tc>
        <w:tc>
          <w:tcPr>
            <w:tcW w:w="10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xml:space="preserve">  </w:t>
            </w:r>
          </w:p>
        </w:tc>
        <w:tc>
          <w:tcPr>
            <w:tcW w:w="1837"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529,278</w:t>
            </w:r>
          </w:p>
        </w:tc>
        <w:tc>
          <w:tcPr>
            <w:tcW w:w="102" w:type="dxa"/>
            <w:tcBorders/>
            <w:shd w:fill="FFFFFF" w:val="clear"/>
            <w:vAlign w:val="bottom"/>
          </w:tcPr>
          <w:p>
            <w:pPr>
              <w:pStyle w:val="TableContents"/>
              <w:spacing w:before="0" w:after="283"/>
              <w:jc w:val="left"/>
              <w:rPr/>
            </w:pPr>
            <w:r>
              <w:rPr/>
              <w:t xml:space="preserve">  </w:t>
            </w:r>
          </w:p>
        </w:tc>
        <w:tc>
          <w:tcPr>
            <w:tcW w:w="1735"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1,052,084</w:t>
            </w:r>
          </w:p>
        </w:tc>
        <w:tc>
          <w:tcPr>
            <w:tcW w:w="204" w:type="dxa"/>
            <w:tcBorders/>
            <w:shd w:fill="FFFFFF" w:val="clear"/>
            <w:vAlign w:val="bottom"/>
          </w:tcPr>
          <w:p>
            <w:pPr>
              <w:pStyle w:val="TableContents"/>
              <w:spacing w:before="0" w:after="283"/>
              <w:jc w:val="left"/>
              <w:rPr/>
            </w:pPr>
            <w:r>
              <w:rPr/>
              <w:t xml:space="preserve">  </w:t>
            </w:r>
          </w:p>
        </w:tc>
        <w:tc>
          <w:tcPr>
            <w:tcW w:w="1224"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rPr/>
            </w:pPr>
            <w:r>
              <w:rPr/>
              <w:t xml:space="preserve">  </w:t>
            </w:r>
          </w:p>
        </w:tc>
      </w:tr>
    </w:tbl>
    <w:tbl>
      <w:tblPr>
        <w:tblW w:w="5000" w:type="pct"/>
        <w:jc w:val="left"/>
        <w:tblInd w:w="0" w:type="dxa"/>
        <w:tblCellMar>
          <w:top w:w="0" w:type="dxa"/>
          <w:left w:w="0" w:type="dxa"/>
          <w:bottom w:w="0" w:type="dxa"/>
          <w:right w:w="0" w:type="dxa"/>
        </w:tblCellMar>
      </w:tblPr>
      <w:tblGrid>
        <w:gridCol w:w="3675"/>
        <w:gridCol w:w="102"/>
        <w:gridCol w:w="101"/>
        <w:gridCol w:w="1838"/>
        <w:gridCol w:w="101"/>
        <w:gridCol w:w="1736"/>
        <w:gridCol w:w="203"/>
        <w:gridCol w:w="1225"/>
        <w:gridCol w:w="101"/>
        <w:gridCol w:w="1123"/>
      </w:tblGrid>
      <w:tr>
        <w:trPr/>
        <w:tc>
          <w:tcPr>
            <w:tcW w:w="367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83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1736"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r>
      <w:tr>
        <w:trPr/>
        <w:tc>
          <w:tcPr>
            <w:tcW w:w="367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Jerrold D. Dotson</w:t>
            </w:r>
          </w:p>
        </w:tc>
        <w:tc>
          <w:tcPr>
            <w:tcW w:w="10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838"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31,533</w:t>
            </w:r>
          </w:p>
        </w:tc>
        <w:tc>
          <w:tcPr>
            <w:tcW w:w="101" w:type="dxa"/>
            <w:tcBorders/>
            <w:shd w:fill="FFFFFF" w:val="clear"/>
            <w:vAlign w:val="bottom"/>
          </w:tcPr>
          <w:p>
            <w:pPr>
              <w:pStyle w:val="TableContents"/>
              <w:spacing w:before="0" w:after="283"/>
              <w:rPr/>
            </w:pPr>
            <w:r>
              <w:rPr/>
              <w:t xml:space="preserve">  </w:t>
            </w:r>
          </w:p>
        </w:tc>
        <w:tc>
          <w:tcPr>
            <w:tcW w:w="1736"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68,447</w:t>
            </w:r>
          </w:p>
        </w:tc>
        <w:tc>
          <w:tcPr>
            <w:tcW w:w="203"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0.75</w:t>
            </w:r>
          </w:p>
        </w:tc>
        <w:tc>
          <w:tcPr>
            <w:tcW w:w="101"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10/30/2022</w:t>
            </w:r>
          </w:p>
        </w:tc>
      </w:tr>
      <w:tr>
        <w:trPr/>
        <w:tc>
          <w:tcPr>
            <w:tcW w:w="3675" w:type="dxa"/>
            <w:tcBorders/>
            <w:shd w:fill="CCEEFF" w:val="clear"/>
            <w:vAlign w:val="bottom"/>
          </w:tcPr>
          <w:p>
            <w:pPr>
              <w:pStyle w:val="TableContents"/>
              <w:spacing w:before="0" w:after="283"/>
              <w:jc w:val="left"/>
              <w:rPr/>
            </w:pPr>
            <w:r>
              <w:rPr/>
              <w:t xml:space="preserve">  </w:t>
            </w:r>
          </w:p>
        </w:tc>
        <w:tc>
          <w:tcPr>
            <w:tcW w:w="102"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838"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xml:space="preserve">  </w:t>
            </w:r>
          </w:p>
        </w:tc>
        <w:tc>
          <w:tcPr>
            <w:tcW w:w="1736"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200,000</w:t>
            </w:r>
          </w:p>
        </w:tc>
        <w:tc>
          <w:tcPr>
            <w:tcW w:w="20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122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0.64</w:t>
            </w:r>
          </w:p>
        </w:tc>
        <w:tc>
          <w:tcPr>
            <w:tcW w:w="1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3/3/2023</w:t>
            </w:r>
          </w:p>
        </w:tc>
      </w:tr>
      <w:tr>
        <w:trPr/>
        <w:tc>
          <w:tcPr>
            <w:tcW w:w="3675" w:type="dxa"/>
            <w:tcBorders/>
            <w:shd w:fill="FFFFFF" w:val="clear"/>
            <w:vAlign w:val="bottom"/>
          </w:tcPr>
          <w:p>
            <w:pPr>
              <w:pStyle w:val="TableContents"/>
              <w:spacing w:before="0" w:after="0"/>
              <w:ind w:left="0" w:right="16" w:hanging="0"/>
              <w:jc w:val="left"/>
              <w:rPr/>
            </w:pPr>
            <w:r>
              <w:rPr/>
              <w:t xml:space="preserve">  </w:t>
            </w:r>
            <w:r>
              <w:rPr>
                <w:rFonts w:ascii="times new roman" w:hAnsi="times new roman"/>
                <w:b/>
                <w:sz w:val="20"/>
              </w:rPr>
              <w:t>Total:</w:t>
            </w:r>
          </w:p>
        </w:tc>
        <w:tc>
          <w:tcPr>
            <w:tcW w:w="10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838"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31,353</w:t>
            </w:r>
          </w:p>
        </w:tc>
        <w:tc>
          <w:tcPr>
            <w:tcW w:w="101" w:type="dxa"/>
            <w:tcBorders/>
            <w:shd w:fill="FFFFFF" w:val="clear"/>
            <w:vAlign w:val="bottom"/>
          </w:tcPr>
          <w:p>
            <w:pPr>
              <w:pStyle w:val="TableContents"/>
              <w:spacing w:before="0" w:after="283"/>
              <w:jc w:val="left"/>
              <w:rPr/>
            </w:pPr>
            <w:r>
              <w:rPr/>
              <w:t xml:space="preserve">  </w:t>
            </w:r>
          </w:p>
        </w:tc>
        <w:tc>
          <w:tcPr>
            <w:tcW w:w="1736"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268,447</w:t>
            </w:r>
          </w:p>
        </w:tc>
        <w:tc>
          <w:tcPr>
            <w:tcW w:w="203" w:type="dxa"/>
            <w:tcBorders/>
            <w:shd w:fill="FFFFFF" w:val="clear"/>
            <w:vAlign w:val="bottom"/>
          </w:tcPr>
          <w:p>
            <w:pPr>
              <w:pStyle w:val="TableContents"/>
              <w:spacing w:before="0" w:after="283"/>
              <w:jc w:val="left"/>
              <w:rPr/>
            </w:pPr>
            <w:r>
              <w:rPr/>
              <w:t xml:space="preserve">  </w:t>
            </w:r>
          </w:p>
        </w:tc>
        <w:tc>
          <w:tcPr>
            <w:tcW w:w="1225"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9696" w:type="dxa"/>
            <w:tcBorders/>
            <w:shd w:fill="auto" w:val="clear"/>
            <w:vAlign w:val="center"/>
          </w:tcPr>
          <w:p>
            <w:pPr>
              <w:pStyle w:val="TableContents"/>
              <w:spacing w:before="0" w:after="0"/>
              <w:ind w:left="0" w:right="16" w:hanging="0"/>
              <w:jc w:val="both"/>
              <w:rPr>
                <w:rFonts w:ascii="times new roman" w:hAnsi="times new roman"/>
                <w:sz w:val="20"/>
              </w:rPr>
            </w:pPr>
            <w:r>
              <w:rPr>
                <w:rFonts w:ascii="times new roman" w:hAnsi="times new roman"/>
                <w:sz w:val="20"/>
              </w:rPr>
              <w:t>Represents warrant to purchase restricted shares of our common stock granted on March 3, 2013 at the market price of our common stock on the grant date.   The warrant becomes exercisable for 50% of the shares on April 1, 2013, 25% of the shares on April 1, 2014 and 25% of the shares on April 1, 2015, provided that the warrant will become fully vested upon a change in control of the Company, as defined, or upon the consummation by the Company and a third party of a license or sale transaction involving at least one new drug rescue variant.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Employment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Mr. Singh and Dr. Snodgrass have entered into employment agreements with us that were effective during the fiscal years ended March 31, 2012 and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8" w:name="PGBRK123"/>
      <w:bookmarkStart w:id="1249" w:name="PGBRK123"/>
      <w:bookmarkEnd w:id="1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0" w:name="FTR123"/>
      <w:bookmarkStart w:id="1251" w:name="FTR123"/>
      <w:bookmarkEnd w:id="1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52" w:name="GLFTR123"/>
      <w:bookmarkEnd w:id="1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3" w:name="PN123"/>
      <w:bookmarkEnd w:id="1253"/>
      <w:r>
        <w:rPr>
          <w:rFonts w:ascii="Times New Roman" w:hAnsi="Times New Roman"/>
          <w:sz w:val="20"/>
        </w:rPr>
        <w:t>-122-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4" w:name="HDR123"/>
      <w:bookmarkStart w:id="1255" w:name="HDR123"/>
      <w:bookmarkEnd w:id="1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56" w:name="GLHDR123"/>
        <w:bookmarkEnd w:id="125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Singh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Mr. Singh entered into an employment agreement with VistaGen California, dated as of April 28, 2010, as amended on May 9, 2011, (the “</w:t>
      </w:r>
      <w:r>
        <w:rPr>
          <w:rFonts w:ascii="Times New Roman" w:hAnsi="Times New Roman"/>
          <w:i/>
          <w:sz w:val="20"/>
        </w:rPr>
        <w:t>Singh Agreement</w:t>
      </w:r>
      <w:r>
        <w:rPr>
          <w:rFonts w:ascii="Times New Roman" w:hAnsi="Times New Roman"/>
          <w:sz w:val="20"/>
        </w:rPr>
        <w:t>”), which we have assumed. Under the Singh Agreement, Mr. Singh’s base salary is $347,500 per year. However, in our fiscal years ended March 31, 2013 and 2012, Mr. Singh voluntarily reduced his annual base salary to $201,646 and $292,268, respectively, to conserve cash for our operations.   Mr. Singh is eligible to receive an annual incentive bonus of up to 50% of his base salary. Payment of his annual incentive bonus is at the discretion of the Compensation Committee of our Board of Directors. In the event we terminate Mr. Singh’s employment without cause, he is entitled to receive severance in an amount equal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twelve months of his then-current base salary payable in the form of salary continuation;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tcPr>
          <w:p>
            <w:pPr>
              <w:pStyle w:val="TableContents"/>
              <w:spacing w:before="0" w:after="0"/>
              <w:ind w:left="0" w:right="16" w:hanging="0"/>
              <w:jc w:val="center"/>
              <w:rPr/>
            </w:pPr>
            <w:r>
              <w:rPr/>
              <w:t>•</w:t>
            </w:r>
          </w:p>
        </w:tc>
        <w:tc>
          <w:tcPr>
            <w:tcW w:w="959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pro-rated portion of the incentive bonus that the Board of Directors determines in good faith that Mr. Singh earned prior to his termination;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9593"/>
      </w:tblGrid>
      <w:tr>
        <w:trPr/>
        <w:tc>
          <w:tcPr>
            <w:tcW w:w="612" w:type="dxa"/>
            <w:tcBorders/>
            <w:shd w:fill="auto" w:val="clear"/>
          </w:tcPr>
          <w:p>
            <w:pPr>
              <w:pStyle w:val="TableContents"/>
              <w:spacing w:before="0" w:after="0"/>
              <w:ind w:left="0" w:right="16" w:hanging="0"/>
              <w:jc w:val="center"/>
              <w:rPr/>
            </w:pPr>
            <w:r>
              <w:rPr/>
              <w:t>•</w:t>
            </w:r>
          </w:p>
        </w:tc>
        <w:tc>
          <w:tcPr>
            <w:tcW w:w="959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such amounts required to reimburse him for Consolidated Omnibus Budget Reconciliation Act (“</w:t>
            </w:r>
            <w:r>
              <w:rPr>
                <w:rFonts w:ascii="times new roman" w:hAnsi="times new roman"/>
                <w:i/>
                <w:sz w:val="20"/>
              </w:rPr>
              <w:t>COBRA</w:t>
            </w:r>
            <w:r>
              <w:rPr>
                <w:rFonts w:ascii="times new roman" w:hAnsi="times new roman"/>
                <w:sz w:val="20"/>
              </w:rPr>
              <w:t>”) payments for continuation of his medical health benefits for such twelve-month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in the event Mr. Singh terminates his employment with good reason following a change of control, he is entitled to twelve months of his then-current base salary payable in the form of salary continuation.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the Singh Agreement provides that all of our outstanding stock option agreements with Mr. Singh will provide for: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acceleration of vesting of 50% of his then unvested options, if any, pursuant to each such stock option agreement in the event we terminate Mr. Singh’s employment without cause;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full acceleration of vesting of all of his remaining unvested shares, if any, pursuant to each such stock option agreement in the event that we terminate Mr. Singh’s employment without cause within twelve months of a “change of control” (as defined below under “-</w:t>
            </w:r>
            <w:r>
              <w:rPr>
                <w:rFonts w:ascii="times new roman" w:hAnsi="times new roman"/>
                <w:i/>
                <w:sz w:val="20"/>
              </w:rPr>
              <w:t>Change of Control Provisions</w:t>
            </w: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Finally, pursuant to the Singh Agreement, the principal and accrued interest owed by Mr. Singh pursuant to that certain full recourse promissory note, dated December 21, 2006, was forgiven and cancelled by VistaGen on May 11, 2011. Within twelve months thereafter, Mr. Singh is entitled to receive a tax gross-up cash bonus in an amount equal to his U.S. and California income tax liability related to the forgiveness and cancellation of his note. At March 31, 2013 and 2012, we had accrued $101,936 as an estimate of the gross-up amount payable to Mr. Singh, but had not yet paid that amount to Mr. Singh. See Notes 8 and 14 to our Consolidated Financial Statements which are included in Item 8 of this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Snodgrass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Dr. Snodgrass entered into an employment agreement with VistaGen California, dated as of April 28, 2010, as amended on May 9, 2011, (the “</w:t>
      </w:r>
      <w:r>
        <w:rPr>
          <w:rFonts w:ascii="Times New Roman" w:hAnsi="Times New Roman"/>
          <w:i/>
          <w:sz w:val="20"/>
        </w:rPr>
        <w:t>Snodgrass Agreement</w:t>
      </w:r>
      <w:r>
        <w:rPr>
          <w:rFonts w:ascii="Times New Roman" w:hAnsi="Times New Roman"/>
          <w:sz w:val="20"/>
        </w:rPr>
        <w:t>”), which we have assumed. Under the Snodgrass Agreement, Dr. Snodgrass’s base salary is $305,000 per year.  However, in our fiscal years ended March 31, 2013 and 2012, Dr. Snodgrass voluntarily reduced his annual salary to $203,086 and $249,428, respectively, to conserve cash for our operations. Dr. Snodgrass is eligible to receive an annual incentive bonus of up to 50% of his base salary. Payment of his annual incentive bonus is at the discretion of the Board of Directors. In the event we terminate Dr. Snodgrass’s employment without cause, he is entitled to receive severance in an amount equal to</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twelve months of his then-current base salary payable in the form of salary continuation;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9593"/>
      </w:tblGrid>
      <w:tr>
        <w:trPr/>
        <w:tc>
          <w:tcPr>
            <w:tcW w:w="612" w:type="dxa"/>
            <w:tcBorders/>
            <w:shd w:fill="auto" w:val="clear"/>
          </w:tcPr>
          <w:p>
            <w:pPr>
              <w:pStyle w:val="TableContents"/>
              <w:spacing w:before="0" w:after="0"/>
              <w:ind w:left="0" w:right="16" w:hanging="0"/>
              <w:jc w:val="center"/>
              <w:rPr/>
            </w:pPr>
            <w:r>
              <w:rPr/>
              <w:t>•</w:t>
            </w:r>
          </w:p>
        </w:tc>
        <w:tc>
          <w:tcPr>
            <w:tcW w:w="959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pro-rated portion of the incentive bonus that the Board of Directors determines in good faith that Dr. Snodgrass earned prior to his termination;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16" w:hanging="0"/>
              <w:jc w:val="center"/>
              <w:rPr/>
            </w:pPr>
            <w:r>
              <w:rPr/>
              <w:t>•</w:t>
            </w:r>
          </w:p>
        </w:tc>
        <w:tc>
          <w:tcPr>
            <w:tcW w:w="959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such amounts required to reimburse him for COBRA payments for continuation of his medical health benefits for such twelve-month period.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7" w:name="PGBRK124"/>
      <w:bookmarkStart w:id="1258" w:name="PGBRK124"/>
      <w:bookmarkEnd w:id="1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9" w:name="FTR124"/>
      <w:bookmarkStart w:id="1260" w:name="FTR124"/>
      <w:bookmarkEnd w:id="1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1" w:name="GLFTR124"/>
      <w:bookmarkEnd w:id="1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62" w:name="PN124"/>
      <w:bookmarkEnd w:id="1262"/>
      <w:r>
        <w:rPr>
          <w:rFonts w:ascii="Times New Roman" w:hAnsi="Times New Roman"/>
          <w:sz w:val="20"/>
        </w:rPr>
        <w:t>-123-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3" w:name="HDR124"/>
      <w:bookmarkStart w:id="1264" w:name="HDR124"/>
      <w:bookmarkEnd w:id="1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65" w:name="GLHDR124"/>
        <w:bookmarkEnd w:id="12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in the event Dr. Snodgrass terminates his employment with good reason, he is entitled to twelve months of his then-current base salary payable in the form of salary continuation.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the Snodgrass Agreement provides that all of our outstanding stock option agreements with Dr. Snodgrass will be amended to provide for: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acceleration of vesting of 50% of his then unvested options, if any, pursuant to each such stock option agreement in the event we terminate Dr. Snodgrass’s employment without cause;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 xml:space="preserve">full acceleration of vesting of all of his remaining unvested shares, if any, pursuant to each such stock option agreement in the event that we terminate Dr. Snodgrass’s employment without cause within twelve months of a “change of control” (as defined below under “ </w:t>
            </w:r>
            <w:r>
              <w:rPr>
                <w:rFonts w:ascii="times new roman" w:hAnsi="times new roman"/>
                <w:i/>
                <w:sz w:val="20"/>
              </w:rPr>
              <w:t>Change of Control Provisions</w:t>
            </w: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Change of Control Provisions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each of their respective employment agreements, Dr. Snodgrass is entitled to severance if he terminates his employment at any time for “good reason” (as defined below), while Mr. Singh is entitled to severance if he terminates his employment for good reason only after a change of control.  Under their respective agreements, “good reason” means any of the following events if the event is effected by VistaGen without the executive’s consent (subject to VistaGen’s right to cure):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ind w:left="0" w:right="16" w:hanging="0"/>
              <w:jc w:val="center"/>
              <w:rPr/>
            </w:pPr>
            <w:r>
              <w:rPr/>
              <w:t>•</w:t>
            </w:r>
          </w:p>
        </w:tc>
        <w:tc>
          <w:tcPr>
            <w:tcW w:w="95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material reduction in the executive’s responsibility; or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2"/>
        <w:gridCol w:w="9593"/>
      </w:tblGrid>
      <w:tr>
        <w:trPr/>
        <w:tc>
          <w:tcPr>
            <w:tcW w:w="612" w:type="dxa"/>
            <w:tcBorders/>
            <w:shd w:fill="auto" w:val="clear"/>
          </w:tcPr>
          <w:p>
            <w:pPr>
              <w:pStyle w:val="TableContents"/>
              <w:spacing w:before="0" w:after="0"/>
              <w:ind w:left="0" w:right="16" w:hanging="0"/>
              <w:jc w:val="center"/>
              <w:rPr/>
            </w:pPr>
            <w:r>
              <w:rPr/>
              <w:t>•</w:t>
            </w:r>
          </w:p>
        </w:tc>
        <w:tc>
          <w:tcPr>
            <w:tcW w:w="959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material reduction in the executive’s base salary following the Merger  except for reductions that are comparable to reductions generally applicable to similarly situated executives of VistaGen.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Furthermore, pursuant to their respective employment agreements and their stock option award agreements, in the event we terminate the executive without cause within twelve months following a change of control, the executive’s remaining unvested shares become fully vested and exercisable. Upon a change of control in which the successor corporation does not assume the executive’s stock options, the stock options granted to the executive under the 1999 Plan become fully vested and exercisable.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their respective employment agreements, a change of control occurs when: (i) any “person” as such term is used in Sections 13(d) and 14(d) of the Securities Exchange Act of 1934, as amended (other than VistaGen, a subsidiary, an affiliate, or a VistaGen employee benefit plan, including any trustee of such plan acting as trustee) becoming the “beneficial owner” (as defined in Rule 13d-3 under the U.S. Securities Exchange Act of 1934, as amended),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1266" w:name="eolPage66"/>
      <w:bookmarkEnd w:id="1266"/>
      <w:r>
        <w:rPr>
          <w:rFonts w:ascii="Times New Roman" w:hAnsi="Times New Roman"/>
          <w:sz w:val="20"/>
        </w:rPr>
        <w:t>In the event that, following termination of employment, amounts are payable to an executive pursuant to his employment agreement, the executive’s eligibility for severance is conditioned on the executive having first signed a release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their respective employment agreements, the estimated amount that could be paid by VistaGen assuming that a change of control occurred on the last business day of VistaGen’s current fiscal year is $347,500 for Mr. Singh and $305,000 for Dr. Snodgrass, excluding the imputed value of accelerated vesting of their stock options or the warrants to purchase restricted shares of our common stock granted in March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7" w:name="PGBRK125"/>
      <w:bookmarkStart w:id="1268" w:name="PGBRK125"/>
      <w:bookmarkEnd w:id="1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9" w:name="FTR125"/>
      <w:bookmarkStart w:id="1270" w:name="FTR125"/>
      <w:bookmarkEnd w:id="1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71" w:name="GLFTR125"/>
      <w:bookmarkEnd w:id="12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2" w:name="PN125"/>
      <w:bookmarkEnd w:id="1272"/>
      <w:r>
        <w:rPr>
          <w:rFonts w:ascii="Times New Roman" w:hAnsi="Times New Roman"/>
          <w:sz w:val="20"/>
        </w:rPr>
        <w:t>-124-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3" w:name="HDR125"/>
      <w:bookmarkStart w:id="1274" w:name="HDR125"/>
      <w:bookmarkEnd w:id="1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75" w:name="GLHDR125"/>
        <w:bookmarkEnd w:id="12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With the exception of Mr. Bonfiglio, who was paid $12,000 for his service as an independent director and a member of our Audit Committee for the period of January 2012 through December 2012 following his resignation from the Board in January 2013, we did not pay our independent directors during our 2013 fiscal year.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a summary of the compensation earned by our non-employee directors in our fiscal year ended March 31, 2013.</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765"/>
        <w:gridCol w:w="113"/>
        <w:gridCol w:w="149"/>
        <w:gridCol w:w="1082"/>
        <w:gridCol w:w="113"/>
        <w:gridCol w:w="113"/>
        <w:gridCol w:w="121"/>
        <w:gridCol w:w="1166"/>
        <w:gridCol w:w="113"/>
        <w:gridCol w:w="113"/>
        <w:gridCol w:w="517"/>
        <w:gridCol w:w="1279"/>
        <w:gridCol w:w="113"/>
        <w:gridCol w:w="113"/>
        <w:gridCol w:w="113"/>
        <w:gridCol w:w="1082"/>
        <w:gridCol w:w="140"/>
      </w:tblGrid>
      <w:tr>
        <w:trPr/>
        <w:tc>
          <w:tcPr>
            <w:tcW w:w="376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13" w:type="dxa"/>
            <w:tcBorders/>
            <w:shd w:fill="auto" w:val="clear"/>
            <w:vAlign w:val="bottom"/>
          </w:tcPr>
          <w:p>
            <w:pPr>
              <w:pStyle w:val="TableContents"/>
              <w:spacing w:before="0" w:after="283"/>
              <w:jc w:val="left"/>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Fees Earned or Paid in Cash (1) ($)</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287" w:type="dxa"/>
            <w:gridSpan w:val="2"/>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and Warrant Awards (2) ($)</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79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 xml:space="preserve">Other </w:t>
            </w:r>
          </w:p>
          <w:p>
            <w:pPr>
              <w:pStyle w:val="TableContents"/>
              <w:spacing w:before="0" w:after="0"/>
              <w:ind w:left="0" w:right="112" w:hanging="0"/>
              <w:jc w:val="center"/>
              <w:rPr>
                <w:rFonts w:ascii="times new roman" w:hAnsi="times new roman"/>
                <w:b/>
                <w:sz w:val="20"/>
              </w:rPr>
            </w:pPr>
            <w:r>
              <w:rPr>
                <w:rFonts w:ascii="times new roman" w:hAnsi="times new roman"/>
                <w:b/>
                <w:sz w:val="20"/>
              </w:rPr>
              <w:t xml:space="preserve">Compensation </w:t>
            </w:r>
          </w:p>
          <w:p>
            <w:pPr>
              <w:pStyle w:val="TableContents"/>
              <w:spacing w:before="0" w:after="0"/>
              <w:ind w:left="0" w:right="168" w:hanging="0"/>
              <w:jc w:val="center"/>
              <w:rPr>
                <w:rFonts w:ascii="times new roman" w:hAnsi="times new roman"/>
                <w:b/>
                <w:sz w:val="20"/>
              </w:rPr>
            </w:pPr>
            <w:r>
              <w:rPr>
                <w:rFonts w:ascii="times new roman" w:hAnsi="times new roman"/>
                <w:b/>
                <w:sz w:val="20"/>
              </w:rPr>
              <w:t>($)</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56" w:hanging="0"/>
              <w:jc w:val="center"/>
              <w:rPr>
                <w:rFonts w:ascii="times new roman" w:hAnsi="times new roman"/>
                <w:b/>
                <w:sz w:val="20"/>
              </w:rPr>
            </w:pPr>
            <w:r>
              <w:rPr>
                <w:rFonts w:ascii="times new roman" w:hAnsi="times new roman"/>
                <w:b/>
                <w:sz w:val="20"/>
              </w:rPr>
              <w:t>($)</w:t>
            </w:r>
          </w:p>
        </w:tc>
        <w:tc>
          <w:tcPr>
            <w:tcW w:w="140" w:type="dxa"/>
            <w:tcBorders/>
            <w:shd w:fill="auto" w:val="clear"/>
            <w:vAlign w:val="bottom"/>
          </w:tcPr>
          <w:p>
            <w:pPr>
              <w:pStyle w:val="TableContents"/>
              <w:spacing w:before="0" w:after="283"/>
              <w:jc w:val="left"/>
              <w:rPr/>
            </w:pPr>
            <w:r>
              <w:rPr/>
              <w:t> </w:t>
            </w:r>
          </w:p>
        </w:tc>
      </w:tr>
      <w:tr>
        <w:trPr/>
        <w:tc>
          <w:tcPr>
            <w:tcW w:w="3765"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jc w:val="left"/>
              <w:rPr/>
            </w:pPr>
            <w:r>
              <w:rPr/>
              <w:t> </w:t>
            </w:r>
          </w:p>
        </w:tc>
        <w:tc>
          <w:tcPr>
            <w:tcW w:w="149" w:type="dxa"/>
            <w:tcBorders/>
            <w:shd w:fill="auto" w:val="clear"/>
            <w:vAlign w:val="bottom"/>
          </w:tcPr>
          <w:p>
            <w:pPr>
              <w:pStyle w:val="TableContents"/>
              <w:spacing w:before="0" w:after="283"/>
              <w:jc w:val="right"/>
              <w:rPr/>
            </w:pPr>
            <w:r>
              <w:rPr/>
              <w:t> </w:t>
            </w:r>
          </w:p>
        </w:tc>
        <w:tc>
          <w:tcPr>
            <w:tcW w:w="1082"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0"/>
              <w:ind w:left="360" w:right="15" w:hanging="360"/>
              <w:jc w:val="left"/>
              <w:rPr>
                <w:rFonts w:ascii="times new roman" w:hAnsi="times new roman"/>
                <w:sz w:val="20"/>
              </w:rPr>
            </w:pPr>
            <w:r>
              <w:rPr>
                <w:rFonts w:ascii="times new roman" w:hAnsi="times new roman"/>
                <w:sz w:val="20"/>
              </w:rPr>
              <w:t>Jon S. Saxe (3)</w:t>
            </w:r>
          </w:p>
        </w:tc>
        <w:tc>
          <w:tcPr>
            <w:tcW w:w="113"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jc w:val="right"/>
              <w:rPr/>
            </w:pPr>
            <w:r>
              <w:rPr/>
              <w:t xml:space="preserve">  </w:t>
            </w:r>
          </w:p>
        </w:tc>
        <w:tc>
          <w:tcPr>
            <w:tcW w:w="108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14,000</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rPr/>
            </w:pPr>
            <w:r>
              <w:rPr/>
              <w:t xml:space="preserve">  </w:t>
            </w:r>
          </w:p>
        </w:tc>
        <w:tc>
          <w:tcPr>
            <w:tcW w:w="1166"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80,241</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517" w:type="dxa"/>
            <w:tcBorders/>
            <w:shd w:fill="CCEEFF" w:val="clear"/>
            <w:vAlign w:val="bottom"/>
          </w:tcPr>
          <w:p>
            <w:pPr>
              <w:pStyle w:val="TableContents"/>
              <w:spacing w:before="0" w:after="283"/>
              <w:rPr/>
            </w:pPr>
            <w:r>
              <w:rPr/>
              <w:t xml:space="preserve">  </w:t>
            </w:r>
          </w:p>
        </w:tc>
        <w:tc>
          <w:tcPr>
            <w:tcW w:w="1279"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108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94,241</w:t>
            </w:r>
          </w:p>
        </w:tc>
        <w:tc>
          <w:tcPr>
            <w:tcW w:w="140" w:type="dxa"/>
            <w:tcBorders/>
            <w:shd w:fill="CCEEFF" w:val="clear"/>
            <w:vAlign w:val="bottom"/>
          </w:tcPr>
          <w:p>
            <w:pPr>
              <w:pStyle w:val="TableContents"/>
              <w:spacing w:before="0" w:after="283"/>
              <w:jc w:val="left"/>
              <w:rPr/>
            </w:pPr>
            <w:r>
              <w:rPr/>
              <w:t xml:space="preserve">  </w:t>
            </w:r>
          </w:p>
        </w:tc>
      </w:tr>
      <w:tr>
        <w:trPr/>
        <w:tc>
          <w:tcPr>
            <w:tcW w:w="3765" w:type="dxa"/>
            <w:tcBorders/>
            <w:shd w:fill="FFFFFF" w:val="clear"/>
            <w:vAlign w:val="bottom"/>
          </w:tcPr>
          <w:p>
            <w:pPr>
              <w:pStyle w:val="TableContents"/>
              <w:spacing w:before="0" w:after="0"/>
              <w:ind w:left="360" w:right="15" w:hanging="360"/>
              <w:jc w:val="left"/>
              <w:rPr>
                <w:rFonts w:ascii="times new roman" w:hAnsi="times new roman"/>
                <w:sz w:val="20"/>
              </w:rPr>
            </w:pPr>
            <w:r>
              <w:rPr>
                <w:rFonts w:ascii="times new roman" w:hAnsi="times new roman"/>
                <w:sz w:val="20"/>
              </w:rPr>
              <w:t>Gregory A. Bonfiglio, J.D. (4)</w:t>
            </w:r>
          </w:p>
        </w:tc>
        <w:tc>
          <w:tcPr>
            <w:tcW w:w="113" w:type="dxa"/>
            <w:tcBorders/>
            <w:shd w:fill="FFFFFF" w:val="clear"/>
            <w:vAlign w:val="bottom"/>
          </w:tcPr>
          <w:p>
            <w:pPr>
              <w:pStyle w:val="TableContents"/>
              <w:spacing w:before="0" w:after="283"/>
              <w:jc w:val="left"/>
              <w:rPr/>
            </w:pPr>
            <w:r>
              <w:rPr/>
              <w:t xml:space="preserve">  </w:t>
            </w:r>
          </w:p>
        </w:tc>
        <w:tc>
          <w:tcPr>
            <w:tcW w:w="149" w:type="dxa"/>
            <w:tcBorders/>
            <w:shd w:fill="FFFFFF" w:val="clear"/>
            <w:vAlign w:val="bottom"/>
          </w:tcPr>
          <w:p>
            <w:pPr>
              <w:pStyle w:val="TableContents"/>
              <w:spacing w:before="0" w:after="283"/>
              <w:jc w:val="right"/>
              <w:rPr/>
            </w:pPr>
            <w:r>
              <w:rPr/>
              <w:t xml:space="preserve">  </w:t>
            </w:r>
          </w:p>
        </w:tc>
        <w:tc>
          <w:tcPr>
            <w:tcW w:w="108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9,000</w:t>
            </w:r>
          </w:p>
        </w:tc>
        <w:tc>
          <w:tcPr>
            <w:tcW w:w="113"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166"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517" w:type="dxa"/>
            <w:tcBorders/>
            <w:shd w:fill="FFFFFF" w:val="clear"/>
            <w:vAlign w:val="bottom"/>
          </w:tcPr>
          <w:p>
            <w:pPr>
              <w:pStyle w:val="TableContents"/>
              <w:spacing w:before="0" w:after="283"/>
              <w:rPr/>
            </w:pPr>
            <w:r>
              <w:rPr/>
              <w:t xml:space="preserve">  </w:t>
            </w:r>
          </w:p>
        </w:tc>
        <w:tc>
          <w:tcPr>
            <w:tcW w:w="1279"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108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9,000</w:t>
            </w:r>
          </w:p>
        </w:tc>
        <w:tc>
          <w:tcPr>
            <w:tcW w:w="140" w:type="dxa"/>
            <w:tcBorders/>
            <w:shd w:fill="FFFFFF" w:val="clear"/>
            <w:vAlign w:val="bottom"/>
          </w:tcPr>
          <w:p>
            <w:pPr>
              <w:pStyle w:val="TableContents"/>
              <w:spacing w:before="0" w:after="283"/>
              <w:jc w:val="left"/>
              <w:rPr/>
            </w:pPr>
            <w:r>
              <w:rPr/>
              <w:t xml:space="preserve">  </w:t>
            </w:r>
          </w:p>
        </w:tc>
      </w:tr>
      <w:tr>
        <w:trPr/>
        <w:tc>
          <w:tcPr>
            <w:tcW w:w="3765" w:type="dxa"/>
            <w:tcBorders/>
            <w:shd w:fill="CCEEFF" w:val="clear"/>
            <w:vAlign w:val="bottom"/>
          </w:tcPr>
          <w:p>
            <w:pPr>
              <w:pStyle w:val="TableContents"/>
              <w:spacing w:before="0" w:after="0"/>
              <w:ind w:left="360" w:right="15" w:hanging="360"/>
              <w:jc w:val="left"/>
              <w:rPr>
                <w:rFonts w:ascii="times new roman" w:hAnsi="times new roman"/>
                <w:sz w:val="20"/>
              </w:rPr>
            </w:pPr>
            <w:r>
              <w:rPr>
                <w:rFonts w:ascii="times new roman" w:hAnsi="times new roman"/>
                <w:sz w:val="20"/>
              </w:rPr>
              <w:t>Brian J. Underdown, Ph.D. (5)</w:t>
            </w:r>
          </w:p>
        </w:tc>
        <w:tc>
          <w:tcPr>
            <w:tcW w:w="113"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jc w:val="right"/>
              <w:rPr/>
            </w:pPr>
            <w:r>
              <w:rPr/>
              <w:t xml:space="preserve">  </w:t>
            </w:r>
          </w:p>
        </w:tc>
        <w:tc>
          <w:tcPr>
            <w:tcW w:w="108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12,000</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rPr/>
            </w:pPr>
            <w:r>
              <w:rPr/>
              <w:t xml:space="preserve">  </w:t>
            </w:r>
          </w:p>
        </w:tc>
        <w:tc>
          <w:tcPr>
            <w:tcW w:w="1166"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80,241</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517" w:type="dxa"/>
            <w:tcBorders/>
            <w:shd w:fill="CCEEFF" w:val="clear"/>
            <w:vAlign w:val="bottom"/>
          </w:tcPr>
          <w:p>
            <w:pPr>
              <w:pStyle w:val="TableContents"/>
              <w:spacing w:before="0" w:after="283"/>
              <w:rPr/>
            </w:pPr>
            <w:r>
              <w:rPr/>
              <w:t xml:space="preserve">  </w:t>
            </w:r>
          </w:p>
        </w:tc>
        <w:tc>
          <w:tcPr>
            <w:tcW w:w="1279"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xml:space="preserve">  </w:t>
            </w:r>
          </w:p>
        </w:tc>
        <w:tc>
          <w:tcPr>
            <w:tcW w:w="108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92,241</w:t>
            </w:r>
          </w:p>
        </w:tc>
        <w:tc>
          <w:tcPr>
            <w:tcW w:w="140"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8"/>
        <w:gridCol w:w="122"/>
        <w:gridCol w:w="9715"/>
      </w:tblGrid>
      <w:tr>
        <w:trPr/>
        <w:tc>
          <w:tcPr>
            <w:tcW w:w="36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With the exception of the amount shown for Mr. Bonfiglio, the amounts shown represent fees earned for service on our Board of Directors and Audit Committee during the fiscal year which we have accrued but have not paid to the director at March 31, 2013.</w:t>
            </w:r>
          </w:p>
        </w:tc>
      </w:tr>
      <w:tr>
        <w:trPr/>
        <w:tc>
          <w:tcPr>
            <w:tcW w:w="368" w:type="dxa"/>
            <w:tcBorders/>
            <w:shd w:fill="auto" w:val="clear"/>
          </w:tcPr>
          <w:p>
            <w:pPr>
              <w:pStyle w:val="TableContents"/>
              <w:spacing w:before="0" w:after="283"/>
              <w:rPr/>
            </w:pPr>
            <w:r>
              <w:rPr/>
              <w:t xml:space="preserve">  </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283"/>
              <w:rPr/>
            </w:pPr>
            <w:r>
              <w:rPr/>
              <w:t xml:space="preserve">  </w:t>
            </w:r>
          </w:p>
        </w:tc>
      </w:tr>
      <w:tr>
        <w:trPr/>
        <w:tc>
          <w:tcPr>
            <w:tcW w:w="36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(2)</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The amounts in this column represent the grant date fair value of a warrant to purchase 150,000 restricted shares of our common stock granted to each of our current independent directors on March 3, 2013, computed in accordance with the Financial Accounting Standards Board’s Accounting Standards  Codification Topic 718, Compensation – Stock Compensation  ("</w:t>
            </w:r>
            <w:r>
              <w:rPr>
                <w:rFonts w:ascii="times new roman" w:hAnsi="times new roman"/>
                <w:i/>
                <w:sz w:val="20"/>
              </w:rPr>
              <w:t>ASC 718</w:t>
            </w:r>
            <w:r>
              <w:rPr>
                <w:rFonts w:ascii="times new roman" w:hAnsi="times new roman"/>
                <w:sz w:val="20"/>
              </w:rPr>
              <w:t>”). We used the Black Scholes Option Pricing Model and the assumptions identified in footnote 5 to the Summary Compensation Table earlier in this Item 11 to determine the $0.53 per share grant date fair value of the warrant awards.  The amounts in this column, therefore, do not represent cash payments actually received by Mr. Saxe or Dr. Underdown with respect to the warrants awarded during the fiscal year.  To date, Mr. Saxe and Dr. Underdown have not exercised such warrants, and there can be no assurance that either of them will ever realize any of the ASC 718 grant date fair value amounts presented.</w:t>
            </w:r>
          </w:p>
        </w:tc>
      </w:tr>
      <w:tr>
        <w:trPr/>
        <w:tc>
          <w:tcPr>
            <w:tcW w:w="368" w:type="dxa"/>
            <w:tcBorders/>
            <w:shd w:fill="auto" w:val="clear"/>
            <w:vAlign w:val="center"/>
          </w:tcPr>
          <w:p>
            <w:pPr>
              <w:pStyle w:val="TableContents"/>
              <w:spacing w:before="0" w:after="283"/>
              <w:jc w:val="left"/>
              <w:rPr/>
            </w:pPr>
            <w:r>
              <w:rPr/>
              <w:t xml:space="preserve">  </w:t>
            </w:r>
          </w:p>
        </w:tc>
        <w:tc>
          <w:tcPr>
            <w:tcW w:w="9837" w:type="dxa"/>
            <w:gridSpan w:val="2"/>
            <w:tcBorders/>
            <w:shd w:fill="auto" w:val="clear"/>
          </w:tcPr>
          <w:p>
            <w:pPr>
              <w:pStyle w:val="TableContents"/>
              <w:spacing w:before="0" w:after="283"/>
              <w:rPr/>
            </w:pPr>
            <w:r>
              <w:rPr/>
              <w:t xml:space="preserve">  </w:t>
            </w:r>
          </w:p>
        </w:tc>
      </w:tr>
      <w:tr>
        <w:trPr/>
        <w:tc>
          <w:tcPr>
            <w:tcW w:w="36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(3)</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Mr. Saxe has served as the Chairman of our Board of Directors and the Chairman of our Audit Committee throughout our fiscal year ended March 31, 2013.  At March 31, 2013, Mr. Saxe holds: (i) 37,492 restricted shares of our common stock; (ii) options to purchase 264,750 restricted shares of our common stock, of which options to purchase 238,708 restricted shares are vested; and (iii) warrants to purchase 200,000 restricted shares of our common stock, of which 50,000 are exercisable.</w:t>
            </w:r>
          </w:p>
        </w:tc>
      </w:tr>
      <w:tr>
        <w:trPr/>
        <w:tc>
          <w:tcPr>
            <w:tcW w:w="368" w:type="dxa"/>
            <w:tcBorders/>
            <w:shd w:fill="auto" w:val="clear"/>
          </w:tcPr>
          <w:p>
            <w:pPr>
              <w:pStyle w:val="TableContents"/>
              <w:spacing w:before="0" w:after="283"/>
              <w:rPr/>
            </w:pPr>
            <w:r>
              <w:rPr/>
              <w:t xml:space="preserve">  </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283"/>
              <w:rPr/>
            </w:pPr>
            <w:r>
              <w:rPr/>
              <w:t xml:space="preserve">  </w:t>
            </w:r>
          </w:p>
        </w:tc>
      </w:tr>
      <w:tr>
        <w:trPr/>
        <w:tc>
          <w:tcPr>
            <w:tcW w:w="36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(4)</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Mr. Bonfiglio served as a member of our Board of Directors and a member of our Audit Committee until his resignation on January 6, 2013.  At March 31, 2013, Mr. Bonfiglio owned vested options to purchase 175,833 restricted shares of our common stock, all of which expired on April 6, 2013 as a result of his resignation from the Board of Directors to pursue his venture capital duties on a full-time basis. Mr. Bonfiglio also holds a currently exercisable warrant to purchase 50,000 restricted shares of our common stock.</w:t>
            </w:r>
          </w:p>
        </w:tc>
      </w:tr>
      <w:tr>
        <w:trPr/>
        <w:tc>
          <w:tcPr>
            <w:tcW w:w="368" w:type="dxa"/>
            <w:tcBorders/>
            <w:shd w:fill="auto" w:val="clear"/>
          </w:tcPr>
          <w:p>
            <w:pPr>
              <w:pStyle w:val="TableContents"/>
              <w:spacing w:before="0" w:after="283"/>
              <w:rPr/>
            </w:pPr>
            <w:r>
              <w:rPr/>
              <w:t xml:space="preserve">  </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283"/>
              <w:rPr/>
            </w:pPr>
            <w:r>
              <w:rPr/>
              <w:t xml:space="preserve">  </w:t>
            </w:r>
          </w:p>
        </w:tc>
      </w:tr>
      <w:tr>
        <w:trPr/>
        <w:tc>
          <w:tcPr>
            <w:tcW w:w="36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(5)</w:t>
            </w:r>
          </w:p>
        </w:tc>
        <w:tc>
          <w:tcPr>
            <w:tcW w:w="122" w:type="dxa"/>
            <w:tcBorders/>
            <w:shd w:fill="auto" w:val="clear"/>
            <w:vAlign w:val="center"/>
          </w:tcPr>
          <w:p>
            <w:pPr>
              <w:pStyle w:val="TableContents"/>
              <w:spacing w:before="0" w:after="283"/>
              <w:rPr/>
            </w:pPr>
            <w:r>
              <w:rPr/>
              <w:t xml:space="preserve">  </w:t>
            </w:r>
          </w:p>
        </w:tc>
        <w:tc>
          <w:tcPr>
            <w:tcW w:w="9715" w:type="dxa"/>
            <w:tcBorders/>
            <w:shd w:fill="auto" w:val="clear"/>
            <w:vAlign w:val="bottom"/>
          </w:tcPr>
          <w:p>
            <w:pPr>
              <w:pStyle w:val="TableContents"/>
              <w:spacing w:before="0" w:after="0"/>
              <w:ind w:left="0" w:right="16" w:hanging="0"/>
              <w:jc w:val="both"/>
              <w:rPr>
                <w:rFonts w:ascii="times new roman" w:hAnsi="times new roman"/>
                <w:sz w:val="20"/>
              </w:rPr>
            </w:pPr>
            <w:r>
              <w:rPr>
                <w:rFonts w:ascii="times new roman" w:hAnsi="times new roman"/>
                <w:sz w:val="20"/>
              </w:rPr>
              <w:t>Dr. Underdown has served as a member of our Board of Directors and a member of our Audit Committee throughout our fiscal year ended March 31, 2013.  At March 31, 2013, Dr. Underdown holds: (i) options to purchase 185,000 restricted shares of our common stock, of which options to purchase 158,958 restricted shares are vested; and (ii) warrants to purchase 200,000 restricted shares of our common stock, of which 50,000 are exercisable.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6" w:name="PGBRK126"/>
      <w:bookmarkStart w:id="1277" w:name="PGBRK126"/>
      <w:bookmarkEnd w:id="1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8" w:name="FTR126"/>
      <w:bookmarkStart w:id="1279" w:name="FTR126"/>
      <w:bookmarkEnd w:id="1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80" w:name="GLFTR126"/>
      <w:bookmarkEnd w:id="12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1" w:name="PN126"/>
      <w:bookmarkEnd w:id="1281"/>
      <w:r>
        <w:rPr>
          <w:rFonts w:ascii="Times New Roman" w:hAnsi="Times New Roman"/>
          <w:sz w:val="20"/>
        </w:rPr>
        <w:t>-125-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2" w:name="HDR126"/>
      <w:bookmarkStart w:id="1283" w:name="HDR126"/>
      <w:bookmarkEnd w:id="1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84" w:name="GLHDR126"/>
        <w:bookmarkEnd w:id="12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securities are not currently listed on a national securities exchange or on any inter-dealer quotation system which has a requirement that directors be independent.  We evaluate independence by the standards for director independence established by applicable laws, rules, and listing standards, including, without limitation, the standards for independent directors established by the New York Stock Exchange, Inc., the NASDAQ OMX, and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Jon S. Saxe and Brian J. Underdown, Ph.D. each qualify as an independent director under the qualification standards noted above.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285" w:name="it12j"/>
      <w:bookmarkEnd w:id="1285"/>
      <w:r>
        <w:rPr>
          <w:rFonts w:ascii="Times New Roman" w:hAnsi="Times New Roman"/>
          <w:b/>
          <w:sz w:val="20"/>
        </w:rPr>
        <w:t>Item 12.  Security Ownership of Certain Beneficial Owners and Management and Related Stockholder Matters.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beneficial ownership of our Common Stock as of July 12, 2013 by the following individuals or entities: (i) each stockholder known to us to beneficially own more than 5% of the outstanding shares of our common stock; (ii) the Chief Executive Officer, any person serving as Chief Financial Officer during our fiscal year ended March 31, 2013, and the two most highly compensated executive officers other than the Chief Executive Officer and Chief Financial Officer who were serving as an executive officer as of March 31, 2013 (collectively, the “</w:t>
      </w:r>
      <w:r>
        <w:rPr>
          <w:rFonts w:ascii="Times New Roman" w:hAnsi="Times New Roman"/>
          <w:i/>
          <w:sz w:val="20"/>
        </w:rPr>
        <w:t>Named Executive Officers</w:t>
      </w:r>
      <w:r>
        <w:rPr>
          <w:rFonts w:ascii="Times New Roman" w:hAnsi="Times New Roman"/>
          <w:sz w:val="20"/>
        </w:rPr>
        <w:t>”); (iii) each director; and (iv) current executive officers and directors, as a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Beneficial ownership is determined in accordance with Securities and Exchange Commission (“</w:t>
      </w:r>
      <w:r>
        <w:rPr>
          <w:rFonts w:ascii="Times New Roman" w:hAnsi="Times New Roman"/>
          <w:i/>
          <w:sz w:val="20"/>
        </w:rPr>
        <w:t>SEC</w:t>
      </w:r>
      <w:r>
        <w:rPr>
          <w:rFonts w:ascii="Times New Roman" w:hAnsi="Times New Roman"/>
          <w:sz w:val="20"/>
        </w:rPr>
        <w:t>”) rules and includes voting and investment power with respect to the shares. Under such rules, beneficial ownership includes any shares as to which the individual has sole or shared voting power or investment power and also any shares which the individual has the right to acquire currently or within 60 days after July 12, 2013 through the exercise of any stock options or other rights, including upon the exercise of warrants to purchase shares of common stock and the conversion of preferred stock into common stock. Such shares are deemed outstanding for computing the percentage ownership of the person holding such options or rights, but are not deemed outstanding for computing the percentage ownership of any other person. As of July 12, 2013, there were 21,265,967 shares of our common stock issued and outstanding.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6" w:name="PGBRK127"/>
      <w:bookmarkStart w:id="1287" w:name="PGBRK127"/>
      <w:bookmarkEnd w:id="1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8" w:name="FTR127"/>
      <w:bookmarkStart w:id="1289" w:name="FTR127"/>
      <w:bookmarkEnd w:id="1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0" w:name="GLFTR127"/>
      <w:bookmarkEnd w:id="1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1" w:name="PN127"/>
      <w:bookmarkEnd w:id="1291"/>
      <w:r>
        <w:rPr>
          <w:rFonts w:ascii="Times New Roman" w:hAnsi="Times New Roman"/>
          <w:sz w:val="20"/>
        </w:rPr>
        <w:t>-126-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2" w:name="HDR127"/>
      <w:bookmarkStart w:id="1293" w:name="HDR127"/>
      <w:bookmarkEnd w:id="1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94" w:name="GLHDR127"/>
        <w:bookmarkEnd w:id="12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Unless otherwise indicated in the footnotes below, we believe that the individuals and entities named in the table have sole voting and investment powers with respect to all shares shown as beneficially owned by them.</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5331"/>
        <w:gridCol w:w="121"/>
        <w:gridCol w:w="121"/>
        <w:gridCol w:w="2209"/>
        <w:gridCol w:w="121"/>
        <w:gridCol w:w="2078"/>
        <w:gridCol w:w="224"/>
      </w:tblGrid>
      <w:tr>
        <w:trPr/>
        <w:tc>
          <w:tcPr>
            <w:tcW w:w="5331" w:type="dxa"/>
            <w:tcBorders>
              <w:bottom w:val="single" w:sz="12"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and Address</w:t>
            </w:r>
          </w:p>
        </w:tc>
        <w:tc>
          <w:tcPr>
            <w:tcW w:w="121" w:type="dxa"/>
            <w:tcBorders/>
            <w:shd w:fill="auto" w:val="clear"/>
            <w:tcMar>
              <w:bottom w:w="0" w:type="dxa"/>
            </w:tcMar>
            <w:vAlign w:val="bottom"/>
          </w:tcPr>
          <w:p>
            <w:pPr>
              <w:pStyle w:val="TableContents"/>
              <w:spacing w:before="0" w:after="283"/>
              <w:jc w:val="left"/>
              <w:rPr/>
            </w:pPr>
            <w:r>
              <w:rPr/>
              <w:t> </w:t>
            </w:r>
          </w:p>
        </w:tc>
        <w:tc>
          <w:tcPr>
            <w:tcW w:w="2330" w:type="dxa"/>
            <w:gridSpan w:val="2"/>
            <w:tcBorders>
              <w:bottom w:val="single" w:sz="12" w:space="0" w:color="000000"/>
            </w:tcBorders>
            <w:shd w:fill="auto" w:val="clear"/>
            <w:vAlign w:val="bottom"/>
          </w:tcPr>
          <w:p>
            <w:pPr>
              <w:pStyle w:val="TableContents"/>
              <w:spacing w:before="0" w:after="0"/>
              <w:ind w:left="0" w:right="36" w:hanging="0"/>
              <w:jc w:val="left"/>
              <w:rPr>
                <w:rFonts w:ascii="times new roman" w:hAnsi="times new roman"/>
                <w:sz w:val="20"/>
              </w:rPr>
            </w:pPr>
            <w:r>
              <w:rPr>
                <w:rFonts w:ascii="times new roman" w:hAnsi="times new roman"/>
                <w:sz w:val="20"/>
              </w:rPr>
              <w:t>Number of Shares (1)</w:t>
            </w:r>
          </w:p>
        </w:tc>
        <w:tc>
          <w:tcPr>
            <w:tcW w:w="121" w:type="dxa"/>
            <w:tcBorders/>
            <w:shd w:fill="auto" w:val="clear"/>
            <w:tcMar>
              <w:bottom w:w="0" w:type="dxa"/>
            </w:tcMar>
            <w:vAlign w:val="bottom"/>
          </w:tcPr>
          <w:p>
            <w:pPr>
              <w:pStyle w:val="TableContents"/>
              <w:spacing w:before="0" w:after="283"/>
              <w:jc w:val="left"/>
              <w:rPr/>
            </w:pPr>
            <w:r>
              <w:rPr/>
              <w:t> </w:t>
            </w:r>
          </w:p>
        </w:tc>
        <w:tc>
          <w:tcPr>
            <w:tcW w:w="2078" w:type="dxa"/>
            <w:tcBorders>
              <w:bottom w:val="single" w:sz="12" w:space="0" w:color="000000"/>
            </w:tcBorders>
            <w:shd w:fill="auto" w:val="clear"/>
            <w:vAlign w:val="bottom"/>
          </w:tcPr>
          <w:p>
            <w:pPr>
              <w:pStyle w:val="TableContents"/>
              <w:spacing w:before="0" w:after="0"/>
              <w:ind w:left="0" w:right="36" w:hanging="0"/>
              <w:jc w:val="left"/>
              <w:rPr>
                <w:rFonts w:ascii="times new roman" w:hAnsi="times new roman"/>
                <w:sz w:val="20"/>
              </w:rPr>
            </w:pPr>
            <w:r>
              <w:rPr>
                <w:rFonts w:ascii="times new roman" w:hAnsi="times new roman"/>
                <w:sz w:val="20"/>
              </w:rPr>
              <w:t>Percent of Class</w:t>
            </w:r>
          </w:p>
        </w:tc>
        <w:tc>
          <w:tcPr>
            <w:tcW w:w="224" w:type="dxa"/>
            <w:tcBorders/>
            <w:shd w:fill="auto" w:val="clear"/>
            <w:tcMar>
              <w:bottom w:w="0" w:type="dxa"/>
            </w:tcMar>
            <w:vAlign w:val="bottom"/>
          </w:tcPr>
          <w:p>
            <w:pPr>
              <w:pStyle w:val="TableContents"/>
              <w:spacing w:before="0" w:after="283"/>
              <w:jc w:val="left"/>
              <w:rPr/>
            </w:pPr>
            <w:r>
              <w:rPr/>
              <w:t> </w:t>
            </w:r>
          </w:p>
        </w:tc>
      </w:tr>
      <w:tr>
        <w:trPr/>
        <w:tc>
          <w:tcPr>
            <w:tcW w:w="5331" w:type="dxa"/>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jc w:val="left"/>
              <w:rPr/>
            </w:pPr>
            <w:r>
              <w:rPr/>
              <w:t> </w:t>
            </w:r>
          </w:p>
        </w:tc>
        <w:tc>
          <w:tcPr>
            <w:tcW w:w="2209" w:type="dxa"/>
            <w:tcBorders/>
            <w:shd w:fill="auto" w:val="clear"/>
            <w:tcMar>
              <w:bottom w:w="0" w:type="dxa"/>
            </w:tcMar>
            <w:vAlign w:val="bottom"/>
          </w:tcPr>
          <w:p>
            <w:pPr>
              <w:pStyle w:val="TableContents"/>
              <w:spacing w:before="0" w:after="283"/>
              <w:jc w:val="right"/>
              <w:rPr/>
            </w:pPr>
            <w:r>
              <w:rPr/>
              <w:t> </w:t>
            </w:r>
          </w:p>
        </w:tc>
        <w:tc>
          <w:tcPr>
            <w:tcW w:w="121" w:type="dxa"/>
            <w:tcBorders/>
            <w:shd w:fill="auto" w:val="clear"/>
            <w:tcMar>
              <w:bottom w:w="0" w:type="dxa"/>
            </w:tcMar>
            <w:vAlign w:val="bottom"/>
          </w:tcPr>
          <w:p>
            <w:pPr>
              <w:pStyle w:val="TableContents"/>
              <w:spacing w:before="0" w:after="283"/>
              <w:jc w:val="left"/>
              <w:rPr/>
            </w:pPr>
            <w:r>
              <w:rPr/>
              <w:t> </w:t>
            </w:r>
          </w:p>
        </w:tc>
        <w:tc>
          <w:tcPr>
            <w:tcW w:w="2078" w:type="dxa"/>
            <w:tcBorders/>
            <w:shd w:fill="auto" w:val="clear"/>
            <w:tcMar>
              <w:bottom w:w="0" w:type="dxa"/>
            </w:tcMar>
            <w:vAlign w:val="bottom"/>
          </w:tcPr>
          <w:p>
            <w:pPr>
              <w:pStyle w:val="TableContents"/>
              <w:spacing w:before="0" w:after="283"/>
              <w:jc w:val="right"/>
              <w:rPr/>
            </w:pPr>
            <w:r>
              <w:rPr/>
              <w:t> </w:t>
            </w:r>
          </w:p>
        </w:tc>
        <w:tc>
          <w:tcPr>
            <w:tcW w:w="224" w:type="dxa"/>
            <w:tcBorders/>
            <w:shd w:fill="auto" w:val="clear"/>
            <w:tcMar>
              <w:bottom w:w="0" w:type="dxa"/>
            </w:tcMar>
            <w:vAlign w:val="bottom"/>
          </w:tcPr>
          <w:p>
            <w:pPr>
              <w:pStyle w:val="TableContents"/>
              <w:spacing w:before="0" w:after="283"/>
              <w:jc w:val="left"/>
              <w:rPr/>
            </w:pPr>
            <w:r>
              <w:rPr/>
              <w:t> </w:t>
            </w:r>
          </w:p>
        </w:tc>
      </w:tr>
      <w:tr>
        <w:trPr/>
        <w:tc>
          <w:tcPr>
            <w:tcW w:w="53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Shawn K. Singh, JD (2)</w:t>
            </w:r>
          </w:p>
        </w:tc>
        <w:tc>
          <w:tcPr>
            <w:tcW w:w="12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2,834,059</w:t>
            </w:r>
          </w:p>
        </w:tc>
        <w:tc>
          <w:tcPr>
            <w:tcW w:w="121" w:type="dxa"/>
            <w:tcBorders/>
            <w:shd w:fill="CCEEFF" w:val="clear"/>
            <w:tcMar>
              <w:bottom w:w="0" w:type="dxa"/>
            </w:tcMar>
            <w:vAlign w:val="bottom"/>
          </w:tcPr>
          <w:p>
            <w:pPr>
              <w:pStyle w:val="TableContents"/>
              <w:spacing w:before="0" w:after="283"/>
              <w:jc w:val="left"/>
              <w:rPr/>
            </w:pPr>
            <w:r>
              <w:rPr/>
              <w:t>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11.91</w:t>
            </w:r>
          </w:p>
        </w:tc>
        <w:tc>
          <w:tcPr>
            <w:tcW w:w="2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Chief Executive Officer and Director</w:t>
            </w:r>
          </w:p>
        </w:tc>
        <w:tc>
          <w:tcPr>
            <w:tcW w:w="12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209"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078" w:type="dxa"/>
            <w:tcBorders/>
            <w:shd w:fill="CCEEFF" w:val="clear"/>
            <w:tcMar>
              <w:bottom w:w="0" w:type="dxa"/>
            </w:tcMar>
            <w:vAlign w:val="bottom"/>
          </w:tcPr>
          <w:p>
            <w:pPr>
              <w:pStyle w:val="TableContents"/>
              <w:spacing w:before="0" w:after="283"/>
              <w:jc w:val="right"/>
              <w:rPr/>
            </w:pPr>
            <w:r>
              <w:rPr/>
              <w:t> </w:t>
            </w:r>
          </w:p>
        </w:tc>
        <w:tc>
          <w:tcPr>
            <w:tcW w:w="224" w:type="dxa"/>
            <w:tcBorders/>
            <w:shd w:fill="CCEEFF" w:val="clear"/>
            <w:tcMar>
              <w:bottom w:w="0" w:type="dxa"/>
            </w:tcMar>
            <w:vAlign w:val="bottom"/>
          </w:tcPr>
          <w:p>
            <w:pPr>
              <w:pStyle w:val="TableContents"/>
              <w:spacing w:before="0" w:after="283"/>
              <w:jc w:val="left"/>
              <w:rPr/>
            </w:pPr>
            <w:r>
              <w:rPr/>
              <w:t> </w:t>
            </w:r>
          </w:p>
        </w:tc>
      </w:tr>
      <w:tr>
        <w:trPr/>
        <w:tc>
          <w:tcPr>
            <w:tcW w:w="53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384 Oyster Point Blvd., No. 8</w:t>
            </w:r>
          </w:p>
        </w:tc>
        <w:tc>
          <w:tcPr>
            <w:tcW w:w="12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209"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078" w:type="dxa"/>
            <w:tcBorders/>
            <w:shd w:fill="CCEEFF" w:val="clear"/>
            <w:tcMar>
              <w:bottom w:w="0" w:type="dxa"/>
            </w:tcMar>
            <w:vAlign w:val="bottom"/>
          </w:tcPr>
          <w:p>
            <w:pPr>
              <w:pStyle w:val="TableContents"/>
              <w:spacing w:before="0" w:after="283"/>
              <w:jc w:val="right"/>
              <w:rPr/>
            </w:pPr>
            <w:r>
              <w:rPr/>
              <w:t> </w:t>
            </w:r>
          </w:p>
        </w:tc>
        <w:tc>
          <w:tcPr>
            <w:tcW w:w="224" w:type="dxa"/>
            <w:tcBorders/>
            <w:shd w:fill="CCEEFF" w:val="clear"/>
            <w:tcMar>
              <w:bottom w:w="0" w:type="dxa"/>
            </w:tcMar>
            <w:vAlign w:val="bottom"/>
          </w:tcPr>
          <w:p>
            <w:pPr>
              <w:pStyle w:val="TableContents"/>
              <w:spacing w:before="0" w:after="283"/>
              <w:jc w:val="left"/>
              <w:rPr/>
            </w:pPr>
            <w:r>
              <w:rPr/>
              <w:t> </w:t>
            </w:r>
          </w:p>
        </w:tc>
      </w:tr>
      <w:tr>
        <w:trPr/>
        <w:tc>
          <w:tcPr>
            <w:tcW w:w="53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South San Francisco, CA 94080</w:t>
            </w:r>
          </w:p>
        </w:tc>
        <w:tc>
          <w:tcPr>
            <w:tcW w:w="12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209"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078" w:type="dxa"/>
            <w:tcBorders/>
            <w:shd w:fill="CCEEFF" w:val="clear"/>
            <w:tcMar>
              <w:bottom w:w="0" w:type="dxa"/>
            </w:tcMar>
            <w:vAlign w:val="bottom"/>
          </w:tcPr>
          <w:p>
            <w:pPr>
              <w:pStyle w:val="TableContents"/>
              <w:spacing w:before="0" w:after="283"/>
              <w:jc w:val="right"/>
              <w:rPr/>
            </w:pPr>
            <w:r>
              <w:rPr/>
              <w:t> </w:t>
            </w:r>
          </w:p>
        </w:tc>
        <w:tc>
          <w:tcPr>
            <w:tcW w:w="224" w:type="dxa"/>
            <w:tcBorders/>
            <w:shd w:fill="CCEEFF" w:val="clear"/>
            <w:tcMar>
              <w:bottom w:w="0" w:type="dxa"/>
            </w:tcMar>
            <w:vAlign w:val="bottom"/>
          </w:tcPr>
          <w:p>
            <w:pPr>
              <w:pStyle w:val="TableContents"/>
              <w:spacing w:before="0" w:after="283"/>
              <w:jc w:val="left"/>
              <w:rPr/>
            </w:pPr>
            <w:r>
              <w:rPr/>
              <w:t> </w:t>
            </w:r>
          </w:p>
        </w:tc>
      </w:tr>
      <w:tr>
        <w:trPr/>
        <w:tc>
          <w:tcPr>
            <w:tcW w:w="533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209"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078" w:type="dxa"/>
            <w:tcBorders/>
            <w:shd w:fill="FFFFFF" w:val="clear"/>
            <w:tcMar>
              <w:bottom w:w="0" w:type="dxa"/>
            </w:tcMar>
            <w:vAlign w:val="bottom"/>
          </w:tcPr>
          <w:p>
            <w:pPr>
              <w:pStyle w:val="TableContents"/>
              <w:spacing w:before="0" w:after="283"/>
              <w:jc w:val="right"/>
              <w:rPr/>
            </w:pPr>
            <w:r>
              <w:rPr/>
              <w:t> </w:t>
            </w:r>
          </w:p>
        </w:tc>
        <w:tc>
          <w:tcPr>
            <w:tcW w:w="224" w:type="dxa"/>
            <w:tcBorders/>
            <w:shd w:fill="FFFFFF" w:val="clear"/>
            <w:tcMar>
              <w:bottom w:w="0" w:type="dxa"/>
            </w:tcMar>
            <w:vAlign w:val="bottom"/>
          </w:tcPr>
          <w:p>
            <w:pPr>
              <w:pStyle w:val="TableContents"/>
              <w:spacing w:before="0" w:after="283"/>
              <w:jc w:val="left"/>
              <w:rPr/>
            </w:pPr>
            <w:r>
              <w:rPr/>
              <w:t>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bookmarkStart w:id="1295" w:name="fis_beneficial_owners_2"/>
            <w:bookmarkEnd w:id="1295"/>
            <w:r>
              <w:rPr>
                <w:rFonts w:ascii="times new roman" w:hAnsi="times new roman"/>
                <w:sz w:val="20"/>
              </w:rPr>
              <w:t>H. Ralph Snodgrass, Ph.D. (3)</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2,244,163</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10.06</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President, Chief Scientific Officer and Director</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Jerrold D. Dotson (4)</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159,418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Principal Financial and Accounting Officer</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Jon S. Saxe (5)</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406,408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1.88</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Chairman of the Board of Directors</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Brian J. Underdown, Ph.D. (6)</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289,166</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1.34</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Cato BioVentures (7)</w:t>
            </w:r>
          </w:p>
        </w:tc>
        <w:tc>
          <w:tcPr>
            <w:tcW w:w="121" w:type="dxa"/>
            <w:tcBorders/>
            <w:shd w:fill="CCEEFF" w:val="clear"/>
            <w:tcMar>
              <w:bottom w:w="0" w:type="dxa"/>
            </w:tcMar>
            <w:vAlign w:val="bottom"/>
          </w:tcPr>
          <w:p>
            <w:pPr>
              <w:pStyle w:val="TableContents"/>
              <w:spacing w:before="0" w:after="283"/>
              <w:rPr/>
            </w:pPr>
            <w:r>
              <w:rPr/>
              <w:t xml:space="preserve">  </w:t>
            </w:r>
          </w:p>
        </w:tc>
        <w:tc>
          <w:tcPr>
            <w:tcW w:w="121" w:type="dxa"/>
            <w:tcBorders/>
            <w:shd w:fill="CCEEFF" w:val="clear"/>
            <w:tcMar>
              <w:bottom w:w="0" w:type="dxa"/>
            </w:tcMar>
            <w:vAlign w:val="bottom"/>
          </w:tcPr>
          <w:p>
            <w:pPr>
              <w:pStyle w:val="TableContents"/>
              <w:spacing w:before="0" w:after="283"/>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4,625,690</w:t>
            </w:r>
          </w:p>
        </w:tc>
        <w:tc>
          <w:tcPr>
            <w:tcW w:w="121" w:type="dxa"/>
            <w:tcBorders/>
            <w:shd w:fill="CCEEFF" w:val="clear"/>
            <w:tcMar>
              <w:bottom w:w="0" w:type="dxa"/>
            </w:tcMar>
            <w:vAlign w:val="bottom"/>
          </w:tcPr>
          <w:p>
            <w:pPr>
              <w:pStyle w:val="TableContents"/>
              <w:spacing w:before="0" w:after="283"/>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20.49</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4364 South Alston Avenue</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Durham, NC 27713</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Platinum Long Term Growth Fund VII, LLC (8)</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929,412</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4.37</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152 W 57 St 54th Floor</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New York, NY 10019</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Morrison &amp; Foerster LLP (9)</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2,090,256</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9.03</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555 Market Street</w:t>
            </w:r>
          </w:p>
        </w:tc>
        <w:tc>
          <w:tcPr>
            <w:tcW w:w="121" w:type="dxa"/>
            <w:tcBorders/>
            <w:shd w:fill="CCEEFF" w:val="clear"/>
            <w:tcMar>
              <w:bottom w:w="0" w:type="dxa"/>
            </w:tcMar>
            <w:vAlign w:val="bottom"/>
          </w:tcPr>
          <w:p>
            <w:pPr>
              <w:pStyle w:val="TableContents"/>
              <w:spacing w:before="0" w:after="283"/>
              <w:rPr/>
            </w:pPr>
            <w:r>
              <w:rPr/>
              <w:t xml:space="preserve">  </w:t>
            </w:r>
          </w:p>
        </w:tc>
        <w:tc>
          <w:tcPr>
            <w:tcW w:w="121" w:type="dxa"/>
            <w:tcBorders/>
            <w:shd w:fill="CCEEFF" w:val="clear"/>
            <w:tcMar>
              <w:bottom w:w="0" w:type="dxa"/>
            </w:tcMar>
            <w:vAlign w:val="bottom"/>
          </w:tcPr>
          <w:p>
            <w:pPr>
              <w:pStyle w:val="TableContents"/>
              <w:spacing w:before="0" w:after="283"/>
              <w:rPr/>
            </w:pPr>
            <w:r>
              <w:rPr/>
              <w:t xml:space="preserve">  </w:t>
            </w:r>
          </w:p>
        </w:tc>
        <w:tc>
          <w:tcPr>
            <w:tcW w:w="2209" w:type="dxa"/>
            <w:tcBorders/>
            <w:shd w:fill="CCEEFF" w:val="clear"/>
            <w:tcMar>
              <w:bottom w:w="0" w:type="dxa"/>
            </w:tcMar>
            <w:vAlign w:val="bottom"/>
          </w:tcPr>
          <w:p>
            <w:pPr>
              <w:pStyle w:val="TableContents"/>
              <w:spacing w:before="0" w:after="283"/>
              <w:rPr/>
            </w:pPr>
            <w:r>
              <w:rPr/>
              <w:t xml:space="preserve">  </w:t>
            </w:r>
          </w:p>
        </w:tc>
        <w:tc>
          <w:tcPr>
            <w:tcW w:w="121" w:type="dxa"/>
            <w:tcBorders/>
            <w:shd w:fill="CCEEFF" w:val="clear"/>
            <w:tcMar>
              <w:bottom w:w="0" w:type="dxa"/>
            </w:tcMar>
            <w:vAlign w:val="bottom"/>
          </w:tcPr>
          <w:p>
            <w:pPr>
              <w:pStyle w:val="TableContents"/>
              <w:spacing w:before="0" w:after="283"/>
              <w:rPr/>
            </w:pPr>
            <w:r>
              <w:rPr/>
              <w:t xml:space="preserve">  </w:t>
            </w:r>
          </w:p>
        </w:tc>
        <w:tc>
          <w:tcPr>
            <w:tcW w:w="2078" w:type="dxa"/>
            <w:tcBorders/>
            <w:shd w:fill="CCEEFF" w:val="clear"/>
            <w:tcMar>
              <w:bottom w:w="0" w:type="dxa"/>
            </w:tcMar>
            <w:vAlign w:val="bottom"/>
          </w:tcPr>
          <w:p>
            <w:pPr>
              <w:pStyle w:val="TableContents"/>
              <w:spacing w:before="0" w:after="283"/>
              <w:rPr/>
            </w:pPr>
            <w:r>
              <w:rPr/>
              <w:t xml:space="preserve">  </w:t>
            </w:r>
          </w:p>
        </w:tc>
        <w:tc>
          <w:tcPr>
            <w:tcW w:w="224" w:type="dxa"/>
            <w:tcBorders/>
            <w:shd w:fill="CCEEFF" w:val="clear"/>
            <w:tcMar>
              <w:bottom w:w="0" w:type="dxa"/>
            </w:tcMar>
            <w:vAlign w:val="bottom"/>
          </w:tcPr>
          <w:p>
            <w:pPr>
              <w:pStyle w:val="TableContents"/>
              <w:spacing w:before="0" w:after="283"/>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San Francisco, CA 94105</w:t>
            </w:r>
          </w:p>
        </w:tc>
        <w:tc>
          <w:tcPr>
            <w:tcW w:w="121" w:type="dxa"/>
            <w:tcBorders/>
            <w:shd w:fill="CCEEFF" w:val="clear"/>
            <w:tcMar>
              <w:bottom w:w="0" w:type="dxa"/>
            </w:tcMar>
            <w:vAlign w:val="bottom"/>
          </w:tcPr>
          <w:p>
            <w:pPr>
              <w:pStyle w:val="TableContents"/>
              <w:spacing w:before="0" w:after="283"/>
              <w:rPr/>
            </w:pPr>
            <w:r>
              <w:rPr/>
              <w:t xml:space="preserve">  </w:t>
            </w:r>
          </w:p>
        </w:tc>
        <w:tc>
          <w:tcPr>
            <w:tcW w:w="121" w:type="dxa"/>
            <w:tcBorders/>
            <w:shd w:fill="CCEEFF" w:val="clear"/>
            <w:tcMar>
              <w:bottom w:w="0" w:type="dxa"/>
            </w:tcMar>
            <w:vAlign w:val="bottom"/>
          </w:tcPr>
          <w:p>
            <w:pPr>
              <w:pStyle w:val="TableContents"/>
              <w:spacing w:before="0" w:after="283"/>
              <w:rPr/>
            </w:pPr>
            <w:r>
              <w:rPr/>
              <w:t xml:space="preserve">  </w:t>
            </w:r>
          </w:p>
        </w:tc>
        <w:tc>
          <w:tcPr>
            <w:tcW w:w="2209" w:type="dxa"/>
            <w:tcBorders/>
            <w:shd w:fill="CCEEFF" w:val="clear"/>
            <w:tcMar>
              <w:bottom w:w="0" w:type="dxa"/>
            </w:tcMar>
            <w:vAlign w:val="bottom"/>
          </w:tcPr>
          <w:p>
            <w:pPr>
              <w:pStyle w:val="TableContents"/>
              <w:spacing w:before="0" w:after="283"/>
              <w:rPr/>
            </w:pPr>
            <w:r>
              <w:rPr/>
              <w:t xml:space="preserve">  </w:t>
            </w:r>
          </w:p>
        </w:tc>
        <w:tc>
          <w:tcPr>
            <w:tcW w:w="121" w:type="dxa"/>
            <w:tcBorders/>
            <w:shd w:fill="CCEEFF" w:val="clear"/>
            <w:tcMar>
              <w:bottom w:w="0" w:type="dxa"/>
            </w:tcMar>
            <w:vAlign w:val="bottom"/>
          </w:tcPr>
          <w:p>
            <w:pPr>
              <w:pStyle w:val="TableContents"/>
              <w:spacing w:before="0" w:after="283"/>
              <w:rPr/>
            </w:pPr>
            <w:r>
              <w:rPr/>
              <w:t xml:space="preserve">  </w:t>
            </w:r>
          </w:p>
        </w:tc>
        <w:tc>
          <w:tcPr>
            <w:tcW w:w="2078" w:type="dxa"/>
            <w:tcBorders/>
            <w:shd w:fill="CCEEFF" w:val="clear"/>
            <w:tcMar>
              <w:bottom w:w="0" w:type="dxa"/>
            </w:tcMar>
            <w:vAlign w:val="bottom"/>
          </w:tcPr>
          <w:p>
            <w:pPr>
              <w:pStyle w:val="TableContents"/>
              <w:spacing w:before="0" w:after="283"/>
              <w:rPr/>
            </w:pPr>
            <w:r>
              <w:rPr/>
              <w:t xml:space="preserve">  </w:t>
            </w:r>
          </w:p>
        </w:tc>
        <w:tc>
          <w:tcPr>
            <w:tcW w:w="224" w:type="dxa"/>
            <w:tcBorders/>
            <w:shd w:fill="CCEEFF" w:val="clear"/>
            <w:tcMar>
              <w:bottom w:w="0" w:type="dxa"/>
            </w:tcMar>
            <w:vAlign w:val="bottom"/>
          </w:tcPr>
          <w:p>
            <w:pPr>
              <w:pStyle w:val="TableContents"/>
              <w:spacing w:before="0" w:after="283"/>
              <w:rPr/>
            </w:pPr>
            <w:r>
              <w:rPr/>
              <w:t xml:space="preserve">  </w:t>
            </w:r>
          </w:p>
        </w:tc>
      </w:tr>
      <w:tr>
        <w:trPr/>
        <w:tc>
          <w:tcPr>
            <w:tcW w:w="5331" w:type="dxa"/>
            <w:tcBorders/>
            <w:shd w:fill="FFFFFF" w:val="clear"/>
            <w:tcMar>
              <w:bottom w:w="0" w:type="dxa"/>
            </w:tcMar>
            <w:vAlign w:val="bottom"/>
          </w:tcPr>
          <w:p>
            <w:pPr>
              <w:pStyle w:val="TableContents"/>
              <w:spacing w:before="0" w:after="283"/>
              <w:rPr/>
            </w:pPr>
            <w:r>
              <w:rPr/>
              <w:t xml:space="preserve">  </w:t>
            </w:r>
          </w:p>
        </w:tc>
        <w:tc>
          <w:tcPr>
            <w:tcW w:w="121" w:type="dxa"/>
            <w:tcBorders/>
            <w:shd w:fill="FFFFFF" w:val="clear"/>
            <w:tcMar>
              <w:bottom w:w="0" w:type="dxa"/>
            </w:tcMar>
            <w:vAlign w:val="bottom"/>
          </w:tcPr>
          <w:p>
            <w:pPr>
              <w:pStyle w:val="TableContents"/>
              <w:spacing w:before="0" w:after="283"/>
              <w:rPr/>
            </w:pPr>
            <w:r>
              <w:rPr/>
              <w:t xml:space="preserve">  </w:t>
            </w:r>
          </w:p>
        </w:tc>
        <w:tc>
          <w:tcPr>
            <w:tcW w:w="121" w:type="dxa"/>
            <w:tcBorders/>
            <w:shd w:fill="FFFFFF" w:val="clear"/>
            <w:tcMar>
              <w:bottom w:w="0" w:type="dxa"/>
            </w:tcMar>
            <w:vAlign w:val="bottom"/>
          </w:tcPr>
          <w:p>
            <w:pPr>
              <w:pStyle w:val="TableContents"/>
              <w:spacing w:before="0" w:after="283"/>
              <w:rPr/>
            </w:pPr>
            <w:r>
              <w:rPr/>
              <w:t xml:space="preserve">  </w:t>
            </w:r>
          </w:p>
        </w:tc>
        <w:tc>
          <w:tcPr>
            <w:tcW w:w="2209" w:type="dxa"/>
            <w:tcBorders/>
            <w:shd w:fill="FFFFFF" w:val="clear"/>
            <w:tcMar>
              <w:bottom w:w="0" w:type="dxa"/>
            </w:tcMar>
            <w:vAlign w:val="bottom"/>
          </w:tcPr>
          <w:p>
            <w:pPr>
              <w:pStyle w:val="TableContents"/>
              <w:spacing w:before="0" w:after="283"/>
              <w:rPr/>
            </w:pPr>
            <w:r>
              <w:rPr/>
              <w:t xml:space="preserve">  </w:t>
            </w:r>
          </w:p>
        </w:tc>
        <w:tc>
          <w:tcPr>
            <w:tcW w:w="121" w:type="dxa"/>
            <w:tcBorders/>
            <w:shd w:fill="FFFFFF" w:val="clear"/>
            <w:tcMar>
              <w:bottom w:w="0" w:type="dxa"/>
            </w:tcMar>
            <w:vAlign w:val="bottom"/>
          </w:tcPr>
          <w:p>
            <w:pPr>
              <w:pStyle w:val="TableContents"/>
              <w:spacing w:before="0" w:after="283"/>
              <w:rPr/>
            </w:pPr>
            <w:r>
              <w:rPr/>
              <w:t xml:space="preserve">  </w:t>
            </w:r>
          </w:p>
        </w:tc>
        <w:tc>
          <w:tcPr>
            <w:tcW w:w="2078" w:type="dxa"/>
            <w:tcBorders/>
            <w:shd w:fill="FFFFFF" w:val="clear"/>
            <w:tcMar>
              <w:bottom w:w="0" w:type="dxa"/>
            </w:tcMar>
            <w:vAlign w:val="bottom"/>
          </w:tcPr>
          <w:p>
            <w:pPr>
              <w:pStyle w:val="TableContents"/>
              <w:spacing w:before="0" w:after="283"/>
              <w:rPr/>
            </w:pPr>
            <w:r>
              <w:rPr/>
              <w:t xml:space="preserve">  </w:t>
            </w:r>
          </w:p>
        </w:tc>
        <w:tc>
          <w:tcPr>
            <w:tcW w:w="224" w:type="dxa"/>
            <w:tcBorders/>
            <w:shd w:fill="FFFFFF" w:val="clear"/>
            <w:tcMar>
              <w:bottom w:w="0" w:type="dxa"/>
            </w:tcMar>
            <w:vAlign w:val="bottom"/>
          </w:tcPr>
          <w:p>
            <w:pPr>
              <w:pStyle w:val="TableContents"/>
              <w:spacing w:before="0" w:after="283"/>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University Health Network (10)</w:t>
            </w:r>
          </w:p>
        </w:tc>
        <w:tc>
          <w:tcPr>
            <w:tcW w:w="121" w:type="dxa"/>
            <w:tcBorders/>
            <w:shd w:fill="CCEEFF" w:val="clear"/>
            <w:tcMar>
              <w:bottom w:w="0" w:type="dxa"/>
            </w:tcMar>
            <w:vAlign w:val="bottom"/>
          </w:tcPr>
          <w:p>
            <w:pPr>
              <w:pStyle w:val="TableContents"/>
              <w:spacing w:before="0" w:after="283"/>
              <w:rPr/>
            </w:pPr>
            <w:r>
              <w:rPr/>
              <w:t xml:space="preserve">  </w:t>
            </w:r>
          </w:p>
        </w:tc>
        <w:tc>
          <w:tcPr>
            <w:tcW w:w="121" w:type="dxa"/>
            <w:tcBorders/>
            <w:shd w:fill="CCEEFF" w:val="clear"/>
            <w:tcMar>
              <w:bottom w:w="0" w:type="dxa"/>
            </w:tcMar>
            <w:vAlign w:val="bottom"/>
          </w:tcPr>
          <w:p>
            <w:pPr>
              <w:pStyle w:val="TableContents"/>
              <w:spacing w:before="0" w:after="283"/>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1,717,251</w:t>
            </w:r>
          </w:p>
        </w:tc>
        <w:tc>
          <w:tcPr>
            <w:tcW w:w="121" w:type="dxa"/>
            <w:tcBorders/>
            <w:shd w:fill="CCEEFF" w:val="clear"/>
            <w:tcMar>
              <w:bottom w:w="0" w:type="dxa"/>
            </w:tcMar>
            <w:vAlign w:val="bottom"/>
          </w:tcPr>
          <w:p>
            <w:pPr>
              <w:pStyle w:val="TableContents"/>
              <w:spacing w:before="0" w:after="283"/>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7.86</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101 College St. Ste. 150</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Toronto ON, Canada M5G 1L7</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r>
        <w:trPr/>
        <w:tc>
          <w:tcPr>
            <w:tcW w:w="533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209" w:type="dxa"/>
            <w:tcBorders/>
            <w:shd w:fill="FFFFFF" w:val="clear"/>
            <w:tcMar>
              <w:bottom w:w="0" w:type="dxa"/>
            </w:tcMar>
            <w:vAlign w:val="bottom"/>
          </w:tcPr>
          <w:p>
            <w:pPr>
              <w:pStyle w:val="TableContents"/>
              <w:spacing w:before="0" w:after="283"/>
              <w:jc w:val="right"/>
              <w:rPr/>
            </w:pPr>
            <w:r>
              <w:rPr/>
              <w:t xml:space="preserve">  </w:t>
            </w:r>
          </w:p>
        </w:tc>
        <w:tc>
          <w:tcPr>
            <w:tcW w:w="121" w:type="dxa"/>
            <w:tcBorders/>
            <w:shd w:fill="FFFFFF" w:val="clear"/>
            <w:tcMar>
              <w:bottom w:w="0" w:type="dxa"/>
            </w:tcMar>
            <w:vAlign w:val="bottom"/>
          </w:tcPr>
          <w:p>
            <w:pPr>
              <w:pStyle w:val="TableContents"/>
              <w:spacing w:before="0" w:after="283"/>
              <w:jc w:val="left"/>
              <w:rPr/>
            </w:pPr>
            <w:r>
              <w:rPr/>
              <w:t xml:space="preserve">  </w:t>
            </w:r>
          </w:p>
        </w:tc>
        <w:tc>
          <w:tcPr>
            <w:tcW w:w="2078" w:type="dxa"/>
            <w:tcBorders/>
            <w:shd w:fill="FFFFFF" w:val="clear"/>
            <w:tcMar>
              <w:bottom w:w="0" w:type="dxa"/>
            </w:tcMar>
            <w:vAlign w:val="bottom"/>
          </w:tcPr>
          <w:p>
            <w:pPr>
              <w:pStyle w:val="TableContents"/>
              <w:spacing w:before="0" w:after="283"/>
              <w:jc w:val="right"/>
              <w:rPr/>
            </w:pPr>
            <w:r>
              <w:rPr/>
              <w:t xml:space="preserve">  </w:t>
            </w:r>
          </w:p>
        </w:tc>
        <w:tc>
          <w:tcPr>
            <w:tcW w:w="224" w:type="dxa"/>
            <w:tcBorders/>
            <w:shd w:fill="FFFFFF" w:val="clear"/>
            <w:tcMar>
              <w:bottom w:w="0" w:type="dxa"/>
            </w:tcMar>
            <w:vAlign w:val="bottom"/>
          </w:tcPr>
          <w:p>
            <w:pPr>
              <w:pStyle w:val="TableContents"/>
              <w:spacing w:before="0" w:after="283"/>
              <w:jc w:val="left"/>
              <w:rPr/>
            </w:pPr>
            <w:r>
              <w:rPr/>
              <w:t xml:space="preserve">  </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All Officers and Directors as a Group</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5,933,214</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0"/>
              <w:ind w:left="0" w:right="16" w:hanging="0"/>
              <w:jc w:val="right"/>
              <w:rPr/>
            </w:pPr>
            <w:r>
              <w:rPr/>
              <w:t>23.13</w:t>
            </w:r>
          </w:p>
        </w:tc>
        <w:tc>
          <w:tcPr>
            <w:tcW w:w="224"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5331"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(7 persons) (11)</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209" w:type="dxa"/>
            <w:tcBorders/>
            <w:shd w:fill="CCEEFF" w:val="clear"/>
            <w:tcMar>
              <w:bottom w:w="0" w:type="dxa"/>
            </w:tcMar>
            <w:vAlign w:val="bottom"/>
          </w:tcPr>
          <w:p>
            <w:pPr>
              <w:pStyle w:val="TableContents"/>
              <w:spacing w:before="0" w:after="283"/>
              <w:jc w:val="right"/>
              <w:rPr/>
            </w:pPr>
            <w:r>
              <w:rPr/>
              <w:t xml:space="preserve">  </w:t>
            </w:r>
          </w:p>
        </w:tc>
        <w:tc>
          <w:tcPr>
            <w:tcW w:w="121" w:type="dxa"/>
            <w:tcBorders/>
            <w:shd w:fill="CCEEFF" w:val="clear"/>
            <w:tcMar>
              <w:bottom w:w="0" w:type="dxa"/>
            </w:tcMar>
            <w:vAlign w:val="bottom"/>
          </w:tcPr>
          <w:p>
            <w:pPr>
              <w:pStyle w:val="TableContents"/>
              <w:spacing w:before="0" w:after="283"/>
              <w:jc w:val="left"/>
              <w:rPr/>
            </w:pPr>
            <w:r>
              <w:rPr/>
              <w:t xml:space="preserve">  </w:t>
            </w:r>
          </w:p>
        </w:tc>
        <w:tc>
          <w:tcPr>
            <w:tcW w:w="2078" w:type="dxa"/>
            <w:tcBorders/>
            <w:shd w:fill="CCEEFF" w:val="clear"/>
            <w:tcMar>
              <w:bottom w:w="0" w:type="dxa"/>
            </w:tcMar>
            <w:vAlign w:val="bottom"/>
          </w:tcPr>
          <w:p>
            <w:pPr>
              <w:pStyle w:val="TableContents"/>
              <w:spacing w:before="0" w:after="283"/>
              <w:jc w:val="right"/>
              <w:rPr/>
            </w:pPr>
            <w:r>
              <w:rPr/>
              <w:t xml:space="preserve">  </w:t>
            </w:r>
          </w:p>
        </w:tc>
        <w:tc>
          <w:tcPr>
            <w:tcW w:w="224"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left"/>
        <w:rPr>
          <w:rFonts w:ascii="Times New Roman" w:hAnsi="Times New Roman"/>
          <w:sz w:val="20"/>
        </w:rPr>
      </w:pPr>
      <w:r>
        <w:rPr>
          <w:rFonts w:ascii="Times New Roman" w:hAnsi="Times New Roman"/>
          <w:sz w:val="20"/>
        </w:rPr>
        <w:softHyphen/>
        <w:softHyphen/>
        <w:softHyphen/>
        <w:softHyphen/>
        <w:softHyphen/>
        <w:softHyphen/>
        <w:softHyphen/>
        <w:softHyphen/>
        <w:softHyphen/>
        <w:softHyphen/>
        <w:softHyphen/>
        <w:softHyphen/>
        <w:softHyphen/>
        <w:softHyphen/>
        <w:softHyphen/>
        <w:softHyphen/>
      </w:r>
    </w:p>
    <w:p>
      <w:pPr>
        <w:pStyle w:val="TextBody"/>
        <w:spacing w:before="0" w:after="0"/>
        <w:ind w:left="0" w:right="0" w:hanging="0"/>
        <w:jc w:val="left"/>
        <w:rPr>
          <w:rFonts w:ascii="Times New Roman" w:hAnsi="Times New Roman"/>
          <w:sz w:val="20"/>
        </w:rPr>
      </w:pPr>
      <w:r>
        <w:rPr>
          <w:rFonts w:ascii="Times New Roman" w:hAnsi="Times New Roman"/>
          <w:sz w:val="20"/>
        </w:rPr>
        <w:t>* Less than one percent (1%)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6" w:name="PGBRK128"/>
      <w:bookmarkStart w:id="1297" w:name="PGBRK128"/>
      <w:bookmarkEnd w:id="1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8" w:name="FTR128"/>
      <w:bookmarkStart w:id="1299" w:name="FTR128"/>
      <w:bookmarkEnd w:id="1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0" w:name="GLFTR128"/>
      <w:bookmarkEnd w:id="13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01" w:name="PN128"/>
      <w:bookmarkEnd w:id="1301"/>
      <w:r>
        <w:rPr>
          <w:rFonts w:ascii="Times New Roman" w:hAnsi="Times New Roman"/>
          <w:sz w:val="20"/>
        </w:rPr>
        <w:t>-127-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2" w:name="HDR128"/>
      <w:bookmarkStart w:id="1303" w:name="HDR128"/>
      <w:bookmarkEnd w:id="1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04" w:name="GLHDR128"/>
        <w:bookmarkEnd w:id="13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2"/>
        <w:gridCol w:w="9593"/>
      </w:tblGrid>
      <w:tr>
        <w:trPr/>
        <w:tc>
          <w:tcPr>
            <w:tcW w:w="612"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w:t>
            </w:r>
          </w:p>
        </w:tc>
        <w:tc>
          <w:tcPr>
            <w:tcW w:w="959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This table is based upon information supplied by officers, directors and principal stockholders and Forms 3, Forms 4, and Schedule 13G filed with the Securities and Exchange Commission.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21,265,967 shares of common stock outstanding on July 12, 2013.</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36"/>
        <w:gridCol w:w="9569"/>
      </w:tblGrid>
      <w:tr>
        <w:trPr/>
        <w:tc>
          <w:tcPr>
            <w:tcW w:w="636"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(2)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1,665,833 restricted shares of common stock exercisable within 60 days of July 12, 2013 and currently exercisable warrants to purchase 866,052 restricted shares of common stock.</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37"/>
        <w:gridCol w:w="9568"/>
      </w:tblGrid>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(3)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539,695 restricted shares of common stock exercisable within 60 days of July 12, 2013 and currently exercisable warrants to purchase 500,000 restricted shares of common stock.</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(4)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59,418 restricted shares of common stock exercisable within 60 days of July 12, 2013, including options to purchase 9,853 restricted shares of common stock held by Mr. Dotson’s wife, and currently exercisable warrants to purchase 100,000 restricted shares of common stock.</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(5)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243,916 restricted shares of common stock exercisable within 60 days of July 12, 2013 and currently exercisable warrants to purchase 125,000 restricted shares of common stock.</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(6)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164,166 restricted shares of common stock exercisable within 60 days of July 12, 2013 and currently exercisable warrants to purchase 125,000 restricted shares of common stock.</w:t>
            </w:r>
          </w:p>
          <w:p>
            <w:pPr>
              <w:pStyle w:val="TableContents"/>
              <w:spacing w:before="0" w:after="0"/>
              <w:ind w:left="0" w:right="16" w:hanging="0"/>
              <w:jc w:val="both"/>
              <w:rPr/>
            </w:pPr>
            <w:r>
              <w:rPr/>
              <w:t>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(7)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upon information contained in Form 4 filed on January 9, 2012.  Includes currently exercisable warrants to purchase 1,314,854 restricted shares of common stock.  Dr. Allen E. Cato, Ph.D., M.D. is deemed to have voting and investment authority over the shares held by Cato Holding Company.</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(8)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upon information contained in Schedule 13G/A filed on February 15, 2013 reporting transactions through December 31, 2012, updated for transactions with Platinum occurring thereafter through July 12, 2013. The number of shares beneficially owned at July 12, 2013 includes 929,412 restricted shares of common stock owned by Platinum.</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The number of shares beneficially owned excludes 15,000,000 restricted shares of common stock and a warrant to purchase 7,500,000 restricted shares of common stock that may currently be acquired by Platinum upon exchange of 500,000 restricted shares of our Series A Preferred Stock.  Pursuant to that October 11, 2012 Note Exchange and Purchase Agreement by and between the Company and Platinum, there is a limitation on exchange such that the number of shares of common stock that may be acquired by Platinum upon exchange of the Series A Preferred Stock is limited to the extent necessary to ensure that, following such exchange, the total number of shares of common stock then beneficially owned by Platinum does not exceed 9.99% of the total number of our issued and outstanding shares of common stock without providing us with 61 days’ prior notice thereof.</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Further, the number of shares beneficially owned also excludes 10,243,639 restricted shares of Common Stock that may be acquired by Platinum upon conversion of various Senior Secured Convertible Promissory Notes in the aggregate face amount of $3,272,577 (the “</w:t>
            </w:r>
            <w:r>
              <w:rPr>
                <w:rFonts w:ascii="times new roman" w:hAnsi="times new roman"/>
                <w:i/>
                <w:sz w:val="20"/>
              </w:rPr>
              <w:t>Convertible Notes</w:t>
            </w:r>
            <w:r>
              <w:rPr>
                <w:rFonts w:ascii="times new roman" w:hAnsi="times new roman"/>
                <w:sz w:val="20"/>
              </w:rPr>
              <w:t>”) plus accrued but unpaid interest or exercise of various common stock purchase warrants to purchase an aggregate of 3,272,577 restricted shares of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(9)</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currently exercisable warrants to purchase 1,890,256 restricted shares of common stock.</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   </w:t>
            </w:r>
          </w:p>
        </w:tc>
        <w:tc>
          <w:tcPr>
            <w:tcW w:w="95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currently exercisable warrants to purchase 579,196 restricted shares of common stock.</w:t>
            </w:r>
          </w:p>
        </w:tc>
      </w:tr>
      <w:tr>
        <w:trPr/>
        <w:tc>
          <w:tcPr>
            <w:tcW w:w="637" w:type="dxa"/>
            <w:tcBorders/>
            <w:shd w:fill="auto" w:val="clear"/>
          </w:tcPr>
          <w:p>
            <w:pPr>
              <w:pStyle w:val="TableContents"/>
              <w:spacing w:before="0" w:after="283"/>
              <w:rPr/>
            </w:pPr>
            <w:r>
              <w:rPr/>
              <w:t xml:space="preserve">  </w:t>
            </w:r>
          </w:p>
        </w:tc>
        <w:tc>
          <w:tcPr>
            <w:tcW w:w="9568" w:type="dxa"/>
            <w:tcBorders/>
            <w:shd w:fill="auto" w:val="clear"/>
          </w:tcPr>
          <w:p>
            <w:pPr>
              <w:pStyle w:val="TableContents"/>
              <w:spacing w:before="0" w:after="283"/>
              <w:rPr/>
            </w:pPr>
            <w:r>
              <w:rPr/>
              <w:t xml:space="preserve">  </w:t>
            </w:r>
          </w:p>
        </w:tc>
      </w:tr>
      <w:tr>
        <w:trPr/>
        <w:tc>
          <w:tcPr>
            <w:tcW w:w="63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(11)   </w:t>
            </w:r>
          </w:p>
        </w:tc>
        <w:tc>
          <w:tcPr>
            <w:tcW w:w="956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an aggregate of 2,673,028 restricted shares of common stock exercisable within 60 days of July 12, 2013, and currently exercisable warrants to purchase an aggregate of 1,716,052 restricted shares of common stock.</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5" w:name="PGBRK129"/>
      <w:bookmarkStart w:id="1306" w:name="PGBRK129"/>
      <w:bookmarkEnd w:id="1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7" w:name="FTR129"/>
      <w:bookmarkStart w:id="1308" w:name="FTR129"/>
      <w:bookmarkEnd w:id="1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9" w:name="GLFTR129"/>
      <w:bookmarkEnd w:id="13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0" w:name="PN129"/>
      <w:bookmarkEnd w:id="1310"/>
      <w:r>
        <w:rPr>
          <w:rFonts w:ascii="Times New Roman" w:hAnsi="Times New Roman"/>
          <w:sz w:val="20"/>
        </w:rPr>
        <w:t>-128-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1" w:name="HDR129"/>
      <w:bookmarkStart w:id="1312" w:name="HDR129"/>
      <w:bookmarkEnd w:id="1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13" w:name="GLHDR129"/>
        <w:bookmarkEnd w:id="131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Equity Grants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options to purchase a total of 4,912,604 restricted shares of our common stock are outstanding at a weighted average exercise price of $1.32 per share, of which 4,227,436 options are vested and exercisable at a weighted average exercise price of $1.35 per share and 685,168 are unvested and unexercisable at a weighted average exercise price of $1.12 per share. These options were issued under our 2008 Plan, which has been approved by our stockholders, and under our 1999 Plan, which has now expired, but was not approved by our stockholders.  An additional 257,867 shares remain available for future equity grants under our 2008 Plan.</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532"/>
        <w:gridCol w:w="106"/>
        <w:gridCol w:w="111"/>
        <w:gridCol w:w="1674"/>
        <w:gridCol w:w="106"/>
        <w:gridCol w:w="106"/>
        <w:gridCol w:w="427"/>
        <w:gridCol w:w="1860"/>
        <w:gridCol w:w="106"/>
        <w:gridCol w:w="106"/>
        <w:gridCol w:w="127"/>
        <w:gridCol w:w="1816"/>
        <w:gridCol w:w="128"/>
      </w:tblGrid>
      <w:tr>
        <w:trPr/>
        <w:tc>
          <w:tcPr>
            <w:tcW w:w="3532" w:type="dxa"/>
            <w:tcBorders>
              <w:bottom w:val="single" w:sz="12"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16" w:hanging="0"/>
              <w:jc w:val="left"/>
              <w:rPr>
                <w:rFonts w:ascii="times new roman" w:hAnsi="times new roman"/>
                <w:b/>
                <w:sz w:val="20"/>
              </w:rPr>
            </w:pPr>
            <w:r>
              <w:rPr>
                <w:rFonts w:ascii="times new roman" w:hAnsi="times new roman"/>
                <w:b/>
                <w:sz w:val="20"/>
              </w:rPr>
              <w:t>Plan category</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785"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to be issued upon</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 options,</w:t>
            </w:r>
          </w:p>
          <w:p>
            <w:pPr>
              <w:pStyle w:val="TableContents"/>
              <w:spacing w:before="0" w:after="0"/>
              <w:ind w:left="0" w:right="36" w:hanging="0"/>
              <w:jc w:val="center"/>
              <w:rPr>
                <w:rFonts w:ascii="times new roman" w:hAnsi="times new roman"/>
                <w:b/>
                <w:sz w:val="20"/>
              </w:rPr>
            </w:pPr>
            <w:r>
              <w:rPr>
                <w:rFonts w:ascii="times new roman" w:hAnsi="times new roman"/>
                <w:b/>
                <w:sz w:val="20"/>
              </w:rPr>
              <w:t>warrants 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2287"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Weighted-average</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price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warrants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(b)</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943"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sz w:val="20"/>
              </w:rPr>
            </w:pPr>
            <w:r>
              <w:rPr>
                <w:rFonts w:ascii="times new roman" w:hAnsi="times new roman"/>
                <w:b/>
                <w:sz w:val="20"/>
              </w:rPr>
              <w:t>remaining available for</w:t>
            </w:r>
            <w:r>
              <w:rPr>
                <w:rFonts w:ascii="times new roman" w:hAnsi="times new roman"/>
                <w:sz w:val="20"/>
              </w:rPr>
              <w:t xml:space="preserve"> </w:t>
            </w:r>
            <w:r>
              <w:rPr>
                <w:rFonts w:ascii="times new roman" w:hAnsi="times new roman"/>
                <w:b/>
                <w:sz w:val="20"/>
              </w:rPr>
              <w:t>future issuance under</w:t>
            </w:r>
            <w:r>
              <w:rPr>
                <w:rFonts w:ascii="times new roman" w:hAnsi="times new roman"/>
                <w:sz w:val="20"/>
              </w:rPr>
              <w:t xml:space="preserve"> </w:t>
            </w:r>
            <w:r>
              <w:rPr>
                <w:rFonts w:ascii="times new roman" w:hAnsi="times new roman"/>
                <w:b/>
                <w:sz w:val="20"/>
              </w:rPr>
              <w:t>equity compensation plans</w:t>
            </w:r>
          </w:p>
          <w:p>
            <w:pPr>
              <w:pStyle w:val="TableContents"/>
              <w:spacing w:before="0" w:after="0"/>
              <w:ind w:left="0" w:right="36" w:hanging="0"/>
              <w:jc w:val="center"/>
              <w:rPr>
                <w:rFonts w:ascii="times new roman" w:hAnsi="times new roman"/>
                <w:b/>
                <w:sz w:val="20"/>
              </w:rPr>
            </w:pPr>
            <w:r>
              <w:rPr>
                <w:rFonts w:ascii="times new roman" w:hAnsi="times new roman"/>
                <w:b/>
                <w:sz w:val="20"/>
              </w:rPr>
              <w:t>(excluding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reflected in column (a))</w:t>
            </w:r>
          </w:p>
          <w:p>
            <w:pPr>
              <w:pStyle w:val="TableContents"/>
              <w:spacing w:before="0" w:after="0"/>
              <w:ind w:left="0" w:right="36" w:hanging="0"/>
              <w:jc w:val="center"/>
              <w:rPr>
                <w:rFonts w:ascii="times new roman" w:hAnsi="times new roman"/>
                <w:b/>
                <w:sz w:val="20"/>
              </w:rPr>
            </w:pPr>
            <w:r>
              <w:rPr>
                <w:rFonts w:ascii="times new roman" w:hAnsi="times new roman"/>
                <w:b/>
                <w:sz w:val="20"/>
              </w:rPr>
              <w:t>(c)</w:t>
            </w:r>
          </w:p>
        </w:tc>
        <w:tc>
          <w:tcPr>
            <w:tcW w:w="128" w:type="dxa"/>
            <w:tcBorders/>
            <w:shd w:fill="auto" w:val="clear"/>
            <w:tcMar>
              <w:bottom w:w="0" w:type="dxa"/>
            </w:tcMar>
            <w:vAlign w:val="bottom"/>
          </w:tcPr>
          <w:p>
            <w:pPr>
              <w:pStyle w:val="TableContents"/>
              <w:spacing w:before="0" w:after="283"/>
              <w:jc w:val="left"/>
              <w:rPr/>
            </w:pPr>
            <w:r>
              <w:rPr/>
              <w:t xml:space="preserve">  </w:t>
            </w:r>
          </w:p>
        </w:tc>
      </w:tr>
      <w:tr>
        <w:trPr/>
        <w:tc>
          <w:tcPr>
            <w:tcW w:w="3532"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4"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4,442,133</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1860"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1.33</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27" w:type="dxa"/>
            <w:tcBorders/>
            <w:shd w:fill="CCEEFF" w:val="clear"/>
            <w:tcMar>
              <w:bottom w:w="0" w:type="dxa"/>
            </w:tcMar>
            <w:vAlign w:val="bottom"/>
          </w:tcPr>
          <w:p>
            <w:pPr>
              <w:pStyle w:val="TableContents"/>
              <w:spacing w:before="0" w:after="283"/>
              <w:jc w:val="left"/>
              <w:rPr/>
            </w:pPr>
            <w:r>
              <w:rPr/>
              <w:t xml:space="preserve">  </w:t>
            </w:r>
          </w:p>
        </w:tc>
        <w:tc>
          <w:tcPr>
            <w:tcW w:w="1816"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257,687</w:t>
            </w:r>
          </w:p>
        </w:tc>
        <w:tc>
          <w:tcPr>
            <w:tcW w:w="128" w:type="dxa"/>
            <w:tcBorders/>
            <w:shd w:fill="CCEEFF" w:val="clear"/>
            <w:tcMar>
              <w:bottom w:w="0" w:type="dxa"/>
            </w:tcMar>
            <w:vAlign w:val="bottom"/>
          </w:tcPr>
          <w:p>
            <w:pPr>
              <w:pStyle w:val="TableContents"/>
              <w:spacing w:before="0" w:after="283"/>
              <w:jc w:val="left"/>
              <w:rPr/>
            </w:pPr>
            <w:r>
              <w:rPr/>
              <w:t xml:space="preserve">  </w:t>
            </w:r>
          </w:p>
        </w:tc>
      </w:tr>
      <w:tr>
        <w:trPr/>
        <w:tc>
          <w:tcPr>
            <w:tcW w:w="3532"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11" w:type="dxa"/>
            <w:tcBorders>
              <w:bottom w:val="single" w:sz="12" w:space="0" w:color="000000"/>
            </w:tcBorders>
            <w:shd w:fill="FFFFFF" w:val="clear"/>
            <w:vAlign w:val="bottom"/>
          </w:tcPr>
          <w:p>
            <w:pPr>
              <w:pStyle w:val="TableContents"/>
              <w:spacing w:before="0" w:after="283"/>
              <w:jc w:val="left"/>
              <w:rPr/>
            </w:pPr>
            <w:r>
              <w:rPr/>
              <w:t xml:space="preserve">  </w:t>
            </w:r>
          </w:p>
        </w:tc>
        <w:tc>
          <w:tcPr>
            <w:tcW w:w="1674"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470,471</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427" w:type="dxa"/>
            <w:tcBorders/>
            <w:shd w:fill="FFFFFF" w:val="clear"/>
            <w:tcMar>
              <w:bottom w:w="0" w:type="dxa"/>
            </w:tcMar>
            <w:vAlign w:val="bottom"/>
          </w:tcPr>
          <w:p>
            <w:pPr>
              <w:pStyle w:val="TableContents"/>
              <w:spacing w:before="0" w:after="283"/>
              <w:jc w:val="left"/>
              <w:rPr/>
            </w:pPr>
            <w:r>
              <w:rPr/>
              <w:t xml:space="preserve">  </w:t>
            </w:r>
          </w:p>
        </w:tc>
        <w:tc>
          <w:tcPr>
            <w:tcW w:w="1860"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1.21</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27" w:type="dxa"/>
            <w:tcBorders>
              <w:bottom w:val="single" w:sz="12" w:space="0" w:color="000000"/>
            </w:tcBorders>
            <w:shd w:fill="FFFFFF" w:val="clear"/>
            <w:vAlign w:val="bottom"/>
          </w:tcPr>
          <w:p>
            <w:pPr>
              <w:pStyle w:val="TableContents"/>
              <w:spacing w:before="0" w:after="283"/>
              <w:jc w:val="left"/>
              <w:rPr/>
            </w:pPr>
            <w:r>
              <w:rPr/>
              <w:t xml:space="preserve">  </w:t>
            </w:r>
          </w:p>
        </w:tc>
        <w:tc>
          <w:tcPr>
            <w:tcW w:w="1816"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w:t>
            </w:r>
          </w:p>
        </w:tc>
        <w:tc>
          <w:tcPr>
            <w:tcW w:w="128" w:type="dxa"/>
            <w:tcBorders/>
            <w:shd w:fill="FFFFFF" w:val="clear"/>
            <w:tcMar>
              <w:bottom w:w="0" w:type="dxa"/>
            </w:tcMar>
            <w:vAlign w:val="bottom"/>
          </w:tcPr>
          <w:p>
            <w:pPr>
              <w:pStyle w:val="TableContents"/>
              <w:spacing w:before="0" w:after="283"/>
              <w:rPr/>
            </w:pPr>
            <w:r>
              <w:rPr/>
              <w:t xml:space="preserve">  </w:t>
            </w:r>
          </w:p>
        </w:tc>
      </w:tr>
      <w:tr>
        <w:trPr/>
        <w:tc>
          <w:tcPr>
            <w:tcW w:w="3532"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Total</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bottom w:val="double" w:sz="8" w:space="0" w:color="000000"/>
            </w:tcBorders>
            <w:shd w:fill="CCEEFF" w:val="clear"/>
            <w:vAlign w:val="bottom"/>
          </w:tcPr>
          <w:p>
            <w:pPr>
              <w:pStyle w:val="TableContents"/>
              <w:spacing w:before="0" w:after="283"/>
              <w:jc w:val="left"/>
              <w:rPr/>
            </w:pPr>
            <w:r>
              <w:rPr/>
              <w:t xml:space="preserve">  </w:t>
            </w:r>
          </w:p>
        </w:tc>
        <w:tc>
          <w:tcPr>
            <w:tcW w:w="1674"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4,912,604</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1860"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1.32</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27" w:type="dxa"/>
            <w:tcBorders>
              <w:bottom w:val="double" w:sz="8" w:space="0" w:color="000000"/>
            </w:tcBorders>
            <w:shd w:fill="CCEEFF" w:val="clear"/>
            <w:vAlign w:val="bottom"/>
          </w:tcPr>
          <w:p>
            <w:pPr>
              <w:pStyle w:val="TableContents"/>
              <w:spacing w:before="0" w:after="283"/>
              <w:jc w:val="left"/>
              <w:rPr/>
            </w:pPr>
            <w:r>
              <w:rPr/>
              <w:t xml:space="preserve">  </w:t>
            </w:r>
          </w:p>
        </w:tc>
        <w:tc>
          <w:tcPr>
            <w:tcW w:w="1816"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257,687</w:t>
            </w:r>
          </w:p>
        </w:tc>
        <w:tc>
          <w:tcPr>
            <w:tcW w:w="128"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1999 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California’s Board of Directors adopted the 1999 Plan on December 6, 1999.  The 1999 Plan has terminated under its own terms, and as a result, no awards may currently be granted under the 1999 Plan. However, the options and awards that have already been granted pursuant to the 1999 Plan remain operative.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permitted VistaGen California to make grants of incentive stock options, non-qualified stock options and restricted stock awards. VistaGen California initially reserved 450,000 shares of its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4" w:name="PGBRK130"/>
      <w:bookmarkStart w:id="1315" w:name="PGBRK130"/>
      <w:bookmarkEnd w:id="1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6" w:name="FTR130"/>
      <w:bookmarkStart w:id="1317" w:name="FTR130"/>
      <w:bookmarkEnd w:id="1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18" w:name="GLFTR130"/>
      <w:bookmarkEnd w:id="13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9" w:name="PN130"/>
      <w:bookmarkEnd w:id="1319"/>
      <w:r>
        <w:rPr>
          <w:rFonts w:ascii="Times New Roman" w:hAnsi="Times New Roman"/>
          <w:sz w:val="20"/>
        </w:rPr>
        <w:t>-129-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0" w:name="HDR130"/>
      <w:bookmarkStart w:id="1321" w:name="HDR130"/>
      <w:bookmarkEnd w:id="1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22" w:name="GLHDR130"/>
        <w:bookmarkEnd w:id="132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we have options outstanding under the 1999 Plan to purchase an aggregate of 470,471 restricted shares of our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323" w:name="it13j"/>
      <w:bookmarkEnd w:id="1323"/>
      <w:r>
        <w:rPr>
          <w:rFonts w:ascii="Times New Roman" w:hAnsi="Times New Roman"/>
          <w:b/>
          <w:sz w:val="20"/>
        </w:rPr>
        <w:t>Item 13.  Certain Relationships and Related Transactions, and Director Independence.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Cato Holding Company (“</w:t>
      </w:r>
      <w:r>
        <w:rPr>
          <w:rFonts w:ascii="Times New Roman" w:hAnsi="Times New Roman"/>
          <w:i/>
          <w:sz w:val="20"/>
        </w:rPr>
        <w:t>CHC</w:t>
      </w:r>
      <w:r>
        <w:rPr>
          <w:rFonts w:ascii="Times New Roman" w:hAnsi="Times New Roman"/>
          <w:sz w:val="20"/>
        </w:rPr>
        <w:t>”), doing business as Cato BioVentures ("</w:t>
      </w:r>
      <w:r>
        <w:rPr>
          <w:rFonts w:ascii="Times New Roman" w:hAnsi="Times New Roman"/>
          <w:i/>
          <w:sz w:val="20"/>
        </w:rPr>
        <w:t>CBV</w:t>
      </w:r>
      <w:r>
        <w:rPr>
          <w:rFonts w:ascii="Times New Roman" w:hAnsi="Times New Roman"/>
          <w:sz w:val="20"/>
        </w:rPr>
        <w:t>"), the parent of Cato Research Ltd. (“</w:t>
      </w:r>
      <w:r>
        <w:rPr>
          <w:rFonts w:ascii="Times New Roman" w:hAnsi="Times New Roman"/>
          <w:i/>
          <w:sz w:val="20"/>
        </w:rPr>
        <w:t>CRL</w:t>
      </w:r>
      <w:r>
        <w:rPr>
          <w:rFonts w:ascii="Times New Roman" w:hAnsi="Times New Roman"/>
          <w:sz w:val="20"/>
        </w:rPr>
        <w:t>”), is one of our largest institutional stockholders at March 31, 2013, holding common stock and warrants to purchase common stock. Prior to the May 11, 2011 conversion of certain of VistaGen California’s outstanding promissory notes and the conversion of VistaGen California’s preferred stock into shares of our common stock,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VistaGen California $352,273 under the terms of a promissory note (the “</w:t>
      </w:r>
      <w:r>
        <w:rPr>
          <w:rFonts w:ascii="Times New Roman" w:hAnsi="Times New Roman"/>
          <w:i/>
          <w:sz w:val="20"/>
        </w:rPr>
        <w:t>2011 CHC Note</w:t>
      </w:r>
      <w:r>
        <w:rPr>
          <w:rFonts w:ascii="Times New Roman" w:hAnsi="Times New Roman"/>
          <w:sz w:val="20"/>
        </w:rPr>
        <w:t>”).  On October 10, 2012, we agreed with CHC to cancel the 2011 CHC Note and exchange it for a new unsecured promissory note in the principal amount of $310,443 (the “</w:t>
      </w:r>
      <w:r>
        <w:rPr>
          <w:rFonts w:ascii="Times New Roman" w:hAnsi="Times New Roman"/>
          <w:i/>
          <w:sz w:val="20"/>
        </w:rPr>
        <w:t>2012 CHC Note</w:t>
      </w:r>
      <w:r>
        <w:rPr>
          <w:rFonts w:ascii="Times New Roman" w:hAnsi="Times New Roman"/>
          <w:sz w:val="20"/>
        </w:rPr>
        <w:t>”) and a five-year warrant to purchase 250,000 shares of our common stock at a price of $1.50 per share (the “</w:t>
      </w:r>
      <w:r>
        <w:rPr>
          <w:rFonts w:ascii="Times New Roman" w:hAnsi="Times New Roman"/>
          <w:i/>
          <w:sz w:val="20"/>
        </w:rPr>
        <w:t>CHC Warrant</w:t>
      </w:r>
      <w:r>
        <w:rPr>
          <w:rFonts w:ascii="Times New Roman" w:hAnsi="Times New Roman"/>
          <w:sz w:val="20"/>
        </w:rPr>
        <w:t>”).  Additionally, on October 10, 2012, we issued to CRL: (i) an unsecured promissory note in the initial principal amount of $1,009,000, which is payable solely in restricted shares of the Company’s common stock and which accrues interest at the rate of 7.5% per annum, compounded monthly (the “</w:t>
      </w:r>
      <w:r>
        <w:rPr>
          <w:rFonts w:ascii="Times New Roman" w:hAnsi="Times New Roman"/>
          <w:i/>
          <w:sz w:val="20"/>
        </w:rPr>
        <w:t>CRL Note</w:t>
      </w:r>
      <w:r>
        <w:rPr>
          <w:rFonts w:ascii="Times New Roman" w:hAnsi="Times New Roman"/>
          <w:sz w:val="20"/>
        </w:rPr>
        <w:t>”), as payment in full for all contract research and development services and regulatory advice  rendered by CRL to us and our affiliates through December 31, 2012 with respect to the preclinical and clinical development of AV-101, and (ii) a five-year warrant to purchase, at a price of $1.00 per share, 1,009,000 restricted shares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fiscal year 2007, VistaGen California entered into a contract research organization arrangement with CRL related to the development of AV-101, under which we Company incurred expenses of $703,800 and $1,461,300 for the fiscal years ended March 31, 2013 and 2012, respectively, a substantial portion of which were reimbursed under the NIH grant.  Total interest expense on notes payable to CHC and CRL was $101,700 and $93,100 for the fiscal years ended March 31, 2013 and 2012, respectively, with the majority of amounts reported for periods prior to May 2011 having been converted to equity. On April 29, 2011, VistaGen California issued 157,143 restricted shares of common stock, valued at $1.75 per share, as prepayment for research and development services to be performed by CRL during 2011.  In December 2011, we entered into an Agreement Regarding Payment of Invoices and Warrant Exercises with CHC, CRL and certain CHC affiliates pursuant to which CHC and the CHC Affiliates exercised warrants at discounted exercise prices to purchase an aggregate of 492,541 restricted shares of our common stock and we received $60,200 cash, and, in lieu of cash payment for certain of the warrant exercises, settled outstanding liabilities of $245,300 for past services received from CRL and prepaid $226,400 for future services to be received from CRL, which services had been fully received by March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4" w:name="PGBRK131"/>
      <w:bookmarkStart w:id="1325" w:name="PGBRK131"/>
      <w:bookmarkEnd w:id="1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6" w:name="FTR131"/>
      <w:bookmarkStart w:id="1327" w:name="FTR131"/>
      <w:bookmarkEnd w:id="1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8" w:name="GLFTR131"/>
      <w:bookmarkEnd w:id="1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29" w:name="PN131"/>
      <w:bookmarkEnd w:id="1329"/>
      <w:r>
        <w:rPr>
          <w:rFonts w:ascii="Times New Roman" w:hAnsi="Times New Roman"/>
          <w:sz w:val="20"/>
        </w:rPr>
        <w:t>-130-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0" w:name="HDR131"/>
      <w:bookmarkStart w:id="1331" w:name="HDR131"/>
      <w:bookmarkEnd w:id="1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32" w:name="GLHDR131"/>
        <w:bookmarkEnd w:id="13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his appointment as one of VistaGen California’s officers (on a part-time basis) and directors, in April 2003, VistaGen California retained Mr. Singh as a consultant to provide legal and other consulting services. During the course of the consultancy, as payment for his services, VistaGen California issued him warrants to purchase 55,898 restricted shares of common stock at $0.80 per share and a 7% promissory note in the principal amount of $26,400. On May 11, 2011, and concurrent with the Merger, the Company paid the outstanding balance of principal and accrued interest totaling $36,000.  Upon the approval by the Board of Directors, in December 2006, VistaGen California accepted a full-recourse promissory note in the amount of $103,400 from Mr. Singh in payment of the exercise price for options and warrants to purchase an aggregate of 126,389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w:t>
      </w:r>
      <w:r>
        <w:rPr>
          <w:rFonts w:ascii="Times New Roman" w:hAnsi="Times New Roman"/>
          <w:i/>
          <w:sz w:val="20"/>
        </w:rPr>
        <w:t>Exchange Act</w:t>
      </w:r>
      <w:r>
        <w:rPr>
          <w:rFonts w:ascii="Times New Roman" w:hAnsi="Times New Roman"/>
          <w:sz w:val="20"/>
        </w:rPr>
        <w:t>”).  On May 11, 2011, in connection with the Merger, the $128,200 outstanding balance of the principal and accrued interest on this note was cancelled in accordance with Mr. Singh's employment agreement and recorded as additional compensation. In accordance with his employment agreement, Mr. Singh is also entitled to an income tax gross-up on the compensation related to the note cancellation.  At March 31, 2012 and 2013, the Company had accrued $101,900 as an estimate of the gross-up amount payable to Mr. Singh, but had not yet paid it to Mr. Singh.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2007, VistaGen California accepted a full recourse promissory note in the amount of $46,360 from Franklin Rice, its former Chief Financial Officer and a former director of VistaGen California in exchange for his exercise of options to purchase 52,681 restricted shares of VistaGen California’s common stock.  The note accrued interest at a rate of 4.90% per annum and was due and payable no later than the earlier of (i) March 1, 2017 or (ii) ten days prior to VistaGen California becoming subject to the requirements of the Exchange Act.  On May 11, 2011, in connection with the Merger, the $57,000 outstanding balance of principal and accrued interest on this note was cancelled in accordance with Mr. Rice's employment agreement and recorded as additional compensation.  In accordance with his employment agreement, Mr. Rice is entitled to an income tax gross-up on the compensation related to the note cancellation.  At March 31, 2012 and 2013, we had accrued $33,900 as an estimate of the gross-up amount, but had not paid it to Mr. Rice.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California previously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shares of the Company’s common stock, of which he has exercised warrants to purchase for 18,568 shares.  Additionally, Mr. Saxe was issued a 7% promissory note in the amount of $8,000.  On May 11, 2011, the $14,400 balance of the note and related accrued interest plus a note cancellation premium of $5,100 was converted to 11,142 shares of the Company’s common stock and a three-year warrant to purchase 2,784 shares of common stock at an exercise price of $2.50 per share.  In lieu of cash payment from the Company, in December 2011, Mr. Saxe exercised the warrant as a part of the Discounted Warrant Exercise Program at an exercise price of $1.25 per share in satisfaction for amounts owed to him in conjunction with his service as a member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securities are not currently listed on a national securities exchange or on any inter-dealer quotation system which has a requirement that directors be independent.  We evaluate independence by the standards for director independence established by applicable laws, rules, and listing standards, including, without limitation, the standards for independent directors established by the New York Stock Exchange, Inc., the NASDAQ OMX, and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33" w:name="PGBRK132"/>
      <w:bookmarkStart w:id="1334" w:name="PGBRK132"/>
      <w:bookmarkEnd w:id="1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5" w:name="FTR132"/>
      <w:bookmarkStart w:id="1336" w:name="FTR132"/>
      <w:bookmarkEnd w:id="1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7" w:name="GLFTR132"/>
      <w:bookmarkEnd w:id="1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38" w:name="PN132"/>
      <w:bookmarkEnd w:id="1338"/>
      <w:r>
        <w:rPr>
          <w:rFonts w:ascii="Times New Roman" w:hAnsi="Times New Roman"/>
          <w:sz w:val="20"/>
        </w:rPr>
        <w:t>-131-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9" w:name="HDR132"/>
      <w:bookmarkStart w:id="1340" w:name="HDR132"/>
      <w:bookmarkEnd w:id="1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41" w:name="GLHDR132"/>
        <w:bookmarkEnd w:id="134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Jon S. Saxe and Brian J. Underdown each qualify as an independent director in accordance with the qualification standards noted above.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342" w:name="it14j"/>
      <w:bookmarkEnd w:id="1342"/>
      <w:r>
        <w:rPr>
          <w:rFonts w:ascii="Times New Roman" w:hAnsi="Times New Roman"/>
          <w:b/>
          <w:sz w:val="20"/>
        </w:rPr>
        <w:t>Item 14.  Principal Accounting Fees and Services.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Fees and Services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OUM &amp; Co. LLP (“</w:t>
      </w:r>
      <w:r>
        <w:rPr>
          <w:rFonts w:ascii="Times New Roman" w:hAnsi="Times New Roman"/>
          <w:i/>
          <w:sz w:val="20"/>
        </w:rPr>
        <w:t>OUM</w:t>
      </w:r>
      <w:r>
        <w:rPr>
          <w:rFonts w:ascii="Times New Roman" w:hAnsi="Times New Roman"/>
          <w:sz w:val="20"/>
        </w:rPr>
        <w:t>”) served as our independent registered public accounting firm for the fiscal years ended March 31, 2013 and March 31, 2012.  Information provided below includes fees for professional services provided to us by OUM for the fiscal years ended March 31, 2013 and 2012.</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00"/>
        <w:gridCol w:w="109"/>
        <w:gridCol w:w="125"/>
        <w:gridCol w:w="1306"/>
        <w:gridCol w:w="109"/>
        <w:gridCol w:w="109"/>
        <w:gridCol w:w="125"/>
        <w:gridCol w:w="1305"/>
        <w:gridCol w:w="117"/>
      </w:tblGrid>
      <w:tr>
        <w:trPr/>
        <w:tc>
          <w:tcPr>
            <w:tcW w:w="69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0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17" w:type="dxa"/>
            <w:tcBorders/>
            <w:shd w:fill="auto" w:val="clear"/>
            <w:vAlign w:val="bottom"/>
          </w:tcPr>
          <w:p>
            <w:pPr>
              <w:pStyle w:val="TableContents"/>
              <w:spacing w:before="0" w:after="283"/>
              <w:jc w:val="left"/>
              <w:rPr/>
            </w:pPr>
            <w:r>
              <w:rPr/>
              <w:t> </w:t>
            </w:r>
          </w:p>
        </w:tc>
      </w:tr>
      <w:tr>
        <w:trPr/>
        <w:tc>
          <w:tcPr>
            <w:tcW w:w="69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7" w:type="dxa"/>
            <w:tcBorders/>
            <w:shd w:fill="auto" w:val="clear"/>
            <w:vAlign w:val="bottom"/>
          </w:tcPr>
          <w:p>
            <w:pPr>
              <w:pStyle w:val="TableContents"/>
              <w:spacing w:before="0" w:after="283"/>
              <w:jc w:val="left"/>
              <w:rPr/>
            </w:pPr>
            <w:r>
              <w:rPr/>
              <w:t> </w:t>
            </w:r>
          </w:p>
        </w:tc>
      </w:tr>
      <w:tr>
        <w:trPr/>
        <w:tc>
          <w:tcPr>
            <w:tcW w:w="69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31"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fees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152,500</w:t>
            </w:r>
          </w:p>
        </w:tc>
        <w:tc>
          <w:tcPr>
            <w:tcW w:w="117" w:type="dxa"/>
            <w:tcBorders/>
            <w:shd w:fill="CCEEFF" w:val="clear"/>
            <w:vAlign w:val="bottom"/>
          </w:tcPr>
          <w:p>
            <w:pPr>
              <w:pStyle w:val="TableContents"/>
              <w:spacing w:before="0" w:after="283"/>
              <w:jc w:val="left"/>
              <w:rPr/>
            </w:pPr>
            <w:r>
              <w:rPr/>
              <w:t> </w:t>
            </w:r>
          </w:p>
        </w:tc>
      </w:tr>
      <w:tr>
        <w:trPr/>
        <w:tc>
          <w:tcPr>
            <w:tcW w:w="69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Audit-related fees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fees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18,747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17" w:type="dxa"/>
            <w:tcBorders/>
            <w:shd w:fill="CCEEFF" w:val="clear"/>
            <w:vAlign w:val="bottom"/>
          </w:tcPr>
          <w:p>
            <w:pPr>
              <w:pStyle w:val="TableContents"/>
              <w:spacing w:before="0" w:after="283"/>
              <w:jc w:val="left"/>
              <w:rPr/>
            </w:pPr>
            <w:r>
              <w:rPr/>
              <w:t> </w:t>
            </w:r>
          </w:p>
        </w:tc>
      </w:tr>
      <w:tr>
        <w:trPr/>
        <w:tc>
          <w:tcPr>
            <w:tcW w:w="69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fees</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6"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69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fees</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186,247</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Audit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Audit fees include fees billed for the annual audit of the Company’s financial statements and quarterly reviews for the fiscal years ended March 31, 2013 and 2012, and for services normally provided by OUM in connection with routine statutory and regulatory filings or engagements.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Audit-Related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Audit- related fees includes fees billed for assurance and related services that are reasonably related to the performance of the annual audit or reviews of the Company’s financial statements and are not reported under “Audit Fees.”  During the fiscal years ended March 31, 2013 or 2012, no such fees were billed by OUM.</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Tax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Tax fees include fees for professional services for tax compliance, tax advice and tax planning for the tax years ended March 31, 2013 and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All Other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other fees include fees for products and services other than those described above.  During the fiscal years ended March 31, 2013 and 2012, no such fees were billed by OUM.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Pre-Approval of Audit and Non-Audit Services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auditing services and non-audit services provided to us by our independent registered public accounting firm are required to be pre-approved by the Audit Committee.  OUM did not provide any audit-related or other services in fiscal 2013 and 2012. The pre-approval of non-audit services to be provided by OUM includes making a determination that the provision of the services is compatible with maintaining the independence of OUM as an independent registered public accounting firm and would be approved in accordance with SEC rules for maintaining auditor independence. None of the fees outlined above were approved using the “de minimis exception” under SEC rules.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43" w:name="PGBRK133"/>
      <w:bookmarkStart w:id="1344" w:name="PGBRK133"/>
      <w:bookmarkEnd w:id="1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5" w:name="FTR133"/>
      <w:bookmarkStart w:id="1346" w:name="FTR133"/>
      <w:bookmarkEnd w:id="1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47" w:name="GLFTR133"/>
      <w:bookmarkEnd w:id="1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48" w:name="PN133"/>
      <w:bookmarkEnd w:id="1348"/>
      <w:r>
        <w:rPr>
          <w:rFonts w:ascii="Times New Roman" w:hAnsi="Times New Roman"/>
          <w:sz w:val="20"/>
        </w:rPr>
        <w:t>-132-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9" w:name="HDR133"/>
      <w:bookmarkStart w:id="1350" w:name="HDR133"/>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51" w:name="GLHDR133"/>
        <w:bookmarkEnd w:id="135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Report of the Audit Committee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Audit Committee has reviewed and discussed with management and OUM &amp; Co. LLP (“</w:t>
      </w:r>
      <w:r>
        <w:rPr>
          <w:rFonts w:ascii="Times New Roman" w:hAnsi="Times New Roman"/>
          <w:i/>
          <w:sz w:val="20"/>
        </w:rPr>
        <w:t>OUM</w:t>
      </w:r>
      <w:r>
        <w:rPr>
          <w:rFonts w:ascii="Times New Roman" w:hAnsi="Times New Roman"/>
          <w:sz w:val="20"/>
        </w:rPr>
        <w:t>”), our independent registered public accounting firm, the audited consolidated financial statements in the VistaGen Therapeutics, Inc. Annual Report on Form 10-K for the year ended March 31, 2013. The Audit Committee has also discussed with OUM those matters required to be discussed by the statement on Auditing Standards No. 61, as amended (AICPA, Professional Standard, Vol. 1. AU section 380), as adopted by the Public Company Accounting Oversight Board (the “</w:t>
      </w:r>
      <w:r>
        <w:rPr>
          <w:rFonts w:ascii="Times New Roman" w:hAnsi="Times New Roman"/>
          <w:i/>
          <w:sz w:val="20"/>
        </w:rPr>
        <w:t>PCAOB</w:t>
      </w:r>
      <w:r>
        <w:rPr>
          <w:rFonts w:ascii="Times New Roman" w:hAnsi="Times New Roman"/>
          <w:sz w:val="20"/>
        </w:rPr>
        <w:t>”) in Rule 3200T.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2013.</w:t>
      </w:r>
    </w:p>
    <w:p>
      <w:pPr>
        <w:pStyle w:val="TextBody"/>
        <w:spacing w:before="0" w:after="0"/>
        <w:ind w:left="0" w:right="0" w:hanging="0"/>
        <w:rPr/>
      </w:pPr>
      <w:r>
        <w:rPr/>
      </w:r>
    </w:p>
    <w:p>
      <w:pPr>
        <w:pStyle w:val="Normal"/>
        <w:spacing w:before="0" w:after="0"/>
        <w:rPr>
          <w:sz w:val="4"/>
          <w:szCs w:val="4"/>
        </w:rPr>
      </w:pPr>
      <w:r>
        <w:rPr>
          <w:sz w:val="4"/>
          <w:szCs w:val="4"/>
        </w:rPr>
      </w:r>
      <w:bookmarkStart w:id="1352" w:name="hangingindent6"/>
      <w:bookmarkStart w:id="1353" w:name="hangingindent6"/>
      <w:bookmarkEnd w:id="1353"/>
    </w:p>
    <w:tbl>
      <w:tblPr>
        <w:tblW w:w="5000" w:type="pct"/>
        <w:jc w:val="center"/>
        <w:tblInd w:w="0" w:type="dxa"/>
        <w:tblCellMar>
          <w:top w:w="0" w:type="dxa"/>
          <w:left w:w="0" w:type="dxa"/>
          <w:bottom w:w="0" w:type="dxa"/>
          <w:right w:w="0" w:type="dxa"/>
        </w:tblCellMar>
      </w:tblPr>
      <w:tblGrid>
        <w:gridCol w:w="515"/>
        <w:gridCol w:w="9690"/>
      </w:tblGrid>
      <w:tr>
        <w:trPr/>
        <w:tc>
          <w:tcPr>
            <w:tcW w:w="515" w:type="dxa"/>
            <w:tcBorders/>
            <w:shd w:fill="auto" w:val="clear"/>
          </w:tcPr>
          <w:p>
            <w:pPr>
              <w:pStyle w:val="TableContents"/>
              <w:spacing w:before="0" w:after="0"/>
              <w:rPr/>
            </w:pPr>
            <w:r>
              <w:rPr/>
              <w:t xml:space="preserve">  </w:t>
            </w:r>
          </w:p>
        </w:tc>
        <w:tc>
          <w:tcPr>
            <w:tcW w:w="96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Respectfully Submitted by:</w:t>
            </w:r>
          </w:p>
        </w:tc>
      </w:tr>
    </w:tbl>
    <w:p>
      <w:pPr>
        <w:pStyle w:val="TextBody"/>
        <w:spacing w:before="0" w:after="0"/>
        <w:ind w:left="0" w:right="0" w:hanging="0"/>
        <w:rPr/>
      </w:pPr>
      <w:r>
        <w:rPr/>
      </w:r>
    </w:p>
    <w:p>
      <w:pPr>
        <w:pStyle w:val="Normal"/>
        <w:spacing w:before="0" w:after="0"/>
        <w:rPr>
          <w:sz w:val="4"/>
          <w:szCs w:val="4"/>
        </w:rPr>
      </w:pPr>
      <w:r>
        <w:rPr>
          <w:sz w:val="4"/>
          <w:szCs w:val="4"/>
        </w:rPr>
      </w:r>
      <w:bookmarkStart w:id="1354" w:name="hangingindent7"/>
      <w:bookmarkStart w:id="1355" w:name="hangingindent7"/>
      <w:bookmarkEnd w:id="1355"/>
    </w:p>
    <w:tbl>
      <w:tblPr>
        <w:tblW w:w="5000" w:type="pct"/>
        <w:jc w:val="center"/>
        <w:tblInd w:w="0" w:type="dxa"/>
        <w:tblCellMar>
          <w:top w:w="0" w:type="dxa"/>
          <w:left w:w="0" w:type="dxa"/>
          <w:bottom w:w="0" w:type="dxa"/>
          <w:right w:w="0" w:type="dxa"/>
        </w:tblCellMar>
      </w:tblPr>
      <w:tblGrid>
        <w:gridCol w:w="334"/>
        <w:gridCol w:w="9871"/>
      </w:tblGrid>
      <w:tr>
        <w:trPr/>
        <w:tc>
          <w:tcPr>
            <w:tcW w:w="334" w:type="dxa"/>
            <w:tcBorders/>
            <w:shd w:fill="auto" w:val="clear"/>
          </w:tcPr>
          <w:p>
            <w:pPr>
              <w:pStyle w:val="TableContents"/>
              <w:spacing w:before="0" w:after="0"/>
              <w:rPr/>
            </w:pPr>
            <w:r>
              <w:rPr/>
              <w:t xml:space="preserve">  </w:t>
            </w:r>
          </w:p>
        </w:tc>
        <w:tc>
          <w:tcPr>
            <w:tcW w:w="98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MEMBERS OF THE AUDIT COMMITTEE</w:t>
            </w:r>
          </w:p>
        </w:tc>
      </w:tr>
    </w:tbl>
    <w:p>
      <w:pPr>
        <w:pStyle w:val="Normal"/>
        <w:spacing w:before="0" w:after="0"/>
        <w:rPr>
          <w:sz w:val="4"/>
          <w:szCs w:val="4"/>
        </w:rPr>
      </w:pPr>
      <w:r>
        <w:rPr>
          <w:sz w:val="4"/>
          <w:szCs w:val="4"/>
        </w:rPr>
      </w:r>
      <w:bookmarkStart w:id="1356" w:name="hangingindent8"/>
      <w:bookmarkStart w:id="1357" w:name="hangingindent8"/>
      <w:bookmarkEnd w:id="1357"/>
    </w:p>
    <w:tbl>
      <w:tblPr>
        <w:tblW w:w="5000" w:type="pct"/>
        <w:jc w:val="center"/>
        <w:tblInd w:w="0" w:type="dxa"/>
        <w:tblCellMar>
          <w:top w:w="0" w:type="dxa"/>
          <w:left w:w="0" w:type="dxa"/>
          <w:bottom w:w="0" w:type="dxa"/>
          <w:right w:w="0" w:type="dxa"/>
        </w:tblCellMar>
      </w:tblPr>
      <w:tblGrid>
        <w:gridCol w:w="360"/>
        <w:gridCol w:w="9845"/>
      </w:tblGrid>
      <w:tr>
        <w:trPr/>
        <w:tc>
          <w:tcPr>
            <w:tcW w:w="360" w:type="dxa"/>
            <w:tcBorders/>
            <w:shd w:fill="auto" w:val="clear"/>
          </w:tcPr>
          <w:p>
            <w:pPr>
              <w:pStyle w:val="TableContents"/>
              <w:spacing w:before="0" w:after="0"/>
              <w:rPr/>
            </w:pPr>
            <w:r>
              <w:rPr/>
              <w:t xml:space="preserve">  </w:t>
            </w:r>
          </w:p>
        </w:tc>
        <w:tc>
          <w:tcPr>
            <w:tcW w:w="98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Jon S. Saxe, Audit Committee Chairman</w:t>
            </w:r>
          </w:p>
        </w:tc>
      </w:tr>
    </w:tbl>
    <w:p>
      <w:pPr>
        <w:pStyle w:val="Normal"/>
        <w:spacing w:before="0" w:after="0"/>
        <w:rPr>
          <w:sz w:val="4"/>
          <w:szCs w:val="4"/>
        </w:rPr>
      </w:pPr>
      <w:r>
        <w:rPr>
          <w:sz w:val="4"/>
          <w:szCs w:val="4"/>
        </w:rPr>
      </w:r>
      <w:bookmarkStart w:id="1358" w:name="hangingindent9"/>
      <w:bookmarkStart w:id="1359" w:name="hangingindent9"/>
      <w:bookmarkEnd w:id="1359"/>
    </w:p>
    <w:tbl>
      <w:tblPr>
        <w:tblW w:w="5000" w:type="pct"/>
        <w:jc w:val="center"/>
        <w:tblInd w:w="0" w:type="dxa"/>
        <w:tblCellMar>
          <w:top w:w="0" w:type="dxa"/>
          <w:left w:w="0" w:type="dxa"/>
          <w:bottom w:w="0" w:type="dxa"/>
          <w:right w:w="0" w:type="dxa"/>
        </w:tblCellMar>
      </w:tblPr>
      <w:tblGrid>
        <w:gridCol w:w="701"/>
        <w:gridCol w:w="9504"/>
      </w:tblGrid>
      <w:tr>
        <w:trPr/>
        <w:tc>
          <w:tcPr>
            <w:tcW w:w="701" w:type="dxa"/>
            <w:tcBorders/>
            <w:shd w:fill="auto" w:val="clear"/>
          </w:tcPr>
          <w:p>
            <w:pPr>
              <w:pStyle w:val="TableContents"/>
              <w:spacing w:before="0" w:after="0"/>
              <w:rPr/>
            </w:pPr>
            <w:r>
              <w:rPr/>
              <w:t xml:space="preserve">  </w:t>
            </w:r>
          </w:p>
        </w:tc>
        <w:tc>
          <w:tcPr>
            <w:tcW w:w="950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Brian J. Underdown</w:t>
            </w:r>
          </w:p>
        </w:tc>
      </w:tr>
    </w:tbl>
    <w:p>
      <w:pPr>
        <w:pStyle w:val="TextBody"/>
        <w:spacing w:before="0" w:after="0"/>
        <w:ind w:left="0" w:right="0" w:hanging="0"/>
        <w:jc w:val="left"/>
        <w:rPr>
          <w:rFonts w:ascii="Times New Roman" w:hAnsi="Times New Roman"/>
          <w:sz w:val="20"/>
        </w:rPr>
      </w:pPr>
      <w:r>
        <w:rPr>
          <w:rFonts w:ascii="Times New Roman" w:hAnsi="Times New Roman"/>
          <w:sz w:val="20"/>
        </w:rPr>
        <w:t>Dated: July 17,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information contained above under the caption “Report of the Audit Committee of the Board of Directors” shall not be deemed to be soliciting material or to be filed with the SEC, nor shall such information be incorporated by reference into any future filing under the Securities Act of 1933, as amended, or the Securities Exchange Act, as amended, except to the extent that we specifically incorporate it by reference into such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0" w:name="PGBRK134"/>
      <w:bookmarkStart w:id="1361" w:name="PGBRK134"/>
      <w:bookmarkEnd w:id="1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2" w:name="FTR134"/>
      <w:bookmarkStart w:id="1363" w:name="FTR134"/>
      <w:bookmarkEnd w:id="1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64" w:name="GLFTR134"/>
      <w:bookmarkEnd w:id="13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5" w:name="PN134"/>
      <w:bookmarkEnd w:id="1365"/>
      <w:r>
        <w:rPr>
          <w:rFonts w:ascii="Times New Roman" w:hAnsi="Times New Roman"/>
          <w:sz w:val="20"/>
        </w:rPr>
        <w:t>-133-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6" w:name="HDR134"/>
      <w:bookmarkStart w:id="1367" w:name="HDR134"/>
      <w:bookmarkEnd w:id="1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68" w:name="GLHDR134"/>
        <w:bookmarkEnd w:id="136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IV</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1369" w:name="exhibitsj"/>
      <w:bookmarkEnd w:id="1369"/>
      <w:r>
        <w:rPr>
          <w:rFonts w:ascii="Times New Roman" w:hAnsi="Times New Roman"/>
          <w:b/>
          <w:sz w:val="20"/>
        </w:rPr>
        <w:t>Item 15.  Exhibits, Financial Statement Schedules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(a)(1)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Index to Financial Statements under Item 8 on page 57.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(a)(2) Consolidated Financial Statement Schedules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Consolidated financial statement schedules are omitted because they are not applicable or are not required or the information required to be set forth therein is included in the Consolidated Financial Statements or notes thereto.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(a)(3) 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exhibits listed in the Exhibit Index below are filed or incorporated by reference as part of this report.</w:t>
      </w:r>
      <w:bookmarkStart w:id="1370" w:name="FIS_EXHIBIT_INDEX"/>
      <w:bookmarkEnd w:id="1370"/>
    </w:p>
    <w:p>
      <w:pPr>
        <w:pStyle w:val="TextBody"/>
        <w:spacing w:before="0" w:after="0"/>
        <w:ind w:left="0" w:right="0" w:hanging="0"/>
        <w:jc w:val="center"/>
        <w:rPr/>
      </w:pPr>
      <w:r>
        <w:rPr/>
      </w:r>
      <w:bookmarkStart w:id="1371" w:name="D283543D10K_HTM_TOC283543_21"/>
      <w:bookmarkStart w:id="1372" w:name="D283543D10K_HTM_TOC283543_21"/>
      <w:bookmarkEnd w:id="1372"/>
    </w:p>
    <w:p>
      <w:pPr>
        <w:pStyle w:val="TextBody"/>
        <w:spacing w:before="0" w:after="0"/>
        <w:ind w:left="0" w:right="0" w:hanging="0"/>
        <w:jc w:val="center"/>
        <w:rPr/>
      </w:pPr>
      <w:r>
        <w:rPr/>
        <w:t> </w:t>
      </w:r>
      <w:r>
        <w:rPr>
          <w:rFonts w:ascii="Times New Roman" w:hAnsi="Times New Roman"/>
          <w:b/>
          <w:sz w:val="20"/>
        </w:rPr>
        <w:t>Exhibit Index</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223"/>
        <w:gridCol w:w="8982"/>
      </w:tblGrid>
      <w:tr>
        <w:trPr/>
        <w:tc>
          <w:tcPr>
            <w:tcW w:w="1223"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Exhibit No.</w:t>
            </w:r>
          </w:p>
        </w:tc>
        <w:tc>
          <w:tcPr>
            <w:tcW w:w="8982"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Description*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and Plan of Merger by and among Excaliber Enterprises, Ltd., VistaGen Therapeutics, Inc. and Excaliber Merger Subsidiary, Inc.</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 *</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Incorporation in effect as of May 11,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Merger filed with the Nevada Secretary of State on May 24,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3.3</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Amendment filed with the Nevada Secretary of State on December 6,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3.4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Bylaws in effect.as of May 11, 2011, incorporated by reference from the document filed as Exhibit 3.2 in the Company’s Current Report on Form 8-K filed on May 16,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3.5</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Designations Series A Preferred, incorporated by reference from the Company’s Current Report on Form 8-K/A filed on December 22,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Fourth Amended and Restated Investors’ Rights Agreement, dated August 1, 2005, by and among VistaGen and certain (former) holders of Preferred Stock of VistaGen, as amended by that certain Amendment No. 1 to Fourth Amended and Restated Investors’ Rights Agreement, dated July 10, 2010.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VistaGen’s 1999 Stock Incentive Plan.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Option Agreement under VistaGen’s 1999 Stock Incentive Plan.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VistaGen’s Scientific Advisory Board 1998 Stock Incentive Plan.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Option Agreement under VistaGen’s Scientific Advisory Board 1998 Stock Incentive Plan.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VistaGen’s 2008 Stock Incentive Plan.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Option Agreement under VistaGen’s 2008 Stock Incentive Plan.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October 30, 2009, by and between VistaGen and Cato BioVentures.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April 27, 2011, by and between VistaGen and Cato BioVentures.</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10.9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November 5, 2009, by and between VistaGen and Platinum Long Term Growth Fund.</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10.10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December 2, 2009, by and between VistaGen and University Health Network.</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10.11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April 25, 2011, by and between VistaGen and University Health Network.</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10.12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Subscription Agreement, dated May 11, 2011, by and between VistaGen and certain investors.</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10.18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Industrial Lease, dated March 5, 2007, by and between Oyster Point LLC and VistaGen, as amended by that certain First Amendment to Lease, dated as of April 24, 2009, and as further amended by that certain Second Amendment to Lease, dated as of October 19, 2010 and that certain Third Amendment to Lease, dated as of April 1,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10.19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Clinical Study Agreement, dated April 15, 2010, by and between VistaGen and Progressive Medical Concepts, LLC.</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10.20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Strategic Development Services Agreement, dated February 26, 2007, by and between VistaGen and Cato Research Ltd.</w:t>
            </w:r>
          </w:p>
        </w:tc>
      </w:tr>
      <w:tr>
        <w:trPr/>
        <w:tc>
          <w:tcPr>
            <w:tcW w:w="1223" w:type="dxa"/>
            <w:tcBorders/>
            <w:shd w:fill="CCEEFF" w:val="clear"/>
            <w:tcMar>
              <w:bottom w:w="0"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10.21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by and between National Jewish Medical and Research Center and VistaGen, dated July 12, 1999, as amended by that certain Amendment to License Agreement dated January 25, 2001, as amended by that certain Second Amendment to License Agreement dated November 6, 2002, as amended by that certain Third Amendment to License Agreement dated March 1, 2003, and as amended by that certain Fourth Amendment to License Agreement dated April 15, 2010.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10.22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by and between Mount Sinai School of Medicine of New York University and the Company, dated October 1, 2004.</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10.23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Non-Exclusive License Agreement, dated December 5, 2008, by and between VistaGen and Wisconsin Alumni Research Foundation, as amended by that certain Wisconsin Materials Addendum, dated February 2, 2009.</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10.24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Sponsored Research Collaboration Agreement, dated September 18, 2007, between VistaGen and University Health Network, as amended by that certain Amendment No. 1, Amendment No. 2 and Amendment No. 3 dated April 19, 2010, December 15, 2010 and April, 25, 2011, respectively.</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10.25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Feb 12, 2010, by and between VistaGen and The Regents of the University of California.</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10.26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dated October 24, 2001, by and between the University of Maryland, Baltimore, Cornell Research Foundation and Artemis Neuroscience, Inc.</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10.27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Non-exclusive License Agreement, dated September 1, 2010, by and between VistaGen and TET Systems GmbH &amp; Co. KG.</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10.28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Senior Convertible Promissory Bridge Note dated June 19, 2007 issued by VistaGen to Platinum Long Term Growth VII, LLC.</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10.29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Amended and Restated Letter Loan Agreement dated May 16, 2008, by and between VistaGen and Platinum Long Term Growth VII, LLC, as amended by that certain Amendment No. 1 to Second Amended and Restated Letter Loan Agreement dated October 16 2009, as further amended by that certain Amendment to Letter Loan Agreement dated May 5,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10.30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 dated April 29, 2011 issued by VistaGen to Cato Holding Company.</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Unsecured Promissory Note dated April 28, 2011 issued by VistaGen to Desjardins Securities.</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10.32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Unsecured Promissory Note dated April 28, 2011 issued by VistaGen to McCarthy Tetrault LLP.</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10.33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Unsecured Promissory Note dated April 28, 2011 issued by VistaGen to Morrison &amp; Foerster LLP</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10.34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 dated February 25, 2010 issued by VistaGen to The Regents of the University of California.</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10.35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 and Warrant Purchase Agreement dated August 4, 2010, by and between VistaGen and certain investors, as amended by that certain Amendment No. 1 to Note and Warrant Purchase Agreement, dated November 10, 2010.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10.36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Conversion Agreement, dated April 29, 2011, by and among VistaGen and certain holders of unsecured promissory notes issued pursuant to that certain Note and Warrant Purchase Agreement, dated August 4, 2010, by and between VistaGen and such note holders.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10.37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regarding Conversion of Unsecured Promissory Note, dated April 29, 2011, by and between VistaGen and The Dillon Family Trust.</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10.38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Senior Note and Warrant Purchase Agreement dated August 13, 2006, by and between VistaGen and certain investors, as amended by that certain Amendment No. 1 to Senior Convertible Bridge Note and Warrant Purchase Agreement dated January 31, 2007, as further amended by that certain Amendment No. 2 to Senior Convertible Bridge Note and Warrant Purchase Agreement dated June 11, 2007, as further amended by that certain Omnibus Amendment dated April 28,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10.39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Senior Note and Warrant Purchase Agreement dated May 16, 2008, by and between VistaGen and certain investors, as amended by that certain Amendment No. 1 to Senior Convertible Bridge Note and Warrant Purchase Agreement dated November 2, 2009, as further amended by that certain Omnibus Amendment dated April 28,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10.40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by and between, VistaGen and Shawn K. Singh, dated April 28, 2010, as amended May 9,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by and between, VistaGen and H. Ralph Snodgrass, PhD, dated April 28, 2010, as amended May 9,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10.42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by and between VistaGen and A. Franklin Rice, dated April 28, 2010, as amended May 9,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10.43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regarding sale of shares of common stock dated May 9, 2011 by and between Excaliber and Stephanie Y. Jones, whereby Excaliber purchased from Mrs. Jones 4,982,103 shares of Excaliber common stock for $10.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10.44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regarding sale of shares of common stock dated May 9, 2011 by and between Excaliber and Nicole Jones, whereby Excaliber purchased from Nicole Jones 82,104 shares of Excaliber common stock for $10.</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10.45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Joinder Agreement dated May 11, 2011 by and between Excaliber, Platinum Long Term Growth VII, LLC and VistaGen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10.46</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Notice of Award by National Institutes of Health, Small Business Innovation Research Program, to VistaGen Therapeutics, Inc. for project, Clinical Development of 4-CI-KYN to Treat Pain dated June 22, 2009, with revisions dated July 19, 2010 and August 9, 2011, incorporated by reference from the Company’s Current Report on Form 8-K/A filed on December 20,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Notice of Grant Award by California Institute of Regenerative Medicine and VistaGen Therapeutics, Inc.  for Project:  Development of an hES Cell-Based Assay System for Hepatocyte Differentiation Studies and Predictive Toxicology Drug Screening, dated April 1, 2009, incorporated by reference from the Company’s Current Report on Form 8-K/A filed on December 20,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4, dated October 24, 2011, to Sponsored Research Collaboration Agreement between VistaGen and University Health Network, incorporated by reference from the Company’s Current Report on Form 8-K/A filed on November 30,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License Agreement No. 1, dated as of October 24, 2011 between University Health Network and VistaGen Therapeutics, Inc., incorporated by reference from the Company’s Current Report on Form 8-K/A filed on November 30,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Strategic Medicinal Chemistry Services Agreement, dated as of December 6, 2011, between Synterys, Inc. and VistaGen Therapeutics, Inc., incorporated by reference from the Company’s Current Report on Form 8-K/A filed on December 7,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Common Stock Exchange Agreement, dated as of December 22, 2011 between Platinum Long Term Growth VII, LLC and VistaGen Therapeutics, Inc., incorporated by reference from the Company’s Current Report on Form 8-K/A filed on December 23,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Note and Warrant Exchange Agreement, dated as of December 28, 2011 between Platinum Long Term Growth VII, LLC and VistaGen Therapeutics, Inc., incorporated by reference from the Current Report on Form 8-K/A filed on January 4,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Convertible Note and Warrant Purchase Agreement, dated as of February 28, 2012, by and between VistaGen Therapeutics, Inc. and certain investors, incorporated by reference from the Current Report on Form 8-K/A filed on March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Convertible Promissory Note, dated as of February 28, 2012, incorporated by reference from the Company’s Current Report on Form 8-K/A filed on March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Common Stock, dated as of February 28, 2012, incorporated by reference from the Company’s Current Report on Form 8-K/A filed on March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Registration Rights Agreement, dated as of February 28, 2012, by and between VistaGen and certain investors, incorporated by reference from the Company’s Current Report on Form 8-K/A filed on March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License Agreement No. 2, dated as of March 19, 2012 between University Health Network and VistaGen Therapeutics, Inc. , incorporated by reference from the Company’s Annual Report on Form 10-K filed on July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Exchange Agreement dated as of June 29, 2012 between Platinum Long Term Growth VII, LLC and VistaGen Therapeutics. Inc., incorporated by reference from the Company’s Annual Report on Form 10-K filed on July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Secured Convertible Promissory Note, Dated as of July 2, 2012, issued to Platinum Long Term Growth VII, LLC., incorporated by reference from the Company’s Annual Report on Form 10-K filed on July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Security Agreement between Platinum Long Term Growth VII, LLC and VistaGen Therapeutics. Inc., dated as of July 2, 2012, incorporated by reference from the Company’s Annual Report on Form 10-K filed on July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Secured Convertible Promissory Note, Dated as of August 30, 2012, issued to Platinum Long Term Growth VII, LLC., incorporated by reference from the Company’s Current Report on Form 8-K filed on September 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to Security Agreement between Platinum Long Term Growth VII, LLC and VistaGen Therapeutics. Inc.as of August 30, 2012, incorporated by reference from the Company’s Current Report on Form 8-K filed on September 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Unsecured Promissory Note in the face amount of $1,000,000 issued to Morrison &amp; Foerster LLP on August 31, 2012 (Replacement Note A), incorporated by reference from the Company’s Current Report on Form 8-K filed on September 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Unsecured Promissory Note in the face amount of $1,379,376 issued to Morrison &amp; Foerster LLP on August 31, 2012 (Replacement Note B), incorporated by reference from the Company’s Current Report on Form 8-K filed on September 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Stock Purchase Warrant issued to Morrison &amp; Foerster LLP on August 31, 2012 to purchase 1,379,376 shares of the Company’s common stock (New Morrison &amp; Foerster Warrant), incorporated by reference from the Company’s Current Report on Form 8-K filed on September 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Warrant to Purchase Common Stock issued to Morrison &amp; Foerster LLP on August 31, 2012 to purchase 425,000 shares of the Company’s common stock (Amended Morrison &amp; Foerster Warrant), incorporated by reference from the Company’s Current Report on Form 8-K filed on September 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Note Exchange and Purchase Agreement dated as of October 11, 2012 by and between VistaGen Therapeutics, Inc. and Platinum Long Term Growth VII, LLP, incorporated by reference from the Company’s Current Report on Form 8-K filed on October 16,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Senior Secured Convertible Promissory Note issued to Platinum Long Term Growth VII, LLP under the Note Exchange and Purchase Agreement, incorporated by reference from the Company’s Current Report on Form 8-K filed on October 16,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Shares of Common Stock issued to Platinum Long Term Growth VII, LLP under the Note Exchange and Purchase Agreement, incorporated by reference from the Company’s Current Report on Form 8-K filed on October 16,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Security Agreement as of October 11, 2012 between VistaGen Therapeutics, Inc. and Platinum Long Term Growth VII, LLP, incorporated by reference from the Company’s Current Report on Form 8-K filed on October 16,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Intellectual Property Security and Stock Pledge Agreement as of October 11, 2012 between VistaGen California and Platinum Long Term Growth VII, LLP, incorporated by reference from the Company’s Current Report on Form 8-K filed on October 16,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Negative Covenant Agreement dated October 11, 2012 between VistaGen California, Artemis Neuroscience, Inc. and Platinum Long Term Growth VII, LLP, incorporated by reference from the Company’s Current Report on Form 8-K filed on October 16,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to Note Exchange and Purchase Agreement as of November 14, 2012 between VistaGen Therapeutics Inc. and Platinum Long Term Growth VII, LLP, incorporated by reference from the Company’s Current Report on Form 8-K filed on November 20,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Note Exchange Agreement between VistaGen Therapeutics, Inc. and Holders of the Company’s Promissory Notes dated February 28, 2012, incorporated by reference from the Company’s Current Report on Form 8-K filed on November 20,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2 to Note Exchange and Purchase Agreement as of January 31, 2013 between VistaGen Therapeutics Inc. and Platinum Long Term Growth VII, LLP, incorporated by reference from the Company’s Quarterly Report on Form 10-Q filed on February 14,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3 to Note Exchange and Purchase Agreement as of February 22, 2013 between VistaGen Therapeutics Inc. and Platinum Long Term Growth VII, LLP, incorporated by reference from the Company’s Current Report on Form 8-K filed on February 28,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Common Stock issued to independent members of the Company’s Board of Directors and its executive officers on March 3, 2013, incorporated by reference from the Company’s Current Report on Form 8-K filed on March 6,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Securities Purchase Agreement between VistaGen Therapeutics, Inc., and Autilion AG dated April 8, 2013, incorporated by reference from the Company’s Current Report on Form 8-K filed on April 10,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Voting Agreement between VistaGen Therapeutics, Inc., and Autilion AG dated April 8, 2013, incorporated by reference from the Company’s Current Report on Form 8-K filed on April 10,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Note Conversion Agreement as of April 4, 2013 between VistaGen Therapeutics Inc. and Platinum Long Term Growth VII, LLP, incorporated by reference from the Company’s Current Report on Form 8-K filed on April 10,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Assignment and Assumption Agreement between Autilion AG and Bergamo Acquisition Corp. PTE LTD dated April 12,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1 to Securities Purchase Agreement dated April 30, 2013 between VistaGen Therapeutics, Inc. and Bergamo Acquisition Corp. PTE LTD, incorporated by reference from the Company’s Current Report on Form 8-K filed on May 1,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Lease between Bayside Area Development, LLC and VistaGen Therapeutics, Inc. (California) dated April 24,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Jon S. Saxe.</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Shawn K. Singh</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H. Ralph Snodgrass.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Brian J. Underdown.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Jerrold D. Dotson.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and Waiver effective May 24, 2013 between the Company and Platinum Long Term Growth VII, LLC, incorporated by reference from the Company’s Current Report on Form 8-K filed on June 3, 2013.</w:t>
            </w:r>
          </w:p>
        </w:tc>
      </w:tr>
      <w:tr>
        <w:trPr/>
        <w:tc>
          <w:tcPr>
            <w:tcW w:w="1223" w:type="dxa"/>
            <w:tcBorders/>
            <w:shd w:fill="FFFFFF"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10.90</w:t>
            </w:r>
          </w:p>
        </w:tc>
        <w:tc>
          <w:tcPr>
            <w:tcW w:w="8982" w:type="dxa"/>
            <w:tcBorders/>
            <w:shd w:fill="FFFFFF" w:val="clear"/>
            <w:tcMar>
              <w:bottom w:w="0" w:type="dxa"/>
            </w:tcMar>
          </w:tcPr>
          <w:p>
            <w:pPr>
              <w:pStyle w:val="TableContents"/>
              <w:spacing w:before="0" w:after="283"/>
              <w:rPr>
                <w:rFonts w:ascii="times new roman" w:hAnsi="times new roman"/>
                <w:sz w:val="20"/>
              </w:rPr>
            </w:pPr>
            <w:r>
              <w:rPr>
                <w:rFonts w:ascii="times new roman" w:hAnsi="times new roman"/>
                <w:sz w:val="20"/>
              </w:rPr>
              <w:t>Amendment No. 2 to Securities Purchase Agreement dated June 27, 2013 between the Company and Autilion AG and Bergamo Acquisition Corp. PTE LTD, incorporated by reference from the Company's Current Report on Form 8-K filed on June 28,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16.1*</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Letter regarding change in certifying accountant</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21.1*</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List of Subsidiaries.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24.1</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Power of Attorney</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the Company’s Chief Executive Officer pursuant to Section 302 of the Sarbanes-Oxley Act of 2002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the Company’s Chief Financial Officer pursuant to Section 302 of the Sarbanes-Oxley Act of 2002.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the Company’s Chief Executive Officer and Chief Financial Officer pursuant to Section 906 of the Sarbanes-Oxley Act of 2002.</w:t>
            </w:r>
          </w:p>
        </w:tc>
      </w:tr>
      <w:tr>
        <w:trPr/>
        <w:tc>
          <w:tcPr>
            <w:tcW w:w="1223" w:type="dxa"/>
            <w:tcBorders/>
            <w:shd w:fill="CCEE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101.INS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w:t>
            </w:r>
          </w:p>
        </w:tc>
      </w:tr>
      <w:tr>
        <w:trPr/>
        <w:tc>
          <w:tcPr>
            <w:tcW w:w="1223" w:type="dxa"/>
            <w:tcBorders/>
            <w:shd w:fill="FFFF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101.SCH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Schema</w:t>
            </w:r>
          </w:p>
        </w:tc>
      </w:tr>
      <w:tr>
        <w:trPr/>
        <w:tc>
          <w:tcPr>
            <w:tcW w:w="1223" w:type="dxa"/>
            <w:tcBorders/>
            <w:shd w:fill="CCEE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101.CAL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 Linkbase</w:t>
            </w:r>
          </w:p>
        </w:tc>
      </w:tr>
      <w:tr>
        <w:trPr/>
        <w:tc>
          <w:tcPr>
            <w:tcW w:w="1223" w:type="dxa"/>
            <w:tcBorders/>
            <w:shd w:fill="FFFF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101.DEF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 Linkbase</w:t>
            </w:r>
          </w:p>
        </w:tc>
      </w:tr>
      <w:tr>
        <w:trPr/>
        <w:tc>
          <w:tcPr>
            <w:tcW w:w="1223" w:type="dxa"/>
            <w:tcBorders/>
            <w:shd w:fill="CCEE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101.LAB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 Linkbase</w:t>
            </w:r>
          </w:p>
        </w:tc>
      </w:tr>
      <w:tr>
        <w:trPr/>
        <w:tc>
          <w:tcPr>
            <w:tcW w:w="1223"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101.PRE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jc w:val="both"/>
        <w:rPr>
          <w:rFonts w:ascii="Times New Roman" w:hAnsi="Times New Roman"/>
          <w:sz w:val="20"/>
        </w:rPr>
      </w:pPr>
      <w:bookmarkStart w:id="1373" w:name="hangingindent10"/>
      <w:bookmarkEnd w:id="1373"/>
      <w:r>
        <w:rPr>
          <w:rFonts w:ascii="Times New Roman" w:hAnsi="Times New Roman"/>
          <w:sz w:val="20"/>
        </w:rPr>
        <w:t>*  Incorporated by reference from the like-numbered exhibit filed with our Current Report on Form 8-K on May 16, 2011.</w:t>
      </w:r>
    </w:p>
    <w:p>
      <w:pPr>
        <w:pStyle w:val="Normal"/>
        <w:spacing w:before="0" w:after="0"/>
        <w:rPr>
          <w:sz w:val="4"/>
          <w:szCs w:val="4"/>
        </w:rPr>
      </w:pPr>
      <w:r>
        <w:rPr>
          <w:sz w:val="4"/>
          <w:szCs w:val="4"/>
        </w:rPr>
      </w:r>
      <w:bookmarkStart w:id="1374" w:name="hangingindent11"/>
      <w:bookmarkStart w:id="1375" w:name="hangingindent11"/>
      <w:bookmarkEnd w:id="137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Pursuant to Rule 406T of Regulation S-T, these interactive files are deemed not filed or part of a registration statement or prospectus for purposes of Sections 11 or 12 of the Securities Act of 1933 or Section 18 of the Securities Exchange Act of 1934 and otherwise are not subject to liability.</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6" w:name="PGBRK135"/>
      <w:bookmarkStart w:id="1377" w:name="PGBRK135"/>
      <w:bookmarkEnd w:id="1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8" w:name="FTR135"/>
      <w:bookmarkStart w:id="1379" w:name="FTR135"/>
      <w:bookmarkEnd w:id="1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80" w:name="GLFTR135"/>
      <w:bookmarkEnd w:id="13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1" w:name="PN135"/>
      <w:bookmarkEnd w:id="1381"/>
      <w:r>
        <w:rPr>
          <w:rFonts w:ascii="Times New Roman" w:hAnsi="Times New Roman"/>
          <w:sz w:val="20"/>
        </w:rPr>
        <w:t>-134-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2" w:name="HDR135"/>
      <w:bookmarkStart w:id="1383" w:name="HDR135"/>
      <w:bookmarkEnd w:id="1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84" w:name="GLHDR135"/>
        <w:bookmarkEnd w:id="13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1385" w:name="sigj"/>
      <w:bookmarkEnd w:id="1385"/>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 in the City of South San Francisco, State of California, on the 18th day of July, 2013.</w:t>
      </w:r>
    </w:p>
    <w:p>
      <w:pPr>
        <w:pStyle w:val="TextBody"/>
        <w:spacing w:before="0" w:after="0"/>
        <w:ind w:left="0" w:right="0" w:hanging="0"/>
        <w:jc w:val="left"/>
        <w:rPr/>
      </w:pPr>
      <w:r>
        <w:rPr/>
        <w:t> </w:t>
      </w:r>
    </w:p>
    <w:tbl>
      <w:tblPr>
        <w:tblW w:w="2500" w:type="pct"/>
        <w:jc w:val="right"/>
        <w:tblInd w:w="0" w:type="dxa"/>
        <w:tblCellMar>
          <w:top w:w="0" w:type="dxa"/>
          <w:left w:w="0" w:type="dxa"/>
          <w:bottom w:w="0" w:type="dxa"/>
          <w:right w:w="0" w:type="dxa"/>
        </w:tblCellMar>
      </w:tblPr>
      <w:tblGrid>
        <w:gridCol w:w="536"/>
        <w:gridCol w:w="134"/>
        <w:gridCol w:w="4432"/>
      </w:tblGrid>
      <w:tr>
        <w:trPr/>
        <w:tc>
          <w:tcPr>
            <w:tcW w:w="536" w:type="dxa"/>
            <w:tcBorders/>
            <w:shd w:fill="auto" w:val="clear"/>
            <w:vAlign w:val="center"/>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4432" w:type="dxa"/>
            <w:tcBorders/>
            <w:shd w:fill="auto" w:val="clear"/>
            <w:vAlign w:val="center"/>
          </w:tcPr>
          <w:p>
            <w:pPr>
              <w:pStyle w:val="TableContents"/>
              <w:spacing w:before="0" w:after="283"/>
              <w:rPr/>
            </w:pPr>
            <w:r>
              <w:rPr/>
              <w:t xml:space="preserve">  </w:t>
            </w:r>
          </w:p>
        </w:tc>
      </w:tr>
      <w:tr>
        <w:trPr/>
        <w:tc>
          <w:tcPr>
            <w:tcW w:w="5102" w:type="dxa"/>
            <w:gridSpan w:val="3"/>
            <w:tcBorders/>
            <w:shd w:fill="auto" w:val="clear"/>
          </w:tcPr>
          <w:p>
            <w:pPr>
              <w:pStyle w:val="TableContents"/>
              <w:spacing w:before="0" w:after="0"/>
              <w:ind w:left="0" w:right="56" w:hanging="0"/>
              <w:jc w:val="left"/>
              <w:rPr>
                <w:rFonts w:ascii="times new roman" w:hAnsi="times new roman"/>
                <w:b/>
                <w:sz w:val="20"/>
              </w:rPr>
            </w:pPr>
            <w:r>
              <w:rPr>
                <w:rFonts w:ascii="times new roman" w:hAnsi="times new roman"/>
                <w:b/>
                <w:sz w:val="20"/>
              </w:rPr>
              <w:t>VistaGen Therapeutics, Inc.</w:t>
            </w:r>
          </w:p>
        </w:tc>
      </w:tr>
      <w:tr>
        <w:trPr/>
        <w:tc>
          <w:tcPr>
            <w:tcW w:w="536" w:type="dxa"/>
            <w:tcBorders/>
            <w:shd w:fill="auto" w:val="clear"/>
            <w:vAlign w:val="center"/>
          </w:tcPr>
          <w:p>
            <w:pPr>
              <w:pStyle w:val="TableContents"/>
              <w:spacing w:before="0" w:after="283"/>
              <w:rPr/>
            </w:pPr>
            <w:r>
              <w:rPr/>
              <w:t xml:space="preserve">  </w:t>
            </w:r>
          </w:p>
        </w:tc>
        <w:tc>
          <w:tcPr>
            <w:tcW w:w="4566" w:type="dxa"/>
            <w:gridSpan w:val="2"/>
            <w:tcBorders/>
            <w:shd w:fill="auto" w:val="clear"/>
            <w:vAlign w:val="center"/>
          </w:tcPr>
          <w:p>
            <w:pPr>
              <w:pStyle w:val="TableContents"/>
              <w:spacing w:before="0" w:after="283"/>
              <w:rPr/>
            </w:pPr>
            <w:r>
              <w:rPr/>
              <w:t xml:space="preserve">  </w:t>
            </w:r>
          </w:p>
        </w:tc>
      </w:tr>
      <w:tr>
        <w:trPr/>
        <w:tc>
          <w:tcPr>
            <w:tcW w:w="536"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By:</w:t>
            </w:r>
          </w:p>
        </w:tc>
        <w:tc>
          <w:tcPr>
            <w:tcW w:w="134" w:type="dxa"/>
            <w:tcBorders/>
            <w:shd w:fill="auto" w:val="clear"/>
            <w:vAlign w:val="bottom"/>
          </w:tcPr>
          <w:p>
            <w:pPr>
              <w:pStyle w:val="TableContents"/>
              <w:spacing w:before="0" w:after="283"/>
              <w:jc w:val="left"/>
              <w:rPr/>
            </w:pPr>
            <w:r>
              <w:rPr/>
              <w:t xml:space="preserve">  </w:t>
            </w:r>
          </w:p>
        </w:tc>
        <w:tc>
          <w:tcPr>
            <w:tcW w:w="44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u w:val="single"/>
              </w:rPr>
              <w:t>/s/    </w:t>
            </w:r>
            <w:r>
              <w:rPr>
                <w:rFonts w:ascii="times new roman" w:hAnsi="times new roman"/>
                <w:i/>
                <w:sz w:val="20"/>
                <w:u w:val="single"/>
              </w:rPr>
              <w:t>Shawn K. Singh</w:t>
            </w:r>
            <w:r>
              <w:rPr>
                <w:rFonts w:ascii="times new roman" w:hAnsi="times new roman"/>
                <w:sz w:val="20"/>
                <w:u w:val="single"/>
              </w:rPr>
              <w:t>  </w:t>
            </w:r>
            <w:r>
              <w:rPr>
                <w:rFonts w:ascii="times new roman" w:hAnsi="times new roman"/>
                <w:sz w:val="20"/>
              </w:rPr>
              <w:t>    </w:t>
            </w:r>
          </w:p>
        </w:tc>
      </w:tr>
      <w:tr>
        <w:trPr/>
        <w:tc>
          <w:tcPr>
            <w:tcW w:w="536" w:type="dxa"/>
            <w:tcBorders/>
            <w:shd w:fill="auto" w:val="clear"/>
          </w:tcPr>
          <w:p>
            <w:pPr>
              <w:pStyle w:val="TableContents"/>
              <w:spacing w:before="0" w:after="283"/>
              <w:rPr/>
            </w:pPr>
            <w:r>
              <w:rPr/>
              <w:t xml:space="preserve">  </w:t>
            </w:r>
          </w:p>
        </w:tc>
        <w:tc>
          <w:tcPr>
            <w:tcW w:w="134" w:type="dxa"/>
            <w:tcBorders/>
            <w:shd w:fill="auto" w:val="clear"/>
            <w:vAlign w:val="bottom"/>
          </w:tcPr>
          <w:p>
            <w:pPr>
              <w:pStyle w:val="TableContents"/>
              <w:spacing w:before="0" w:after="283"/>
              <w:jc w:val="left"/>
              <w:rPr/>
            </w:pPr>
            <w:r>
              <w:rPr/>
              <w:t xml:space="preserve">  </w:t>
            </w:r>
          </w:p>
        </w:tc>
        <w:tc>
          <w:tcPr>
            <w:tcW w:w="4432"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Shawn K. Singh, J.D.</w:t>
            </w:r>
          </w:p>
          <w:p>
            <w:pPr>
              <w:pStyle w:val="TableContents"/>
              <w:spacing w:before="0" w:after="0"/>
              <w:ind w:left="0" w:right="16" w:hanging="0"/>
              <w:jc w:val="left"/>
              <w:rPr/>
            </w:pPr>
            <w:r>
              <w:rPr/>
              <w:t> </w:t>
            </w:r>
            <w:r>
              <w:rPr>
                <w:rFonts w:ascii="times new roman" w:hAnsi="times new roman"/>
                <w:b/>
                <w:i/>
                <w:sz w:val="20"/>
              </w:rPr>
              <w:t>Chief Executive Officer</w:t>
            </w:r>
          </w:p>
        </w:tc>
      </w:tr>
    </w:tbl>
    <w:p>
      <w:pPr>
        <w:pStyle w:val="TextBody"/>
        <w:spacing w:before="0" w:after="0"/>
        <w:ind w:left="0" w:right="0" w:hanging="0"/>
        <w:jc w:val="left"/>
        <w:rPr/>
      </w:pPr>
      <w:r>
        <w:rPr/>
        <w:t> </w:t>
      </w:r>
    </w:p>
    <w:p>
      <w:pPr>
        <w:pStyle w:val="HorizontalLine"/>
        <w:pBdr>
          <w:bottom w:val="single" w:sz="6" w:space="0" w:color="808080"/>
        </w:pBdr>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POWER OF ATTORNEY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 that each person whose signature appears below constitutes and appoints each of Shawn K. Singh, J.D. and Jerrold D. Dotson his true and lawful attorney-in-fact and agent,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WITNESS WHEREOF, each of the undersigned has executed this Power of Attorney as of the date indicated opposite his name.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by the following persons on behalf of the Registrant and in the capacities and on the dates indicated.</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4512"/>
        <w:gridCol w:w="214"/>
        <w:gridCol w:w="3438"/>
        <w:gridCol w:w="214"/>
        <w:gridCol w:w="1827"/>
      </w:tblGrid>
      <w:tr>
        <w:trPr/>
        <w:tc>
          <w:tcPr>
            <w:tcW w:w="451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Signature</w:t>
            </w:r>
          </w:p>
        </w:tc>
        <w:tc>
          <w:tcPr>
            <w:tcW w:w="214" w:type="dxa"/>
            <w:tcBorders/>
            <w:shd w:fill="auto" w:val="clear"/>
            <w:tcMar>
              <w:bottom w:w="0" w:type="dxa"/>
            </w:tcMar>
            <w:vAlign w:val="bottom"/>
          </w:tcPr>
          <w:p>
            <w:pPr>
              <w:pStyle w:val="TableContents"/>
              <w:spacing w:before="0" w:after="0"/>
              <w:ind w:left="0" w:right="16" w:hanging="0"/>
              <w:jc w:val="left"/>
              <w:rPr/>
            </w:pPr>
            <w:r>
              <w:rPr/>
              <w:t>  </w:t>
            </w:r>
          </w:p>
        </w:tc>
        <w:tc>
          <w:tcPr>
            <w:tcW w:w="343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Title</w:t>
            </w:r>
          </w:p>
        </w:tc>
        <w:tc>
          <w:tcPr>
            <w:tcW w:w="214" w:type="dxa"/>
            <w:tcBorders/>
            <w:shd w:fill="auto" w:val="clear"/>
            <w:tcMar>
              <w:bottom w:w="0" w:type="dxa"/>
            </w:tcMar>
            <w:vAlign w:val="bottom"/>
          </w:tcPr>
          <w:p>
            <w:pPr>
              <w:pStyle w:val="TableContents"/>
              <w:spacing w:before="0" w:after="283"/>
              <w:jc w:val="left"/>
              <w:rPr/>
            </w:pPr>
            <w:r>
              <w:rPr/>
              <w:t xml:space="preserve">  </w:t>
            </w:r>
          </w:p>
        </w:tc>
        <w:tc>
          <w:tcPr>
            <w:tcW w:w="182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4512" w:type="dxa"/>
            <w:tcBorders/>
            <w:shd w:fill="auto" w:val="clear"/>
            <w:tcMar>
              <w:bottom w:w="0" w:type="dxa"/>
            </w:tcMar>
            <w:vAlign w:val="center"/>
          </w:tcPr>
          <w:p>
            <w:pPr>
              <w:pStyle w:val="TableContents"/>
              <w:spacing w:before="0" w:after="283"/>
              <w:rPr/>
            </w:pPr>
            <w:r>
              <w:rPr/>
              <w:t xml:space="preserve">  </w:t>
            </w:r>
          </w:p>
        </w:tc>
        <w:tc>
          <w:tcPr>
            <w:tcW w:w="3652" w:type="dxa"/>
            <w:gridSpan w:val="2"/>
            <w:tcBorders/>
            <w:shd w:fill="auto" w:val="clear"/>
            <w:tcMar>
              <w:bottom w:w="0" w:type="dxa"/>
            </w:tcMar>
            <w:vAlign w:val="center"/>
          </w:tcPr>
          <w:p>
            <w:pPr>
              <w:pStyle w:val="TableContents"/>
              <w:spacing w:before="0" w:after="283"/>
              <w:rPr/>
            </w:pPr>
            <w:r>
              <w:rPr/>
              <w:t xml:space="preserve">  </w:t>
            </w:r>
          </w:p>
        </w:tc>
        <w:tc>
          <w:tcPr>
            <w:tcW w:w="2041" w:type="dxa"/>
            <w:gridSpan w:val="2"/>
            <w:tcBorders/>
            <w:shd w:fill="auto" w:val="clear"/>
            <w:tcMar>
              <w:bottom w:w="0" w:type="dxa"/>
            </w:tcMar>
            <w:vAlign w:val="center"/>
          </w:tcPr>
          <w:p>
            <w:pPr>
              <w:pStyle w:val="TableContents"/>
              <w:spacing w:before="0" w:after="283"/>
              <w:rPr/>
            </w:pPr>
            <w:r>
              <w:rPr/>
              <w:t xml:space="preserve">  </w:t>
            </w:r>
          </w:p>
        </w:tc>
      </w:tr>
      <w:tr>
        <w:trPr/>
        <w:tc>
          <w:tcPr>
            <w:tcW w:w="4512"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Shawn K. Singh</w:t>
            </w:r>
          </w:p>
          <w:p>
            <w:pPr>
              <w:pStyle w:val="TableContents"/>
              <w:spacing w:before="0" w:after="0"/>
              <w:ind w:left="0" w:right="16" w:hanging="0"/>
              <w:jc w:val="center"/>
              <w:rPr>
                <w:rFonts w:ascii="times new roman" w:hAnsi="times new roman"/>
                <w:b/>
                <w:sz w:val="20"/>
              </w:rPr>
            </w:pPr>
            <w:r>
              <w:rPr>
                <w:rFonts w:ascii="times new roman" w:hAnsi="times new roman"/>
                <w:b/>
                <w:sz w:val="20"/>
              </w:rPr>
              <w:t>Shawn K. Singh, JD</w:t>
            </w:r>
          </w:p>
        </w:tc>
        <w:tc>
          <w:tcPr>
            <w:tcW w:w="214" w:type="dxa"/>
            <w:tcBorders/>
            <w:shd w:fill="auto" w:val="clear"/>
            <w:tcMar>
              <w:bottom w:w="0" w:type="dxa"/>
            </w:tcMar>
            <w:vAlign w:val="bottom"/>
          </w:tcPr>
          <w:p>
            <w:pPr>
              <w:pStyle w:val="TableContents"/>
              <w:spacing w:before="0" w:after="0"/>
              <w:ind w:left="0" w:right="16" w:hanging="0"/>
              <w:jc w:val="left"/>
              <w:rPr/>
            </w:pPr>
            <w:r>
              <w:rPr/>
              <w:t>  </w:t>
            </w:r>
          </w:p>
        </w:tc>
        <w:tc>
          <w:tcPr>
            <w:tcW w:w="3438"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Chief Executive Officer, and Director</w:t>
            </w:r>
          </w:p>
          <w:p>
            <w:pPr>
              <w:pStyle w:val="TableContents"/>
              <w:spacing w:before="0" w:after="0"/>
              <w:ind w:left="0" w:right="16" w:hanging="0"/>
              <w:jc w:val="left"/>
              <w:rPr>
                <w:rFonts w:ascii="times new roman" w:hAnsi="times new roman"/>
                <w:i/>
                <w:sz w:val="20"/>
              </w:rPr>
            </w:pPr>
            <w:r>
              <w:rPr>
                <w:rFonts w:ascii="times new roman" w:hAnsi="times new roman"/>
                <w:i/>
                <w:sz w:val="20"/>
              </w:rPr>
              <w:t>(Principal Executive Officer)</w:t>
            </w:r>
          </w:p>
        </w:tc>
        <w:tc>
          <w:tcPr>
            <w:tcW w:w="214" w:type="dxa"/>
            <w:tcBorders/>
            <w:shd w:fill="auto" w:val="clear"/>
            <w:tcMar>
              <w:bottom w:w="0" w:type="dxa"/>
            </w:tcMar>
            <w:vAlign w:val="bottom"/>
          </w:tcPr>
          <w:p>
            <w:pPr>
              <w:pStyle w:val="TableContents"/>
              <w:spacing w:before="0" w:after="283"/>
              <w:jc w:val="left"/>
              <w:rPr/>
            </w:pPr>
            <w:r>
              <w:rPr/>
              <w:t xml:space="preserve">  </w:t>
            </w:r>
          </w:p>
        </w:tc>
        <w:tc>
          <w:tcPr>
            <w:tcW w:w="1827" w:type="dxa"/>
            <w:tcBorders/>
            <w:shd w:fill="auto"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July 18, 2013</w:t>
            </w:r>
          </w:p>
        </w:tc>
      </w:tr>
      <w:tr>
        <w:trPr/>
        <w:tc>
          <w:tcPr>
            <w:tcW w:w="4512" w:type="dxa"/>
            <w:tcBorders/>
            <w:shd w:fill="auto" w:val="clear"/>
            <w:tcMar>
              <w:bottom w:w="0" w:type="dxa"/>
            </w:tcMar>
            <w:vAlign w:val="center"/>
          </w:tcPr>
          <w:p>
            <w:pPr>
              <w:pStyle w:val="TableContents"/>
              <w:spacing w:before="0" w:after="283"/>
              <w:rPr/>
            </w:pPr>
            <w:r>
              <w:rPr/>
              <w:t xml:space="preserve">  </w:t>
            </w:r>
          </w:p>
        </w:tc>
        <w:tc>
          <w:tcPr>
            <w:tcW w:w="3652" w:type="dxa"/>
            <w:gridSpan w:val="2"/>
            <w:tcBorders/>
            <w:shd w:fill="auto" w:val="clear"/>
            <w:tcMar>
              <w:bottom w:w="0" w:type="dxa"/>
            </w:tcMar>
            <w:vAlign w:val="center"/>
          </w:tcPr>
          <w:p>
            <w:pPr>
              <w:pStyle w:val="TableContents"/>
              <w:spacing w:before="0" w:after="283"/>
              <w:rPr/>
            </w:pPr>
            <w:r>
              <w:rPr/>
              <w:t xml:space="preserve">  </w:t>
            </w:r>
          </w:p>
        </w:tc>
        <w:tc>
          <w:tcPr>
            <w:tcW w:w="2041" w:type="dxa"/>
            <w:gridSpan w:val="2"/>
            <w:tcBorders/>
            <w:shd w:fill="auto" w:val="clear"/>
            <w:tcMar>
              <w:bottom w:w="0" w:type="dxa"/>
            </w:tcMar>
            <w:vAlign w:val="center"/>
          </w:tcPr>
          <w:p>
            <w:pPr>
              <w:pStyle w:val="TableContents"/>
              <w:spacing w:before="0" w:after="283"/>
              <w:rPr/>
            </w:pPr>
            <w:r>
              <w:rPr/>
              <w:t xml:space="preserve">  </w:t>
            </w:r>
          </w:p>
        </w:tc>
      </w:tr>
      <w:tr>
        <w:trPr/>
        <w:tc>
          <w:tcPr>
            <w:tcW w:w="4512"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Jerrold D. Dotson</w:t>
            </w:r>
          </w:p>
          <w:p>
            <w:pPr>
              <w:pStyle w:val="TableContents"/>
              <w:spacing w:before="0" w:after="0"/>
              <w:ind w:left="0" w:right="16" w:hanging="0"/>
              <w:jc w:val="center"/>
              <w:rPr>
                <w:rFonts w:ascii="times new roman" w:hAnsi="times new roman"/>
                <w:b/>
                <w:sz w:val="20"/>
              </w:rPr>
            </w:pPr>
            <w:r>
              <w:rPr>
                <w:rFonts w:ascii="times new roman" w:hAnsi="times new roman"/>
                <w:b/>
                <w:sz w:val="20"/>
              </w:rPr>
              <w:t>Jerrold D. Dotson</w:t>
            </w:r>
          </w:p>
        </w:tc>
        <w:tc>
          <w:tcPr>
            <w:tcW w:w="214" w:type="dxa"/>
            <w:tcBorders/>
            <w:shd w:fill="auto" w:val="clear"/>
            <w:tcMar>
              <w:bottom w:w="0" w:type="dxa"/>
            </w:tcMar>
            <w:vAlign w:val="bottom"/>
          </w:tcPr>
          <w:p>
            <w:pPr>
              <w:pStyle w:val="TableContents"/>
              <w:spacing w:before="0" w:after="0"/>
              <w:ind w:left="0" w:right="16" w:hanging="0"/>
              <w:jc w:val="left"/>
              <w:rPr/>
            </w:pPr>
            <w:r>
              <w:rPr/>
              <w:t>  </w:t>
            </w:r>
          </w:p>
        </w:tc>
        <w:tc>
          <w:tcPr>
            <w:tcW w:w="3438"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Chief Financial Officer</w:t>
            </w:r>
          </w:p>
          <w:p>
            <w:pPr>
              <w:pStyle w:val="TableContents"/>
              <w:spacing w:before="0" w:after="0"/>
              <w:ind w:left="0" w:right="16" w:hanging="0"/>
              <w:jc w:val="left"/>
              <w:rPr>
                <w:rFonts w:ascii="times new roman" w:hAnsi="times new roman"/>
                <w:i/>
                <w:sz w:val="20"/>
              </w:rPr>
            </w:pPr>
            <w:r>
              <w:rPr>
                <w:rFonts w:ascii="times new roman" w:hAnsi="times new roman"/>
                <w:i/>
                <w:sz w:val="20"/>
              </w:rPr>
              <w:t>(Principal Financial and Accounting Officer)</w:t>
            </w:r>
          </w:p>
        </w:tc>
        <w:tc>
          <w:tcPr>
            <w:tcW w:w="214" w:type="dxa"/>
            <w:tcBorders/>
            <w:shd w:fill="auto" w:val="clear"/>
            <w:tcMar>
              <w:bottom w:w="0" w:type="dxa"/>
            </w:tcMar>
            <w:vAlign w:val="bottom"/>
          </w:tcPr>
          <w:p>
            <w:pPr>
              <w:pStyle w:val="TableContents"/>
              <w:spacing w:before="0" w:after="283"/>
              <w:jc w:val="left"/>
              <w:rPr/>
            </w:pPr>
            <w:r>
              <w:rPr/>
              <w:t xml:space="preserve">  </w:t>
            </w:r>
          </w:p>
        </w:tc>
        <w:tc>
          <w:tcPr>
            <w:tcW w:w="1827" w:type="dxa"/>
            <w:tcBorders/>
            <w:shd w:fill="auto" w:val="clear"/>
            <w:tcMar>
              <w:bottom w:w="0" w:type="dxa"/>
            </w:tcMar>
          </w:tcPr>
          <w:p>
            <w:pPr>
              <w:pStyle w:val="TableContents"/>
              <w:spacing w:before="0" w:after="0"/>
              <w:ind w:left="0" w:right="48" w:hanging="0"/>
              <w:jc w:val="center"/>
              <w:rPr>
                <w:rFonts w:ascii="times new roman" w:hAnsi="times new roman"/>
                <w:sz w:val="20"/>
              </w:rPr>
            </w:pPr>
            <w:r>
              <w:rPr>
                <w:rFonts w:ascii="times new roman" w:hAnsi="times new roman"/>
                <w:sz w:val="20"/>
              </w:rPr>
              <w:t>July 18, 2013</w:t>
            </w:r>
          </w:p>
        </w:tc>
      </w:tr>
      <w:tr>
        <w:trPr/>
        <w:tc>
          <w:tcPr>
            <w:tcW w:w="4512" w:type="dxa"/>
            <w:tcBorders/>
            <w:shd w:fill="auto" w:val="clear"/>
            <w:tcMar>
              <w:bottom w:w="0" w:type="dxa"/>
            </w:tcMar>
            <w:vAlign w:val="center"/>
          </w:tcPr>
          <w:p>
            <w:pPr>
              <w:pStyle w:val="TableContents"/>
              <w:spacing w:before="0" w:after="283"/>
              <w:rPr/>
            </w:pPr>
            <w:r>
              <w:rPr/>
              <w:t xml:space="preserve">  </w:t>
            </w:r>
          </w:p>
        </w:tc>
        <w:tc>
          <w:tcPr>
            <w:tcW w:w="3652" w:type="dxa"/>
            <w:gridSpan w:val="2"/>
            <w:tcBorders/>
            <w:shd w:fill="auto" w:val="clear"/>
            <w:tcMar>
              <w:bottom w:w="0" w:type="dxa"/>
            </w:tcMar>
            <w:vAlign w:val="center"/>
          </w:tcPr>
          <w:p>
            <w:pPr>
              <w:pStyle w:val="TableContents"/>
              <w:spacing w:before="0" w:after="283"/>
              <w:rPr/>
            </w:pPr>
            <w:r>
              <w:rPr/>
              <w:t xml:space="preserve">  </w:t>
            </w:r>
          </w:p>
        </w:tc>
        <w:tc>
          <w:tcPr>
            <w:tcW w:w="2041" w:type="dxa"/>
            <w:gridSpan w:val="2"/>
            <w:tcBorders/>
            <w:shd w:fill="auto" w:val="clear"/>
            <w:tcMar>
              <w:bottom w:w="0" w:type="dxa"/>
            </w:tcMar>
            <w:vAlign w:val="center"/>
          </w:tcPr>
          <w:p>
            <w:pPr>
              <w:pStyle w:val="TableContents"/>
              <w:spacing w:before="0" w:after="283"/>
              <w:rPr/>
            </w:pPr>
            <w:r>
              <w:rPr/>
              <w:t xml:space="preserve">  </w:t>
            </w:r>
          </w:p>
        </w:tc>
      </w:tr>
      <w:tr>
        <w:trPr/>
        <w:tc>
          <w:tcPr>
            <w:tcW w:w="4512"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H. Ralph Snodgrass</w:t>
            </w:r>
          </w:p>
          <w:p>
            <w:pPr>
              <w:pStyle w:val="TableContents"/>
              <w:spacing w:before="0" w:after="0"/>
              <w:ind w:left="0" w:right="16" w:hanging="0"/>
              <w:jc w:val="center"/>
              <w:rPr>
                <w:rFonts w:ascii="times new roman" w:hAnsi="times new roman"/>
                <w:b/>
                <w:sz w:val="20"/>
              </w:rPr>
            </w:pPr>
            <w:r>
              <w:rPr>
                <w:rFonts w:ascii="times new roman" w:hAnsi="times new roman"/>
                <w:b/>
                <w:sz w:val="20"/>
              </w:rPr>
              <w:t>H. Ralph Snodgrass, Ph.D</w:t>
            </w:r>
          </w:p>
        </w:tc>
        <w:tc>
          <w:tcPr>
            <w:tcW w:w="214" w:type="dxa"/>
            <w:tcBorders/>
            <w:shd w:fill="auto" w:val="clear"/>
            <w:tcMar>
              <w:bottom w:w="0" w:type="dxa"/>
            </w:tcMar>
            <w:vAlign w:val="bottom"/>
          </w:tcPr>
          <w:p>
            <w:pPr>
              <w:pStyle w:val="TableContents"/>
              <w:spacing w:before="0" w:after="0"/>
              <w:ind w:left="0" w:right="16" w:hanging="0"/>
              <w:jc w:val="left"/>
              <w:rPr/>
            </w:pPr>
            <w:r>
              <w:rPr/>
              <w:t>  </w:t>
            </w:r>
          </w:p>
        </w:tc>
        <w:tc>
          <w:tcPr>
            <w:tcW w:w="3438"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President, Chief Scientific Officer and Director</w:t>
            </w:r>
          </w:p>
          <w:p>
            <w:pPr>
              <w:pStyle w:val="TableContents"/>
              <w:spacing w:before="0" w:after="0"/>
              <w:ind w:left="0" w:right="0" w:hanging="0"/>
              <w:jc w:val="left"/>
              <w:rPr/>
            </w:pPr>
            <w:r>
              <w:rPr/>
              <w:t> </w:t>
            </w:r>
          </w:p>
        </w:tc>
        <w:tc>
          <w:tcPr>
            <w:tcW w:w="214" w:type="dxa"/>
            <w:tcBorders/>
            <w:shd w:fill="auto" w:val="clear"/>
            <w:tcMar>
              <w:bottom w:w="0" w:type="dxa"/>
            </w:tcMar>
            <w:vAlign w:val="bottom"/>
          </w:tcPr>
          <w:p>
            <w:pPr>
              <w:pStyle w:val="TableContents"/>
              <w:spacing w:before="0" w:after="283"/>
              <w:jc w:val="left"/>
              <w:rPr/>
            </w:pPr>
            <w:r>
              <w:rPr/>
              <w:t xml:space="preserve">  </w:t>
            </w:r>
          </w:p>
        </w:tc>
        <w:tc>
          <w:tcPr>
            <w:tcW w:w="1827" w:type="dxa"/>
            <w:tcBorders/>
            <w:shd w:fill="auto" w:val="clear"/>
            <w:tcMar>
              <w:bottom w:w="0" w:type="dxa"/>
            </w:tcMar>
          </w:tcPr>
          <w:p>
            <w:pPr>
              <w:pStyle w:val="TableContents"/>
              <w:spacing w:before="0" w:after="0"/>
              <w:ind w:left="0" w:right="48" w:hanging="0"/>
              <w:jc w:val="center"/>
              <w:rPr>
                <w:rFonts w:ascii="times new roman" w:hAnsi="times new roman"/>
                <w:sz w:val="20"/>
              </w:rPr>
            </w:pPr>
            <w:r>
              <w:rPr>
                <w:rFonts w:ascii="times new roman" w:hAnsi="times new roman"/>
                <w:sz w:val="20"/>
              </w:rPr>
              <w:t>July 18, 2013</w:t>
            </w:r>
          </w:p>
        </w:tc>
      </w:tr>
      <w:tr>
        <w:trPr/>
        <w:tc>
          <w:tcPr>
            <w:tcW w:w="4512" w:type="dxa"/>
            <w:tcBorders/>
            <w:shd w:fill="auto" w:val="clear"/>
            <w:tcMar>
              <w:bottom w:w="0" w:type="dxa"/>
            </w:tcMar>
            <w:vAlign w:val="center"/>
          </w:tcPr>
          <w:p>
            <w:pPr>
              <w:pStyle w:val="TableContents"/>
              <w:spacing w:before="0" w:after="283"/>
              <w:rPr/>
            </w:pPr>
            <w:r>
              <w:rPr/>
              <w:t xml:space="preserve">  </w:t>
            </w:r>
          </w:p>
        </w:tc>
        <w:tc>
          <w:tcPr>
            <w:tcW w:w="3652" w:type="dxa"/>
            <w:gridSpan w:val="2"/>
            <w:tcBorders/>
            <w:shd w:fill="auto" w:val="clear"/>
            <w:tcMar>
              <w:bottom w:w="0" w:type="dxa"/>
            </w:tcMar>
            <w:vAlign w:val="center"/>
          </w:tcPr>
          <w:p>
            <w:pPr>
              <w:pStyle w:val="TableContents"/>
              <w:spacing w:before="0" w:after="283"/>
              <w:rPr/>
            </w:pPr>
            <w:r>
              <w:rPr/>
              <w:t xml:space="preserve">  </w:t>
            </w:r>
          </w:p>
        </w:tc>
        <w:tc>
          <w:tcPr>
            <w:tcW w:w="2041" w:type="dxa"/>
            <w:gridSpan w:val="2"/>
            <w:tcBorders/>
            <w:shd w:fill="auto" w:val="clear"/>
            <w:tcMar>
              <w:bottom w:w="0" w:type="dxa"/>
            </w:tcMar>
            <w:vAlign w:val="center"/>
          </w:tcPr>
          <w:p>
            <w:pPr>
              <w:pStyle w:val="TableContents"/>
              <w:spacing w:before="0" w:after="283"/>
              <w:rPr/>
            </w:pPr>
            <w:r>
              <w:rPr/>
              <w:t xml:space="preserve">  </w:t>
            </w:r>
          </w:p>
        </w:tc>
      </w:tr>
      <w:tr>
        <w:trPr/>
        <w:tc>
          <w:tcPr>
            <w:tcW w:w="4512"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Jon S. Saxe</w:t>
            </w:r>
          </w:p>
          <w:p>
            <w:pPr>
              <w:pStyle w:val="TableContents"/>
              <w:spacing w:before="0" w:after="0"/>
              <w:ind w:left="0" w:right="16" w:hanging="0"/>
              <w:jc w:val="center"/>
              <w:rPr>
                <w:rFonts w:ascii="times new roman" w:hAnsi="times new roman"/>
                <w:b/>
                <w:sz w:val="20"/>
              </w:rPr>
            </w:pPr>
            <w:r>
              <w:rPr>
                <w:rFonts w:ascii="times new roman" w:hAnsi="times new roman"/>
                <w:b/>
                <w:sz w:val="20"/>
              </w:rPr>
              <w:t>Jon S. Saxe</w:t>
            </w:r>
          </w:p>
        </w:tc>
        <w:tc>
          <w:tcPr>
            <w:tcW w:w="214" w:type="dxa"/>
            <w:tcBorders/>
            <w:shd w:fill="auto" w:val="clear"/>
            <w:tcMar>
              <w:bottom w:w="0" w:type="dxa"/>
            </w:tcMar>
            <w:vAlign w:val="bottom"/>
          </w:tcPr>
          <w:p>
            <w:pPr>
              <w:pStyle w:val="TableContents"/>
              <w:spacing w:before="0" w:after="0"/>
              <w:ind w:left="0" w:right="16" w:hanging="0"/>
              <w:jc w:val="left"/>
              <w:rPr/>
            </w:pPr>
            <w:r>
              <w:rPr/>
              <w:t>  </w:t>
            </w:r>
          </w:p>
        </w:tc>
        <w:tc>
          <w:tcPr>
            <w:tcW w:w="3438"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Chairman of the Board of Directors</w:t>
            </w:r>
          </w:p>
        </w:tc>
        <w:tc>
          <w:tcPr>
            <w:tcW w:w="214" w:type="dxa"/>
            <w:tcBorders/>
            <w:shd w:fill="auto" w:val="clear"/>
            <w:tcMar>
              <w:bottom w:w="0" w:type="dxa"/>
            </w:tcMar>
            <w:vAlign w:val="bottom"/>
          </w:tcPr>
          <w:p>
            <w:pPr>
              <w:pStyle w:val="TableContents"/>
              <w:spacing w:before="0" w:after="283"/>
              <w:jc w:val="left"/>
              <w:rPr/>
            </w:pPr>
            <w:r>
              <w:rPr/>
              <w:t xml:space="preserve">  </w:t>
            </w:r>
          </w:p>
        </w:tc>
        <w:tc>
          <w:tcPr>
            <w:tcW w:w="1827" w:type="dxa"/>
            <w:tcBorders/>
            <w:shd w:fill="auto" w:val="clear"/>
            <w:tcMar>
              <w:bottom w:w="0" w:type="dxa"/>
            </w:tcMar>
          </w:tcPr>
          <w:p>
            <w:pPr>
              <w:pStyle w:val="TableContents"/>
              <w:spacing w:before="0" w:after="0"/>
              <w:ind w:left="0" w:right="48" w:hanging="0"/>
              <w:jc w:val="center"/>
              <w:rPr>
                <w:rFonts w:ascii="times new roman" w:hAnsi="times new roman"/>
                <w:sz w:val="20"/>
              </w:rPr>
            </w:pPr>
            <w:r>
              <w:rPr>
                <w:rFonts w:ascii="times new roman" w:hAnsi="times new roman"/>
                <w:sz w:val="20"/>
              </w:rPr>
              <w:t>July 18, 2013</w:t>
            </w:r>
          </w:p>
        </w:tc>
      </w:tr>
      <w:tr>
        <w:trPr/>
        <w:tc>
          <w:tcPr>
            <w:tcW w:w="4512" w:type="dxa"/>
            <w:tcBorders/>
            <w:shd w:fill="auto" w:val="clear"/>
            <w:tcMar>
              <w:bottom w:w="0" w:type="dxa"/>
            </w:tcMar>
            <w:vAlign w:val="center"/>
          </w:tcPr>
          <w:p>
            <w:pPr>
              <w:pStyle w:val="TableContents"/>
              <w:spacing w:before="0" w:after="283"/>
              <w:rPr/>
            </w:pPr>
            <w:r>
              <w:rPr/>
              <w:t xml:space="preserve">  </w:t>
            </w:r>
          </w:p>
        </w:tc>
        <w:tc>
          <w:tcPr>
            <w:tcW w:w="3652" w:type="dxa"/>
            <w:gridSpan w:val="2"/>
            <w:tcBorders/>
            <w:shd w:fill="auto" w:val="clear"/>
            <w:tcMar>
              <w:bottom w:w="0" w:type="dxa"/>
            </w:tcMar>
            <w:vAlign w:val="center"/>
          </w:tcPr>
          <w:p>
            <w:pPr>
              <w:pStyle w:val="TableContents"/>
              <w:spacing w:before="0" w:after="283"/>
              <w:rPr/>
            </w:pPr>
            <w:r>
              <w:rPr/>
              <w:t xml:space="preserve">  </w:t>
            </w:r>
          </w:p>
        </w:tc>
        <w:tc>
          <w:tcPr>
            <w:tcW w:w="2041" w:type="dxa"/>
            <w:gridSpan w:val="2"/>
            <w:tcBorders/>
            <w:shd w:fill="auto" w:val="clear"/>
            <w:tcMar>
              <w:bottom w:w="0" w:type="dxa"/>
            </w:tcMar>
            <w:vAlign w:val="center"/>
          </w:tcPr>
          <w:p>
            <w:pPr>
              <w:pStyle w:val="TableContents"/>
              <w:spacing w:before="0" w:after="283"/>
              <w:rPr/>
            </w:pPr>
            <w:r>
              <w:rPr/>
              <w:t xml:space="preserve">  </w:t>
            </w:r>
          </w:p>
        </w:tc>
      </w:tr>
      <w:tr>
        <w:trPr/>
        <w:tc>
          <w:tcPr>
            <w:tcW w:w="4512"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Brian J. Underdown</w:t>
            </w:r>
          </w:p>
          <w:p>
            <w:pPr>
              <w:pStyle w:val="TableContents"/>
              <w:spacing w:before="0" w:after="0"/>
              <w:ind w:left="0" w:right="16" w:hanging="0"/>
              <w:jc w:val="center"/>
              <w:rPr>
                <w:rFonts w:ascii="times new roman" w:hAnsi="times new roman"/>
                <w:b/>
                <w:sz w:val="20"/>
              </w:rPr>
            </w:pPr>
            <w:r>
              <w:rPr>
                <w:rFonts w:ascii="times new roman" w:hAnsi="times new roman"/>
                <w:b/>
                <w:sz w:val="20"/>
              </w:rPr>
              <w:t>Brian J. Underdown, Ph. D</w:t>
            </w:r>
          </w:p>
        </w:tc>
        <w:tc>
          <w:tcPr>
            <w:tcW w:w="214" w:type="dxa"/>
            <w:tcBorders/>
            <w:shd w:fill="auto" w:val="clear"/>
            <w:tcMar>
              <w:bottom w:w="0" w:type="dxa"/>
            </w:tcMar>
            <w:vAlign w:val="bottom"/>
          </w:tcPr>
          <w:p>
            <w:pPr>
              <w:pStyle w:val="TableContents"/>
              <w:spacing w:before="0" w:after="0"/>
              <w:ind w:left="0" w:right="16" w:hanging="0"/>
              <w:jc w:val="left"/>
              <w:rPr/>
            </w:pPr>
            <w:r>
              <w:rPr/>
              <w:t>  </w:t>
            </w:r>
          </w:p>
        </w:tc>
        <w:tc>
          <w:tcPr>
            <w:tcW w:w="3438"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214" w:type="dxa"/>
            <w:tcBorders/>
            <w:shd w:fill="auto" w:val="clear"/>
            <w:tcMar>
              <w:bottom w:w="0" w:type="dxa"/>
            </w:tcMar>
            <w:vAlign w:val="bottom"/>
          </w:tcPr>
          <w:p>
            <w:pPr>
              <w:pStyle w:val="TableContents"/>
              <w:spacing w:before="0" w:after="283"/>
              <w:jc w:val="left"/>
              <w:rPr/>
            </w:pPr>
            <w:r>
              <w:rPr/>
              <w:t xml:space="preserve">  </w:t>
            </w:r>
          </w:p>
        </w:tc>
        <w:tc>
          <w:tcPr>
            <w:tcW w:w="1827" w:type="dxa"/>
            <w:tcBorders/>
            <w:shd w:fill="auto" w:val="clear"/>
            <w:tcMar>
              <w:bottom w:w="0" w:type="dxa"/>
            </w:tcMar>
          </w:tcPr>
          <w:p>
            <w:pPr>
              <w:pStyle w:val="TableContents"/>
              <w:spacing w:before="0" w:after="0"/>
              <w:ind w:left="0" w:right="48" w:hanging="0"/>
              <w:jc w:val="center"/>
              <w:rPr>
                <w:rFonts w:ascii="times new roman" w:hAnsi="times new roman"/>
                <w:sz w:val="20"/>
              </w:rPr>
            </w:pPr>
            <w:r>
              <w:rPr>
                <w:rFonts w:ascii="times new roman" w:hAnsi="times new roman"/>
                <w:sz w:val="20"/>
              </w:rPr>
              <w:t>July 18, 2013</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386" w:name="PGBRK136"/>
      <w:bookmarkStart w:id="1387" w:name="PGBRK136"/>
      <w:bookmarkEnd w:id="1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88" w:name="FTR136"/>
      <w:bookmarkStart w:id="1389" w:name="FTR136"/>
      <w:bookmarkEnd w:id="1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90" w:name="GLFTR136"/>
      <w:bookmarkEnd w:id="1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1" w:name="PN136"/>
      <w:bookmarkEnd w:id="1391"/>
      <w:r>
        <w:rPr>
          <w:rFonts w:ascii="Times New Roman" w:hAnsi="Times New Roman"/>
          <w:sz w:val="20"/>
        </w:rPr>
        <w:t>-135-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92" w:name="HDR136"/>
      <w:bookmarkStart w:id="1393" w:name="HDR136"/>
      <w:bookmarkEnd w:id="1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394" w:name="GLHDR136"/>
        <w:bookmarkEnd w:id="13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tbl>
      <w:tblPr>
        <w:tblW w:w="5000" w:type="pct"/>
        <w:jc w:val="left"/>
        <w:tblInd w:w="0" w:type="dxa"/>
        <w:tblCellMar>
          <w:top w:w="0" w:type="dxa"/>
          <w:left w:w="0" w:type="dxa"/>
          <w:bottom w:w="28" w:type="dxa"/>
          <w:right w:w="0" w:type="dxa"/>
        </w:tblCellMar>
      </w:tblPr>
      <w:tblGrid>
        <w:gridCol w:w="1223"/>
        <w:gridCol w:w="8982"/>
      </w:tblGrid>
      <w:tr>
        <w:trPr/>
        <w:tc>
          <w:tcPr>
            <w:tcW w:w="1223"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Exhibit No.</w:t>
            </w:r>
          </w:p>
        </w:tc>
        <w:tc>
          <w:tcPr>
            <w:tcW w:w="8982"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Description*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and Plan of Merger by and among Excaliber Enterprises, Ltd., VistaGen Therapeutics, Inc. and Excaliber Merger Subsidiary, Inc.</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 *</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Incorporation in effect as of May 11,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Merger filed with the Nevada Secretary of State on May 24,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3.3</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Amendment filed with the Nevada Secretary of State on December 6,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3.4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Bylaws in effect.as of May 11, 2011, incorporated by reference from the document filed as Exhibit 3.2 in the Company’s Current Report on Form 8-K filed on May 16,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3.5</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Designations Series A Preferred, incorporated by reference from the Company’s Current Report on Form 8-K/A filed on December 22,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Fourth Amended and Restated Investors’ Rights Agreement, dated August 1, 2005, by and among VistaGen and certain (former) holders of Preferred Stock of VistaGen, as amended by that certain Amendment No. 1 to Fourth Amended and Restated Investors’ Rights Agreement, dated July 10, 2010.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VistaGen’s 1999 Stock Incentive Plan.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Option Agreement under VistaGen’s 1999 Stock Incentive Plan.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VistaGen’s Scientific Advisory Board 1998 Stock Incentive Plan.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Option Agreement under VistaGen’s Scientific Advisory Board 1998 Stock Incentive Plan.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VistaGen’s 2008 Stock Incentive Plan.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Option Agreement under VistaGen’s 2008 Stock Incentive Plan.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October 30, 2009, by and between VistaGen and Cato BioVentures.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April 27, 2011, by and between VistaGen and Cato BioVentures.</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10.9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November 5, 2009, by and between VistaGen and Platinum Long Term Growth Fund.</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10.10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December 2, 2009, by and between VistaGen and University Health Network.</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10.11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April 25, 2011, by and between VistaGen and University Health Network.</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10.12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Subscription Agreement, dated May 11, 2011, by and between VistaGen and certain investors.</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10.18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Industrial Lease, dated March 5, 2007, by and between Oyster Point LLC and VistaGen, as amended by that certain First Amendment to Lease, dated as of April 24, 2009, and as further amended by that certain Second Amendment to Lease, dated as of October 19, 2010 and that certain Third Amendment to Lease, dated as of April 1,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10.19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Clinical Study Agreement, dated April 15, 2010, by and between VistaGen and Progressive Medical Concepts, LLC.</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10.20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Strategic Development Services Agreement, dated February 26, 2007, by and between VistaGen and Cato Research Ltd.</w:t>
            </w:r>
          </w:p>
        </w:tc>
      </w:tr>
      <w:tr>
        <w:trPr/>
        <w:tc>
          <w:tcPr>
            <w:tcW w:w="1223" w:type="dxa"/>
            <w:tcBorders/>
            <w:shd w:fill="CCEEFF" w:val="clear"/>
            <w:tcMar>
              <w:bottom w:w="0"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10.21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by and between National Jewish Medical and Research Center and VistaGen, dated July 12, 1999, as amended by that certain Amendment to License Agreement dated January 25, 2001, as amended by that certain Second Amendment to License Agreement dated November 6, 2002, as amended by that certain Third Amendment to License Agreement dated March 1, 2003, and as amended by that certain Fourth Amendment to License Agreement dated April 15, 2010.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10.22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by and between Mount Sinai School of Medicine of New York University and the Company, dated October 1, 2004.</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10.23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Non-Exclusive License Agreement, dated December 5, 2008, by and between VistaGen and Wisconsin Alumni Research Foundation, as amended by that certain Wisconsin Materials Addendum, dated February 2, 2009.</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10.24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Sponsored Research Collaboration Agreement, dated September 18, 2007, between VistaGen and University Health Network, as amended by that certain Amendment No. 1, Amendment No. 2 and Amendment No. 3 dated April 19, 2010, December 15, 2010 and April, 25, 2011, respectively.</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10.25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Feb 12, 2010, by and between VistaGen and The Regents of the University of California.</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10.26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dated October 24, 2001, by and between the University of Maryland, Baltimore, Cornell Research Foundation and Artemis Neuroscience, Inc.</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10.27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Non-exclusive License Agreement, dated September 1, 2010, by and between VistaGen and TET Systems GmbH &amp; Co. KG.</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10.28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Senior Convertible Promissory Bridge Note dated June 19, 2007 issued by VistaGen to Platinum Long Term Growth VII, LLC.</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10.29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Amended and Restated Letter Loan Agreement dated May 16, 2008, by and between VistaGen and Platinum Long Term Growth VII, LLC, as amended by that certain Amendment No. 1 to Second Amended and Restated Letter Loan Agreement dated October 16 2009, as further amended by that certain Amendment to Letter Loan Agreement dated May 5,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10.30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 dated April 29, 2011 issued by VistaGen to Cato Holding Company.</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Unsecured Promissory Note dated April 28, 2011 issued by VistaGen to Desjardins Securities.</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10.32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Unsecured Promissory Note dated April 28, 2011 issued by VistaGen to McCarthy Tetrault LLP.</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10.33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Unsecured Promissory Note dated April 28, 2011 issued by VistaGen to Morrison &amp; Foerster LLP</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10.34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 dated February 25, 2010 issued by VistaGen to The Regents of the University of California.</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10.35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 and Warrant Purchase Agreement dated August 4, 2010, by and between VistaGen and certain investors, as amended by that certain Amendment No. 1 to Note and Warrant Purchase Agreement, dated November 10, 2010.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10.36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Conversion Agreement, dated April 29, 2011, by and among VistaGen and certain holders of unsecured promissory notes issued pursuant to that certain Note and Warrant Purchase Agreement, dated August 4, 2010, by and between VistaGen and such note holders.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10.37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regarding Conversion of Unsecured Promissory Note, dated April 29, 2011, by and between VistaGen and The Dillon Family Trust.</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10.38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Senior Note and Warrant Purchase Agreement dated August 13, 2006, by and between VistaGen and certain investors, as amended by that certain Amendment No. 1 to Senior Convertible Bridge Note and Warrant Purchase Agreement dated January 31, 2007, as further amended by that certain Amendment No. 2 to Senior Convertible Bridge Note and Warrant Purchase Agreement dated June 11, 2007, as further amended by that certain Omnibus Amendment dated April 28,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10.39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Senior Note and Warrant Purchase Agreement dated May 16, 2008, by and between VistaGen and certain investors, as amended by that certain Amendment No. 1 to Senior Convertible Bridge Note and Warrant Purchase Agreement dated November 2, 2009, as further amended by that certain Omnibus Amendment dated April 28,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10.40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by and between, VistaGen and Shawn K. Singh, dated April 28, 2010, as amended May 9,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10.41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by and between, VistaGen and H. Ralph Snodgrass, PhD, dated April 28, 2010, as amended May 9,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10.42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by and between VistaGen and A. Franklin Rice, dated April 28, 2010, as amended May 9,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10.43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regarding sale of shares of common stock dated May 9, 2011 by and between Excaliber and Stephanie Y. Jones, whereby Excaliber purchased from Mrs. Jones 4,982,103 shares of Excaliber common stock for $10.</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10.44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Agreement regarding sale of shares of common stock dated May 9, 2011 by and between Excaliber and Nicole Jones, whereby Excaliber purchased from Nicole Jones 82,104 shares of Excaliber common stock for $10.</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10.45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Joinder Agreement dated May 11, 2011 by and between Excaliber, Platinum Long Term Growth VII, LLC and VistaGen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10.46</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Notice of Award by National Institutes of Health, Small Business Innovation Research Program, to VistaGen Therapeutics, Inc. for project, Clinical Development of 4-CI-KYN to Treat Pain dated June 22, 2009, with revisions dated July 19, 2010 and August 9, 2011, incorporated by reference from the Company’s Current Report on Form 8-K/A filed on December 20,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Notice of Grant Award by California Institute of Regenerative Medicine and VistaGen Therapeutics, Inc. for Project: Development of an hES Cell-Based Assay System for Hepatocyte Differentiation Studies and Predictive Toxicology Drug Screening, dated April 1, 2009, incorporated by reference from the Company’s Current Report on Form 8-K/A filed on December 20,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4, dated October 24, 2011, to Sponsored Research Collaboration Agreement between VistaGen and University Health Network, incorporated by reference from the Company’s Current Report on Form 8-K/A filed on November 30,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10.49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License Agreement No. 1, dated as of October 24, 2011 between University Health Network and VistaGen Therapeutics, Inc., incorporated by reference from the Company’s Current Report on Form 8-K/A filed on November 30,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Strategic Medicinal Chemistry Services Agreement, dated as of December 6, 2011, between Synterys, Inc. and VistaGen Therapeutics, Inc., incorporated by reference from the Company’s Current Report on Form 8-K/A filed on December 7, 2011.</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Common Stock Exchange Agreement, dated as of December 22, 2011 between Platinum Long Term Growth VII, LLC and VistaGen Therapeutics, Inc., incorporated by reference from the Company’s Current Report on Form 8-K/A filed on December 23, 2011.</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Note and Warrant Exchange Agreement, dated as of December 28, 2011 between Platinum Long Term Growth VII, LLC and VistaGen Therapeutics, Inc., incorporated by reference from the Current Report on Form 8-K/A filed on January 4,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Convertible Note and Warrant Purchase Agreement, dated as of February 28, 2012, by and between VistaGen Therapeutics, Inc. and certain investors, incorporated by reference from the Current Report on Form 8-K/A filed on March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Convertible Promissory Note, dated as of February 28, 2012, incorporated by reference from the Company’s Current Report on Form 8-K/A filed on March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Common Stock, dated as of February 28, 2012, incorporated by reference from the Company’s Current Report on Form 8-K/A filed on March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Registration Rights Agreement, dated as of February 28, 2012, by and between VistaGen and certain investors, incorporated by reference from the Company’s Current Report on Form 8-K/A filed on March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License Agreement No. 2, dated as of March 19, 2012 between University Health Network and VistaGen Therapeutics, Inc. , incorporated by reference from the Company’s Annual Report on Form 10-K filed on July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Exchange Agreement dated as of June 29, 2012 between Platinum Long Term Growth VII, LLC and VistaGen Therapeutics. Inc., incorporated by reference from the Company’s Annual Report on Form 10-K filed on July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Secured Convertible Promissory Note, Dated as of July 2, 2012, issued to Platinum Long Term Growth VII, LLC., incorporated by reference from the Company’s Annual Report on Form 10-K filed on July 2,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Security Agreement between Platinum Long Term Growth VII, LLC and VistaGen Therapeutics. Inc., dated as of July 2, 2012, incorporated by reference from the Company’s Annual Report on Form 10-K filed on July 2,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Secured Convertible Promissory Note, Dated as of August 30, 2012, issued to Platinum Long Term Growth VII, LLC., incorporated by reference from the Company’s Current Report on Form 8-K filed on September 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to Security Agreement between Platinum Long Term Growth VII, LLC and VistaGen Therapeutics. Inc.as of August 30, 2012, incorporated by reference from the Company’s Current Report on Form 8-K filed on September 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Unsecured Promissory Note in the face amount of $1,000,000 issued to Morrison &amp; Foerster LLP on August 31, 2012 (Replacement Note A), incorporated by reference from the Company’s Current Report on Form 8-K filed on September 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Unsecured Promissory Note in the face amount of $1,379,376 issued to Morrison &amp; Foerster LLP on August 31, 2012 (Replacement Note B), incorporated by reference from the Company’s Current Report on Form 8-K filed on September 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Stock Purchase Warrant issued to Morrison &amp; Foerster LLP on August 31, 2012 to purchase 1,379,376 shares of the Company’s common stock (New Morrison &amp; Foerster Warrant), incorporated by reference from the Company’s Current Report on Form 8-K filed on September 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Warrant to Purchase Common Stock issued to Morrison &amp; Foerster LLP on August 31, 2012 to purchase 425,000 shares of the Company’s common stock (Amended Morrison &amp; Foerster Warrant), incorporated by reference from the Company’s Current Report on Form 8-K filed on September 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Note Exchange and Purchase Agreement dated as of October 11, 2012 by and between VistaGen Therapeutics, Inc. and Platinum Long Term Growth VII, LLP, incorporated by reference from the Company’s Current Report on Form 8-K filed on October 16,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Senior Secured Convertible Promissory Note issued to Platinum Long Term Growth VII, LLP under the Note Exchange and Purchase Agreement, incorporated by reference from the Company’s Current Report on Form 8-K filed on October 16,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Shares of Common Stock issued to Platinum Long Term Growth VII, LLP under the Note Exchange and Purchase Agreement, incorporated by reference from the Company’s Current Report on Form 8-K filed on October 16,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Security Agreement as of October 11, 2012 between VistaGen Therapeutics, Inc. and Platinum Long Term Growth VII, LLP, incorporated by reference from the Company’s Current Report on Form 8-K filed on October 16,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Intellectual Property Security and Stock Pledge Agreement as of October 11, 2012 between VistaGen California and Platinum Long Term Growth VII, LLP, incorporated by reference from the Company’s Current Report on Form 8-K filed on October 16,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Negative Covenant Agreement dated October 11, 2012 between VistaGen California, Artemis Neuroscience, Inc. and Platinum Long Term Growth VII, LLP, incorporated by reference from the Company’s Current Report on Form 8-K filed on October 16,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to Note Exchange and Purchase Agreement as of November 14, 2012 between VistaGen Therapeutics Inc. and Platinum Long Term Growth VII, LLP, incorporated by reference from the Company’s Current Report on Form 8-K filed on November 20, 2012.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Note Exchange Agreement between VistaGen Therapeutics, Inc. and Holders of the Company’s Promissory Notes dated February 28, 2012, incorporated by reference from the Company’s Current Report on Form 8-K filed on November 20, 2012.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2 to Note Exchange and Purchase Agreement as of January 31, 2013 between VistaGen Therapeutics Inc. and Platinum Long Term Growth VII, LLP, incorporated by reference from the Company’s Quarterly Report on Form 10-Q filed on February 14,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3 to Note Exchange and Purchase Agreement as of February 22, 2013 between VistaGen Therapeutics Inc. and Platinum Long Term Growth VII, LLP, incorporated by reference from the Company’s Current Report on Form 8-K filed on February 28,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Common Stock issued to independent members of the Company’s Board of Directors and its executive officers on March 3, 2013, incorporated by reference from the Company’s Current Report on Form 8-K filed on March 6,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Securities Purchase Agreement between VistaGen Therapeutics, Inc., and Autilion AG dated April 8, 2013, incorporated by reference from the Company’s Current Report on Form 8-K filed on April 10,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10.79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Voting Agreement between VistaGen Therapeutics, Inc., and Autilion AG dated April 8, 2013, incorporated by reference from the Company’s Current Report on Form 8-K filed on April 10,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10.80</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Note Conversion Agreement as of April 4, 2013 between VistaGen Therapeutics Inc. and Platinum Long Term Growth VII, LLP, incorporated by reference from the Company’s Current Report on Form 8-K filed on April 10,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10.81</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Assignment and Assumption Agreement between Autilion AG and Bergamo Acquisition Corp. PTE LTD dated April 12,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10.82</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1 to Securities Purchase Agreement dated April 30, 2013 between VistaGen Therapeutics, Inc. and Bergamo Acquisition Corp. PTE LTD, incorporated by reference from the Company’s Current Report on Form 8-K filed on May 1,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10.83</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Lease between Bayside Area Development, LLC and VistaGen Therapeutics, Inc. (California) dated April 24, 2013.</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10.84</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Jon S. Saxe.</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10.85</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Shawn K. Singh</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10.86</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H. Ralph Snodgrass.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10.87</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Brian J. Underdown.</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10.88</w:t>
            </w:r>
          </w:p>
        </w:tc>
        <w:tc>
          <w:tcPr>
            <w:tcW w:w="8982"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Indemnification Agreement effective May 20, 2013 between the Company and Jerrold D. Dotson.</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10.89</w:t>
            </w:r>
          </w:p>
        </w:tc>
        <w:tc>
          <w:tcPr>
            <w:tcW w:w="8982"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and Waiver effective May 24, 2013 between the Company and Platinum Long Term Growth VII, LLC, incorporated by reference from the Company’s Current Report on Form 8-K filed on June 3, 2013.</w:t>
            </w:r>
          </w:p>
        </w:tc>
      </w:tr>
      <w:tr>
        <w:trPr/>
        <w:tc>
          <w:tcPr>
            <w:tcW w:w="1223" w:type="dxa"/>
            <w:tcBorders/>
            <w:shd w:fill="FFFFFF"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10.90</w:t>
            </w:r>
          </w:p>
        </w:tc>
        <w:tc>
          <w:tcPr>
            <w:tcW w:w="8982" w:type="dxa"/>
            <w:tcBorders/>
            <w:shd w:fill="FFFFFF" w:val="clear"/>
            <w:tcMar>
              <w:bottom w:w="0" w:type="dxa"/>
            </w:tcMar>
          </w:tcPr>
          <w:p>
            <w:pPr>
              <w:pStyle w:val="TableContents"/>
              <w:spacing w:before="0" w:after="283"/>
              <w:rPr>
                <w:rFonts w:ascii="times new roman" w:hAnsi="times new roman"/>
                <w:sz w:val="20"/>
              </w:rPr>
            </w:pPr>
            <w:r>
              <w:rPr>
                <w:rFonts w:ascii="times new roman" w:hAnsi="times new roman"/>
                <w:sz w:val="20"/>
              </w:rPr>
              <w:t>Amendment No. 2 to Securities Purchase Agreement dated June 27, 2013 between the Company and Autilion AG and Bergamo Acquisition Corp. PTE LTD, incorporated by reference from the Company's Current Report on Form 8-K filed on June 28, 2013.</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16.1*</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Letter regarding change in certifying accountant</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21.1*</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List of Subsidiaries.</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24.1</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Power of Attorney</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the Company’s Chief Executive Officer pursuant to Section 302 of the Sarbanes-Oxley Act of 2002</w:t>
            </w:r>
          </w:p>
        </w:tc>
      </w:tr>
      <w:tr>
        <w:trPr/>
        <w:tc>
          <w:tcPr>
            <w:tcW w:w="12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the Company’s Chief Financial Officer pursuant to Section 302 of the Sarbanes-Oxley Act of 2002.</w:t>
            </w:r>
          </w:p>
        </w:tc>
      </w:tr>
      <w:tr>
        <w:trPr/>
        <w:tc>
          <w:tcPr>
            <w:tcW w:w="12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the Company’s Chief Executive Officer and Chief Financial Officer pursuant to Section 906 of the Sarbanes-Oxley Act of 2002.</w:t>
            </w:r>
          </w:p>
        </w:tc>
      </w:tr>
      <w:tr>
        <w:trPr/>
        <w:tc>
          <w:tcPr>
            <w:tcW w:w="1223" w:type="dxa"/>
            <w:tcBorders/>
            <w:shd w:fill="CCEE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101.INS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w:t>
            </w:r>
          </w:p>
        </w:tc>
      </w:tr>
      <w:tr>
        <w:trPr/>
        <w:tc>
          <w:tcPr>
            <w:tcW w:w="1223" w:type="dxa"/>
            <w:tcBorders/>
            <w:shd w:fill="FFFF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101.SCH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Schema</w:t>
            </w:r>
          </w:p>
        </w:tc>
      </w:tr>
      <w:tr>
        <w:trPr/>
        <w:tc>
          <w:tcPr>
            <w:tcW w:w="1223" w:type="dxa"/>
            <w:tcBorders/>
            <w:shd w:fill="CCEE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101.CAL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 Linkbase</w:t>
            </w:r>
          </w:p>
        </w:tc>
      </w:tr>
      <w:tr>
        <w:trPr/>
        <w:tc>
          <w:tcPr>
            <w:tcW w:w="1223" w:type="dxa"/>
            <w:tcBorders/>
            <w:shd w:fill="FFFF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101.DEF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 Linkbase</w:t>
            </w:r>
          </w:p>
        </w:tc>
      </w:tr>
      <w:tr>
        <w:trPr/>
        <w:tc>
          <w:tcPr>
            <w:tcW w:w="1223" w:type="dxa"/>
            <w:tcBorders/>
            <w:shd w:fill="CCEEFF" w:val="clear"/>
            <w:tcMar>
              <w:bottom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101.LAB **</w:t>
            </w:r>
          </w:p>
        </w:tc>
        <w:tc>
          <w:tcPr>
            <w:tcW w:w="898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 Linkbase</w:t>
            </w:r>
          </w:p>
        </w:tc>
      </w:tr>
      <w:tr>
        <w:trPr/>
        <w:tc>
          <w:tcPr>
            <w:tcW w:w="1223"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101.PRE **</w:t>
            </w:r>
          </w:p>
        </w:tc>
        <w:tc>
          <w:tcPr>
            <w:tcW w:w="898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jc w:val="both"/>
        <w:rPr>
          <w:rFonts w:ascii="Times New Roman" w:hAnsi="Times New Roman"/>
          <w:sz w:val="20"/>
        </w:rPr>
      </w:pPr>
      <w:bookmarkStart w:id="1395" w:name="hangingindent12"/>
      <w:bookmarkEnd w:id="1395"/>
      <w:r>
        <w:rPr>
          <w:rFonts w:ascii="Times New Roman" w:hAnsi="Times New Roman"/>
          <w:sz w:val="20"/>
        </w:rPr>
        <w:t>* Incorporated by reference from the like-numbered exhibit filed with our Current Report on Form 8-K on May 16, 2011.</w:t>
      </w:r>
    </w:p>
    <w:p>
      <w:pPr>
        <w:pStyle w:val="Normal"/>
        <w:spacing w:before="0" w:after="0"/>
        <w:jc w:val="center"/>
        <w:rPr>
          <w:sz w:val="4"/>
          <w:szCs w:val="4"/>
        </w:rPr>
      </w:pPr>
      <w:r>
        <w:rPr>
          <w:sz w:val="4"/>
          <w:szCs w:val="4"/>
        </w:rPr>
      </w:r>
      <w:bookmarkStart w:id="1396" w:name="hangingindent13"/>
      <w:bookmarkStart w:id="1397" w:name="hangingindent13"/>
      <w:bookmarkEnd w:id="1397"/>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Pursuant to Rule 406T of Regulation S-T, these interactive files are deemed not filed or part of a registration statement or prospectus for purposes of Sections 11 or 12 of the Securities Act of 1933 or Section 18 of the Securities Exchange Act of 1934 and otherwise are not subject to liability.</w:t>
            </w:r>
          </w:p>
        </w:tc>
      </w:tr>
    </w:tbl>
    <w:p>
      <w:pPr>
        <w:pStyle w:val="TextBody"/>
        <w:spacing w:before="0" w:after="0"/>
        <w:ind w:left="0" w:right="0" w:hanging="0"/>
        <w:jc w:val="right"/>
        <w:rPr>
          <w:rFonts w:ascii="times new roman" w:hAnsi="times new roman"/>
          <w:b/>
          <w:sz w:val="20"/>
        </w:rPr>
      </w:pPr>
      <w:r>
        <w:br w:type="page"/>
      </w:r>
      <w:bookmarkStart w:id="1398" w:name="assignmentassumption.htm"/>
      <w:bookmarkStart w:id="1399" w:name="ksassignmentassumption"/>
      <w:bookmarkEnd w:id="1398"/>
      <w:bookmarkEnd w:id="1399"/>
      <w:r>
        <w:rPr>
          <w:rFonts w:ascii="times new roman" w:hAnsi="times new roman"/>
          <w:b/>
          <w:sz w:val="20"/>
        </w:rPr>
        <w:t>Exhibit 10.81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ASSIGNMENT AND ASSUMPTION AGREEMENT</w:t>
      </w:r>
    </w:p>
    <w:p>
      <w:pPr>
        <w:pStyle w:val="TextBody"/>
        <w:spacing w:before="0" w:after="0"/>
        <w:ind w:left="0" w:right="0" w:hanging="0"/>
        <w:jc w:val="both"/>
        <w:rPr/>
      </w:pPr>
      <w:r>
        <w:rPr/>
        <w:t> </w:t>
      </w:r>
    </w:p>
    <w:p>
      <w:pPr>
        <w:pStyle w:val="TextBody"/>
        <w:spacing w:before="0" w:after="0"/>
        <w:ind w:left="0" w:right="0" w:hanging="0"/>
        <w:jc w:val="both"/>
        <w:rPr/>
      </w:pPr>
      <w:bookmarkStart w:id="1400" w:name="TAB24"/>
      <w:bookmarkEnd w:id="1400"/>
      <w:r>
        <w:rPr>
          <w:spacing w:val="180"/>
        </w:rPr>
        <w:t>   </w:t>
      </w:r>
      <w:r>
        <w:rPr/>
        <w:t> </w:t>
      </w:r>
      <w:r>
        <w:rPr>
          <w:rFonts w:ascii="Times New Roman" w:hAnsi="Times New Roman"/>
          <w:sz w:val="20"/>
        </w:rPr>
        <w:t>This Assignment and Assumption Agreement (the “</w:t>
      </w:r>
      <w:r>
        <w:rPr>
          <w:rFonts w:ascii="Times New Roman" w:hAnsi="Times New Roman"/>
          <w:sz w:val="20"/>
          <w:u w:val="single"/>
        </w:rPr>
        <w:t>Assignment and Assumption Agreement</w:t>
      </w:r>
      <w:r>
        <w:rPr>
          <w:rFonts w:ascii="Times New Roman" w:hAnsi="Times New Roman"/>
          <w:sz w:val="20"/>
        </w:rPr>
        <w:t>”) is entered into as of April 12, 2013, by and between Autilion AG, a company organized under the laws of Switzerland (“</w:t>
      </w:r>
      <w:r>
        <w:rPr>
          <w:rFonts w:ascii="Times New Roman" w:hAnsi="Times New Roman"/>
          <w:sz w:val="20"/>
          <w:u w:val="single"/>
        </w:rPr>
        <w:t>Assignor</w:t>
      </w:r>
      <w:r>
        <w:rPr>
          <w:rFonts w:ascii="Times New Roman" w:hAnsi="Times New Roman"/>
          <w:sz w:val="20"/>
        </w:rPr>
        <w:t>”), and its affiliate, Bergamo Acquisition Corp PTE, LTD, a company registered under the laws of the Republic of Singapore (“</w:t>
      </w:r>
      <w:r>
        <w:rPr>
          <w:rFonts w:ascii="Times New Roman" w:hAnsi="Times New Roman"/>
          <w:sz w:val="20"/>
          <w:u w:val="single"/>
        </w:rPr>
        <w:t>Assignee</w:t>
      </w:r>
      <w:r>
        <w:rPr>
          <w:rFonts w:ascii="Times New Roman" w:hAnsi="Times New Roman"/>
          <w:sz w:val="20"/>
        </w:rPr>
        <w:t>”). All terms used, but not defined, herein shall have the meanings ascribed to them in the Underlying Agreements (defined below).</w:t>
      </w:r>
    </w:p>
    <w:p>
      <w:pPr>
        <w:pStyle w:val="TextBody"/>
        <w:spacing w:before="0" w:after="0"/>
        <w:ind w:left="0" w:right="0" w:hanging="0"/>
        <w:rPr/>
      </w:pPr>
      <w:r>
        <w:rPr/>
        <w:t> </w:t>
      </w:r>
    </w:p>
    <w:p>
      <w:pPr>
        <w:pStyle w:val="TextBody"/>
        <w:spacing w:before="0" w:after="0"/>
        <w:ind w:left="0" w:right="0" w:hanging="0"/>
        <w:jc w:val="both"/>
        <w:rPr/>
      </w:pPr>
      <w:bookmarkStart w:id="1401" w:name="TAB25"/>
      <w:bookmarkEnd w:id="1401"/>
      <w:r>
        <w:rPr>
          <w:spacing w:val="180"/>
        </w:rPr>
        <w:t>   </w:t>
      </w:r>
      <w:r>
        <w:rPr/>
        <w:t> </w:t>
      </w:r>
      <w:r>
        <w:rPr>
          <w:rFonts w:ascii="Times New Roman" w:hAnsi="Times New Roman"/>
          <w:sz w:val="20"/>
        </w:rPr>
        <w:t>WHEREAS, Assignor and VistaGen Therapeutics, Inc., a corporation organized under the laws of the State of Nevada (“</w:t>
      </w:r>
      <w:r>
        <w:rPr>
          <w:rFonts w:ascii="Times New Roman" w:hAnsi="Times New Roman"/>
          <w:sz w:val="20"/>
          <w:u w:val="single"/>
        </w:rPr>
        <w:t>VistaGen</w:t>
      </w:r>
      <w:r>
        <w:rPr>
          <w:rFonts w:ascii="Times New Roman" w:hAnsi="Times New Roman"/>
          <w:sz w:val="20"/>
        </w:rPr>
        <w:t>”), are parties to a Securities Purchase Agreement and Voting Agreement, each dated April 8, 2013, complete copies of which (including all exhibits, amendments and modifications thereto) are incorporated herein by this reference (the “</w:t>
      </w:r>
      <w:r>
        <w:rPr>
          <w:rFonts w:ascii="Times New Roman" w:hAnsi="Times New Roman"/>
          <w:sz w:val="20"/>
          <w:u w:val="single"/>
        </w:rPr>
        <w:t>Underlying Agreements</w:t>
      </w:r>
      <w:r>
        <w:rPr>
          <w:rFonts w:ascii="Times New Roman" w:hAnsi="Times New Roman"/>
          <w:sz w:val="20"/>
        </w:rPr>
        <w:t>”);</w:t>
      </w:r>
    </w:p>
    <w:p>
      <w:pPr>
        <w:pStyle w:val="TextBody"/>
        <w:spacing w:before="0" w:after="0"/>
        <w:ind w:left="180" w:right="117" w:firstLine="720"/>
        <w:jc w:val="both"/>
        <w:rPr/>
      </w:pPr>
      <w:r>
        <w:rPr/>
        <w:t> </w:t>
      </w:r>
    </w:p>
    <w:p>
      <w:pPr>
        <w:pStyle w:val="TextBody"/>
        <w:spacing w:before="0" w:after="0"/>
        <w:ind w:left="0" w:right="0" w:hanging="0"/>
        <w:jc w:val="both"/>
        <w:rPr/>
      </w:pPr>
      <w:bookmarkStart w:id="1402" w:name="TAB26"/>
      <w:bookmarkEnd w:id="1402"/>
      <w:r>
        <w:rPr>
          <w:spacing w:val="180"/>
        </w:rPr>
        <w:t>   </w:t>
      </w:r>
      <w:r>
        <w:rPr/>
        <w:t> </w:t>
      </w:r>
      <w:r>
        <w:rPr>
          <w:rFonts w:ascii="Times New Roman" w:hAnsi="Times New Roman"/>
          <w:sz w:val="20"/>
        </w:rPr>
        <w:t>WHEREAS, Assignor has agreed to assign to Assignee all of its rights and obligations under the Underlying Agreements (collectively, the “</w:t>
      </w:r>
      <w:r>
        <w:rPr>
          <w:rFonts w:ascii="Times New Roman" w:hAnsi="Times New Roman"/>
          <w:sz w:val="20"/>
          <w:u w:val="single"/>
        </w:rPr>
        <w:t>Assigned Rights and Obligations</w:t>
      </w:r>
      <w:r>
        <w:rPr>
          <w:rFonts w:ascii="Times New Roman" w:hAnsi="Times New Roman"/>
          <w:sz w:val="20"/>
        </w:rPr>
        <w:t>”), and Assignee has agreed to assume the Assigned Rights and Obligations.</w:t>
      </w:r>
    </w:p>
    <w:p>
      <w:pPr>
        <w:pStyle w:val="TextBody"/>
        <w:spacing w:before="0" w:after="0"/>
        <w:ind w:left="0" w:right="0" w:hanging="0"/>
        <w:rPr/>
      </w:pPr>
      <w:r>
        <w:rPr/>
        <w:t> </w:t>
      </w:r>
    </w:p>
    <w:p>
      <w:pPr>
        <w:pStyle w:val="TextBody"/>
        <w:spacing w:before="0" w:after="0"/>
        <w:ind w:left="0" w:right="0" w:hanging="0"/>
        <w:jc w:val="both"/>
        <w:rPr/>
      </w:pPr>
      <w:bookmarkStart w:id="1403" w:name="TAB27"/>
      <w:bookmarkEnd w:id="1403"/>
      <w:r>
        <w:rPr>
          <w:spacing w:val="180"/>
        </w:rPr>
        <w:t>   </w:t>
      </w:r>
      <w:r>
        <w:rPr/>
        <w:t> </w:t>
      </w:r>
      <w:r>
        <w:rPr>
          <w:rFonts w:ascii="Times New Roman" w:hAnsi="Times New Roman"/>
          <w:sz w:val="20"/>
        </w:rPr>
        <w:t>NOW, THEREFORE, for good and valuable consideration, the receipt and sufficiency of which are hereby acknowledged, the parties hereto agree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04" w:name="list45"/>
      <w:bookmarkStart w:id="1405" w:name="list45"/>
      <w:bookmarkEnd w:id="1405"/>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Assignment and Assumption</w:t>
            </w:r>
            <w:r>
              <w:rPr>
                <w:rFonts w:ascii="Times New Roman" w:hAnsi="Times New Roman"/>
                <w:sz w:val="20"/>
              </w:rPr>
              <w:t>. Assignor hereby assigns to Assignee all of Assignor’s rights and obligations under the Underlying Agreements with respect to the Assigned Rights and Obligations, and Assignee hereby accepts the foregoing assignment and assumes all of the rights and obligations of Assignor under the Underlying Agreements with respect to the Assigned Rights and Obligations.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406" w:name="list46"/>
      <w:bookmarkStart w:id="1407" w:name="list46"/>
      <w:bookmarkEnd w:id="1407"/>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Effective Date</w:t>
            </w:r>
            <w:r>
              <w:rPr>
                <w:rFonts w:ascii="Times New Roman" w:hAnsi="Times New Roman"/>
                <w:sz w:val="20"/>
              </w:rPr>
              <w:t>. The date on which the Assignment and Assumption Agreement is effective is April 11, 2013.</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8" w:name="list47"/>
      <w:bookmarkStart w:id="1409" w:name="list47"/>
      <w:bookmarkEnd w:id="1409"/>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Successors</w:t>
            </w:r>
            <w:r>
              <w:rPr>
                <w:rFonts w:ascii="Times New Roman" w:hAnsi="Times New Roman"/>
                <w:sz w:val="20"/>
              </w:rPr>
              <w:t>. All future transfers and assignments of the Assigned Rights and Obligations transferred and assigned hereby are subject to the transfer and assignment provisions of the Underlying Agreements. This Assignment and Assumption Agreement shall inure to the benefit of, and be binding upon, the permitted successors and assigns of the parties hereto.</w:t>
            </w:r>
          </w:p>
        </w:tc>
      </w:tr>
    </w:tbl>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1410" w:name="hangingindent14"/>
      <w:bookmarkStart w:id="1411" w:name="hangingindent14"/>
      <w:bookmarkEnd w:id="1411"/>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4.  </w:t>
            </w:r>
          </w:p>
        </w:tc>
        <w:tc>
          <w:tcPr>
            <w:tcW w:w="9957" w:type="dxa"/>
            <w:tcBorders/>
            <w:shd w:fill="auto" w:val="clear"/>
          </w:tcPr>
          <w:p>
            <w:pPr>
              <w:pStyle w:val="TableContents"/>
              <w:spacing w:before="0" w:after="0"/>
              <w:ind w:left="0" w:right="0" w:hanging="0"/>
              <w:jc w:val="left"/>
              <w:rPr>
                <w:rFonts w:ascii="Times New Roman" w:hAnsi="Times New Roman"/>
                <w:sz w:val="20"/>
              </w:rPr>
            </w:pPr>
            <w:bookmarkStart w:id="1412" w:name="TAB28"/>
            <w:bookmarkEnd w:id="1412"/>
            <w:r>
              <w:rPr>
                <w:rFonts w:ascii="Times New Roman" w:hAnsi="Times New Roman"/>
                <w:sz w:val="20"/>
                <w:u w:val="single"/>
              </w:rPr>
              <w:t>Counterparts</w:t>
            </w:r>
            <w:r>
              <w:rPr>
                <w:rFonts w:ascii="Times New Roman" w:hAnsi="Times New Roman"/>
                <w:sz w:val="20"/>
              </w:rPr>
              <w:t>. This Assignment and Assumption Agreement may be executed in counterparts, each of which shall be an original, but all of which together constitute one and the same instrument.</w:t>
            </w:r>
          </w:p>
        </w:tc>
      </w:tr>
    </w:tbl>
    <w:p>
      <w:pPr>
        <w:pStyle w:val="TextBody"/>
        <w:spacing w:before="0" w:after="0"/>
        <w:ind w:left="0" w:right="0" w:hanging="0"/>
        <w:jc w:val="left"/>
        <w:rPr/>
      </w:pPr>
      <w:r>
        <w:rPr/>
        <w:t> </w:t>
      </w:r>
    </w:p>
    <w:p>
      <w:pPr>
        <w:pStyle w:val="TextBody"/>
        <w:spacing w:before="0" w:after="0"/>
        <w:ind w:left="0" w:right="0" w:hanging="0"/>
        <w:jc w:val="both"/>
        <w:rPr/>
      </w:pPr>
      <w:bookmarkStart w:id="1413" w:name="TAB29"/>
      <w:bookmarkEnd w:id="1413"/>
      <w:r>
        <w:rPr>
          <w:spacing w:val="180"/>
        </w:rPr>
        <w:t>   </w:t>
      </w:r>
      <w:r>
        <w:rPr/>
        <w:t> </w:t>
      </w:r>
      <w:r>
        <w:rPr>
          <w:rFonts w:ascii="Times New Roman" w:hAnsi="Times New Roman"/>
          <w:sz w:val="20"/>
        </w:rPr>
        <w:t>IN WITNESS WHEREOF, Assignor and Assignee, by their duly authorized officials, hereby execute and deliver this Assignment and Assumption Agreement, effective as of the date set forth in Section 2 above.</w:t>
      </w:r>
    </w:p>
    <w:p>
      <w:pPr>
        <w:pStyle w:val="TextBody"/>
        <w:spacing w:before="0" w:after="0"/>
        <w:ind w:left="0" w:right="117" w:firstLine="360"/>
        <w:jc w:val="both"/>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4593"/>
        <w:gridCol w:w="1018"/>
        <w:gridCol w:w="4594"/>
      </w:tblGrid>
      <w:tr>
        <w:trPr/>
        <w:tc>
          <w:tcPr>
            <w:tcW w:w="45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ASSIGNOR: AUTILION AG</w:t>
            </w:r>
          </w:p>
        </w:tc>
        <w:tc>
          <w:tcPr>
            <w:tcW w:w="1018" w:type="dxa"/>
            <w:tcBorders/>
            <w:shd w:fill="FFFFFF" w:val="clear"/>
            <w:vAlign w:val="center"/>
          </w:tcPr>
          <w:p>
            <w:pPr>
              <w:pStyle w:val="TableContents"/>
              <w:spacing w:before="0" w:after="283"/>
              <w:rPr/>
            </w:pPr>
            <w:r>
              <w:rPr/>
              <w:t> </w:t>
            </w:r>
          </w:p>
        </w:tc>
        <w:tc>
          <w:tcPr>
            <w:tcW w:w="45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ASSIGNEE: BERGAMO ACQUISITION CORP PTE, LTD</w:t>
            </w:r>
          </w:p>
        </w:tc>
      </w:tr>
      <w:tr>
        <w:trPr/>
        <w:tc>
          <w:tcPr>
            <w:tcW w:w="4593" w:type="dxa"/>
            <w:tcBorders/>
            <w:shd w:fill="FFFFFF" w:val="clear"/>
            <w:vAlign w:val="center"/>
          </w:tcPr>
          <w:p>
            <w:pPr>
              <w:pStyle w:val="TableContents"/>
              <w:spacing w:before="0" w:after="283"/>
              <w:rPr/>
            </w:pPr>
            <w:r>
              <w:rPr/>
              <w:t> </w:t>
            </w:r>
          </w:p>
        </w:tc>
        <w:tc>
          <w:tcPr>
            <w:tcW w:w="1018" w:type="dxa"/>
            <w:tcBorders/>
            <w:shd w:fill="FFFFFF" w:val="clear"/>
            <w:vAlign w:val="center"/>
          </w:tcPr>
          <w:p>
            <w:pPr>
              <w:pStyle w:val="TableContents"/>
              <w:spacing w:before="0" w:after="283"/>
              <w:rPr/>
            </w:pPr>
            <w:r>
              <w:rPr/>
              <w:t> </w:t>
            </w:r>
          </w:p>
        </w:tc>
        <w:tc>
          <w:tcPr>
            <w:tcW w:w="4594" w:type="dxa"/>
            <w:tcBorders/>
            <w:shd w:fill="FFFFFF" w:val="clear"/>
            <w:vAlign w:val="center"/>
          </w:tcPr>
          <w:p>
            <w:pPr>
              <w:pStyle w:val="TableContents"/>
              <w:spacing w:before="0" w:after="283"/>
              <w:rPr/>
            </w:pPr>
            <w:r>
              <w:rPr/>
              <w:t> </w:t>
            </w:r>
          </w:p>
        </w:tc>
      </w:tr>
      <w:tr>
        <w:trPr/>
        <w:tc>
          <w:tcPr>
            <w:tcW w:w="45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By: </w:t>
            </w:r>
            <w:r>
              <w:rPr>
                <w:rFonts w:ascii="times new roman" w:hAnsi="times new roman"/>
                <w:sz w:val="20"/>
                <w:u w:val="single"/>
              </w:rPr>
              <w:t>/s/ Hillard Herzog</w:t>
            </w:r>
          </w:p>
        </w:tc>
        <w:tc>
          <w:tcPr>
            <w:tcW w:w="1018" w:type="dxa"/>
            <w:tcBorders/>
            <w:shd w:fill="FFFFFF" w:val="clear"/>
            <w:vAlign w:val="center"/>
          </w:tcPr>
          <w:p>
            <w:pPr>
              <w:pStyle w:val="TableContents"/>
              <w:spacing w:before="0" w:after="283"/>
              <w:rPr/>
            </w:pPr>
            <w:r>
              <w:rPr/>
              <w:t> </w:t>
            </w:r>
          </w:p>
        </w:tc>
        <w:tc>
          <w:tcPr>
            <w:tcW w:w="45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By: </w:t>
            </w:r>
            <w:r>
              <w:rPr>
                <w:rFonts w:ascii="times new roman" w:hAnsi="times new roman"/>
                <w:sz w:val="20"/>
                <w:u w:val="single"/>
              </w:rPr>
              <w:t>/s/ Hillard Herzog</w:t>
            </w:r>
          </w:p>
        </w:tc>
      </w:tr>
      <w:tr>
        <w:trPr/>
        <w:tc>
          <w:tcPr>
            <w:tcW w:w="45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Name: Hillard Herzog</w:t>
            </w:r>
          </w:p>
        </w:tc>
        <w:tc>
          <w:tcPr>
            <w:tcW w:w="1018" w:type="dxa"/>
            <w:tcBorders/>
            <w:shd w:fill="FFFFFF" w:val="clear"/>
            <w:vAlign w:val="center"/>
          </w:tcPr>
          <w:p>
            <w:pPr>
              <w:pStyle w:val="TableContents"/>
              <w:spacing w:before="0" w:after="283"/>
              <w:rPr/>
            </w:pPr>
            <w:r>
              <w:rPr/>
              <w:t> </w:t>
            </w:r>
          </w:p>
        </w:tc>
        <w:tc>
          <w:tcPr>
            <w:tcW w:w="45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Name: Hillard Herzog</w:t>
            </w:r>
          </w:p>
        </w:tc>
      </w:tr>
      <w:tr>
        <w:trPr/>
        <w:tc>
          <w:tcPr>
            <w:tcW w:w="45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Title: President</w:t>
            </w:r>
          </w:p>
        </w:tc>
        <w:tc>
          <w:tcPr>
            <w:tcW w:w="1018" w:type="dxa"/>
            <w:tcBorders/>
            <w:shd w:fill="FFFFFF" w:val="clear"/>
            <w:vAlign w:val="center"/>
          </w:tcPr>
          <w:p>
            <w:pPr>
              <w:pStyle w:val="TableContents"/>
              <w:spacing w:before="0" w:after="283"/>
              <w:rPr/>
            </w:pPr>
            <w:r>
              <w:rPr/>
              <w:t> </w:t>
            </w:r>
          </w:p>
        </w:tc>
        <w:tc>
          <w:tcPr>
            <w:tcW w:w="45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Title: President</w:t>
            </w:r>
          </w:p>
        </w:tc>
      </w:tr>
    </w:tbl>
    <w:p>
      <w:pPr>
        <w:pStyle w:val="TextBody"/>
        <w:spacing w:before="0" w:after="0"/>
        <w:ind w:left="0" w:right="0" w:hanging="0"/>
        <w:jc w:val="right"/>
        <w:rPr>
          <w:b/>
        </w:rPr>
      </w:pPr>
      <w:r>
        <w:br w:type="page"/>
      </w:r>
      <w:bookmarkStart w:id="1414" w:name="leasebaysidevistagen.htm"/>
      <w:bookmarkStart w:id="1415" w:name="ksleasebaysidevistagen"/>
      <w:bookmarkEnd w:id="1414"/>
      <w:bookmarkEnd w:id="1415"/>
      <w:r>
        <w:rPr>
          <w:b/>
        </w:rPr>
        <w:t>Exhibit 10.83</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BRITANNIA MODULAR LABS 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LEASE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Lease (the "</w:t>
      </w:r>
      <w:r>
        <w:rPr>
          <w:rFonts w:ascii="Times New Roman" w:hAnsi="Times New Roman"/>
          <w:b/>
          <w:sz w:val="20"/>
        </w:rPr>
        <w:t>Lease</w:t>
      </w:r>
      <w:r>
        <w:rPr>
          <w:rFonts w:ascii="Times New Roman" w:hAnsi="Times New Roman"/>
          <w:sz w:val="20"/>
        </w:rPr>
        <w:t xml:space="preserve">"), dated as of the date set forth in </w:t>
      </w:r>
      <w:r>
        <w:rPr>
          <w:rFonts w:ascii="Times New Roman" w:hAnsi="Times New Roman"/>
          <w:sz w:val="20"/>
          <w:u w:val="single"/>
        </w:rPr>
        <w:t>Section 1</w:t>
      </w:r>
      <w:r>
        <w:rPr>
          <w:rFonts w:ascii="Times New Roman" w:hAnsi="Times New Roman"/>
          <w:sz w:val="20"/>
        </w:rPr>
        <w:t xml:space="preserve"> of the Summary of Basic Lease Information (the "</w:t>
      </w:r>
      <w:r>
        <w:rPr>
          <w:rFonts w:ascii="Times New Roman" w:hAnsi="Times New Roman"/>
          <w:b/>
          <w:sz w:val="20"/>
        </w:rPr>
        <w:t>Summary</w:t>
      </w:r>
      <w:r>
        <w:rPr>
          <w:rFonts w:ascii="Times New Roman" w:hAnsi="Times New Roman"/>
          <w:sz w:val="20"/>
        </w:rPr>
        <w:t xml:space="preserve">"), below, is made by and between </w:t>
      </w:r>
      <w:r>
        <w:rPr>
          <w:rFonts w:ascii="Times New Roman" w:hAnsi="Times New Roman"/>
          <w:b/>
          <w:sz w:val="20"/>
        </w:rPr>
        <w:t xml:space="preserve">BAYSIDE AREA DEVELOPMENT, LLC, </w:t>
      </w:r>
      <w:r>
        <w:rPr>
          <w:rFonts w:ascii="Times New Roman" w:hAnsi="Times New Roman"/>
          <w:sz w:val="20"/>
        </w:rPr>
        <w:t>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VISTAGEN THERAPEUTICS, INC.</w:t>
      </w:r>
      <w:r>
        <w:rPr>
          <w:rFonts w:ascii="Times New Roman" w:hAnsi="Times New Roman"/>
          <w:sz w:val="20"/>
        </w:rPr>
        <w:t>, a California corporation ("</w:t>
      </w:r>
      <w:r>
        <w:rPr>
          <w:rFonts w:ascii="Times New Roman" w:hAnsi="Times New Roman"/>
          <w:b/>
          <w:sz w:val="20"/>
        </w:rPr>
        <w:t>Tenant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SUMMARY OF BASIC LEASE INFORMATION</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TERMS OF LEASE</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DESCRIPTION</w:t>
            </w:r>
          </w:p>
        </w:tc>
      </w:tr>
      <w:tr>
        <w:trPr/>
        <w:tc>
          <w:tcPr>
            <w:tcW w:w="5102" w:type="dxa"/>
            <w:tcBorders/>
            <w:shd w:fill="auto" w:val="clear"/>
          </w:tcPr>
          <w:p>
            <w:pPr>
              <w:pStyle w:val="TableContents"/>
              <w:spacing w:before="0" w:after="0"/>
              <w:ind w:left="0" w:right="0" w:hanging="0"/>
              <w:jc w:val="both"/>
              <w:rPr/>
            </w:pPr>
            <w:bookmarkStart w:id="1416" w:name="TAB210"/>
            <w:bookmarkEnd w:id="1416"/>
            <w:r>
              <w:rPr>
                <w:spacing w:val="180"/>
              </w:rPr>
              <w:t>   </w:t>
            </w:r>
            <w:r>
              <w:rPr/>
              <w:t xml:space="preserve">      </w:t>
            </w:r>
            <w:r>
              <w:rPr>
                <w:rFonts w:ascii="times new roman" w:hAnsi="times new roman"/>
                <w:sz w:val="20"/>
              </w:rPr>
              <w:t>1.           Date:</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April 24, 2013</w:t>
            </w:r>
          </w:p>
        </w:tc>
      </w:tr>
      <w:tr>
        <w:trPr/>
        <w:tc>
          <w:tcPr>
            <w:tcW w:w="5102" w:type="dxa"/>
            <w:tcBorders/>
            <w:shd w:fill="auto" w:val="clear"/>
          </w:tcPr>
          <w:p>
            <w:pPr>
              <w:pStyle w:val="TableContents"/>
              <w:spacing w:before="0" w:after="0"/>
              <w:ind w:left="720" w:right="0" w:hanging="720"/>
              <w:jc w:val="both"/>
              <w:rPr/>
            </w:pPr>
            <w:bookmarkStart w:id="1417" w:name="TAB211"/>
            <w:bookmarkEnd w:id="1417"/>
            <w:r>
              <w:rPr>
                <w:spacing w:val="180"/>
              </w:rPr>
              <w:t>   </w:t>
            </w:r>
            <w:r>
              <w:rPr/>
              <w:t xml:space="preserve">      </w:t>
            </w:r>
            <w:r>
              <w:rPr>
                <w:rFonts w:ascii="times new roman" w:hAnsi="times new roman"/>
                <w:sz w:val="20"/>
              </w:rPr>
              <w:t>2.           Premises</w:t>
            </w:r>
          </w:p>
          <w:p>
            <w:pPr>
              <w:pStyle w:val="TableContents"/>
              <w:spacing w:before="0" w:after="0"/>
              <w:ind w:left="720" w:right="0" w:hanging="720"/>
              <w:jc w:val="both"/>
              <w:rPr/>
            </w:pPr>
            <w:bookmarkStart w:id="1418" w:name="TAB213"/>
            <w:bookmarkEnd w:id="1418"/>
            <w:r>
              <w:rPr>
                <w:spacing w:val="180"/>
              </w:rPr>
              <w:t>   </w:t>
            </w:r>
            <w:bookmarkStart w:id="1419" w:name="TAB212"/>
            <w:bookmarkEnd w:id="1419"/>
            <w:r>
              <w:rPr>
                <w:spacing w:val="180"/>
              </w:rPr>
              <w:t>   </w:t>
            </w:r>
            <w:r>
              <w:rPr/>
              <w:t xml:space="preserve">        </w:t>
            </w:r>
            <w:r>
              <w:rPr>
                <w:rFonts w:ascii="times new roman" w:hAnsi="times new roman"/>
                <w:sz w:val="20"/>
              </w:rPr>
              <w:t>(</w:t>
            </w:r>
            <w:r>
              <w:rPr>
                <w:rFonts w:ascii="times new roman" w:hAnsi="times new roman"/>
                <w:sz w:val="20"/>
                <w:u w:val="single"/>
              </w:rPr>
              <w:t>Article 1</w:t>
            </w:r>
            <w:r>
              <w:rPr>
                <w:rFonts w:ascii="times new roman" w:hAnsi="times new roman"/>
                <w:sz w:val="20"/>
              </w:rPr>
              <w:t>).</w:t>
            </w:r>
          </w:p>
          <w:p>
            <w:pPr>
              <w:pStyle w:val="TableContents"/>
              <w:spacing w:before="0" w:after="0"/>
              <w:ind w:left="720" w:right="0" w:hanging="720"/>
              <w:jc w:val="both"/>
              <w:rPr/>
            </w:pPr>
            <w:r>
              <w:rPr/>
              <w:t>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0"/>
              <w:ind w:left="720" w:right="0" w:hanging="0"/>
              <w:jc w:val="both"/>
              <w:rPr>
                <w:rFonts w:ascii="times new roman" w:hAnsi="times new roman"/>
                <w:sz w:val="20"/>
              </w:rPr>
            </w:pPr>
            <w:r>
              <w:rPr>
                <w:rFonts w:ascii="times new roman" w:hAnsi="times new roman"/>
                <w:sz w:val="20"/>
              </w:rPr>
              <w:t>2.1           Building:</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333-353 Allerton Avenue</w:t>
            </w:r>
          </w:p>
          <w:p>
            <w:pPr>
              <w:pStyle w:val="TableContents"/>
              <w:spacing w:before="0" w:after="0"/>
              <w:ind w:left="0" w:right="0" w:hanging="0"/>
              <w:jc w:val="both"/>
              <w:rPr>
                <w:rFonts w:ascii="times new roman" w:hAnsi="times new roman"/>
                <w:sz w:val="20"/>
              </w:rPr>
            </w:pPr>
            <w:r>
              <w:rPr>
                <w:rFonts w:ascii="times new roman" w:hAnsi="times new roman"/>
                <w:sz w:val="20"/>
              </w:rPr>
              <w:t>South San Francisco, California</w:t>
            </w:r>
          </w:p>
          <w:p>
            <w:pPr>
              <w:pStyle w:val="TableContents"/>
              <w:spacing w:before="0" w:after="0"/>
              <w:ind w:left="0" w:right="0" w:hanging="0"/>
              <w:jc w:val="both"/>
              <w:rPr>
                <w:rFonts w:ascii="times new roman" w:hAnsi="times new roman"/>
                <w:sz w:val="20"/>
              </w:rPr>
            </w:pPr>
            <w:r>
              <w:rPr>
                <w:rFonts w:ascii="times new roman" w:hAnsi="times new roman"/>
                <w:sz w:val="20"/>
              </w:rPr>
              <w:t>Comprising 67,337 rentable square feet of space ("</w:t>
            </w:r>
            <w:r>
              <w:rPr>
                <w:rFonts w:ascii="times new roman" w:hAnsi="times new roman"/>
                <w:b/>
                <w:sz w:val="20"/>
              </w:rPr>
              <w:t>RSF</w:t>
            </w:r>
            <w:r>
              <w:rPr>
                <w:rFonts w:ascii="times new roman" w:hAnsi="times new roman"/>
                <w:sz w:val="20"/>
              </w:rPr>
              <w:t>") in the aggregate.</w:t>
            </w:r>
          </w:p>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720" w:right="0" w:hanging="0"/>
              <w:jc w:val="both"/>
              <w:rPr>
                <w:rFonts w:ascii="times new roman" w:hAnsi="times new roman"/>
                <w:sz w:val="20"/>
              </w:rPr>
            </w:pPr>
            <w:r>
              <w:rPr>
                <w:rFonts w:ascii="times new roman" w:hAnsi="times new roman"/>
                <w:sz w:val="20"/>
              </w:rPr>
              <w:t>2.2           Premises:</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Approximately 10,909 RSF consisting of Suite 5 in the Building, with a street address of 343 Allerton Avenue, as further set forth in </w:t>
            </w:r>
            <w:r>
              <w:rPr>
                <w:rFonts w:ascii="times new roman" w:hAnsi="times new roman"/>
                <w:b/>
                <w:sz w:val="20"/>
              </w:rPr>
              <w:t>Exhibit A</w:t>
            </w:r>
            <w:r>
              <w:rPr>
                <w:rFonts w:ascii="times new roman" w:hAnsi="times new roman"/>
                <w:sz w:val="20"/>
              </w:rPr>
              <w:t xml:space="preserve"> to the Lease.</w:t>
            </w:r>
          </w:p>
        </w:tc>
      </w:tr>
      <w:tr>
        <w:trPr/>
        <w:tc>
          <w:tcPr>
            <w:tcW w:w="5102" w:type="dxa"/>
            <w:tcBorders/>
            <w:shd w:fill="auto" w:val="clear"/>
          </w:tcPr>
          <w:p>
            <w:pPr>
              <w:pStyle w:val="TableContents"/>
              <w:spacing w:before="0" w:after="0"/>
              <w:ind w:left="720" w:right="0" w:hanging="720"/>
              <w:jc w:val="left"/>
              <w:rPr/>
            </w:pPr>
            <w:bookmarkStart w:id="1420" w:name="TAB214"/>
            <w:bookmarkEnd w:id="1420"/>
            <w:r>
              <w:rPr>
                <w:spacing w:val="180"/>
              </w:rPr>
              <w:t>   </w:t>
            </w:r>
            <w:r>
              <w:rPr/>
              <w:t xml:space="preserve">      </w:t>
            </w:r>
            <w:r>
              <w:rPr>
                <w:rFonts w:ascii="times new roman" w:hAnsi="times new roman"/>
                <w:sz w:val="20"/>
              </w:rPr>
              <w:t>3.            Lease Term</w:t>
            </w:r>
          </w:p>
          <w:p>
            <w:pPr>
              <w:pStyle w:val="TableContents"/>
              <w:spacing w:before="0" w:after="0"/>
              <w:ind w:left="720" w:right="0" w:hanging="720"/>
              <w:jc w:val="left"/>
              <w:rPr/>
            </w:pPr>
            <w:bookmarkStart w:id="1421" w:name="TAB216"/>
            <w:bookmarkEnd w:id="1421"/>
            <w:r>
              <w:rPr>
                <w:spacing w:val="180"/>
              </w:rPr>
              <w:t>   </w:t>
            </w:r>
            <w:bookmarkStart w:id="1422" w:name="TAB215"/>
            <w:bookmarkEnd w:id="1422"/>
            <w:r>
              <w:rPr>
                <w:spacing w:val="180"/>
              </w:rPr>
              <w:t>   </w:t>
            </w:r>
            <w:r>
              <w:rPr/>
              <w:t xml:space="preserve">         </w:t>
            </w:r>
            <w:r>
              <w:rPr>
                <w:rFonts w:ascii="times new roman" w:hAnsi="times new roman"/>
                <w:sz w:val="20"/>
              </w:rPr>
              <w:t>(</w:t>
            </w:r>
            <w:r>
              <w:rPr>
                <w:rFonts w:ascii="times new roman" w:hAnsi="times new roman"/>
                <w:sz w:val="20"/>
                <w:u w:val="single"/>
              </w:rPr>
              <w:t>Article 2</w:t>
            </w:r>
            <w:r>
              <w:rPr>
                <w:rFonts w:ascii="times new roman" w:hAnsi="times new roman"/>
                <w:sz w:val="20"/>
              </w:rPr>
              <w:t>).</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0"/>
              <w:ind w:left="720" w:right="0" w:hanging="0"/>
              <w:jc w:val="both"/>
              <w:rPr>
                <w:rFonts w:ascii="times new roman" w:hAnsi="times new roman"/>
                <w:sz w:val="20"/>
              </w:rPr>
            </w:pPr>
            <w:r>
              <w:rPr>
                <w:rFonts w:ascii="times new roman" w:hAnsi="times new roman"/>
                <w:sz w:val="20"/>
              </w:rPr>
              <w:t>3.1           Length of Term:</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Forty eight (48) months.</w:t>
            </w:r>
          </w:p>
          <w:p>
            <w:pPr>
              <w:pStyle w:val="TableContents"/>
              <w:spacing w:before="0" w:after="0"/>
              <w:ind w:left="0" w:right="0" w:hanging="0"/>
              <w:jc w:val="both"/>
              <w:rPr/>
            </w:pPr>
            <w:r>
              <w:rPr/>
              <w:t> </w:t>
            </w:r>
          </w:p>
        </w:tc>
      </w:tr>
      <w:tr>
        <w:trPr/>
        <w:tc>
          <w:tcPr>
            <w:tcW w:w="5102" w:type="dxa"/>
            <w:tcBorders/>
            <w:shd w:fill="auto" w:val="clear"/>
          </w:tcPr>
          <w:p>
            <w:pPr>
              <w:pStyle w:val="TableContents"/>
              <w:spacing w:before="0" w:after="0"/>
              <w:ind w:left="1440" w:right="0" w:hanging="720"/>
              <w:jc w:val="left"/>
              <w:rPr>
                <w:rFonts w:ascii="times new roman" w:hAnsi="times new roman"/>
                <w:sz w:val="20"/>
              </w:rPr>
            </w:pPr>
            <w:r>
              <w:rPr>
                <w:rFonts w:ascii="times new roman" w:hAnsi="times new roman"/>
                <w:sz w:val="20"/>
              </w:rPr>
              <w:t>3.2           Lease Commencement Date:</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date that Landlord delivers the Premises to Tenant "Ready for Occupancy" as that term is defined in Section 3(a) of the Tenant Work Letter attached to the Lease as </w:t>
            </w:r>
            <w:r>
              <w:rPr>
                <w:rFonts w:ascii="times new roman" w:hAnsi="times new roman"/>
                <w:b/>
                <w:sz w:val="20"/>
              </w:rPr>
              <w:t>Exhibit B</w:t>
            </w:r>
            <w:r>
              <w:rPr>
                <w:rFonts w:ascii="times new roman" w:hAnsi="times new roman"/>
                <w:sz w:val="20"/>
              </w:rPr>
              <w:t>, which Lease Commencement Date is anticipated to be June 30, 2013.  Notwithstanding the foregoing and any early access to the Premises by Tenant pursuant to Section 6 of the Tenant Work Letter, the Lease Commencement Date shall not be sooner than June 30, 2013.</w:t>
            </w:r>
          </w:p>
          <w:p>
            <w:pPr>
              <w:pStyle w:val="TableContents"/>
              <w:spacing w:before="0" w:after="0"/>
              <w:ind w:left="0" w:right="0" w:hanging="0"/>
              <w:jc w:val="both"/>
              <w:rPr/>
            </w:pPr>
            <w:r>
              <w:rPr/>
              <w:t> </w:t>
            </w:r>
          </w:p>
        </w:tc>
      </w:tr>
      <w:tr>
        <w:trPr/>
        <w:tc>
          <w:tcPr>
            <w:tcW w:w="5102" w:type="dxa"/>
            <w:tcBorders/>
            <w:shd w:fill="auto" w:val="clear"/>
          </w:tcPr>
          <w:p>
            <w:pPr>
              <w:pStyle w:val="TableContents"/>
              <w:spacing w:before="0" w:after="0"/>
              <w:ind w:left="720" w:right="0" w:hanging="0"/>
              <w:jc w:val="both"/>
              <w:rPr>
                <w:rFonts w:ascii="times new roman" w:hAnsi="times new roman"/>
                <w:sz w:val="20"/>
              </w:rPr>
            </w:pPr>
            <w:r>
              <w:rPr>
                <w:rFonts w:ascii="times new roman" w:hAnsi="times new roman"/>
                <w:sz w:val="20"/>
              </w:rPr>
              <w:t>3.3           Lease Expiration Date:</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Lease Commencement Date shall be the first day of a calendar month, then the day immediately preceding the 48th month anniversary of the Lease Commencement Date; or, if the Lease Commencement Date shall be other than the first day of a calendar month, then the last day of the month in which the 48th month anniversary of the Lease Commencement Date occurs.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423" w:name="PGBRK137"/>
      <w:bookmarkStart w:id="1424" w:name="PGBRK137"/>
      <w:bookmarkEnd w:id="1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25" w:name="FTR137"/>
      <w:bookmarkStart w:id="1426" w:name="FTR137"/>
      <w:bookmarkEnd w:id="1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427" w:name="GLFTR137"/>
      <w:bookmarkEnd w:id="14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28" w:name="PN137"/>
      <w:bookmarkEnd w:id="1428"/>
      <w:r>
        <w:rPr>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29" w:name="HDR137"/>
      <w:bookmarkStart w:id="1430" w:name="HDR137"/>
      <w:bookmarkEnd w:id="1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431" w:name="GLHDR137"/>
      <w:bookmarkEnd w:id="1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69"/>
        <w:gridCol w:w="536"/>
      </w:tblGrid>
      <w:tr>
        <w:trPr/>
        <w:tc>
          <w:tcPr>
            <w:tcW w:w="96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           Base Rent (Article 3):</w:t>
            </w:r>
          </w:p>
        </w:tc>
        <w:tc>
          <w:tcPr>
            <w:tcW w:w="536" w:type="dxa"/>
            <w:tcBorders/>
            <w:shd w:fill="auto" w:val="clear"/>
          </w:tcPr>
          <w:p>
            <w:pPr>
              <w:pStyle w:val="TableContents"/>
              <w:spacing w:before="0" w:after="283"/>
              <w:rPr/>
            </w:pPr>
            <w:r>
              <w:rPr/>
              <w:t xml:space="preserve">  </w:t>
            </w:r>
          </w:p>
        </w:tc>
      </w:tr>
    </w:tbl>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216"/>
        <w:gridCol w:w="1956"/>
        <w:gridCol w:w="216"/>
        <w:gridCol w:w="217"/>
        <w:gridCol w:w="216"/>
        <w:gridCol w:w="1956"/>
        <w:gridCol w:w="217"/>
        <w:gridCol w:w="216"/>
        <w:gridCol w:w="217"/>
        <w:gridCol w:w="1956"/>
        <w:gridCol w:w="216"/>
        <w:gridCol w:w="217"/>
        <w:gridCol w:w="216"/>
        <w:gridCol w:w="1956"/>
        <w:gridCol w:w="217"/>
      </w:tblGrid>
      <w:tr>
        <w:trPr/>
        <w:tc>
          <w:tcPr>
            <w:tcW w:w="217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Lease Year</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7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Annual</w:t>
            </w:r>
          </w:p>
          <w:p>
            <w:pPr>
              <w:pStyle w:val="TableContents"/>
              <w:spacing w:before="0" w:after="0"/>
              <w:ind w:left="0" w:right="0" w:hanging="0"/>
              <w:jc w:val="center"/>
              <w:rPr>
                <w:rFonts w:ascii="times new roman" w:hAnsi="times new roman"/>
                <w:sz w:val="20"/>
              </w:rPr>
            </w:pPr>
            <w:r>
              <w:rPr>
                <w:rFonts w:ascii="times new roman" w:hAnsi="times new roman"/>
                <w:sz w:val="20"/>
              </w:rPr>
              <w:t>Base Rent</w:t>
            </w:r>
          </w:p>
        </w:tc>
        <w:tc>
          <w:tcPr>
            <w:tcW w:w="217" w:type="dxa"/>
            <w:tcBorders/>
            <w:shd w:fill="auto" w:val="clear"/>
            <w:tcMar>
              <w:bottom w:w="0" w:type="dxa"/>
            </w:tcMar>
            <w:vAlign w:val="bottom"/>
          </w:tcPr>
          <w:p>
            <w:pPr>
              <w:pStyle w:val="TableContents"/>
              <w:spacing w:before="0" w:after="283"/>
              <w:jc w:val="left"/>
              <w:rPr/>
            </w:pPr>
            <w:r>
              <w:rPr/>
              <w:t> </w:t>
            </w:r>
          </w:p>
        </w:tc>
        <w:tc>
          <w:tcPr>
            <w:tcW w:w="216" w:type="dxa"/>
            <w:tcBorders/>
            <w:shd w:fill="auto" w:val="clear"/>
            <w:tcMar>
              <w:bottom w:w="0" w:type="dxa"/>
            </w:tcMar>
            <w:vAlign w:val="bottom"/>
          </w:tcPr>
          <w:p>
            <w:pPr>
              <w:pStyle w:val="TableContents"/>
              <w:spacing w:before="0" w:after="283"/>
              <w:rPr/>
            </w:pPr>
            <w:r>
              <w:rPr/>
              <w:t> </w:t>
            </w:r>
          </w:p>
        </w:tc>
        <w:tc>
          <w:tcPr>
            <w:tcW w:w="217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Monthly</w:t>
            </w:r>
          </w:p>
          <w:p>
            <w:pPr>
              <w:pStyle w:val="TableContents"/>
              <w:spacing w:before="0" w:after="0"/>
              <w:ind w:left="0" w:right="0" w:hanging="0"/>
              <w:jc w:val="center"/>
              <w:rPr>
                <w:rFonts w:ascii="times new roman" w:hAnsi="times new roman"/>
                <w:sz w:val="20"/>
              </w:rPr>
            </w:pPr>
            <w:r>
              <w:rPr>
                <w:rFonts w:ascii="times new roman" w:hAnsi="times new roman"/>
                <w:sz w:val="20"/>
              </w:rPr>
              <w:t>Installment</w:t>
            </w:r>
          </w:p>
          <w:p>
            <w:pPr>
              <w:pStyle w:val="TableContents"/>
              <w:spacing w:before="0" w:after="0"/>
              <w:ind w:left="0" w:right="0" w:hanging="0"/>
              <w:jc w:val="center"/>
              <w:rPr>
                <w:rFonts w:ascii="times new roman" w:hAnsi="times new roman"/>
                <w:sz w:val="20"/>
              </w:rPr>
            </w:pPr>
            <w:r>
              <w:rPr>
                <w:rFonts w:ascii="times new roman" w:hAnsi="times new roman"/>
                <w:sz w:val="20"/>
              </w:rPr>
              <w:t>of Base Rent</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7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Monthly Base Rent</w:t>
            </w:r>
          </w:p>
          <w:p>
            <w:pPr>
              <w:pStyle w:val="TableContents"/>
              <w:spacing w:before="0" w:after="0"/>
              <w:ind w:left="0" w:right="0" w:hanging="0"/>
              <w:jc w:val="center"/>
              <w:rPr>
                <w:rFonts w:ascii="times new roman" w:hAnsi="times new roman"/>
                <w:sz w:val="20"/>
              </w:rPr>
            </w:pPr>
            <w:r>
              <w:rPr>
                <w:rFonts w:ascii="times new roman" w:hAnsi="times new roman"/>
                <w:sz w:val="20"/>
              </w:rPr>
              <w:t>per RSF</w:t>
            </w:r>
          </w:p>
        </w:tc>
        <w:tc>
          <w:tcPr>
            <w:tcW w:w="217" w:type="dxa"/>
            <w:tcBorders/>
            <w:shd w:fill="auto" w:val="clear"/>
            <w:tcMar>
              <w:bottom w:w="0" w:type="dxa"/>
            </w:tcMar>
            <w:vAlign w:val="bottom"/>
          </w:tcPr>
          <w:p>
            <w:pPr>
              <w:pStyle w:val="TableContents"/>
              <w:spacing w:before="0" w:after="283"/>
              <w:jc w:val="left"/>
              <w:rPr/>
            </w:pPr>
            <w:r>
              <w:rPr/>
              <w:t> </w:t>
            </w:r>
          </w:p>
        </w:tc>
      </w:tr>
      <w:tr>
        <w:trPr/>
        <w:tc>
          <w:tcPr>
            <w:tcW w:w="216" w:type="dxa"/>
            <w:tcBorders/>
            <w:shd w:fill="auto" w:val="clear"/>
            <w:tcMar>
              <w:bottom w:w="0" w:type="dxa"/>
            </w:tcMar>
            <w:vAlign w:val="bottom"/>
          </w:tcPr>
          <w:p>
            <w:pPr>
              <w:pStyle w:val="TableContents"/>
              <w:spacing w:before="0" w:after="283"/>
              <w:jc w:val="left"/>
              <w:rPr/>
            </w:pPr>
            <w:r>
              <w:rPr/>
              <w:t> </w:t>
            </w:r>
          </w:p>
        </w:tc>
        <w:tc>
          <w:tcPr>
            <w:tcW w:w="1956"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242,179.80</w:t>
            </w:r>
          </w:p>
        </w:tc>
        <w:tc>
          <w:tcPr>
            <w:tcW w:w="217" w:type="dxa"/>
            <w:tcBorders/>
            <w:shd w:fill="auto" w:val="clear"/>
            <w:tcMar>
              <w:bottom w:w="0" w:type="dxa"/>
            </w:tcMar>
            <w:vAlign w:val="bottom"/>
          </w:tcPr>
          <w:p>
            <w:pPr>
              <w:pStyle w:val="TableContents"/>
              <w:spacing w:before="0" w:after="283"/>
              <w:jc w:val="left"/>
              <w:rPr/>
            </w:pPr>
            <w:r>
              <w:rPr/>
              <w:t> </w:t>
            </w:r>
          </w:p>
        </w:tc>
        <w:tc>
          <w:tcPr>
            <w:tcW w:w="216" w:type="dxa"/>
            <w:tcBorders/>
            <w:shd w:fill="auto" w:val="clear"/>
            <w:tcMar>
              <w:bottom w:w="0" w:type="dxa"/>
            </w:tcMar>
            <w:vAlign w:val="bottom"/>
          </w:tcPr>
          <w:p>
            <w:pPr>
              <w:pStyle w:val="TableContents"/>
              <w:spacing w:before="0" w:after="283"/>
              <w:rPr/>
            </w:pPr>
            <w:r>
              <w:rPr/>
              <w:t> </w:t>
            </w:r>
          </w:p>
        </w:tc>
        <w:tc>
          <w:tcPr>
            <w:tcW w:w="21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20,181.65</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217" w:type="dxa"/>
            <w:tcBorders/>
            <w:shd w:fill="auto" w:val="clear"/>
            <w:tcMar>
              <w:bottom w:w="0" w:type="dxa"/>
            </w:tcMar>
            <w:vAlign w:val="bottom"/>
          </w:tcPr>
          <w:p>
            <w:pPr>
              <w:pStyle w:val="TableContents"/>
              <w:spacing w:before="0" w:after="283"/>
              <w:jc w:val="left"/>
              <w:rPr/>
            </w:pPr>
            <w:r>
              <w:rPr/>
              <w:t> </w:t>
            </w:r>
          </w:p>
        </w:tc>
      </w:tr>
      <w:tr>
        <w:trPr/>
        <w:tc>
          <w:tcPr>
            <w:tcW w:w="216" w:type="dxa"/>
            <w:tcBorders/>
            <w:shd w:fill="auto" w:val="clear"/>
            <w:tcMar>
              <w:bottom w:w="0" w:type="dxa"/>
            </w:tcMar>
            <w:vAlign w:val="bottom"/>
          </w:tcPr>
          <w:p>
            <w:pPr>
              <w:pStyle w:val="TableContents"/>
              <w:spacing w:before="0" w:after="283"/>
              <w:jc w:val="left"/>
              <w:rPr/>
            </w:pPr>
            <w:r>
              <w:rPr/>
              <w:t> </w:t>
            </w:r>
          </w:p>
        </w:tc>
        <w:tc>
          <w:tcPr>
            <w:tcW w:w="1956"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2</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255,270.60</w:t>
            </w:r>
          </w:p>
        </w:tc>
        <w:tc>
          <w:tcPr>
            <w:tcW w:w="217" w:type="dxa"/>
            <w:tcBorders/>
            <w:shd w:fill="auto" w:val="clear"/>
            <w:tcMar>
              <w:bottom w:w="0" w:type="dxa"/>
            </w:tcMar>
            <w:vAlign w:val="bottom"/>
          </w:tcPr>
          <w:p>
            <w:pPr>
              <w:pStyle w:val="TableContents"/>
              <w:spacing w:before="0" w:after="283"/>
              <w:jc w:val="left"/>
              <w:rPr/>
            </w:pPr>
            <w:r>
              <w:rPr/>
              <w:t> </w:t>
            </w:r>
          </w:p>
        </w:tc>
        <w:tc>
          <w:tcPr>
            <w:tcW w:w="216" w:type="dxa"/>
            <w:tcBorders/>
            <w:shd w:fill="auto" w:val="clear"/>
            <w:tcMar>
              <w:bottom w:w="0" w:type="dxa"/>
            </w:tcMar>
            <w:vAlign w:val="bottom"/>
          </w:tcPr>
          <w:p>
            <w:pPr>
              <w:pStyle w:val="TableContents"/>
              <w:spacing w:before="0" w:after="283"/>
              <w:rPr/>
            </w:pPr>
            <w:r>
              <w:rPr/>
              <w:t> </w:t>
            </w:r>
          </w:p>
        </w:tc>
        <w:tc>
          <w:tcPr>
            <w:tcW w:w="21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21,272.55</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217" w:type="dxa"/>
            <w:tcBorders/>
            <w:shd w:fill="auto" w:val="clear"/>
            <w:tcMar>
              <w:bottom w:w="0" w:type="dxa"/>
            </w:tcMar>
            <w:vAlign w:val="bottom"/>
          </w:tcPr>
          <w:p>
            <w:pPr>
              <w:pStyle w:val="TableContents"/>
              <w:spacing w:before="0" w:after="283"/>
              <w:jc w:val="left"/>
              <w:rPr/>
            </w:pPr>
            <w:r>
              <w:rPr/>
              <w:t> </w:t>
            </w:r>
          </w:p>
        </w:tc>
      </w:tr>
      <w:tr>
        <w:trPr/>
        <w:tc>
          <w:tcPr>
            <w:tcW w:w="216" w:type="dxa"/>
            <w:tcBorders/>
            <w:shd w:fill="auto" w:val="clear"/>
            <w:tcMar>
              <w:bottom w:w="0" w:type="dxa"/>
            </w:tcMar>
            <w:vAlign w:val="bottom"/>
          </w:tcPr>
          <w:p>
            <w:pPr>
              <w:pStyle w:val="TableContents"/>
              <w:spacing w:before="0" w:after="283"/>
              <w:jc w:val="left"/>
              <w:rPr/>
            </w:pPr>
            <w:r>
              <w:rPr/>
              <w:t> </w:t>
            </w:r>
          </w:p>
        </w:tc>
        <w:tc>
          <w:tcPr>
            <w:tcW w:w="1956"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3</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268,361.40</w:t>
            </w:r>
          </w:p>
        </w:tc>
        <w:tc>
          <w:tcPr>
            <w:tcW w:w="217" w:type="dxa"/>
            <w:tcBorders/>
            <w:shd w:fill="auto" w:val="clear"/>
            <w:tcMar>
              <w:bottom w:w="0" w:type="dxa"/>
            </w:tcMar>
            <w:vAlign w:val="bottom"/>
          </w:tcPr>
          <w:p>
            <w:pPr>
              <w:pStyle w:val="TableContents"/>
              <w:spacing w:before="0" w:after="283"/>
              <w:jc w:val="left"/>
              <w:rPr/>
            </w:pPr>
            <w:r>
              <w:rPr/>
              <w:t> </w:t>
            </w:r>
          </w:p>
        </w:tc>
        <w:tc>
          <w:tcPr>
            <w:tcW w:w="216" w:type="dxa"/>
            <w:tcBorders/>
            <w:shd w:fill="auto" w:val="clear"/>
            <w:tcMar>
              <w:bottom w:w="0" w:type="dxa"/>
            </w:tcMar>
            <w:vAlign w:val="bottom"/>
          </w:tcPr>
          <w:p>
            <w:pPr>
              <w:pStyle w:val="TableContents"/>
              <w:spacing w:before="0" w:after="283"/>
              <w:rPr/>
            </w:pPr>
            <w:r>
              <w:rPr/>
              <w:t> </w:t>
            </w:r>
          </w:p>
        </w:tc>
        <w:tc>
          <w:tcPr>
            <w:tcW w:w="21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22,363.45</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217" w:type="dxa"/>
            <w:tcBorders/>
            <w:shd w:fill="auto" w:val="clear"/>
            <w:tcMar>
              <w:bottom w:w="0" w:type="dxa"/>
            </w:tcMar>
            <w:vAlign w:val="bottom"/>
          </w:tcPr>
          <w:p>
            <w:pPr>
              <w:pStyle w:val="TableContents"/>
              <w:spacing w:before="0" w:after="283"/>
              <w:jc w:val="left"/>
              <w:rPr/>
            </w:pPr>
            <w:r>
              <w:rPr/>
              <w:t> </w:t>
            </w:r>
          </w:p>
        </w:tc>
      </w:tr>
      <w:tr>
        <w:trPr/>
        <w:tc>
          <w:tcPr>
            <w:tcW w:w="216" w:type="dxa"/>
            <w:tcBorders/>
            <w:shd w:fill="auto" w:val="clear"/>
            <w:tcMar>
              <w:bottom w:w="0" w:type="dxa"/>
            </w:tcMar>
            <w:vAlign w:val="bottom"/>
          </w:tcPr>
          <w:p>
            <w:pPr>
              <w:pStyle w:val="TableContents"/>
              <w:spacing w:before="0" w:after="283"/>
              <w:jc w:val="left"/>
              <w:rPr/>
            </w:pPr>
            <w:r>
              <w:rPr/>
              <w:t> </w:t>
            </w:r>
          </w:p>
        </w:tc>
        <w:tc>
          <w:tcPr>
            <w:tcW w:w="1956"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281,452.20</w:t>
            </w:r>
          </w:p>
        </w:tc>
        <w:tc>
          <w:tcPr>
            <w:tcW w:w="217" w:type="dxa"/>
            <w:tcBorders/>
            <w:shd w:fill="auto" w:val="clear"/>
            <w:tcMar>
              <w:bottom w:w="0" w:type="dxa"/>
            </w:tcMar>
            <w:vAlign w:val="bottom"/>
          </w:tcPr>
          <w:p>
            <w:pPr>
              <w:pStyle w:val="TableContents"/>
              <w:spacing w:before="0" w:after="283"/>
              <w:jc w:val="left"/>
              <w:rPr/>
            </w:pPr>
            <w:r>
              <w:rPr/>
              <w:t> </w:t>
            </w:r>
          </w:p>
        </w:tc>
        <w:tc>
          <w:tcPr>
            <w:tcW w:w="216" w:type="dxa"/>
            <w:tcBorders/>
            <w:shd w:fill="auto" w:val="clear"/>
            <w:tcMar>
              <w:bottom w:w="0" w:type="dxa"/>
            </w:tcMar>
            <w:vAlign w:val="bottom"/>
          </w:tcPr>
          <w:p>
            <w:pPr>
              <w:pStyle w:val="TableContents"/>
              <w:spacing w:before="0" w:after="283"/>
              <w:rPr/>
            </w:pPr>
            <w:r>
              <w:rPr/>
              <w:t> </w:t>
            </w:r>
          </w:p>
        </w:tc>
        <w:tc>
          <w:tcPr>
            <w:tcW w:w="21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23,454.35</w:t>
            </w:r>
          </w:p>
        </w:tc>
        <w:tc>
          <w:tcPr>
            <w:tcW w:w="216" w:type="dxa"/>
            <w:tcBorders/>
            <w:shd w:fill="auto" w:val="clear"/>
            <w:tcMar>
              <w:bottom w:w="0" w:type="dxa"/>
            </w:tcMar>
            <w:vAlign w:val="bottom"/>
          </w:tcPr>
          <w:p>
            <w:pPr>
              <w:pStyle w:val="TableContents"/>
              <w:spacing w:before="0" w:after="283"/>
              <w:jc w:val="left"/>
              <w:rPr/>
            </w:pPr>
            <w:r>
              <w:rPr/>
              <w:t> </w:t>
            </w:r>
          </w:p>
        </w:tc>
        <w:tc>
          <w:tcPr>
            <w:tcW w:w="217" w:type="dxa"/>
            <w:tcBorders/>
            <w:shd w:fill="auto" w:val="clear"/>
            <w:tcMar>
              <w:bottom w:w="0" w:type="dxa"/>
            </w:tcMar>
            <w:vAlign w:val="bottom"/>
          </w:tcPr>
          <w:p>
            <w:pPr>
              <w:pStyle w:val="TableContents"/>
              <w:spacing w:before="0" w:after="283"/>
              <w:rPr/>
            </w:pPr>
            <w:r>
              <w:rPr/>
              <w:t> </w:t>
            </w:r>
          </w:p>
        </w:tc>
        <w:tc>
          <w:tcPr>
            <w:tcW w:w="2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217"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10205"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*Note:  Tenant shall have no obligation to pay any Base Rent for the Premises attributable to the first three (3) months of the Lease Term (the "</w:t>
            </w:r>
            <w:r>
              <w:rPr>
                <w:rFonts w:ascii="times new roman" w:hAnsi="times new roman"/>
                <w:b/>
                <w:sz w:val="20"/>
              </w:rPr>
              <w:t>Rent Abatement Period</w:t>
            </w:r>
            <w:r>
              <w:rPr>
                <w:rFonts w:ascii="times new roman" w:hAnsi="times new roman"/>
                <w:sz w:val="20"/>
              </w:rPr>
              <w:t>").</w:t>
            </w:r>
          </w:p>
          <w:p>
            <w:pPr>
              <w:pStyle w:val="TableContents"/>
              <w:spacing w:before="0" w:after="0"/>
              <w:ind w:left="0" w:right="0" w:hanging="0"/>
              <w:jc w:val="both"/>
              <w:rPr/>
            </w:pPr>
            <w:r>
              <w:rPr/>
              <w:t> </w:t>
            </w:r>
          </w:p>
        </w:tc>
      </w:tr>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5.  Tenant FF&amp;E Allowance (</w:t>
            </w:r>
            <w:r>
              <w:rPr>
                <w:rFonts w:ascii="times new roman" w:hAnsi="times new roman"/>
                <w:b/>
                <w:sz w:val="20"/>
              </w:rPr>
              <w:t>Exhibit B</w:t>
            </w:r>
            <w:r>
              <w:rPr>
                <w:rFonts w:ascii="times new roman" w:hAnsi="times new roman"/>
                <w:sz w:val="20"/>
              </w:rPr>
              <w:t>):</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amount equal to $5.00 per RSF (</w:t>
            </w:r>
            <w:r>
              <w:rPr>
                <w:rFonts w:ascii="times new roman" w:hAnsi="times new roman"/>
                <w:i/>
                <w:sz w:val="20"/>
              </w:rPr>
              <w:t>i.e.</w:t>
            </w:r>
            <w:r>
              <w:rPr>
                <w:rFonts w:ascii="times new roman" w:hAnsi="times new roman"/>
                <w:sz w:val="20"/>
              </w:rPr>
              <w:t>, $54,545.00 based upon 10,909 rentable square feet in the Premises).</w:t>
            </w:r>
          </w:p>
        </w:tc>
      </w:tr>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6.  Tenant's Share</w:t>
            </w:r>
          </w:p>
          <w:p>
            <w:pPr>
              <w:pStyle w:val="TableContents"/>
              <w:spacing w:before="0" w:after="0"/>
              <w:ind w:left="720" w:right="0" w:hanging="720"/>
              <w:jc w:val="left"/>
              <w:rPr/>
            </w:pPr>
            <w:r>
              <w:rPr/>
              <w:t xml:space="preserve">     </w:t>
            </w:r>
            <w:r>
              <w:rPr>
                <w:rFonts w:ascii="times new roman" w:hAnsi="times new roman"/>
                <w:sz w:val="20"/>
              </w:rPr>
              <w:t>(Article 4):</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16.20%.</w:t>
            </w:r>
          </w:p>
        </w:tc>
      </w:tr>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7.  Permitted Use</w:t>
            </w:r>
          </w:p>
          <w:p>
            <w:pPr>
              <w:pStyle w:val="TableContents"/>
              <w:spacing w:before="0" w:after="0"/>
              <w:ind w:left="720" w:right="0" w:hanging="720"/>
              <w:jc w:val="left"/>
              <w:rPr/>
            </w:pPr>
            <w:r>
              <w:rPr/>
              <w:t xml:space="preserve">     </w:t>
            </w:r>
            <w:r>
              <w:rPr>
                <w:rFonts w:ascii="times new roman" w:hAnsi="times new roman"/>
                <w:sz w:val="20"/>
              </w:rPr>
              <w:t>(Article 5):</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The Premises shall be used only for general office, biotechnology and pharmaceutical research and development, engineering, laboratory, storage and/or warehouse uses, including, but not limited to, administrative offices and other lawful uses reasonably related to or incidental to such specified uses, all (i) consistent with first class life sciences and pharmaceutical projects in the South San Francisco, California, area ("</w:t>
            </w:r>
            <w:r>
              <w:rPr>
                <w:rFonts w:ascii="times new roman" w:hAnsi="times new roman"/>
                <w:b/>
                <w:sz w:val="20"/>
              </w:rPr>
              <w:t>First Class Life Sciences Projects</w:t>
            </w:r>
            <w:r>
              <w:rPr>
                <w:rFonts w:ascii="times new roman" w:hAnsi="times new roman"/>
                <w:sz w:val="20"/>
              </w:rPr>
              <w:t>"), and (ii) in compliance with, and subject to, applicable federal, state and local laws, rules and regulations and the terms of this Lease.</w:t>
            </w:r>
          </w:p>
        </w:tc>
      </w:tr>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8.  Security Deposit</w:t>
            </w:r>
          </w:p>
          <w:p>
            <w:pPr>
              <w:pStyle w:val="TableContents"/>
              <w:spacing w:before="0" w:after="0"/>
              <w:ind w:left="720" w:right="0" w:hanging="720"/>
              <w:jc w:val="left"/>
              <w:rPr/>
            </w:pPr>
            <w:r>
              <w:rPr/>
              <w:t xml:space="preserve">     </w:t>
            </w:r>
            <w:r>
              <w:rPr>
                <w:rFonts w:ascii="times new roman" w:hAnsi="times new roman"/>
                <w:sz w:val="20"/>
              </w:rPr>
              <w:t>(Article 21):</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$46,908.70</w:t>
            </w:r>
          </w:p>
        </w:tc>
      </w:tr>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9.  Parking</w:t>
            </w:r>
          </w:p>
          <w:p>
            <w:pPr>
              <w:pStyle w:val="TableContents"/>
              <w:spacing w:before="0" w:after="0"/>
              <w:ind w:left="720" w:right="0" w:hanging="720"/>
              <w:jc w:val="left"/>
              <w:rPr/>
            </w:pPr>
            <w:r>
              <w:rPr/>
              <w:t xml:space="preserve">     </w:t>
            </w:r>
            <w:r>
              <w:rPr>
                <w:rFonts w:ascii="times new roman" w:hAnsi="times new roman"/>
                <w:sz w:val="20"/>
              </w:rPr>
              <w:t>(Article 28):</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2.8 unreserved parking spaces for every 1,000 RSF of the Premises, subject to the terms of Article 28 of the Lease.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432" w:name="PGBRK138"/>
      <w:bookmarkStart w:id="1433" w:name="PGBRK138"/>
      <w:bookmarkEnd w:id="1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34" w:name="FTR138"/>
      <w:bookmarkStart w:id="1435" w:name="FTR138"/>
      <w:bookmarkEnd w:id="1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436" w:name="GLFTR138"/>
      <w:bookmarkEnd w:id="14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37" w:name="PN138"/>
      <w:bookmarkEnd w:id="1437"/>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38" w:name="HDR138"/>
      <w:bookmarkStart w:id="1439" w:name="HDR138"/>
      <w:bookmarkEnd w:id="1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440" w:name="GLHDR138"/>
      <w:bookmarkEnd w:id="14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10.  Address of Tenant</w:t>
            </w:r>
          </w:p>
          <w:p>
            <w:pPr>
              <w:pStyle w:val="TableContents"/>
              <w:spacing w:before="0" w:after="0"/>
              <w:ind w:left="720" w:right="0" w:hanging="720"/>
              <w:jc w:val="left"/>
              <w:rPr/>
            </w:pPr>
            <w:r>
              <w:rPr/>
              <w:t xml:space="preserve">       </w:t>
            </w:r>
            <w:r>
              <w:rPr>
                <w:rFonts w:ascii="times new roman" w:hAnsi="times new roman"/>
                <w:sz w:val="20"/>
              </w:rPr>
              <w:t>(Section 29.18):</w:t>
            </w:r>
          </w:p>
        </w:tc>
        <w:tc>
          <w:tcPr>
            <w:tcW w:w="51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384 Oyster Point Blvd., Suite #8</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p>
            <w:pPr>
              <w:pStyle w:val="TableContents"/>
              <w:spacing w:before="0" w:after="0"/>
              <w:ind w:left="0" w:right="0" w:hanging="0"/>
              <w:jc w:val="both"/>
              <w:rPr>
                <w:rFonts w:ascii="times new roman" w:hAnsi="times new roman"/>
                <w:sz w:val="20"/>
              </w:rPr>
            </w:pPr>
            <w:r>
              <w:rPr>
                <w:rFonts w:ascii="times new roman" w:hAnsi="times new roman"/>
                <w:sz w:val="20"/>
              </w:rPr>
              <w:t>Attention: Shawn K. Singh</w:t>
            </w:r>
          </w:p>
          <w:p>
            <w:pPr>
              <w:pStyle w:val="TableContents"/>
              <w:spacing w:before="0" w:after="0"/>
              <w:ind w:left="0" w:right="0" w:hanging="0"/>
              <w:jc w:val="both"/>
              <w:rPr>
                <w:rFonts w:ascii="times new roman" w:hAnsi="times new roman"/>
                <w:sz w:val="20"/>
              </w:rPr>
            </w:pPr>
            <w:r>
              <w:rPr>
                <w:rFonts w:ascii="times new roman" w:hAnsi="times new roman"/>
                <w:sz w:val="20"/>
              </w:rPr>
              <w:t>(Prior to Lease Commencement Date)</w:t>
            </w:r>
          </w:p>
          <w:p>
            <w:pPr>
              <w:pStyle w:val="TableContents"/>
              <w:spacing w:before="0" w:after="0"/>
              <w:ind w:left="0" w:right="0" w:hanging="0"/>
              <w:jc w:val="both"/>
              <w:rPr>
                <w:rFonts w:ascii="times new roman" w:hAnsi="times new roman"/>
                <w:sz w:val="20"/>
              </w:rPr>
            </w:pPr>
            <w:r>
              <w:rPr>
                <w:rFonts w:ascii="times new roman" w:hAnsi="times new roman"/>
                <w:sz w:val="20"/>
              </w:rPr>
              <w:t>and</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343 Allerton Avenue</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California  94080-4816</w:t>
            </w:r>
          </w:p>
          <w:p>
            <w:pPr>
              <w:pStyle w:val="TableContents"/>
              <w:spacing w:before="0" w:after="0"/>
              <w:ind w:left="0" w:right="0" w:hanging="0"/>
              <w:jc w:val="left"/>
              <w:rPr>
                <w:rFonts w:ascii="times new roman" w:hAnsi="times new roman"/>
                <w:sz w:val="20"/>
              </w:rPr>
            </w:pPr>
            <w:r>
              <w:rPr>
                <w:rFonts w:ascii="times new roman" w:hAnsi="times new roman"/>
                <w:sz w:val="20"/>
              </w:rPr>
              <w:t>Attention:  Shawn K. Singh</w:t>
            </w:r>
          </w:p>
          <w:p>
            <w:pPr>
              <w:pStyle w:val="TableContents"/>
              <w:spacing w:before="0" w:after="0"/>
              <w:ind w:left="0" w:right="0" w:hanging="0"/>
              <w:jc w:val="both"/>
              <w:rPr>
                <w:rFonts w:ascii="times new roman" w:hAnsi="times new roman"/>
                <w:sz w:val="20"/>
              </w:rPr>
            </w:pPr>
            <w:r>
              <w:rPr>
                <w:rFonts w:ascii="times new roman" w:hAnsi="times new roman"/>
                <w:sz w:val="20"/>
              </w:rPr>
              <w:t>(After Lease Commencement Date)</w:t>
            </w:r>
          </w:p>
        </w:tc>
      </w:tr>
      <w:tr>
        <w:trPr/>
        <w:tc>
          <w:tcPr>
            <w:tcW w:w="5102" w:type="dxa"/>
            <w:tcBorders/>
            <w:shd w:fill="auto" w:val="clear"/>
          </w:tcPr>
          <w:p>
            <w:pPr>
              <w:pStyle w:val="TableContents"/>
              <w:spacing w:before="0" w:after="0"/>
              <w:ind w:left="720" w:right="0" w:hanging="720"/>
              <w:jc w:val="left"/>
              <w:rPr>
                <w:rFonts w:ascii="times new roman" w:hAnsi="times new roman"/>
                <w:sz w:val="20"/>
              </w:rPr>
            </w:pPr>
            <w:r>
              <w:rPr>
                <w:rFonts w:ascii="times new roman" w:hAnsi="times new roman"/>
                <w:sz w:val="20"/>
              </w:rPr>
              <w:t>11.  Address of Landlord</w:t>
            </w:r>
          </w:p>
          <w:p>
            <w:pPr>
              <w:pStyle w:val="TableContents"/>
              <w:spacing w:before="0" w:after="0"/>
              <w:ind w:left="720" w:right="0" w:hanging="720"/>
              <w:jc w:val="left"/>
              <w:rPr/>
            </w:pPr>
            <w:r>
              <w:rPr/>
              <w:t xml:space="preserve">       </w:t>
            </w:r>
            <w:r>
              <w:rPr>
                <w:rFonts w:ascii="times new roman" w:hAnsi="times new roman"/>
                <w:sz w:val="20"/>
              </w:rPr>
              <w:t>(Section 29.18):</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See Section 29.18 of the Lease.</w:t>
            </w:r>
          </w:p>
        </w:tc>
      </w:tr>
      <w:tr>
        <w:trPr/>
        <w:tc>
          <w:tcPr>
            <w:tcW w:w="5102" w:type="dxa"/>
            <w:tcBorders/>
            <w:shd w:fill="auto" w:val="clear"/>
          </w:tcPr>
          <w:p>
            <w:pPr>
              <w:pStyle w:val="TableContents"/>
              <w:spacing w:before="0" w:after="0"/>
              <w:ind w:left="720" w:right="0" w:hanging="720"/>
              <w:jc w:val="both"/>
              <w:rPr>
                <w:rFonts w:ascii="times new roman" w:hAnsi="times new roman"/>
                <w:sz w:val="20"/>
              </w:rPr>
            </w:pPr>
            <w:r>
              <w:rPr>
                <w:rFonts w:ascii="times new roman" w:hAnsi="times new roman"/>
                <w:sz w:val="20"/>
              </w:rPr>
              <w:t>12.  Broker(s)</w:t>
            </w:r>
          </w:p>
          <w:p>
            <w:pPr>
              <w:pStyle w:val="TableContents"/>
              <w:spacing w:before="0" w:after="0"/>
              <w:ind w:left="720" w:right="0" w:hanging="720"/>
              <w:jc w:val="both"/>
              <w:rPr/>
            </w:pPr>
            <w:r>
              <w:rPr/>
              <w:t xml:space="preserve">       </w:t>
            </w:r>
            <w:r>
              <w:rPr>
                <w:rFonts w:ascii="times new roman" w:hAnsi="times new roman"/>
                <w:sz w:val="20"/>
              </w:rPr>
              <w:t>(Section 29.24):</w:t>
            </w:r>
          </w:p>
        </w:tc>
        <w:tc>
          <w:tcPr>
            <w:tcW w:w="5103" w:type="dxa"/>
            <w:tcBorders/>
            <w:shd w:fill="auto" w:val="clear"/>
          </w:tcPr>
          <w:p>
            <w:pPr>
              <w:pStyle w:val="TableContents"/>
              <w:spacing w:before="0" w:after="0"/>
              <w:ind w:left="0" w:right="0" w:hanging="0"/>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CBRE, Inc.</w:t>
            </w:r>
          </w:p>
          <w:p>
            <w:pPr>
              <w:pStyle w:val="TableContents"/>
              <w:spacing w:before="0" w:after="0"/>
              <w:ind w:left="0" w:right="0" w:hanging="0"/>
              <w:jc w:val="left"/>
              <w:rPr>
                <w:rFonts w:ascii="times new roman" w:hAnsi="times new roman"/>
                <w:sz w:val="20"/>
              </w:rPr>
            </w:pPr>
            <w:r>
              <w:rPr>
                <w:rFonts w:ascii="times new roman" w:hAnsi="times new roman"/>
                <w:sz w:val="20"/>
              </w:rPr>
              <w:t>950 Tower Lane, Suite 870</w:t>
            </w:r>
          </w:p>
          <w:p>
            <w:pPr>
              <w:pStyle w:val="TableContents"/>
              <w:spacing w:before="0" w:after="0"/>
              <w:ind w:left="0" w:right="0" w:hanging="0"/>
              <w:jc w:val="left"/>
              <w:rPr>
                <w:rFonts w:ascii="times new roman" w:hAnsi="times new roman"/>
                <w:sz w:val="20"/>
              </w:rPr>
            </w:pPr>
            <w:r>
              <w:rPr>
                <w:rFonts w:ascii="times new roman" w:hAnsi="times new roman"/>
                <w:sz w:val="20"/>
              </w:rPr>
              <w:t>Foster City, CA  94404</w:t>
            </w:r>
          </w:p>
          <w:p>
            <w:pPr>
              <w:pStyle w:val="TableContents"/>
              <w:spacing w:before="0" w:after="0"/>
              <w:ind w:left="0" w:right="0" w:hanging="0"/>
              <w:jc w:val="both"/>
              <w:rPr>
                <w:rFonts w:ascii="times new roman" w:hAnsi="times new roman"/>
                <w:sz w:val="20"/>
              </w:rPr>
            </w:pPr>
            <w:r>
              <w:rPr>
                <w:rFonts w:ascii="times new roman" w:hAnsi="times new roman"/>
                <w:sz w:val="20"/>
              </w:rPr>
              <w:t>Attention:  Christopher R. Jacobs</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41" w:name="PGBRK139"/>
      <w:bookmarkStart w:id="1442" w:name="PGBRK139"/>
      <w:bookmarkEnd w:id="1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3" w:name="FTR139"/>
      <w:bookmarkStart w:id="1444" w:name="FTR139"/>
      <w:bookmarkEnd w:id="1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5" w:name="GLFTR139"/>
      <w:bookmarkEnd w:id="14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46" w:name="PN139"/>
      <w:bookmarkEnd w:id="1446"/>
      <w:r>
        <w:rPr>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7" w:name="HDR139"/>
      <w:bookmarkStart w:id="1448" w:name="HDR139"/>
      <w:bookmarkEnd w:id="1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9" w:name="GLHDR139"/>
      <w:bookmarkEnd w:id="14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rPr/>
      </w:pPr>
      <w:r>
        <w:rPr>
          <w:rFonts w:ascii="Times New Roman" w:hAnsi="Times New Roman"/>
          <w:b/>
          <w:sz w:val="20"/>
        </w:rPr>
        <w:t>1.</w:t>
      </w:r>
      <w:bookmarkStart w:id="1450" w:name="TAB217"/>
      <w:bookmarkEnd w:id="1450"/>
      <w:r>
        <w:rPr>
          <w:color w:val="000000"/>
          <w:spacing w:val="180"/>
        </w:rPr>
        <w:t> </w:t>
      </w:r>
      <w:bookmarkStart w:id="1451" w:name="TAB1"/>
      <w:bookmarkEnd w:id="1451"/>
      <w:r>
        <w:rPr>
          <w:rFonts w:ascii="Times New Roman" w:hAnsi="Times New Roman"/>
          <w:b/>
          <w:sz w:val="20"/>
        </w:rPr>
        <w:t>PREMISES, BUILDING, PROJECT, AND COMMON AREAS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1.1</w:t>
      </w:r>
      <w:bookmarkStart w:id="1452" w:name="TAB218"/>
      <w:bookmarkEnd w:id="1452"/>
      <w:r>
        <w:rPr>
          <w:color w:val="000000"/>
          <w:spacing w:val="180"/>
        </w:rPr>
        <w:t> </w:t>
      </w:r>
      <w:r>
        <w:rPr>
          <w:rFonts w:ascii="Times New Roman" w:hAnsi="Times New Roman"/>
          <w:b/>
          <w:sz w:val="20"/>
          <w:u w:val="single"/>
        </w:rPr>
        <w:t>Premises, Building, Project and Common Areas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1.1.1</w:t>
      </w:r>
      <w:bookmarkStart w:id="1453" w:name="TAB219"/>
      <w:bookmarkEnd w:id="1453"/>
      <w:r>
        <w:rPr>
          <w:color w:val="000000"/>
          <w:spacing w:val="180"/>
        </w:rPr>
        <w:t> </w:t>
      </w:r>
      <w:r>
        <w:rPr>
          <w:rFonts w:ascii="Times New Roman" w:hAnsi="Times New Roman"/>
          <w:b/>
          <w:sz w:val="20"/>
          <w:u w:val="single"/>
        </w:rPr>
        <w:t>The Premises</w:t>
      </w:r>
      <w:r>
        <w:rPr>
          <w:rFonts w:ascii="Times New Roman" w:hAnsi="Times New Roman"/>
          <w:sz w:val="20"/>
        </w:rPr>
        <w:t xml:space="preserve">.  Landlord hereby leases to Tenant and Tenant hereby leases from Landlord the premises set forth in </w:t>
      </w:r>
      <w:r>
        <w:rPr>
          <w:rFonts w:ascii="Times New Roman" w:hAnsi="Times New Roman"/>
          <w:sz w:val="20"/>
          <w:u w:val="single"/>
        </w:rPr>
        <w:t>Section 2.2</w:t>
      </w:r>
      <w:r>
        <w:rPr>
          <w:rFonts w:ascii="Times New Roman" w:hAnsi="Times New Roman"/>
          <w:sz w:val="20"/>
        </w:rPr>
        <w:t xml:space="preserve"> of the Summary (the "</w:t>
      </w:r>
      <w:r>
        <w:rPr>
          <w:rFonts w:ascii="Times New Roman" w:hAnsi="Times New Roman"/>
          <w:b/>
          <w:sz w:val="20"/>
        </w:rPr>
        <w:t>Premises</w:t>
      </w:r>
      <w:r>
        <w:rPr>
          <w:rFonts w:ascii="Times New Roman" w:hAnsi="Times New Roman"/>
          <w:sz w:val="20"/>
        </w:rPr>
        <w:t xml:space="preserve">").  The outline of the Premises is set forth in </w:t>
      </w:r>
      <w:r>
        <w:rPr>
          <w:rFonts w:ascii="Times New Roman" w:hAnsi="Times New Roman"/>
          <w:b/>
          <w:sz w:val="20"/>
          <w:u w:val="single"/>
        </w:rPr>
        <w:t>Exhibit A</w:t>
      </w:r>
      <w:r>
        <w:rPr>
          <w:rFonts w:ascii="Times New Roman" w:hAnsi="Times New Roman"/>
          <w:sz w:val="20"/>
        </w:rPr>
        <w:t xml:space="preserve"> attached hereto.  The outline of the "Building" and the "Project," as those terms are defined in </w:t>
      </w:r>
      <w:r>
        <w:rPr>
          <w:rFonts w:ascii="Times New Roman" w:hAnsi="Times New Roman"/>
          <w:sz w:val="20"/>
          <w:u w:val="single"/>
        </w:rPr>
        <w:t>Section 1.1.2</w:t>
      </w:r>
      <w:r>
        <w:rPr>
          <w:rFonts w:ascii="Times New Roman" w:hAnsi="Times New Roman"/>
          <w:sz w:val="20"/>
        </w:rPr>
        <w:t xml:space="preserve"> below, are further depicted on the Site Plan attached hereto as </w:t>
      </w:r>
      <w:r>
        <w:rPr>
          <w:rFonts w:ascii="Times New Roman" w:hAnsi="Times New Roman"/>
          <w:b/>
          <w:sz w:val="20"/>
          <w:u w:val="single"/>
        </w:rPr>
        <w:t>Exhibit A-1</w:t>
      </w:r>
      <w:r>
        <w:rPr>
          <w:rFonts w:ascii="Times New Roman" w:hAnsi="Times New Roman"/>
          <w:sz w:val="20"/>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Times New Roman" w:hAnsi="Times New Roman"/>
          <w:b/>
          <w:sz w:val="20"/>
          <w:u w:val="single"/>
        </w:rPr>
        <w:t>Exhibit A</w:t>
      </w:r>
      <w:r>
        <w:rPr>
          <w:rFonts w:ascii="Times New Roman" w:hAnsi="Times New Roman"/>
          <w:sz w:val="20"/>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Times New Roman" w:hAnsi="Times New Roman"/>
          <w:sz w:val="20"/>
          <w:u w:val="single"/>
        </w:rPr>
        <w:t>Section 1.1.3</w:t>
      </w:r>
      <w:r>
        <w:rPr>
          <w:rFonts w:ascii="Times New Roman" w:hAnsi="Times New Roman"/>
          <w:sz w:val="20"/>
        </w:rPr>
        <w:t xml:space="preserve">, below, or the elements thereof or of the accessways to the Premises or the "Project," as that term is defined in </w:t>
      </w:r>
      <w:r>
        <w:rPr>
          <w:rFonts w:ascii="Times New Roman" w:hAnsi="Times New Roman"/>
          <w:sz w:val="20"/>
          <w:u w:val="single"/>
        </w:rPr>
        <w:t>Section 1.1.2</w:t>
      </w:r>
      <w:r>
        <w:rPr>
          <w:rFonts w:ascii="Times New Roman" w:hAnsi="Times New Roman"/>
          <w:sz w:val="20"/>
        </w:rPr>
        <w:t xml:space="preserve">, below.  Except as specifically set forth in this Lease and in the Tenant Work Letter attached hereto as </w:t>
      </w:r>
      <w:r>
        <w:rPr>
          <w:rFonts w:ascii="Times New Roman" w:hAnsi="Times New Roman"/>
          <w:b/>
          <w:sz w:val="20"/>
          <w:u w:val="single"/>
        </w:rPr>
        <w:t>Exhibit B</w:t>
      </w:r>
      <w:r>
        <w:rPr>
          <w:rFonts w:ascii="Times New Roman" w:hAnsi="Times New Roman"/>
          <w:sz w:val="20"/>
        </w:rPr>
        <w:t xml:space="preserve"> (the "</w:t>
      </w:r>
      <w:r>
        <w:rPr>
          <w:rFonts w:ascii="Times New Roman" w:hAnsi="Times New Roman"/>
          <w:b/>
          <w:sz w:val="20"/>
        </w:rPr>
        <w:t>Tenant Work Letter</w:t>
      </w:r>
      <w:r>
        <w:rPr>
          <w:rFonts w:ascii="Times New Roman" w:hAnsi="Times New Roman"/>
          <w:sz w:val="20"/>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The taking of possession of the Premises by Tenant shall conclusively establish that the Premises and the Building were at such time in good and sanitary order, condition and repair.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1.1.2</w:t>
      </w:r>
      <w:bookmarkStart w:id="1454" w:name="TAB220"/>
      <w:bookmarkEnd w:id="1454"/>
      <w:r>
        <w:rPr>
          <w:color w:val="000000"/>
          <w:spacing w:val="180"/>
        </w:rPr>
        <w:t> </w:t>
      </w:r>
      <w:r>
        <w:rPr>
          <w:rFonts w:ascii="Times New Roman" w:hAnsi="Times New Roman"/>
          <w:b/>
          <w:sz w:val="20"/>
          <w:u w:val="single"/>
        </w:rPr>
        <w:t>The Building and The Project</w:t>
      </w:r>
      <w:r>
        <w:rPr>
          <w:rFonts w:ascii="Times New Roman" w:hAnsi="Times New Roman"/>
          <w:sz w:val="20"/>
        </w:rPr>
        <w:t xml:space="preserve">.  The Premises are a part of the building set forth in </w:t>
      </w:r>
      <w:r>
        <w:rPr>
          <w:rFonts w:ascii="Times New Roman" w:hAnsi="Times New Roman"/>
          <w:sz w:val="20"/>
          <w:u w:val="single"/>
        </w:rPr>
        <w:t>Section 2.1</w:t>
      </w:r>
      <w:r>
        <w:rPr>
          <w:rFonts w:ascii="Times New Roman" w:hAnsi="Times New Roman"/>
          <w:sz w:val="20"/>
        </w:rPr>
        <w:t xml:space="preserve"> of the Summary (the "</w:t>
      </w:r>
      <w:r>
        <w:rPr>
          <w:rFonts w:ascii="Times New Roman" w:hAnsi="Times New Roman"/>
          <w:b/>
          <w:sz w:val="20"/>
        </w:rPr>
        <w:t>Building</w:t>
      </w:r>
      <w:r>
        <w:rPr>
          <w:rFonts w:ascii="Times New Roman" w:hAnsi="Times New Roman"/>
          <w:sz w:val="20"/>
        </w:rPr>
        <w:t>").  The term "</w:t>
      </w:r>
      <w:r>
        <w:rPr>
          <w:rFonts w:ascii="Times New Roman" w:hAnsi="Times New Roman"/>
          <w:b/>
          <w:sz w:val="20"/>
        </w:rPr>
        <w:t>Project</w:t>
      </w:r>
      <w:r>
        <w:rPr>
          <w:rFonts w:ascii="Times New Roman" w:hAnsi="Times New Roman"/>
          <w:sz w:val="20"/>
        </w:rPr>
        <w:t>," as used in this Lease, shall mean (i) the Building and the Common Areas, (ii) the land (which is improved with landscaping, parking facilities and other improvements) upon which the Building and the Common Areas are located, (iii) the other office/laboratory buildings located in the project known as "Britannia Modular Labs I", and the land upon which such adjacent office/laboratory buildings and associated landscaping and parking facilities are located, and (iv) at Landlord's discretion, any additional real property, areas, land, buildings or other improvements added thereto outside of the Project.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1.1.3</w:t>
      </w:r>
      <w:bookmarkStart w:id="1455" w:name="TAB221"/>
      <w:bookmarkEnd w:id="1455"/>
      <w:r>
        <w:rPr>
          <w:color w:val="000000"/>
          <w:spacing w:val="180"/>
        </w:rPr>
        <w:t> </w:t>
      </w:r>
      <w:r>
        <w:rPr>
          <w:rFonts w:ascii="Times New Roman" w:hAnsi="Times New Roman"/>
          <w:b/>
          <w:sz w:val="20"/>
          <w:u w:val="single"/>
        </w:rPr>
        <w:t>Common Areas</w:t>
      </w:r>
      <w:r>
        <w:rPr>
          <w:rFonts w:ascii="Times New Roman" w:hAnsi="Times New Roman"/>
          <w:sz w:val="20"/>
        </w:rPr>
        <w:t xml:space="preserve">.  Tenant shall have the non-exclusive right to use in common with other tenants in the Project, and subject to the rules and regulations referred to in </w:t>
      </w:r>
      <w:r>
        <w:rPr>
          <w:rFonts w:ascii="Times New Roman" w:hAnsi="Times New Roman"/>
          <w:sz w:val="20"/>
          <w:u w:val="single"/>
        </w:rPr>
        <w:t>Article 5</w:t>
      </w:r>
      <w:r>
        <w:rPr>
          <w:rFonts w:ascii="Times New Roman" w:hAnsi="Times New Roman"/>
          <w:sz w:val="20"/>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are collectively referred to herein as the "</w:t>
      </w:r>
      <w:r>
        <w:rPr>
          <w:rFonts w:ascii="Times New Roman" w:hAnsi="Times New Roman"/>
          <w:b/>
          <w:sz w:val="20"/>
        </w:rPr>
        <w:t>Common Areas</w:t>
      </w:r>
      <w:r>
        <w:rPr>
          <w:rFonts w:ascii="Times New Roman" w:hAnsi="Times New Roman"/>
          <w:sz w:val="20"/>
        </w:rPr>
        <w:t>").  The manner in which the Common Areas are maintained and operated shall be at the sole discretion of Landlord and the use thereof shall be subject to such rules, regulations and restrictions as Landlord may make from time to time.  Landlord reserves the right to close temporarily, make alterations or additions to, or change the location of elements of the Project and the Common Areas; provided, however, that any such closures, alterations, additions or changes (a) shall not materially interfere with Tenant's use of such Common Area and (b) shall be accomplished in a first-class and professional manner.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1.2</w:t>
      </w:r>
      <w:bookmarkStart w:id="1456" w:name="TAB222"/>
      <w:bookmarkEnd w:id="1456"/>
      <w:r>
        <w:rPr>
          <w:color w:val="000000"/>
          <w:spacing w:val="180"/>
        </w:rPr>
        <w:t> </w:t>
      </w:r>
      <w:r>
        <w:rPr>
          <w:rFonts w:ascii="Times New Roman" w:hAnsi="Times New Roman"/>
          <w:b/>
          <w:sz w:val="20"/>
          <w:u w:val="single"/>
        </w:rPr>
        <w:t>Rentable Square Feet of Premises</w:t>
      </w:r>
      <w:r>
        <w:rPr>
          <w:rFonts w:ascii="Times New Roman" w:hAnsi="Times New Roman"/>
          <w:sz w:val="20"/>
        </w:rPr>
        <w:t xml:space="preserve">.  The rentable square footage of the Premises is hereby deemed to be as set forth in </w:t>
      </w:r>
      <w:r>
        <w:rPr>
          <w:rFonts w:ascii="Times New Roman" w:hAnsi="Times New Roman"/>
          <w:sz w:val="20"/>
          <w:u w:val="single"/>
        </w:rPr>
        <w:t>Section 2.2</w:t>
      </w:r>
      <w:r>
        <w:rPr>
          <w:rFonts w:ascii="Times New Roman" w:hAnsi="Times New Roman"/>
          <w:sz w:val="20"/>
        </w:rPr>
        <w:t xml:space="preserve"> of the Summary, and shall not be subject to measurement or adjustment during the Lease Term.</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1.3</w:t>
      </w:r>
      <w:bookmarkStart w:id="1457" w:name="TAB223"/>
      <w:bookmarkEnd w:id="1457"/>
      <w:r>
        <w:rPr>
          <w:color w:val="000000"/>
          <w:spacing w:val="180"/>
        </w:rPr>
        <w:t> </w:t>
      </w:r>
      <w:r>
        <w:rPr>
          <w:rFonts w:ascii="Times New Roman" w:hAnsi="Times New Roman"/>
          <w:b/>
          <w:sz w:val="20"/>
          <w:u w:val="single"/>
        </w:rPr>
        <w:t>Right of First Offer/First Refusal</w:t>
      </w:r>
      <w:r>
        <w:rPr>
          <w:rFonts w:ascii="Times New Roman" w:hAnsi="Times New Roman"/>
          <w:sz w:val="20"/>
        </w:rPr>
        <w:t>.  Landlord hereby grants to the Tenant named in the Summary (the "</w:t>
      </w:r>
      <w:r>
        <w:rPr>
          <w:rFonts w:ascii="Times New Roman" w:hAnsi="Times New Roman"/>
          <w:b/>
          <w:sz w:val="20"/>
        </w:rPr>
        <w:t>Original Tenant</w:t>
      </w:r>
      <w:r>
        <w:rPr>
          <w:rFonts w:ascii="Times New Roman" w:hAnsi="Times New Roman"/>
          <w:sz w:val="20"/>
        </w:rPr>
        <w:t xml:space="preserve">") a right of first offer with respect to the suite adjacent to the Premises containing approximately 5,518 RSF, and with the street address of 345 Allerton Avenue as shown on </w:t>
      </w:r>
      <w:r>
        <w:rPr>
          <w:rFonts w:ascii="Times New Roman" w:hAnsi="Times New Roman"/>
          <w:b/>
          <w:sz w:val="20"/>
          <w:u w:val="single"/>
        </w:rPr>
        <w:t>Exhibit A</w:t>
      </w:r>
      <w:r>
        <w:rPr>
          <w:rFonts w:ascii="Times New Roman" w:hAnsi="Times New Roman"/>
          <w:sz w:val="20"/>
        </w:rPr>
        <w:t xml:space="preserve"> to this Lease (the "</w:t>
      </w:r>
      <w:r>
        <w:rPr>
          <w:rFonts w:ascii="Times New Roman" w:hAnsi="Times New Roman"/>
          <w:b/>
          <w:sz w:val="20"/>
        </w:rPr>
        <w:t>First Offer Space</w:t>
      </w:r>
      <w:r>
        <w:rPr>
          <w:rFonts w:ascii="Times New Roman" w:hAnsi="Times New Roman"/>
          <w:sz w:val="20"/>
        </w:rPr>
        <w:t xml:space="preserve">").  Tenant's right of first offer shall be on the terms and conditions set forth in this </w:t>
      </w:r>
      <w:r>
        <w:rPr>
          <w:rFonts w:ascii="Times New Roman" w:hAnsi="Times New Roman"/>
          <w:sz w:val="20"/>
          <w:u w:val="single"/>
        </w:rPr>
        <w:t>Section 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8" w:name="PGBRK140"/>
      <w:bookmarkStart w:id="1459" w:name="PGBRK140"/>
      <w:bookmarkEnd w:id="1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0" w:name="FTR140"/>
      <w:bookmarkStart w:id="1461" w:name="FTR140"/>
      <w:bookmarkEnd w:id="1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62" w:name="GLFTR140"/>
      <w:bookmarkEnd w:id="14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63" w:name="PN140"/>
      <w:bookmarkEnd w:id="1463"/>
      <w:r>
        <w:rPr>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4" w:name="HDR140"/>
      <w:bookmarkStart w:id="1465" w:name="HDR140"/>
      <w:bookmarkEnd w:id="1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66" w:name="GLHDR140"/>
      <w:bookmarkEnd w:id="14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b/>
          <w:sz w:val="20"/>
        </w:rPr>
        <w:t>1.3.1</w:t>
      </w:r>
      <w:bookmarkStart w:id="1467" w:name="TAB224"/>
      <w:bookmarkEnd w:id="1467"/>
      <w:r>
        <w:rPr>
          <w:color w:val="000000"/>
          <w:spacing w:val="180"/>
        </w:rPr>
        <w:t> </w:t>
      </w:r>
      <w:r>
        <w:rPr>
          <w:rFonts w:ascii="Times New Roman" w:hAnsi="Times New Roman"/>
          <w:b/>
          <w:sz w:val="20"/>
          <w:u w:val="single"/>
        </w:rPr>
        <w:t>Procedure for Offer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1.3.1.1</w:t>
      </w:r>
      <w:bookmarkStart w:id="1468" w:name="TAB225"/>
      <w:bookmarkEnd w:id="1468"/>
      <w:r>
        <w:rPr>
          <w:color w:val="000000"/>
          <w:spacing w:val="180"/>
        </w:rPr>
        <w:t> </w:t>
      </w:r>
      <w:r>
        <w:rPr>
          <w:rFonts w:ascii="Times New Roman" w:hAnsi="Times New Roman"/>
          <w:b/>
          <w:sz w:val="20"/>
          <w:u w:val="single"/>
        </w:rPr>
        <w:t>Through October 31, 2013</w:t>
      </w:r>
      <w:r>
        <w:rPr>
          <w:rFonts w:ascii="Times New Roman" w:hAnsi="Times New Roman"/>
          <w:sz w:val="20"/>
        </w:rPr>
        <w:t>.  During the period prior to and including October 31, 2013, Landlord shall notify Tenant (the "</w:t>
      </w:r>
      <w:r>
        <w:rPr>
          <w:rFonts w:ascii="Times New Roman" w:hAnsi="Times New Roman"/>
          <w:b/>
          <w:sz w:val="20"/>
        </w:rPr>
        <w:t>First Refusal Notice</w:t>
      </w:r>
      <w:r>
        <w:rPr>
          <w:rFonts w:ascii="Times New Roman" w:hAnsi="Times New Roman"/>
          <w:sz w:val="20"/>
        </w:rPr>
        <w:t xml:space="preserve">") from time to time when Landlord receives a bona fide offer to lease the First Offer Space or any portion thereof from a third party.  Pursuant to such First Refusal Notice, Landlord shall offer to lease to Tenant the First Offer Space on the "Early Exercise Terms", as defined in </w:t>
      </w:r>
      <w:r>
        <w:rPr>
          <w:rFonts w:ascii="Times New Roman" w:hAnsi="Times New Roman"/>
          <w:sz w:val="20"/>
          <w:u w:val="single"/>
        </w:rPr>
        <w:t>Section 1.3.2</w:t>
      </w:r>
      <w:r>
        <w:rPr>
          <w:rFonts w:ascii="Times New Roman" w:hAnsi="Times New Roman"/>
          <w:sz w:val="20"/>
        </w:rPr>
        <w:t xml:space="preserve"> below.</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1.3.1.2</w:t>
      </w:r>
      <w:bookmarkStart w:id="1469" w:name="TAB226"/>
      <w:bookmarkEnd w:id="1469"/>
      <w:r>
        <w:rPr>
          <w:color w:val="000000"/>
          <w:spacing w:val="180"/>
        </w:rPr>
        <w:t> </w:t>
      </w:r>
      <w:r>
        <w:rPr>
          <w:rFonts w:ascii="Times New Roman" w:hAnsi="Times New Roman"/>
          <w:b/>
          <w:sz w:val="20"/>
          <w:u w:val="single"/>
        </w:rPr>
        <w:t>After October 31, 2013</w:t>
      </w:r>
      <w:r>
        <w:rPr>
          <w:rFonts w:ascii="Times New Roman" w:hAnsi="Times New Roman"/>
          <w:sz w:val="20"/>
        </w:rPr>
        <w:t>.  After October 31, 2013, Landlord shall notify Tenant (the "</w:t>
      </w:r>
      <w:r>
        <w:rPr>
          <w:rFonts w:ascii="Times New Roman" w:hAnsi="Times New Roman"/>
          <w:b/>
          <w:sz w:val="20"/>
        </w:rPr>
        <w:t>First Offer Notice</w:t>
      </w:r>
      <w:r>
        <w:rPr>
          <w:rFonts w:ascii="Times New Roman" w:hAnsi="Times New Roman"/>
          <w:sz w:val="20"/>
        </w:rPr>
        <w:t>") from time to time when the First Offer Space or any portion thereof becomes available for lease to third parties, and in any event prior to entering into any lease of the First Offer Space with a third party.  Pursuant to such First Offer Notice, Landlord shall offer to lease to Tenant the then available First Offer Space.  The First Offer Notice shall describe the space so offered to Tenant and shall set forth the rent and other economic terms upon which Landlord is willing to lease such space to Tenant (the "</w:t>
      </w:r>
      <w:r>
        <w:rPr>
          <w:rFonts w:ascii="Times New Roman" w:hAnsi="Times New Roman"/>
          <w:b/>
          <w:sz w:val="20"/>
        </w:rPr>
        <w:t>First Offer Rent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1.3.2</w:t>
      </w:r>
      <w:bookmarkStart w:id="1470" w:name="TAB227"/>
      <w:bookmarkEnd w:id="1470"/>
      <w:r>
        <w:rPr>
          <w:color w:val="000000"/>
          <w:spacing w:val="180"/>
        </w:rPr>
        <w:t> </w:t>
      </w:r>
      <w:r>
        <w:rPr>
          <w:rFonts w:ascii="Times New Roman" w:hAnsi="Times New Roman"/>
          <w:b/>
          <w:sz w:val="20"/>
          <w:u w:val="single"/>
        </w:rPr>
        <w:t>Early Exercise of First Offer Right</w:t>
      </w:r>
      <w:r>
        <w:rPr>
          <w:rFonts w:ascii="Times New Roman" w:hAnsi="Times New Roman"/>
          <w:sz w:val="20"/>
        </w:rPr>
        <w:t>.  In the event that Tenant elects to exercise its first offer right prior to October 31, 2013 (the "</w:t>
      </w:r>
      <w:r>
        <w:rPr>
          <w:rFonts w:ascii="Times New Roman" w:hAnsi="Times New Roman"/>
          <w:b/>
          <w:sz w:val="20"/>
        </w:rPr>
        <w:t>Early Exercise</w:t>
      </w:r>
      <w:r>
        <w:rPr>
          <w:rFonts w:ascii="Times New Roman" w:hAnsi="Times New Roman"/>
          <w:sz w:val="20"/>
        </w:rPr>
        <w:t>"), then (i) the "First Offer Rent" payable during the term of Tenant's lease of the First Offer Space shall be equal to the Base Rent payable under this Lease with respect to the initial Premises (i.e., at the same rate per RSF, and including the increases in such rate, applicable to the initial Premises as set forth in Section 4 of the Summary), (ii) Landlord shall provide an improvement allowance for the construction or improvement of the First Offer Space equal to $40.00 per RSF of the First Offer Space, (iii) Landlord shall provide Tenant with ninety (90) days in which to construct improvements and alterations in the First Offer Space prior to the occurrence of the First Offer Commencement Date, and (iv) the term of Tenant's lease of the First Offer Space shall expire coterminously with Tenant's lease of the initial Premises (collectively, the "</w:t>
      </w:r>
      <w:r>
        <w:rPr>
          <w:rFonts w:ascii="Times New Roman" w:hAnsi="Times New Roman"/>
          <w:b/>
          <w:sz w:val="20"/>
        </w:rPr>
        <w:t>Early Exercise Terms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1.3.3</w:t>
      </w:r>
      <w:bookmarkStart w:id="1471" w:name="TAB228"/>
      <w:bookmarkEnd w:id="1471"/>
      <w:r>
        <w:rPr>
          <w:color w:val="000000"/>
          <w:spacing w:val="180"/>
        </w:rPr>
        <w:t> </w:t>
      </w:r>
      <w:r>
        <w:rPr>
          <w:rFonts w:ascii="Times New Roman" w:hAnsi="Times New Roman"/>
          <w:b/>
          <w:sz w:val="20"/>
          <w:u w:val="single"/>
        </w:rPr>
        <w:t>Procedure for Acceptance</w:t>
      </w:r>
      <w:r>
        <w:rPr>
          <w:rFonts w:ascii="Times New Roman" w:hAnsi="Times New Roman"/>
          <w:sz w:val="20"/>
        </w:rPr>
        <w:t>.  If Tenant wishes to exercise Tenant's right of first offer with respect to the space described in the First Offer Notice, then within five (5) business days of delivery of the First Refusal Notice or First Offer Notice to Tenant, Tenant shall deliver notice to Landlord of Tenant's election to exercise its right of first offer with respect to the entire space described in the First Offer Notice on the terms contained in such notice.  If Tenant does not so notify Landlord within the five (5) business day period, then Landlord shall be free to lease the space described in the First Offer Notice to anyone to whom Landlord desires on any terms Landlord desires.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1.3.4</w:t>
      </w:r>
      <w:bookmarkStart w:id="1472" w:name="TAB229"/>
      <w:bookmarkEnd w:id="1472"/>
      <w:r>
        <w:rPr>
          <w:color w:val="000000"/>
          <w:spacing w:val="180"/>
        </w:rPr>
        <w:t> </w:t>
      </w:r>
      <w:r>
        <w:rPr>
          <w:rFonts w:ascii="Times New Roman" w:hAnsi="Times New Roman"/>
          <w:b/>
          <w:sz w:val="20"/>
          <w:u w:val="single"/>
        </w:rPr>
        <w:t>Construction In First Offer Space</w:t>
      </w:r>
      <w:r>
        <w:rPr>
          <w:rFonts w:ascii="Times New Roman" w:hAnsi="Times New Roman"/>
          <w:sz w:val="20"/>
        </w:rPr>
        <w:t xml:space="preserve">.  Tenant shall take the First Offer Space in its "as is" condition, subject to any improvement allowance granted as a component of the First Offer Rent (or as part of the Early Exercise Terms), and the construction of improvements in the First Offer Space shall comply with the terms of </w:t>
      </w:r>
      <w:r>
        <w:rPr>
          <w:rFonts w:ascii="Times New Roman" w:hAnsi="Times New Roman"/>
          <w:sz w:val="20"/>
          <w:u w:val="single"/>
        </w:rPr>
        <w:t>Article 8</w:t>
      </w:r>
      <w:r>
        <w:rPr>
          <w:rFonts w:ascii="Times New Roman" w:hAnsi="Times New Roman"/>
          <w:sz w:val="20"/>
        </w:rPr>
        <w:t xml:space="preserve"> of this Lease.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1.3.5</w:t>
      </w:r>
      <w:bookmarkStart w:id="1473" w:name="TAB230"/>
      <w:bookmarkEnd w:id="1473"/>
      <w:r>
        <w:rPr>
          <w:color w:val="000000"/>
          <w:spacing w:val="180"/>
        </w:rPr>
        <w:t> </w:t>
      </w:r>
      <w:r>
        <w:rPr>
          <w:rFonts w:ascii="Times New Roman" w:hAnsi="Times New Roman"/>
          <w:b/>
          <w:sz w:val="20"/>
          <w:u w:val="single"/>
        </w:rPr>
        <w:t>Amendment to Lease</w:t>
      </w:r>
      <w:r>
        <w:rPr>
          <w:rFonts w:ascii="Times New Roman" w:hAnsi="Times New Roman"/>
          <w:sz w:val="20"/>
        </w:rPr>
        <w:t xml:space="preserve">.  If Tenant timely exercises Tenant's right to lease the First Offer Space as set forth herein, Landlord and Tenant shall within ten (10) business days after such exercise, execute an amendment to this Lease for such First Offer Space upon the terms and conditions as set forth in the First Offer Notice, or upon the Early Exercise Terms, if applicable, and this </w:t>
      </w:r>
      <w:r>
        <w:rPr>
          <w:rFonts w:ascii="Times New Roman" w:hAnsi="Times New Roman"/>
          <w:sz w:val="20"/>
          <w:u w:val="single"/>
        </w:rPr>
        <w:t>Section 1.3</w:t>
      </w:r>
      <w:r>
        <w:rPr>
          <w:rFonts w:ascii="Times New Roman" w:hAnsi="Times New Roman"/>
          <w:sz w:val="20"/>
        </w:rPr>
        <w:t>.  Tenant shall commence payment of Rent for the First Offer Space, and the term of the First Offer Space shall commence upon the date of delivery of the First Offer Space to Tenant (the "</w:t>
      </w:r>
      <w:r>
        <w:rPr>
          <w:rFonts w:ascii="Times New Roman" w:hAnsi="Times New Roman"/>
          <w:b/>
          <w:sz w:val="20"/>
        </w:rPr>
        <w:t>First Offer Commencement Date</w:t>
      </w:r>
      <w:r>
        <w:rPr>
          <w:rFonts w:ascii="Times New Roman" w:hAnsi="Times New Roman"/>
          <w:sz w:val="20"/>
        </w:rPr>
        <w:t>") and terminate on the date set forth in the First Offer Notice (except in the event of an Early Exercise, in which event Tenant's lease of the First Offer Space shall expire coterminously with Tenant's lease of the initial Premises).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1.3.6</w:t>
      </w:r>
      <w:bookmarkStart w:id="1474" w:name="TAB231"/>
      <w:bookmarkEnd w:id="1474"/>
      <w:r>
        <w:rPr>
          <w:color w:val="000000"/>
          <w:spacing w:val="180"/>
        </w:rPr>
        <w:t> </w:t>
      </w:r>
      <w:r>
        <w:rPr>
          <w:rFonts w:ascii="Times New Roman" w:hAnsi="Times New Roman"/>
          <w:b/>
          <w:sz w:val="20"/>
          <w:u w:val="single"/>
        </w:rPr>
        <w:t>Termination of Right of First Offer</w:t>
      </w:r>
      <w:r>
        <w:rPr>
          <w:rFonts w:ascii="Times New Roman" w:hAnsi="Times New Roman"/>
          <w:sz w:val="20"/>
        </w:rPr>
        <w:t xml:space="preserve">.  The rights contained in this </w:t>
      </w:r>
      <w:r>
        <w:rPr>
          <w:rFonts w:ascii="Times New Roman" w:hAnsi="Times New Roman"/>
          <w:sz w:val="20"/>
          <w:u w:val="single"/>
        </w:rPr>
        <w:t>Section 1.3</w:t>
      </w:r>
      <w:r>
        <w:rPr>
          <w:rFonts w:ascii="Times New Roman" w:hAnsi="Times New Roman"/>
          <w:sz w:val="20"/>
        </w:rPr>
        <w:t xml:space="preserve"> shall be personal to the Original Tenant, and may only be exercised by the Original Tenant (and not any assignee, sublessee or other transferee of the Original Tenant's interest in this Lease) if the Original Tenant occupies the entire Premises.  The right of first offer granted herein shall terminate upon the failure by Tenant to exercise its right of first offer with respect to the First Offer Space as offered by Landlord.  The terms of this </w:t>
      </w:r>
      <w:r>
        <w:rPr>
          <w:rFonts w:ascii="Times New Roman" w:hAnsi="Times New Roman"/>
          <w:sz w:val="20"/>
          <w:u w:val="single"/>
        </w:rPr>
        <w:t>Section 1.3</w:t>
      </w:r>
      <w:r>
        <w:rPr>
          <w:rFonts w:ascii="Times New Roman" w:hAnsi="Times New Roman"/>
          <w:sz w:val="20"/>
        </w:rPr>
        <w:t xml:space="preserve"> shall not apply after the end of the initial Lease Term.  Tenant shall not have the right to lease First Offer Space, as provided in this </w:t>
      </w:r>
      <w:r>
        <w:rPr>
          <w:rFonts w:ascii="Times New Roman" w:hAnsi="Times New Roman"/>
          <w:sz w:val="20"/>
          <w:u w:val="single"/>
        </w:rPr>
        <w:t>Section 1.3</w:t>
      </w:r>
      <w:r>
        <w:rPr>
          <w:rFonts w:ascii="Times New Roman" w:hAnsi="Times New Roman"/>
          <w:sz w:val="20"/>
        </w:rPr>
        <w:t>, if, as of the date of the attempted exercise of any right of first offer by Tenant, Tenant is in default under this Lease, after the expiration of any applicable notice and cure period, or Tenant has previously been in default, after the expiration of any applicable notice and cure period, under this Lease more than once.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5" w:name="PGBRK141"/>
      <w:bookmarkStart w:id="1476" w:name="PGBRK141"/>
      <w:bookmarkEnd w:id="1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7" w:name="FTR141"/>
      <w:bookmarkStart w:id="1478" w:name="FTR141"/>
      <w:bookmarkEnd w:id="1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79" w:name="GLFTR141"/>
      <w:bookmarkEnd w:id="14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80" w:name="PN141"/>
      <w:bookmarkEnd w:id="1480"/>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1" w:name="HDR141"/>
      <w:bookmarkStart w:id="1482" w:name="HDR141"/>
      <w:bookmarkEnd w:id="1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3" w:name="GLHDR141"/>
      <w:bookmarkEnd w:id="14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w:t>
      </w:r>
      <w:bookmarkStart w:id="1484" w:name="TAB232"/>
      <w:bookmarkEnd w:id="1484"/>
      <w:r>
        <w:rPr>
          <w:color w:val="000000"/>
          <w:spacing w:val="180"/>
        </w:rPr>
        <w:t> </w:t>
      </w:r>
      <w:bookmarkStart w:id="1485" w:name="TAB11"/>
      <w:bookmarkEnd w:id="1485"/>
      <w:r>
        <w:rPr>
          <w:rFonts w:ascii="Times New Roman" w:hAnsi="Times New Roman"/>
          <w:sz w:val="20"/>
        </w:rPr>
        <w:t>LEASE TERM; DELAYED DELIVERY; OPTION TERM</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2.1</w:t>
      </w:r>
      <w:bookmarkStart w:id="1486" w:name="TAB233"/>
      <w:bookmarkEnd w:id="1486"/>
      <w:r>
        <w:rPr>
          <w:color w:val="000000"/>
          <w:spacing w:val="180"/>
        </w:rPr>
        <w:t> </w:t>
      </w:r>
      <w:r>
        <w:rPr>
          <w:rFonts w:ascii="Times New Roman" w:hAnsi="Times New Roman"/>
          <w:b/>
          <w:sz w:val="20"/>
          <w:u w:val="single"/>
        </w:rPr>
        <w:t>Lease Term</w:t>
      </w:r>
      <w:r>
        <w:rPr>
          <w:rFonts w:ascii="Times New Roman" w:hAnsi="Times New Roman"/>
          <w:sz w:val="20"/>
        </w:rPr>
        <w:t>.  The terms and provisions of this Lease shall be effective as of the date of this Lease.  The term of this Lease (the "</w:t>
      </w:r>
      <w:r>
        <w:rPr>
          <w:rFonts w:ascii="Times New Roman" w:hAnsi="Times New Roman"/>
          <w:b/>
          <w:sz w:val="20"/>
        </w:rPr>
        <w:t>Lease Term</w:t>
      </w:r>
      <w:r>
        <w:rPr>
          <w:rFonts w:ascii="Times New Roman" w:hAnsi="Times New Roman"/>
          <w:sz w:val="20"/>
        </w:rPr>
        <w:t xml:space="preserve">") shall be as set forth in </w:t>
      </w:r>
      <w:r>
        <w:rPr>
          <w:rFonts w:ascii="Times New Roman" w:hAnsi="Times New Roman"/>
          <w:sz w:val="20"/>
          <w:u w:val="single"/>
        </w:rPr>
        <w:t>Section 3.1</w:t>
      </w:r>
      <w:r>
        <w:rPr>
          <w:rFonts w:ascii="Times New Roman" w:hAnsi="Times New Roman"/>
          <w:sz w:val="20"/>
        </w:rPr>
        <w:t xml:space="preserve"> of the Summary, shall commence on the date set forth in </w:t>
      </w:r>
      <w:r>
        <w:rPr>
          <w:rFonts w:ascii="Times New Roman" w:hAnsi="Times New Roman"/>
          <w:sz w:val="20"/>
          <w:u w:val="single"/>
        </w:rPr>
        <w:t>Section 3.2</w:t>
      </w:r>
      <w:r>
        <w:rPr>
          <w:rFonts w:ascii="Times New Roman" w:hAnsi="Times New Roman"/>
          <w:sz w:val="20"/>
        </w:rPr>
        <w:t xml:space="preserve"> of the Summary (the "</w:t>
      </w:r>
      <w:r>
        <w:rPr>
          <w:rFonts w:ascii="Times New Roman" w:hAnsi="Times New Roman"/>
          <w:b/>
          <w:sz w:val="20"/>
        </w:rPr>
        <w:t>Lease Commencement Date</w:t>
      </w:r>
      <w:r>
        <w:rPr>
          <w:rFonts w:ascii="Times New Roman" w:hAnsi="Times New Roman"/>
          <w:sz w:val="20"/>
        </w:rPr>
        <w:t xml:space="preserve">"), and shall terminate on the date set forth in </w:t>
      </w:r>
      <w:r>
        <w:rPr>
          <w:rFonts w:ascii="Times New Roman" w:hAnsi="Times New Roman"/>
          <w:sz w:val="20"/>
          <w:u w:val="single"/>
        </w:rPr>
        <w:t>Section 3.3</w:t>
      </w:r>
      <w:r>
        <w:rPr>
          <w:rFonts w:ascii="Times New Roman" w:hAnsi="Times New Roman"/>
          <w:sz w:val="20"/>
        </w:rPr>
        <w:t xml:space="preserve"> of the Summary (the "</w:t>
      </w:r>
      <w:r>
        <w:rPr>
          <w:rFonts w:ascii="Times New Roman" w:hAnsi="Times New Roman"/>
          <w:b/>
          <w:sz w:val="20"/>
        </w:rPr>
        <w:t>Lease Expiration Date</w:t>
      </w:r>
      <w:r>
        <w:rPr>
          <w:rFonts w:ascii="Times New Roman" w:hAnsi="Times New Roman"/>
          <w:sz w:val="20"/>
        </w:rPr>
        <w:t>") unless this Lease is sooner terminated as hereinafter provided.  For purposes of this Lease, the term "</w:t>
      </w:r>
      <w:r>
        <w:rPr>
          <w:rFonts w:ascii="Times New Roman" w:hAnsi="Times New Roman"/>
          <w:b/>
          <w:sz w:val="20"/>
        </w:rPr>
        <w:t>Lease Year</w:t>
      </w:r>
      <w:r>
        <w:rPr>
          <w:rFonts w:ascii="Times New Roman" w:hAnsi="Times New Roman"/>
          <w:sz w:val="20"/>
        </w:rPr>
        <w:t xml:space="preserve">" shall mean each consecutive twelve (12) month period during the Lease Term.  At any time during the Lease Term, Landlord may deliver to Tenant a notice in the form as set forth in </w:t>
      </w:r>
      <w:r>
        <w:rPr>
          <w:rFonts w:ascii="Times New Roman" w:hAnsi="Times New Roman"/>
          <w:b/>
          <w:sz w:val="20"/>
          <w:u w:val="single"/>
        </w:rPr>
        <w:t>Exhibit C</w:t>
      </w:r>
      <w:r>
        <w:rPr>
          <w:rFonts w:ascii="Times New Roman" w:hAnsi="Times New Roman"/>
          <w:sz w:val="20"/>
        </w:rPr>
        <w:t>, attached hereto, as a confirmation only of the information set forth therein, which Tenant shall execute and return to Landlord within five (5) days of receipt thereof.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2.2</w:t>
      </w:r>
      <w:bookmarkStart w:id="1487" w:name="TAB234"/>
      <w:bookmarkEnd w:id="1487"/>
      <w:r>
        <w:rPr>
          <w:color w:val="000000"/>
          <w:spacing w:val="180"/>
        </w:rPr>
        <w:t> </w:t>
      </w:r>
      <w:r>
        <w:rPr>
          <w:rFonts w:ascii="Times New Roman" w:hAnsi="Times New Roman"/>
          <w:b/>
          <w:sz w:val="20"/>
          <w:u w:val="single"/>
        </w:rPr>
        <w:t>Delayed Delivery</w:t>
      </w:r>
      <w:r>
        <w:rPr>
          <w:rFonts w:ascii="Times New Roman" w:hAnsi="Times New Roman"/>
          <w:sz w:val="20"/>
        </w:rPr>
        <w:t>.  Landlord shall use commercially reasonable efforts to cause the Lease Commencement Date to occur on or before June 30, 2013 (the "</w:t>
      </w:r>
      <w:r>
        <w:rPr>
          <w:rFonts w:ascii="Times New Roman" w:hAnsi="Times New Roman"/>
          <w:b/>
          <w:sz w:val="20"/>
        </w:rPr>
        <w:t>Outside Delivery Date</w:t>
      </w:r>
      <w:r>
        <w:rPr>
          <w:rFonts w:ascii="Times New Roman" w:hAnsi="Times New Roman"/>
          <w:sz w:val="20"/>
        </w:rPr>
        <w:t>").  Subject to the terms of this Lease, if Landlord has not caused the Lease Commencement Date to have occurred on or before the Outside Delivery Date, then Landlord agrees that Landlord will reimburse Tenant the actual increase in amounts required to be paid by Tenant with respect to its existing lease of space at 384 Oyster Point Boulevard, in South San Francisco, California (the "</w:t>
      </w:r>
      <w:r>
        <w:rPr>
          <w:rFonts w:ascii="Times New Roman" w:hAnsi="Times New Roman"/>
          <w:b/>
          <w:sz w:val="20"/>
        </w:rPr>
        <w:t>Hold Over Costs</w:t>
      </w:r>
      <w:r>
        <w:rPr>
          <w:rFonts w:ascii="Times New Roman" w:hAnsi="Times New Roman"/>
          <w:sz w:val="20"/>
        </w:rPr>
        <w:t xml:space="preserve">").  The Hold Over Costs shall consist of only the amount by which the "base rental" is increased over the base rental payable during the last month of Tenant's lease, and shall not include any costs for utilities, taxes, insurance or other charges payable by Tenant under its lease.  In no event shall the total amount of Hold Over Costs payable by Landlord hereunder exceed $10,000.00.  Prior to Landlord being obligated to pay any Hold Over Costs, Tenant shall provide Landlord with reasonable evidence of the amount of such Hold Over Costs, and of Tenant's payment thereof.  Landlord's obligation to pay such Hold Over Costs shall be Tenant's sole remedy for Landlord's failure to cause the Lease Commencement Date to occur on or before the Outside Delivery Date.  The Outside Delivery Date shall be extended to the extent the Lease Commencement Date is delayed by "Tenant Delay", as that term is defined in </w:t>
      </w:r>
      <w:r>
        <w:rPr>
          <w:rFonts w:ascii="Times New Roman" w:hAnsi="Times New Roman"/>
          <w:sz w:val="20"/>
          <w:u w:val="single"/>
        </w:rPr>
        <w:t>Section 1(j)</w:t>
      </w:r>
      <w:r>
        <w:rPr>
          <w:rFonts w:ascii="Times New Roman" w:hAnsi="Times New Roman"/>
          <w:sz w:val="20"/>
        </w:rPr>
        <w:t xml:space="preserve"> of the Tenant Work Letter.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2.3</w:t>
      </w:r>
      <w:bookmarkStart w:id="1488" w:name="TAB235"/>
      <w:bookmarkEnd w:id="1488"/>
      <w:r>
        <w:rPr>
          <w:color w:val="000000"/>
          <w:spacing w:val="180"/>
        </w:rPr>
        <w:t> </w:t>
      </w:r>
      <w:r>
        <w:rPr>
          <w:rFonts w:ascii="Times New Roman" w:hAnsi="Times New Roman"/>
          <w:b/>
          <w:sz w:val="20"/>
          <w:u w:val="single"/>
        </w:rPr>
        <w:t>Option Term</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2.3.1</w:t>
      </w:r>
      <w:bookmarkStart w:id="1489" w:name="TAB236"/>
      <w:bookmarkEnd w:id="1489"/>
      <w:r>
        <w:rPr>
          <w:color w:val="000000"/>
          <w:spacing w:val="180"/>
        </w:rPr>
        <w:t> </w:t>
      </w:r>
      <w:r>
        <w:rPr>
          <w:rFonts w:ascii="Times New Roman" w:hAnsi="Times New Roman"/>
          <w:b/>
          <w:sz w:val="20"/>
          <w:u w:val="single"/>
        </w:rPr>
        <w:t>Option Right</w:t>
      </w:r>
      <w:r>
        <w:rPr>
          <w:rFonts w:ascii="Times New Roman" w:hAnsi="Times New Roman"/>
          <w:sz w:val="20"/>
        </w:rPr>
        <w:t>.  Landlord hereby grants Original Tenant one (1) option to extend the Lease Term for a period of three (3) years (the "</w:t>
      </w:r>
      <w:r>
        <w:rPr>
          <w:rFonts w:ascii="Times New Roman" w:hAnsi="Times New Roman"/>
          <w:b/>
          <w:sz w:val="20"/>
        </w:rPr>
        <w:t>Option Term</w:t>
      </w:r>
      <w:r>
        <w:rPr>
          <w:rFonts w:ascii="Times New Roman" w:hAnsi="Times New Roman"/>
          <w:sz w:val="20"/>
        </w:rPr>
        <w:t xml:space="preserve">"), which option shall be exercisable only by written notice delivered by Tenant to Landlord as provided below, provided that, as of the date of delivery of such notice, Tenant is not in default under this Lease, beyond any applicable notice and cure period set forth in this Lease, and Tenant has not previously been in default under this Lease, beyond any applicable notice and cure period set forth in this Lease, more than two (2) times.  Upon the proper exercise of such option to extend, and provided that, at Landlord's option, as of the end of the initial Lease Term, Tenant is not in default under this Lease, beyond any applicable notice and cure period set forth in this Lease, and Tenant has not previously been in default under this Lease, beyond any applicable notice and cure period set forth in this Lease, more than two (2) times, the Lease Term, as it applies to the Premises, shall be extended for a period of three (3) years.  The rights contained in this </w:t>
      </w:r>
      <w:r>
        <w:rPr>
          <w:rFonts w:ascii="Times New Roman" w:hAnsi="Times New Roman"/>
          <w:sz w:val="20"/>
          <w:u w:val="single"/>
        </w:rPr>
        <w:t>Section 2.3</w:t>
      </w:r>
      <w:r>
        <w:rPr>
          <w:rFonts w:ascii="Times New Roman" w:hAnsi="Times New Roman"/>
          <w:sz w:val="20"/>
        </w:rPr>
        <w:t xml:space="preserve"> shall be personal to the Original Tenant, and may only be exercised by the Original Tenant if the Original Tenant occupies the entire Premises.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0" w:name="PGBRK142"/>
      <w:bookmarkStart w:id="1491" w:name="PGBRK142"/>
      <w:bookmarkEnd w:id="1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2" w:name="FTR142"/>
      <w:bookmarkStart w:id="1493" w:name="FTR142"/>
      <w:bookmarkEnd w:id="1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4" w:name="GLFTR142"/>
      <w:bookmarkEnd w:id="14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95" w:name="PN142"/>
      <w:bookmarkEnd w:id="1495"/>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6" w:name="HDR142"/>
      <w:bookmarkStart w:id="1497" w:name="HDR142"/>
      <w:bookmarkEnd w:id="1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8" w:name="GLHDR142"/>
      <w:bookmarkEnd w:id="14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2.3.2</w:t>
      </w:r>
      <w:bookmarkStart w:id="1499" w:name="TAB237"/>
      <w:bookmarkEnd w:id="1499"/>
      <w:r>
        <w:rPr>
          <w:color w:val="000000"/>
          <w:spacing w:val="180"/>
        </w:rPr>
        <w:t> </w:t>
      </w:r>
      <w:r>
        <w:rPr>
          <w:rFonts w:ascii="Times New Roman" w:hAnsi="Times New Roman"/>
          <w:b/>
          <w:sz w:val="20"/>
          <w:u w:val="single"/>
        </w:rPr>
        <w:t>Option Rent</w:t>
      </w:r>
      <w:r>
        <w:rPr>
          <w:rFonts w:ascii="Times New Roman" w:hAnsi="Times New Roman"/>
          <w:sz w:val="20"/>
        </w:rPr>
        <w:t>.  The annual Rent payable by Tenant during the Option Term (the "</w:t>
      </w:r>
      <w:r>
        <w:rPr>
          <w:rFonts w:ascii="Times New Roman" w:hAnsi="Times New Roman"/>
          <w:b/>
          <w:sz w:val="20"/>
        </w:rPr>
        <w:t>Option Rent</w:t>
      </w:r>
      <w:r>
        <w:rPr>
          <w:rFonts w:ascii="Times New Roman" w:hAnsi="Times New Roman"/>
          <w:sz w:val="20"/>
        </w:rPr>
        <w:t>") shall be equal to the "Fair Rental Value," as that term is defined below, for the Premises as of the commencement date of the Option Term.  The "</w:t>
      </w:r>
      <w:r>
        <w:rPr>
          <w:rFonts w:ascii="Times New Roman" w:hAnsi="Times New Roman"/>
          <w:b/>
          <w:sz w:val="20"/>
        </w:rPr>
        <w:t>Fair Rental Value</w:t>
      </w:r>
      <w:r>
        <w:rPr>
          <w:rFonts w:ascii="Times New Roman" w:hAnsi="Times New Roman"/>
          <w:sz w:val="20"/>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for a comparable lease term, in an arm's length transaction, which comparable space is located in the Building or in "Comparable Buildings," as that term is defined in this </w:t>
      </w:r>
      <w:r>
        <w:rPr>
          <w:rFonts w:ascii="Times New Roman" w:hAnsi="Times New Roman"/>
          <w:sz w:val="20"/>
          <w:u w:val="single"/>
        </w:rPr>
        <w:t>Section 2.3.2</w:t>
      </w:r>
      <w:r>
        <w:rPr>
          <w:rFonts w:ascii="Times New Roman" w:hAnsi="Times New Roman"/>
          <w:sz w:val="20"/>
        </w:rPr>
        <w:t>, below (transactions satisfying the foregoing criteria shall be known as the "</w:t>
      </w:r>
      <w:r>
        <w:rPr>
          <w:rFonts w:ascii="Times New Roman" w:hAnsi="Times New Roman"/>
          <w:b/>
          <w:sz w:val="20"/>
        </w:rPr>
        <w:t>Comparable Transactions</w:t>
      </w:r>
      <w:r>
        <w:rPr>
          <w:rFonts w:ascii="Times New Roman" w:hAnsi="Times New Roman"/>
          <w:sz w:val="20"/>
        </w:rPr>
        <w:t>"), taking into consideration the following concessions (the "</w:t>
      </w:r>
      <w:r>
        <w:rPr>
          <w:rFonts w:ascii="Times New Roman" w:hAnsi="Times New Roman"/>
          <w:b/>
          <w:sz w:val="20"/>
        </w:rPr>
        <w:t>Concessions</w:t>
      </w:r>
      <w:r>
        <w:rPr>
          <w:rFonts w:ascii="Times New Roman" w:hAnsi="Times New Roman"/>
          <w:sz w:val="20"/>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(c) other reasonable monetary concessions being granted such tenants in connection with such comparable space; provided, however, that in calculating the Fair Rental Value, no consideration shall be given to (i)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and (ii) any construction period, if any, granted to tenants in Comparable Transactions in connection with the design, permitting and construction of tenant improvements in such comparable spaces.  The Fair Rental Value shall additionally include a determination as to whether, and if so to what extent, Tenant must provide Landlord with financial security, such as a letter of credit or guaranty, for Tenant's Rent obligations in connection with Tenant's lease of the Premises during the Option Term.  Such determination shall be made by reviewing the extent of financial security then generally being imposed in 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The Concessions (A)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or (B) at Landlord’s election, all such Concessions shall be granted to Tenant in kind.  Notwithstanding the foregoing, during the Option Term, the Option Rent shall increase by three percent (3%) per annum on each anniversary of the first (1st) day of the Option Term.  The term “</w:t>
      </w:r>
      <w:r>
        <w:rPr>
          <w:rFonts w:ascii="Times New Roman" w:hAnsi="Times New Roman"/>
          <w:b/>
          <w:sz w:val="20"/>
        </w:rPr>
        <w:t>Comparable Buildings</w:t>
      </w:r>
      <w:r>
        <w:rPr>
          <w:rFonts w:ascii="Times New Roman" w:hAnsi="Times New Roman"/>
          <w:sz w:val="20"/>
        </w:rPr>
        <w:t>” shall mean other First Class Life Sciences Projects located in the South San Francisco, California, area that are comparable in age (based on the date of original construction or the latest major renovation) location, quality of construction, services and amenities.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2.3.3</w:t>
      </w:r>
      <w:bookmarkStart w:id="1500" w:name="TAB238"/>
      <w:bookmarkEnd w:id="1500"/>
      <w:r>
        <w:rPr>
          <w:color w:val="000000"/>
          <w:spacing w:val="180"/>
        </w:rPr>
        <w:t> </w:t>
      </w:r>
      <w:r>
        <w:rPr>
          <w:rFonts w:ascii="Times New Roman" w:hAnsi="Times New Roman"/>
          <w:b/>
          <w:sz w:val="20"/>
          <w:u w:val="single"/>
        </w:rPr>
        <w:t>Exercise of Option</w:t>
      </w:r>
      <w:r>
        <w:rPr>
          <w:rFonts w:ascii="Times New Roman" w:hAnsi="Times New Roman"/>
          <w:sz w:val="20"/>
        </w:rPr>
        <w:t xml:space="preserve">.  The option contained in this </w:t>
      </w:r>
      <w:r>
        <w:rPr>
          <w:rFonts w:ascii="Times New Roman" w:hAnsi="Times New Roman"/>
          <w:sz w:val="20"/>
          <w:u w:val="single"/>
        </w:rPr>
        <w:t>Section 2.3</w:t>
      </w:r>
      <w:r>
        <w:rPr>
          <w:rFonts w:ascii="Times New Roman" w:hAnsi="Times New Roman"/>
          <w:sz w:val="20"/>
        </w:rPr>
        <w:t xml:space="preserve"> shall be exercised by Tenant, if at all, only in the following manner:  Tenant shall deliver written notice (the "</w:t>
      </w:r>
      <w:r>
        <w:rPr>
          <w:rFonts w:ascii="Times New Roman" w:hAnsi="Times New Roman"/>
          <w:b/>
          <w:sz w:val="20"/>
        </w:rPr>
        <w:t>Option Exercise Notice</w:t>
      </w:r>
      <w:r>
        <w:rPr>
          <w:rFonts w:ascii="Times New Roman" w:hAnsi="Times New Roman"/>
          <w:sz w:val="20"/>
        </w:rPr>
        <w:t>") to Landlord not more than twelve (12) months nor less than nine (9) months prior to the expiration of the initial Lease Term, stating that Tenant is irrevocably exercising its option.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2.3.4</w:t>
      </w:r>
      <w:bookmarkStart w:id="1501" w:name="TAB239"/>
      <w:bookmarkEnd w:id="1501"/>
      <w:r>
        <w:rPr>
          <w:color w:val="000000"/>
          <w:spacing w:val="180"/>
        </w:rPr>
        <w:t> </w:t>
      </w:r>
      <w:r>
        <w:rPr>
          <w:rFonts w:ascii="Times New Roman" w:hAnsi="Times New Roman"/>
          <w:b/>
          <w:sz w:val="20"/>
          <w:u w:val="single"/>
        </w:rPr>
        <w:t>Determination of Option Rent</w:t>
      </w:r>
      <w:r>
        <w:rPr>
          <w:rFonts w:ascii="Times New Roman" w:hAnsi="Times New Roman"/>
          <w:sz w:val="20"/>
        </w:rPr>
        <w:t>.  In the event Tenant timely and appropriately exercises its option to extend the Lease Term, Landlord shall notify Tenant of Landlord's determination of the Option Rent on or before the date that is thirty (30) days following Landlord's receipt of the Option Exercise Notice.  If Tenant, on or before the date which is thirty (30) days following the date upon which Tenant receives Landlord's determination of the Option Rent, in good faith objects to Landlord's determination of the Option Rent, then Landlord and Tenant shall attempt to agree upon the Option Rent using their good-faith efforts.  If Landlord and Tenant fail to reach agreement within thirty (30) days following Tenant's objection to the Option Rent (the "</w:t>
      </w:r>
      <w:r>
        <w:rPr>
          <w:rFonts w:ascii="Times New Roman" w:hAnsi="Times New Roman"/>
          <w:b/>
          <w:sz w:val="20"/>
        </w:rPr>
        <w:t>Outside Agreement Date</w:t>
      </w:r>
      <w:r>
        <w:rPr>
          <w:rFonts w:ascii="Times New Roman" w:hAnsi="Times New Roman"/>
          <w:sz w:val="20"/>
        </w:rPr>
        <w:t xml:space="preserve">"), then each party shall thereafter make a separate determination of the Option Rent, within five (5) business days of the Outside Agreement Date, and such determinations shall be submitted to arbitration in accordance with </w:t>
      </w:r>
      <w:r>
        <w:rPr>
          <w:rFonts w:ascii="Times New Roman" w:hAnsi="Times New Roman"/>
          <w:sz w:val="20"/>
          <w:u w:val="single"/>
        </w:rPr>
        <w:t>Sections 2.3.4.1</w:t>
      </w:r>
      <w:r>
        <w:rPr>
          <w:rFonts w:ascii="Times New Roman" w:hAnsi="Times New Roman"/>
          <w:sz w:val="20"/>
        </w:rPr>
        <w:t xml:space="preserve"> through </w:t>
      </w:r>
      <w:r>
        <w:rPr>
          <w:rFonts w:ascii="Times New Roman" w:hAnsi="Times New Roman"/>
          <w:sz w:val="20"/>
          <w:u w:val="single"/>
        </w:rPr>
        <w:t>2.3.4.4</w:t>
      </w:r>
      <w:r>
        <w:rPr>
          <w:rFonts w:ascii="Times New Roman" w:hAnsi="Times New Roman"/>
          <w:sz w:val="20"/>
        </w:rPr>
        <w:t>, below.  If Tenant fails to object to Landlord's determination of the Option Rent within the time period set forth herein, then Tenant shall be deemed to have rejected Landlord's determination of the Option Rent, and the matter shall be submitted to arbitration in accordance with the terms hereof.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2" w:name="PGBRK143"/>
      <w:bookmarkStart w:id="1503" w:name="PGBRK143"/>
      <w:bookmarkEnd w:id="1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4" w:name="FTR143"/>
      <w:bookmarkStart w:id="1505" w:name="FTR143"/>
      <w:bookmarkEnd w:id="1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06" w:name="GLFTR143"/>
      <w:bookmarkEnd w:id="15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07" w:name="PN143"/>
      <w:bookmarkEnd w:id="1507"/>
      <w:r>
        <w:rPr>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8" w:name="HDR143"/>
      <w:bookmarkStart w:id="1509" w:name="HDR143"/>
      <w:bookmarkEnd w:id="1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10" w:name="GLHDR143"/>
      <w:bookmarkEnd w:id="15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2.3.4.1</w:t>
      </w:r>
      <w:bookmarkStart w:id="1511" w:name="TAB240"/>
      <w:bookmarkEnd w:id="1511"/>
      <w:r>
        <w:rPr>
          <w:color w:val="000000"/>
          <w:spacing w:val="180"/>
        </w:rPr>
        <w:t> </w:t>
      </w:r>
      <w:r>
        <w:rPr>
          <w:rFonts w:ascii="Times New Roman" w:hAnsi="Times New Roman"/>
          <w:sz w:val="20"/>
        </w:rPr>
        <w:t>Landlord and Tenant shall each appoint one arbitrator who shall be, at the option of the appointing party, a MAI appraiser, a real estate broker, or real estate attorney, who shall have been active over the five (5) year period ending on the date of such appointment in the leasing or appraisal, as the case may be, of life science properties in San Diego, California.  Each such arbitrator shall be appointed within twenty (20)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Times New Roman" w:hAnsi="Times New Roman"/>
          <w:b/>
          <w:sz w:val="20"/>
        </w:rPr>
        <w:t>Advocate Arbitrators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2.3.4.2</w:t>
      </w:r>
      <w:bookmarkStart w:id="1512" w:name="TAB241"/>
      <w:bookmarkEnd w:id="1512"/>
      <w:r>
        <w:rPr>
          <w:color w:val="000000"/>
          <w:spacing w:val="180"/>
        </w:rPr>
        <w:t> </w:t>
      </w:r>
      <w:r>
        <w:rPr>
          <w:rFonts w:ascii="Times New Roman" w:hAnsi="Times New Roman"/>
          <w:sz w:val="20"/>
        </w:rPr>
        <w:t>The two (2) Advocate Arbitrators so appointed shall be specifically required pursuant to an engagement letter within ten (10) days of the date of the appointment of the last appointed Advocate Arbitrator to agree upon and appoint a third arbitrator ("</w:t>
      </w:r>
      <w:r>
        <w:rPr>
          <w:rFonts w:ascii="Times New Roman" w:hAnsi="Times New Roman"/>
          <w:b/>
          <w:sz w:val="20"/>
        </w:rPr>
        <w:t>Neutral Arbitrator</w:t>
      </w:r>
      <w:r>
        <w:rPr>
          <w:rFonts w:ascii="Times New Roman" w:hAnsi="Times New Roman"/>
          <w:sz w:val="20"/>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appointment.  The Neutral Arbitrator shall be retained via an engagement letter jointly prepared by Landlord's counsel and Tenant’s counsel.</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2.3.4.3</w:t>
      </w:r>
      <w:bookmarkStart w:id="1513" w:name="TAB242"/>
      <w:bookmarkEnd w:id="1513"/>
      <w:r>
        <w:rPr>
          <w:color w:val="000000"/>
          <w:spacing w:val="180"/>
        </w:rPr>
        <w:t> </w:t>
      </w:r>
      <w:r>
        <w:rPr>
          <w:rFonts w:ascii="Times New Roman" w:hAnsi="Times New Roman"/>
          <w:sz w:val="20"/>
        </w:rPr>
        <w:t xml:space="preserve">The three arbitrators shall, within thirty (30) days of the appointment of the Neutral Arbitrator, reach a decision as to whether the parties shall use Landlord's or Tenant's submitted Option Rent, and shall notify Landlord and Tenant thereof.  The determination of the arbitrators shall be limited solely to the issue of whether Landlord's or Tenant's submitted Option Rent is the closest to the actual Option Rent, taking into account the requirements of </w:t>
      </w:r>
      <w:r>
        <w:rPr>
          <w:rFonts w:ascii="Times New Roman" w:hAnsi="Times New Roman"/>
          <w:sz w:val="20"/>
          <w:u w:val="single"/>
        </w:rPr>
        <w:t>Section 2.3.2</w:t>
      </w:r>
      <w:r>
        <w:rPr>
          <w:rFonts w:ascii="Times New Roman" w:hAnsi="Times New Roman"/>
          <w:sz w:val="20"/>
        </w:rPr>
        <w:t xml:space="preserve"> of this Lease, as determined by the arbitrators.</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2.3.4.4</w:t>
      </w:r>
      <w:bookmarkStart w:id="1514" w:name="TAB243"/>
      <w:bookmarkEnd w:id="1514"/>
      <w:r>
        <w:rPr>
          <w:color w:val="000000"/>
          <w:spacing w:val="180"/>
        </w:rPr>
        <w:t> </w:t>
      </w:r>
      <w:r>
        <w:rPr>
          <w:rFonts w:ascii="Times New Roman" w:hAnsi="Times New Roman"/>
          <w:sz w:val="20"/>
        </w:rPr>
        <w:t>The decision of the majority of the three arbitrators shall be binding upon Landlord and Tenant.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2.3.4.5</w:t>
      </w:r>
      <w:bookmarkStart w:id="1515" w:name="TAB244"/>
      <w:bookmarkEnd w:id="1515"/>
      <w:r>
        <w:rPr>
          <w:color w:val="000000"/>
          <w:spacing w:val="180"/>
        </w:rPr>
        <w:t> </w:t>
      </w:r>
      <w:r>
        <w:rPr>
          <w:rFonts w:ascii="Times New Roman" w:hAnsi="Times New Roman"/>
          <w:sz w:val="20"/>
        </w:rPr>
        <w:t xml:space="preserve">If either Landlord or Tenant fails to appoint an Advocate Arbitrator within twenty (20) days after the Outside Agreement Date, then either party may petition the presiding judge of the Superior Court of San Diego County to appoint such Advocate Arbitrator subject to the criteria in </w:t>
      </w:r>
      <w:r>
        <w:rPr>
          <w:rFonts w:ascii="Times New Roman" w:hAnsi="Times New Roman"/>
          <w:sz w:val="20"/>
          <w:u w:val="single"/>
        </w:rPr>
        <w:t>Section 2.3.4.1</w:t>
      </w:r>
      <w:r>
        <w:rPr>
          <w:rFonts w:ascii="Times New Roman" w:hAnsi="Times New Roman"/>
          <w:sz w:val="20"/>
        </w:rPr>
        <w:t xml:space="preserve"> of this Lease, or if he or she refuses to act, either party may petition any judge having jurisdiction over the parties to appoint such Advocate Arbitrator.</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2.3.4.6</w:t>
      </w:r>
      <w:bookmarkStart w:id="1516" w:name="TAB245"/>
      <w:bookmarkEnd w:id="1516"/>
      <w:r>
        <w:rPr>
          <w:color w:val="000000"/>
          <w:spacing w:val="180"/>
        </w:rPr>
        <w:t> </w:t>
      </w:r>
      <w:r>
        <w:rPr>
          <w:rFonts w:ascii="Times New Roman" w:hAnsi="Times New Roman"/>
          <w:sz w:val="20"/>
        </w:rPr>
        <w:t xml:space="preserve">If the two (2) Advocate Arbitrators fail to agree upon and appoint the Neutral Arbitrator within ten (10) business days after the appointment of the last appointed Advocate Arbitrator, then either party may petition the presiding judge of the Superior Court of San Diego County to appoint the Neutral Arbitrator, subject to criteria in </w:t>
      </w:r>
      <w:r>
        <w:rPr>
          <w:rFonts w:ascii="Times New Roman" w:hAnsi="Times New Roman"/>
          <w:sz w:val="20"/>
          <w:u w:val="single"/>
        </w:rPr>
        <w:t>Section 2.3.4.2</w:t>
      </w:r>
      <w:r>
        <w:rPr>
          <w:rFonts w:ascii="Times New Roman" w:hAnsi="Times New Roman"/>
          <w:sz w:val="20"/>
        </w:rPr>
        <w:t xml:space="preserve"> of this Lease, or if he or she refuses to act, either party may petition any judge having jurisdiction over the parties to appoint such arbitrator.</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2.3.4.7</w:t>
      </w:r>
      <w:bookmarkStart w:id="1517" w:name="TAB246"/>
      <w:bookmarkEnd w:id="1517"/>
      <w:r>
        <w:rPr>
          <w:color w:val="000000"/>
          <w:spacing w:val="180"/>
        </w:rPr>
        <w:t> </w:t>
      </w:r>
      <w:r>
        <w:rPr>
          <w:rFonts w:ascii="Times New Roman" w:hAnsi="Times New Roman"/>
          <w:sz w:val="20"/>
        </w:rPr>
        <w:t>The cost of the arbitration shall be paid by Landlord and Tenant equally.</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2.3.4.8</w:t>
      </w:r>
      <w:bookmarkStart w:id="1518" w:name="TAB247"/>
      <w:bookmarkEnd w:id="1518"/>
      <w:r>
        <w:rPr>
          <w:color w:val="000000"/>
          <w:spacing w:val="180"/>
        </w:rPr>
        <w:t> </w:t>
      </w:r>
      <w:r>
        <w:rPr>
          <w:rFonts w:ascii="Times New Roman" w:hAnsi="Times New Roman"/>
          <w:sz w:val="20"/>
        </w:rPr>
        <w:t>In the event that the Option Rent shall not have been determined pursuant to the terms hereof prior to the commencement of the Option Term, Tenant shall be required to pay as Option Rent, an amount equal to 103% of the Base Rent payable by Tenant as of the expiration of the initial Lease Term, and upon the final determination of the Option Rent, the payments made by Tenant shall be reconciled with the actual amounts of Option Rent due, and the appropriate party shall make any corresponding payment to the other party.</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3.</w:t>
      </w:r>
      <w:bookmarkStart w:id="1519" w:name="TAB248"/>
      <w:bookmarkEnd w:id="1519"/>
      <w:r>
        <w:rPr>
          <w:color w:val="000000"/>
          <w:spacing w:val="180"/>
        </w:rPr>
        <w:t> </w:t>
      </w:r>
      <w:bookmarkStart w:id="1520" w:name="TAB12"/>
      <w:bookmarkEnd w:id="1520"/>
      <w:r>
        <w:rPr>
          <w:rFonts w:ascii="Times New Roman" w:hAnsi="Times New Roman"/>
          <w:sz w:val="20"/>
        </w:rPr>
        <w:t>BASE RENT  Tenant shall pay, without prior notice or demand, to Landlord or Landlord's agent at the management office of the Project, or, at Landlord's option, at such other place as Landlord may from time to time designate in writing, by electronic wire transfer or by a check for currency which, at the time of payment, is legal tender for private or public debts in the United States of America, base rent ("</w:t>
      </w:r>
      <w:r>
        <w:rPr>
          <w:rFonts w:ascii="Times New Roman" w:hAnsi="Times New Roman"/>
          <w:b/>
          <w:sz w:val="20"/>
        </w:rPr>
        <w:t>Base Rent</w:t>
      </w:r>
      <w:r>
        <w:rPr>
          <w:rFonts w:ascii="Times New Roman" w:hAnsi="Times New Roman"/>
          <w:sz w:val="20"/>
        </w:rPr>
        <w:t>") as set forth in Section 4 of the Summary, payable in equal monthly installments as set forth in Section 4 of the Summary in advance on or before the first day of each and every calendar month during the Lease Term, without any setoff or deduction whatsoever.  The Base Rent for the first full month of the Lease Term after the Rent Abatement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1" w:name="PGBRK144"/>
      <w:bookmarkStart w:id="1522" w:name="PGBRK144"/>
      <w:bookmarkEnd w:id="1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3" w:name="FTR144"/>
      <w:bookmarkStart w:id="1524" w:name="FTR144"/>
      <w:bookmarkEnd w:id="1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25" w:name="GLFTR144"/>
      <w:bookmarkEnd w:id="1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26" w:name="PN144"/>
      <w:bookmarkEnd w:id="1526"/>
      <w:r>
        <w:rPr>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7" w:name="HDR144"/>
      <w:bookmarkStart w:id="1528" w:name="HDR144"/>
      <w:bookmarkEnd w:id="1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29" w:name="GLHDR144"/>
      <w:bookmarkEnd w:id="15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rPr/>
      </w:pPr>
      <w:r>
        <w:rPr>
          <w:rFonts w:ascii="Times New Roman" w:hAnsi="Times New Roman"/>
          <w:b/>
          <w:sz w:val="20"/>
        </w:rPr>
        <w:t>4.</w:t>
      </w:r>
      <w:bookmarkStart w:id="1530" w:name="TAB249"/>
      <w:bookmarkEnd w:id="1530"/>
      <w:r>
        <w:rPr>
          <w:color w:val="000000"/>
          <w:spacing w:val="180"/>
        </w:rPr>
        <w:t> </w:t>
      </w:r>
      <w:bookmarkStart w:id="1531" w:name="TAB13"/>
      <w:bookmarkEnd w:id="1531"/>
      <w:r>
        <w:rPr>
          <w:rFonts w:ascii="Times New Roman" w:hAnsi="Times New Roman"/>
          <w:sz w:val="20"/>
        </w:rPr>
        <w:t>ADDITIONAL RENT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4.1</w:t>
      </w:r>
      <w:bookmarkStart w:id="1532" w:name="TAB250"/>
      <w:bookmarkEnd w:id="1532"/>
      <w:r>
        <w:rPr>
          <w:color w:val="000000"/>
          <w:spacing w:val="180"/>
        </w:rPr>
        <w:t> </w:t>
      </w:r>
      <w:r>
        <w:rPr>
          <w:rFonts w:ascii="Times New Roman" w:hAnsi="Times New Roman"/>
          <w:b/>
          <w:sz w:val="20"/>
          <w:u w:val="single"/>
        </w:rPr>
        <w:t>General Terms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4.1.1</w:t>
      </w:r>
      <w:bookmarkStart w:id="1533" w:name="TAB251"/>
      <w:bookmarkEnd w:id="1533"/>
      <w:r>
        <w:rPr>
          <w:color w:val="000000"/>
          <w:spacing w:val="180"/>
        </w:rPr>
        <w:t> </w:t>
      </w:r>
      <w:r>
        <w:rPr>
          <w:rFonts w:ascii="Times New Roman" w:hAnsi="Times New Roman"/>
          <w:b/>
          <w:sz w:val="20"/>
          <w:u w:val="single"/>
        </w:rPr>
        <w:t>Direct Expenses; Additional Rent</w:t>
      </w:r>
      <w:r>
        <w:rPr>
          <w:rFonts w:ascii="Times New Roman" w:hAnsi="Times New Roman"/>
          <w:sz w:val="20"/>
        </w:rPr>
        <w:t xml:space="preserve">.  In addition to paying the Base Rent specified in </w:t>
      </w:r>
      <w:r>
        <w:rPr>
          <w:rFonts w:ascii="Times New Roman" w:hAnsi="Times New Roman"/>
          <w:sz w:val="20"/>
          <w:u w:val="single"/>
        </w:rPr>
        <w:t>Article 3</w:t>
      </w:r>
      <w:r>
        <w:rPr>
          <w:rFonts w:ascii="Times New Roman" w:hAnsi="Times New Roman"/>
          <w:sz w:val="20"/>
        </w:rPr>
        <w:t xml:space="preserve"> of this Lease, Tenant shall pay "</w:t>
      </w:r>
      <w:r>
        <w:rPr>
          <w:rFonts w:ascii="Times New Roman" w:hAnsi="Times New Roman"/>
          <w:b/>
          <w:sz w:val="20"/>
        </w:rPr>
        <w:t>Tenant's Share</w:t>
      </w:r>
      <w:r>
        <w:rPr>
          <w:rFonts w:ascii="Times New Roman" w:hAnsi="Times New Roman"/>
          <w:sz w:val="20"/>
        </w:rPr>
        <w:t>" of the annual "</w:t>
      </w:r>
      <w:r>
        <w:rPr>
          <w:rFonts w:ascii="Times New Roman" w:hAnsi="Times New Roman"/>
          <w:b/>
          <w:sz w:val="20"/>
        </w:rPr>
        <w:t>Direct Expenses</w:t>
      </w:r>
      <w:r>
        <w:rPr>
          <w:rFonts w:ascii="Times New Roman" w:hAnsi="Times New Roman"/>
          <w:sz w:val="20"/>
        </w:rPr>
        <w:t xml:space="preserve">," as those terms are defined in </w:t>
      </w:r>
      <w:r>
        <w:rPr>
          <w:rFonts w:ascii="Times New Roman" w:hAnsi="Times New Roman"/>
          <w:sz w:val="20"/>
          <w:u w:val="single"/>
        </w:rPr>
        <w:t>Sections 4.2.6 and 4.2.2</w:t>
      </w:r>
      <w:r>
        <w:rPr>
          <w:rFonts w:ascii="Times New Roman" w:hAnsi="Times New Roman"/>
          <w:sz w:val="20"/>
        </w:rPr>
        <w:t xml:space="preserve"> of this Lease, respectively.  Such payments by Tenant, together with any and all other amounts payable by Tenant to Landlord pursuant to the terms of this Lease, are hereinafter collectively referred to as the "</w:t>
      </w:r>
      <w:r>
        <w:rPr>
          <w:rFonts w:ascii="Times New Roman" w:hAnsi="Times New Roman"/>
          <w:b/>
          <w:sz w:val="20"/>
        </w:rPr>
        <w:t>Additional Rent</w:t>
      </w:r>
      <w:r>
        <w:rPr>
          <w:rFonts w:ascii="Times New Roman" w:hAnsi="Times New Roman"/>
          <w:sz w:val="20"/>
        </w:rPr>
        <w:t>", and the Base Rent and the Additional Rent are herein collectively referred to as "</w:t>
      </w:r>
      <w:r>
        <w:rPr>
          <w:rFonts w:ascii="Times New Roman" w:hAnsi="Times New Roman"/>
          <w:b/>
          <w:sz w:val="20"/>
        </w:rPr>
        <w:t>Rent</w:t>
      </w:r>
      <w:r>
        <w:rPr>
          <w:rFonts w:ascii="Times New Roman" w:hAnsi="Times New Roman"/>
          <w:sz w:val="20"/>
        </w:rPr>
        <w:t xml:space="preserve">."  All amounts due under this </w:t>
      </w:r>
      <w:r>
        <w:rPr>
          <w:rFonts w:ascii="Times New Roman" w:hAnsi="Times New Roman"/>
          <w:sz w:val="20"/>
          <w:u w:val="single"/>
        </w:rPr>
        <w:t>Article 4</w:t>
      </w:r>
      <w:r>
        <w:rPr>
          <w:rFonts w:ascii="Times New Roman" w:hAnsi="Times New Roman"/>
          <w:sz w:val="20"/>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Times New Roman" w:hAnsi="Times New Roman"/>
          <w:sz w:val="20"/>
          <w:u w:val="single"/>
        </w:rPr>
        <w:t>Article 4</w:t>
      </w:r>
      <w:r>
        <w:rPr>
          <w:rFonts w:ascii="Times New Roman" w:hAnsi="Times New Roman"/>
          <w:sz w:val="20"/>
        </w:rPr>
        <w:t xml:space="preserve"> shall survive the expiration of the Lease Term.</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4.1.2</w:t>
      </w:r>
      <w:bookmarkStart w:id="1534" w:name="TAB252"/>
      <w:bookmarkEnd w:id="1534"/>
      <w:r>
        <w:rPr>
          <w:color w:val="000000"/>
          <w:spacing w:val="180"/>
        </w:rPr>
        <w:t> </w:t>
      </w:r>
      <w:r>
        <w:rPr>
          <w:rFonts w:ascii="Times New Roman" w:hAnsi="Times New Roman"/>
          <w:b/>
          <w:sz w:val="20"/>
          <w:u w:val="single"/>
        </w:rPr>
        <w:t>Triple Net Lease</w:t>
      </w:r>
      <w:r>
        <w:rPr>
          <w:rFonts w:ascii="Times New Roman" w:hAnsi="Times New Roman"/>
          <w:sz w:val="20"/>
        </w:rPr>
        <w:t>.  Landlord and Tenant acknowledge that, except as otherwise provided to the contrary in this Lease, it is their intent and agreement that this Lease be a "</w:t>
      </w:r>
      <w:r>
        <w:rPr>
          <w:rFonts w:ascii="Times New Roman" w:hAnsi="Times New Roman"/>
          <w:b/>
          <w:sz w:val="20"/>
        </w:rPr>
        <w:t>TRIPLE NET</w:t>
      </w:r>
      <w:r>
        <w:rPr>
          <w:rFonts w:ascii="Times New Roman" w:hAnsi="Times New Roman"/>
          <w:sz w:val="20"/>
        </w:rPr>
        <w:t>" lease and that as such, the provisions contained in this Lease are intended to pass on to Tenant or reimburse Landlord for the costs and expenses reasonably associated with this Lease, the Building and the Project, and Tenant's operation therefrom.  To the extent such costs and expenses payable by Tenant cannot be charged directly to, and paid by, Tenant, such costs and expenses shall be paid by Landlord but reimbursed by Tenant as Additional Rent.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4.2</w:t>
      </w:r>
      <w:bookmarkStart w:id="1535" w:name="TAB253"/>
      <w:bookmarkEnd w:id="1535"/>
      <w:r>
        <w:rPr>
          <w:color w:val="000000"/>
          <w:spacing w:val="180"/>
        </w:rPr>
        <w:t> </w:t>
      </w:r>
      <w:r>
        <w:rPr>
          <w:rFonts w:ascii="Times New Roman" w:hAnsi="Times New Roman"/>
          <w:b/>
          <w:sz w:val="20"/>
          <w:u w:val="single"/>
        </w:rPr>
        <w:t>Definitions of Key Terms Relating to Additional Rent</w:t>
      </w:r>
      <w:r>
        <w:rPr>
          <w:rFonts w:ascii="Times New Roman" w:hAnsi="Times New Roman"/>
          <w:sz w:val="20"/>
        </w:rPr>
        <w:t xml:space="preserve">.  As used in this </w:t>
      </w:r>
      <w:r>
        <w:rPr>
          <w:rFonts w:ascii="Times New Roman" w:hAnsi="Times New Roman"/>
          <w:sz w:val="20"/>
          <w:u w:val="single"/>
        </w:rPr>
        <w:t>Article 4</w:t>
      </w:r>
      <w:r>
        <w:rPr>
          <w:rFonts w:ascii="Times New Roman" w:hAnsi="Times New Roman"/>
          <w:sz w:val="20"/>
        </w:rPr>
        <w:t>, the following terms shall have the meanings hereinafter set forth:</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4.2.1</w:t>
      </w:r>
      <w:bookmarkStart w:id="1536" w:name="TAB254"/>
      <w:bookmarkEnd w:id="1536"/>
      <w:r>
        <w:rPr>
          <w:color w:val="000000"/>
          <w:spacing w:val="180"/>
        </w:rPr>
        <w:t> </w:t>
      </w:r>
      <w:r>
        <w:rPr>
          <w:rFonts w:ascii="Times New Roman" w:hAnsi="Times New Roman"/>
          <w:sz w:val="20"/>
        </w:rPr>
        <w:t>Intentionally Deleted.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4.2.2</w:t>
      </w:r>
      <w:bookmarkStart w:id="1537" w:name="TAB255"/>
      <w:bookmarkEnd w:id="1537"/>
      <w:r>
        <w:rPr>
          <w:color w:val="000000"/>
          <w:spacing w:val="180"/>
        </w:rPr>
        <w:t> </w:t>
      </w:r>
      <w:r>
        <w:rPr>
          <w:rFonts w:ascii="Times New Roman" w:hAnsi="Times New Roman"/>
          <w:sz w:val="20"/>
        </w:rPr>
        <w:t>"</w:t>
      </w:r>
      <w:r>
        <w:rPr>
          <w:rFonts w:ascii="Times New Roman" w:hAnsi="Times New Roman"/>
          <w:b/>
          <w:sz w:val="20"/>
        </w:rPr>
        <w:t>Direct Expenses</w:t>
      </w:r>
      <w:r>
        <w:rPr>
          <w:rFonts w:ascii="Times New Roman" w:hAnsi="Times New Roman"/>
          <w:sz w:val="20"/>
        </w:rPr>
        <w:t>" shall mean "</w:t>
      </w:r>
      <w:r>
        <w:rPr>
          <w:rFonts w:ascii="Times New Roman" w:hAnsi="Times New Roman"/>
          <w:b/>
          <w:sz w:val="20"/>
        </w:rPr>
        <w:t>Operating Expenses</w:t>
      </w:r>
      <w:r>
        <w:rPr>
          <w:rFonts w:ascii="Times New Roman" w:hAnsi="Times New Roman"/>
          <w:sz w:val="20"/>
        </w:rPr>
        <w:t>" and "</w:t>
      </w:r>
      <w:r>
        <w:rPr>
          <w:rFonts w:ascii="Times New Roman" w:hAnsi="Times New Roman"/>
          <w:b/>
          <w:sz w:val="20"/>
        </w:rPr>
        <w:t>Tax Expenses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4.2.3</w:t>
      </w:r>
      <w:bookmarkStart w:id="1538" w:name="TAB256"/>
      <w:bookmarkEnd w:id="1538"/>
      <w:r>
        <w:rPr>
          <w:color w:val="000000"/>
          <w:spacing w:val="180"/>
        </w:rPr>
        <w:t> </w:t>
      </w:r>
      <w:r>
        <w:rPr>
          <w:rFonts w:ascii="Times New Roman" w:hAnsi="Times New Roman"/>
          <w:sz w:val="20"/>
        </w:rPr>
        <w:t>"</w:t>
      </w:r>
      <w:r>
        <w:rPr>
          <w:rFonts w:ascii="Times New Roman" w:hAnsi="Times New Roman"/>
          <w:b/>
          <w:sz w:val="20"/>
        </w:rPr>
        <w:t>Expense Year</w:t>
      </w:r>
      <w:r>
        <w:rPr>
          <w:rFonts w:ascii="Times New Roman" w:hAnsi="Times New Roman"/>
          <w:sz w:val="20"/>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39" w:name="PGBRK145"/>
      <w:bookmarkStart w:id="1540" w:name="PGBRK145"/>
      <w:bookmarkEnd w:id="1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41" w:name="FTR145"/>
      <w:bookmarkStart w:id="1542" w:name="FTR145"/>
      <w:bookmarkEnd w:id="1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43" w:name="GLFTR145"/>
      <w:bookmarkEnd w:id="1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44" w:name="PN145"/>
      <w:bookmarkEnd w:id="1544"/>
      <w:r>
        <w:rPr>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45" w:name="HDR145"/>
      <w:bookmarkStart w:id="1546" w:name="HDR145"/>
      <w:bookmarkEnd w:id="1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47" w:name="GLHDR145"/>
      <w:bookmarkEnd w:id="15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4.2.4</w:t>
      </w:r>
      <w:bookmarkStart w:id="1548" w:name="TAB257"/>
      <w:bookmarkEnd w:id="1548"/>
      <w:r>
        <w:rPr>
          <w:color w:val="000000"/>
          <w:spacing w:val="180"/>
        </w:rPr>
        <w:t> </w:t>
      </w:r>
      <w:r>
        <w:rPr>
          <w:rFonts w:ascii="Times New Roman" w:hAnsi="Times New Roman"/>
          <w:sz w:val="20"/>
        </w:rPr>
        <w:t>"</w:t>
      </w:r>
      <w:r>
        <w:rPr>
          <w:rFonts w:ascii="Times New Roman" w:hAnsi="Times New Roman"/>
          <w:b/>
          <w:sz w:val="20"/>
        </w:rPr>
        <w:t>Operating Expenses</w:t>
      </w:r>
      <w:r>
        <w:rPr>
          <w:rFonts w:ascii="Times New Roman" w:hAnsi="Times New Roman"/>
          <w:sz w:val="20"/>
        </w:rPr>
        <w:t xml:space="preserve">"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consulting fees, legal fees and accounting fees, of all 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that are required to comply with present or anticipated conservation programs, (C) which are replacements or modifications of nonstructural items located in the Common Areas required to keep the Common Areas in good order or condition, or (D) that are required under any governmental law or regulation; provided, however, that any capital expenditure shall be amortized (including interest on the amortized cost) over such period of time as Landlord shall reasonably determine;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hAnsi="Times New Roman"/>
          <w:sz w:val="20"/>
          <w:u w:val="single"/>
        </w:rPr>
        <w:t>Section 4.2.5</w:t>
      </w:r>
      <w:r>
        <w:rPr>
          <w:rFonts w:ascii="Times New Roman" w:hAnsi="Times New Roman"/>
          <w:sz w:val="20"/>
        </w:rPr>
        <w:t>, below,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Times New Roman" w:hAnsi="Times New Roman"/>
          <w:b/>
          <w:sz w:val="20"/>
        </w:rPr>
        <w:t>Underlying Documents</w:t>
      </w:r>
      <w:r>
        <w:rPr>
          <w:rFonts w:ascii="Times New Roman" w:hAnsi="Times New Roman"/>
          <w:sz w:val="20"/>
        </w:rPr>
        <w:t>").  Notwithstanding the foregoing, for purposes of this Lease, Operating Expenses shall not, however, include:</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(a)</w:t>
      </w:r>
      <w:bookmarkStart w:id="1549" w:name="TAB258"/>
      <w:bookmarkEnd w:id="1549"/>
      <w:r>
        <w:rPr>
          <w:color w:val="000000"/>
          <w:spacing w:val="180"/>
        </w:rPr>
        <w:t> </w:t>
      </w:r>
      <w:r>
        <w:rPr>
          <w:rFonts w:ascii="Times New Roman" w:hAnsi="Times New Roman"/>
          <w:sz w:val="20"/>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(b)</w:t>
      </w:r>
      <w:bookmarkStart w:id="1550" w:name="TAB259"/>
      <w:bookmarkEnd w:id="1550"/>
      <w:r>
        <w:rPr>
          <w:color w:val="000000"/>
          <w:spacing w:val="180"/>
        </w:rPr>
        <w:t> </w:t>
      </w:r>
      <w:r>
        <w:rPr>
          <w:rFonts w:ascii="Times New Roman" w:hAnsi="Times New Roman"/>
          <w:sz w:val="20"/>
        </w:rPr>
        <w:t>except as set forth in items (xii), (xiii), and (xiv) above, depreciation, interest and principal payments on mortgages and other debt costs, if any, penalties and interest;</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(c)</w:t>
      </w:r>
      <w:bookmarkStart w:id="1551" w:name="TAB260"/>
      <w:bookmarkEnd w:id="1551"/>
      <w:r>
        <w:rPr>
          <w:color w:val="000000"/>
          <w:spacing w:val="180"/>
        </w:rPr>
        <w:t> </w:t>
      </w:r>
      <w:r>
        <w:rPr>
          <w:rFonts w:ascii="Times New Roman" w:hAnsi="Times New Roman"/>
          <w:sz w:val="20"/>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52" w:name="PGBRK146"/>
      <w:bookmarkStart w:id="1553" w:name="PGBRK146"/>
      <w:bookmarkEnd w:id="1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4" w:name="FTR146"/>
      <w:bookmarkStart w:id="1555" w:name="FTR146"/>
      <w:bookmarkEnd w:id="1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56" w:name="GLFTR146"/>
      <w:bookmarkEnd w:id="1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57" w:name="PN146"/>
      <w:bookmarkEnd w:id="1557"/>
      <w:r>
        <w:rPr>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8" w:name="HDR146"/>
      <w:bookmarkStart w:id="1559" w:name="HDR146"/>
      <w:bookmarkEnd w:id="1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60" w:name="GLHDR146"/>
      <w:bookmarkEnd w:id="15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2160"/>
        <w:rPr/>
      </w:pPr>
      <w:r>
        <w:rPr>
          <w:rFonts w:ascii="Times New Roman" w:hAnsi="Times New Roman"/>
          <w:sz w:val="20"/>
        </w:rPr>
        <w:t>(d)</w:t>
      </w:r>
      <w:bookmarkStart w:id="1561" w:name="TAB261"/>
      <w:bookmarkEnd w:id="1561"/>
      <w:r>
        <w:rPr>
          <w:color w:val="000000"/>
          <w:spacing w:val="180"/>
        </w:rPr>
        <w:t> </w:t>
      </w:r>
      <w:r>
        <w:rPr>
          <w:rFonts w:ascii="Times New Roman" w:hAnsi="Times New Roman"/>
          <w:sz w:val="20"/>
        </w:rPr>
        <w:t>any bad debt loss, rent loss, or reserves for bad debts or rent loss;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(e)</w:t>
      </w:r>
      <w:bookmarkStart w:id="1562" w:name="TAB262"/>
      <w:bookmarkEnd w:id="1562"/>
      <w:r>
        <w:rPr>
          <w:color w:val="000000"/>
          <w:spacing w:val="180"/>
        </w:rPr>
        <w:t> </w:t>
      </w:r>
      <w:r>
        <w:rPr>
          <w:rFonts w:ascii="Times New Roman" w:hAnsi="Times New Roman"/>
          <w:sz w:val="20"/>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(f)</w:t>
      </w:r>
      <w:bookmarkStart w:id="1563" w:name="TAB263"/>
      <w:bookmarkEnd w:id="1563"/>
      <w:r>
        <w:rPr>
          <w:color w:val="000000"/>
          <w:spacing w:val="180"/>
        </w:rPr>
        <w:t> </w:t>
      </w:r>
      <w:r>
        <w:rPr>
          <w:rFonts w:ascii="Times New Roman" w:hAnsi="Times New Roman"/>
          <w:sz w:val="20"/>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(g)</w:t>
      </w:r>
      <w:bookmarkStart w:id="1564" w:name="TAB264"/>
      <w:bookmarkEnd w:id="1564"/>
      <w:r>
        <w:rPr>
          <w:color w:val="000000"/>
          <w:spacing w:val="180"/>
        </w:rPr>
        <w:t> </w:t>
      </w:r>
      <w:r>
        <w:rPr>
          <w:rFonts w:ascii="Times New Roman" w:hAnsi="Times New Roman"/>
          <w:sz w:val="20"/>
        </w:rPr>
        <w:t>amount paid as ground rental for the Project by the Landlord;</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(h)</w:t>
      </w:r>
      <w:bookmarkStart w:id="1565" w:name="TAB265"/>
      <w:bookmarkEnd w:id="1565"/>
      <w:r>
        <w:rPr>
          <w:color w:val="000000"/>
          <w:spacing w:val="180"/>
        </w:rPr>
        <w:t> </w:t>
      </w:r>
      <w:r>
        <w:rPr>
          <w:rFonts w:ascii="Times New Roman" w:hAnsi="Times New Roman"/>
          <w:sz w:val="20"/>
        </w:rPr>
        <w:t>except for a Project management fee to the extent allowed pursuant to item (l)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(i)</w:t>
      </w:r>
      <w:bookmarkStart w:id="1566" w:name="TAB266"/>
      <w:bookmarkEnd w:id="1566"/>
      <w:r>
        <w:rPr>
          <w:color w:val="000000"/>
          <w:spacing w:val="180"/>
        </w:rPr>
        <w:t> </w:t>
      </w:r>
      <w:r>
        <w:rPr>
          <w:rFonts w:ascii="Times New Roman" w:hAnsi="Times New Roman"/>
          <w:sz w:val="20"/>
        </w:rPr>
        <w:t>any compensation paid to clerks, attendants or other persons in commercial concessions operated by the Landlord, provided that any compensation paid to any concierge at the Project shall be includable as an Operating Expense;</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(j)</w:t>
      </w:r>
      <w:bookmarkStart w:id="1567" w:name="TAB267"/>
      <w:bookmarkEnd w:id="1567"/>
      <w:r>
        <w:rPr>
          <w:color w:val="000000"/>
          <w:spacing w:val="180"/>
        </w:rPr>
        <w:t> </w:t>
      </w:r>
      <w:r>
        <w:rPr>
          <w:rFonts w:ascii="Times New Roman" w:hAnsi="Times New Roman"/>
          <w:sz w:val="20"/>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 ;</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(k)</w:t>
      </w:r>
      <w:bookmarkStart w:id="1568" w:name="TAB268"/>
      <w:bookmarkEnd w:id="1568"/>
      <w:r>
        <w:rPr>
          <w:color w:val="000000"/>
          <w:spacing w:val="180"/>
        </w:rPr>
        <w:t> </w:t>
      </w:r>
      <w:r>
        <w:rPr>
          <w:rFonts w:ascii="Times New Roman" w:hAnsi="Times New Roman"/>
          <w:sz w:val="20"/>
        </w:rPr>
        <w:t>all items and services for which Tenant or any other tenant in the Project reimburses Landlord or which Landlord provides selectively to one or more tenants (other than Tenant) without reimbursement;</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(l)</w:t>
      </w:r>
      <w:bookmarkStart w:id="1569" w:name="TAB269"/>
      <w:bookmarkEnd w:id="1569"/>
      <w:r>
        <w:rPr>
          <w:color w:val="000000"/>
          <w:spacing w:val="180"/>
        </w:rPr>
        <w:t> </w:t>
      </w:r>
      <w:r>
        <w:rPr>
          <w:rFonts w:ascii="Times New Roman" w:hAnsi="Times New Roman"/>
          <w:sz w:val="20"/>
        </w:rPr>
        <w:t>any costs expressly excluded from Operating Expenses elsewhere in this Lease;</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(m)</w:t>
      </w:r>
      <w:bookmarkStart w:id="1570" w:name="TAB270"/>
      <w:bookmarkEnd w:id="1570"/>
      <w:r>
        <w:rPr>
          <w:color w:val="000000"/>
          <w:spacing w:val="180"/>
        </w:rPr>
        <w:t> </w:t>
      </w:r>
      <w:r>
        <w:rPr>
          <w:rFonts w:ascii="Times New Roman" w:hAnsi="Times New Roman"/>
          <w:sz w:val="20"/>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(n)</w:t>
      </w:r>
      <w:bookmarkStart w:id="1571" w:name="TAB271"/>
      <w:bookmarkEnd w:id="1571"/>
      <w:r>
        <w:rPr>
          <w:color w:val="000000"/>
          <w:spacing w:val="180"/>
        </w:rPr>
        <w:t> </w:t>
      </w:r>
      <w:r>
        <w:rPr>
          <w:rFonts w:ascii="Times New Roman" w:hAnsi="Times New Roman"/>
          <w:sz w:val="20"/>
        </w:rPr>
        <w:t>costs arising from the gross negligence or willful misconduct of Landlord in connection with this Lease; and</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(o)</w:t>
      </w:r>
      <w:bookmarkStart w:id="1572" w:name="TAB272"/>
      <w:bookmarkEnd w:id="1572"/>
      <w:r>
        <w:rPr>
          <w:color w:val="000000"/>
          <w:spacing w:val="180"/>
        </w:rPr>
        <w:t> </w:t>
      </w:r>
      <w:r>
        <w:rPr>
          <w:rFonts w:ascii="Times New Roman" w:hAnsi="Times New Roman"/>
          <w:sz w:val="20"/>
        </w:rPr>
        <w:t>costs incurred to comply with laws relating to the removal of hazardous material (as defined under applicable law) that was in existence in the Building or on the Project prior to the Lease Commencement Date, or that is introduced to the Project after the Lease Commencement Date by anyone other than Tenant or the contractors, agents, servants, employees, invitees, guests or licensees of Tenant.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73" w:name="PGBRK147"/>
      <w:bookmarkStart w:id="1574" w:name="PGBRK147"/>
      <w:bookmarkEnd w:id="1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5" w:name="FTR147"/>
      <w:bookmarkStart w:id="1576" w:name="FTR147"/>
      <w:bookmarkEnd w:id="1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77" w:name="GLFTR147"/>
      <w:bookmarkEnd w:id="15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78" w:name="PN147"/>
      <w:bookmarkEnd w:id="1578"/>
      <w:r>
        <w:rPr>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9" w:name="HDR147"/>
      <w:bookmarkStart w:id="1580" w:name="HDR147"/>
      <w:bookmarkEnd w:id="1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1" w:name="GLHDR147"/>
      <w:bookmarkEnd w:id="15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b/>
          <w:sz w:val="20"/>
        </w:rPr>
        <w:t>4.2.5</w:t>
      </w:r>
      <w:bookmarkStart w:id="1582" w:name="TAB273"/>
      <w:bookmarkEnd w:id="1582"/>
      <w:r>
        <w:rPr>
          <w:color w:val="000000"/>
          <w:spacing w:val="180"/>
        </w:rPr>
        <w:t> </w:t>
      </w:r>
      <w:r>
        <w:rPr>
          <w:rFonts w:ascii="Times New Roman" w:hAnsi="Times New Roman"/>
          <w:b/>
          <w:sz w:val="20"/>
          <w:u w:val="single"/>
        </w:rPr>
        <w:t>Taxes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4.2.5.1</w:t>
      </w:r>
      <w:bookmarkStart w:id="1583" w:name="TAB274"/>
      <w:bookmarkEnd w:id="1583"/>
      <w:r>
        <w:rPr>
          <w:color w:val="000000"/>
          <w:spacing w:val="180"/>
        </w:rPr>
        <w:t> </w:t>
      </w:r>
      <w:r>
        <w:rPr>
          <w:rFonts w:ascii="Times New Roman" w:hAnsi="Times New Roman"/>
          <w:sz w:val="20"/>
        </w:rPr>
        <w:t>"</w:t>
      </w:r>
      <w:r>
        <w:rPr>
          <w:rFonts w:ascii="Times New Roman" w:hAnsi="Times New Roman"/>
          <w:b/>
          <w:sz w:val="20"/>
        </w:rPr>
        <w:t>Tax Expenses</w:t>
      </w:r>
      <w:r>
        <w:rPr>
          <w:rFonts w:ascii="Times New Roman" w:hAnsi="Times New Roman"/>
          <w:sz w:val="20"/>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4.2.5.2</w:t>
      </w:r>
      <w:bookmarkStart w:id="1584" w:name="TAB275"/>
      <w:bookmarkEnd w:id="1584"/>
      <w:r>
        <w:rPr>
          <w:color w:val="000000"/>
          <w:spacing w:val="180"/>
        </w:rPr>
        <w:t> </w:t>
      </w:r>
      <w:r>
        <w:rPr>
          <w:rFonts w:ascii="Times New Roman" w:hAnsi="Times New Roman"/>
          <w:sz w:val="20"/>
        </w:rPr>
        <w:t>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4.2.5.3</w:t>
      </w:r>
      <w:bookmarkStart w:id="1585" w:name="TAB276"/>
      <w:bookmarkEnd w:id="1585"/>
      <w:r>
        <w:rPr>
          <w:color w:val="000000"/>
          <w:spacing w:val="180"/>
        </w:rPr>
        <w:t> </w:t>
      </w:r>
      <w:r>
        <w:rPr>
          <w:rFonts w:ascii="Times New Roman" w:hAnsi="Times New Roman"/>
          <w:sz w:val="20"/>
        </w:rPr>
        <w:t xml:space="preserve">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Times New Roman" w:hAnsi="Times New Roman"/>
          <w:sz w:val="20"/>
          <w:u w:val="single"/>
        </w:rPr>
        <w:t>Section 4.2.5</w:t>
      </w:r>
      <w:r>
        <w:rPr>
          <w:rFonts w:ascii="Times New Roman" w:hAnsi="Times New Roman"/>
          <w:sz w:val="20"/>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and (iii) any items paid by Tenant under </w:t>
      </w:r>
      <w:r>
        <w:rPr>
          <w:rFonts w:ascii="Times New Roman" w:hAnsi="Times New Roman"/>
          <w:sz w:val="20"/>
          <w:u w:val="single"/>
        </w:rPr>
        <w:t>Section 4.5</w:t>
      </w:r>
      <w:r>
        <w:rPr>
          <w:rFonts w:ascii="Times New Roman" w:hAnsi="Times New Roman"/>
          <w:sz w:val="20"/>
        </w:rPr>
        <w:t xml:space="preserve"> of this Lease.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4.2.6</w:t>
      </w:r>
      <w:bookmarkStart w:id="1586" w:name="TAB277"/>
      <w:bookmarkEnd w:id="1586"/>
      <w:r>
        <w:rPr>
          <w:color w:val="000000"/>
          <w:spacing w:val="180"/>
        </w:rPr>
        <w:t> </w:t>
      </w:r>
      <w:r>
        <w:rPr>
          <w:rFonts w:ascii="Times New Roman" w:hAnsi="Times New Roman"/>
          <w:sz w:val="20"/>
        </w:rPr>
        <w:t>"</w:t>
      </w:r>
      <w:r>
        <w:rPr>
          <w:rFonts w:ascii="Times New Roman" w:hAnsi="Times New Roman"/>
          <w:b/>
          <w:sz w:val="20"/>
        </w:rPr>
        <w:t>Tenant's Share</w:t>
      </w:r>
      <w:r>
        <w:rPr>
          <w:rFonts w:ascii="Times New Roman" w:hAnsi="Times New Roman"/>
          <w:sz w:val="20"/>
        </w:rPr>
        <w:t xml:space="preserve">" shall mean the percentage set forth in </w:t>
      </w:r>
      <w:r>
        <w:rPr>
          <w:rFonts w:ascii="Times New Roman" w:hAnsi="Times New Roman"/>
          <w:sz w:val="20"/>
          <w:u w:val="single"/>
        </w:rPr>
        <w:t>Section 6</w:t>
      </w:r>
      <w:r>
        <w:rPr>
          <w:rFonts w:ascii="Times New Roman" w:hAnsi="Times New Roman"/>
          <w:sz w:val="20"/>
        </w:rPr>
        <w:t xml:space="preserve"> of the Summary.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4.3</w:t>
      </w:r>
      <w:bookmarkStart w:id="1587" w:name="TAB278"/>
      <w:bookmarkEnd w:id="1587"/>
      <w:r>
        <w:rPr>
          <w:color w:val="000000"/>
          <w:spacing w:val="180"/>
        </w:rPr>
        <w:t> </w:t>
      </w:r>
      <w:r>
        <w:rPr>
          <w:rFonts w:ascii="Times New Roman" w:hAnsi="Times New Roman"/>
          <w:b/>
          <w:sz w:val="20"/>
          <w:u w:val="single"/>
        </w:rPr>
        <w:t>Allocation of Direct Expenses</w:t>
      </w:r>
      <w:r>
        <w:rPr>
          <w:rFonts w:ascii="Times New Roman" w:hAnsi="Times New Roman"/>
          <w:sz w:val="20"/>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Times New Roman" w:hAnsi="Times New Roman"/>
          <w:sz w:val="20"/>
          <w:u w:val="single"/>
        </w:rPr>
        <w:t>Section 4.2</w:t>
      </w:r>
      <w:r>
        <w:rPr>
          <w:rFonts w:ascii="Times New Roman" w:hAnsi="Times New Roman"/>
          <w:sz w:val="20"/>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4.4</w:t>
      </w:r>
      <w:bookmarkStart w:id="1588" w:name="TAB279"/>
      <w:bookmarkEnd w:id="1588"/>
      <w:r>
        <w:rPr>
          <w:color w:val="000000"/>
          <w:spacing w:val="180"/>
        </w:rPr>
        <w:t> </w:t>
      </w:r>
      <w:r>
        <w:rPr>
          <w:rFonts w:ascii="Times New Roman" w:hAnsi="Times New Roman"/>
          <w:b/>
          <w:sz w:val="20"/>
          <w:u w:val="single"/>
        </w:rPr>
        <w:t>Calculation and Payment of Additional Rent</w:t>
      </w:r>
      <w:r>
        <w:rPr>
          <w:rFonts w:ascii="Times New Roman" w:hAnsi="Times New Roman"/>
          <w:sz w:val="20"/>
        </w:rPr>
        <w:t xml:space="preserve">.  Tenant shall pay to Landlord, in the manner set forth in </w:t>
      </w:r>
      <w:r>
        <w:rPr>
          <w:rFonts w:ascii="Times New Roman" w:hAnsi="Times New Roman"/>
          <w:sz w:val="20"/>
          <w:u w:val="single"/>
        </w:rPr>
        <w:t>Section 4.4.1</w:t>
      </w:r>
      <w:r>
        <w:rPr>
          <w:rFonts w:ascii="Times New Roman" w:hAnsi="Times New Roman"/>
          <w:sz w:val="20"/>
        </w:rPr>
        <w:t>, below, and as Additional Rent, Tenant's Share of Direct Expenses for each Expense Year.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89" w:name="PGBRK148"/>
      <w:bookmarkStart w:id="1590" w:name="PGBRK148"/>
      <w:bookmarkEnd w:id="1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91" w:name="FTR148"/>
      <w:bookmarkStart w:id="1592" w:name="FTR148"/>
      <w:bookmarkEnd w:id="1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93" w:name="GLFTR148"/>
      <w:bookmarkEnd w:id="1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94" w:name="PN148"/>
      <w:bookmarkEnd w:id="1594"/>
      <w:r>
        <w:rPr>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95" w:name="HDR148"/>
      <w:bookmarkStart w:id="1596" w:name="HDR148"/>
      <w:bookmarkEnd w:id="1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97" w:name="GLHDR148"/>
      <w:bookmarkEnd w:id="15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4.4.1</w:t>
      </w:r>
      <w:bookmarkStart w:id="1598" w:name="TAB280"/>
      <w:bookmarkEnd w:id="1598"/>
      <w:r>
        <w:rPr>
          <w:color w:val="000000"/>
          <w:spacing w:val="180"/>
        </w:rPr>
        <w:t> </w:t>
      </w:r>
      <w:r>
        <w:rPr>
          <w:rFonts w:ascii="Times New Roman" w:hAnsi="Times New Roman"/>
          <w:b/>
          <w:sz w:val="20"/>
          <w:u w:val="single"/>
        </w:rPr>
        <w:t>Statement of Actual Direct Expenses and Payment by Tenant</w:t>
      </w:r>
      <w:r>
        <w:rPr>
          <w:rFonts w:ascii="Times New Roman" w:hAnsi="Times New Roman"/>
          <w:sz w:val="20"/>
        </w:rPr>
        <w:t>.  Landlord shall endeavor to give to Tenant following the end of each Expense Year, a statement (the "</w:t>
      </w:r>
      <w:r>
        <w:rPr>
          <w:rFonts w:ascii="Times New Roman" w:hAnsi="Times New Roman"/>
          <w:b/>
          <w:sz w:val="20"/>
        </w:rPr>
        <w:t>Statement</w:t>
      </w:r>
      <w:r>
        <w:rPr>
          <w:rFonts w:ascii="Times New Roman" w:hAnsi="Times New Roman"/>
          <w:sz w:val="20"/>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Times New Roman" w:hAnsi="Times New Roman"/>
          <w:b/>
          <w:sz w:val="20"/>
        </w:rPr>
        <w:t>Estimated Direct Expenses</w:t>
      </w:r>
      <w:r>
        <w:rPr>
          <w:rFonts w:ascii="Times New Roman" w:hAnsi="Times New Roman"/>
          <w:sz w:val="20"/>
        </w:rPr>
        <w:t xml:space="preserve">," as that term is defined in </w:t>
      </w:r>
      <w:r>
        <w:rPr>
          <w:rFonts w:ascii="Times New Roman" w:hAnsi="Times New Roman"/>
          <w:sz w:val="20"/>
          <w:u w:val="single"/>
        </w:rPr>
        <w:t>Section 4.4.2</w:t>
      </w:r>
      <w:r>
        <w:rPr>
          <w:rFonts w:ascii="Times New Roman" w:hAnsi="Times New Roman"/>
          <w:sz w:val="20"/>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Times New Roman" w:hAnsi="Times New Roman"/>
          <w:sz w:val="20"/>
          <w:u w:val="single"/>
        </w:rPr>
        <w:t>Article 4</w:t>
      </w:r>
      <w:r>
        <w:rPr>
          <w:rFonts w:ascii="Times New Roman" w:hAnsi="Times New Roman"/>
          <w:sz w:val="20"/>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Times New Roman" w:hAnsi="Times New Roman"/>
          <w:sz w:val="20"/>
          <w:u w:val="single"/>
        </w:rPr>
        <w:t>Section 4.4.1</w:t>
      </w:r>
      <w:r>
        <w:rPr>
          <w:rFonts w:ascii="Times New Roman" w:hAnsi="Times New Roman"/>
          <w:sz w:val="20"/>
        </w:rPr>
        <w:t xml:space="preserve"> shall survive the expiration or earlier termination of the Lease Term.</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4.4.2</w:t>
      </w:r>
      <w:bookmarkStart w:id="1599" w:name="TAB281"/>
      <w:bookmarkEnd w:id="1599"/>
      <w:r>
        <w:rPr>
          <w:color w:val="000000"/>
          <w:spacing w:val="180"/>
        </w:rPr>
        <w:t> </w:t>
      </w:r>
      <w:r>
        <w:rPr>
          <w:rFonts w:ascii="Times New Roman" w:hAnsi="Times New Roman"/>
          <w:b/>
          <w:sz w:val="20"/>
          <w:u w:val="single"/>
        </w:rPr>
        <w:t>Statement of Estimated Direct Expenses</w:t>
      </w:r>
      <w:r>
        <w:rPr>
          <w:rFonts w:ascii="Times New Roman" w:hAnsi="Times New Roman"/>
          <w:sz w:val="20"/>
        </w:rPr>
        <w:t>.  In addition, Landlord shall endeavor to give Tenant a yearly expense estimate statement (the "</w:t>
      </w:r>
      <w:r>
        <w:rPr>
          <w:rFonts w:ascii="Times New Roman" w:hAnsi="Times New Roman"/>
          <w:b/>
          <w:sz w:val="20"/>
        </w:rPr>
        <w:t>Estimate Statement</w:t>
      </w:r>
      <w:r>
        <w:rPr>
          <w:rFonts w:ascii="Times New Roman" w:hAnsi="Times New Roman"/>
          <w:sz w:val="20"/>
        </w:rPr>
        <w:t>") which shall set forth Landlord's reasonable estimate (the "</w:t>
      </w:r>
      <w:r>
        <w:rPr>
          <w:rFonts w:ascii="Times New Roman" w:hAnsi="Times New Roman"/>
          <w:b/>
          <w:sz w:val="20"/>
        </w:rPr>
        <w:t>Estimate</w:t>
      </w:r>
      <w:r>
        <w:rPr>
          <w:rFonts w:ascii="Times New Roman" w:hAnsi="Times New Roman"/>
          <w:sz w:val="20"/>
        </w:rPr>
        <w:t>") of what the total amount of Direct Expenses for the then-current Expense Year shall be and the estimated Tenant's Share of Direct Expenses (the "</w:t>
      </w:r>
      <w:r>
        <w:rPr>
          <w:rFonts w:ascii="Times New Roman" w:hAnsi="Times New Roman"/>
          <w:b/>
          <w:sz w:val="20"/>
        </w:rPr>
        <w:t>Estimated Direct Expenses</w:t>
      </w:r>
      <w:r>
        <w:rPr>
          <w:rFonts w:ascii="Times New Roman" w:hAnsi="Times New Roman"/>
          <w:sz w:val="20"/>
        </w:rPr>
        <w:t xml:space="preserve">").  The failure of Landlord to timely furnish the Estimate Statement for any Expense Year shall not preclude Landlord from enforcing its rights to collect any Estimated Direct Expenses under this </w:t>
      </w:r>
      <w:r>
        <w:rPr>
          <w:rFonts w:ascii="Times New Roman" w:hAnsi="Times New Roman"/>
          <w:sz w:val="20"/>
          <w:u w:val="single"/>
        </w:rPr>
        <w:t>Article 4</w:t>
      </w:r>
      <w:r>
        <w:rPr>
          <w:rFonts w:ascii="Times New Roman" w:hAnsi="Times New Roman"/>
          <w:sz w:val="20"/>
        </w:rPr>
        <w:t xml:space="preserve">, nor shall Landlord be prohibited from revising any Estimate Statement or Estimated Direct Expenses theretofore delivered to the extent necessary.  Thereafter, Tenant shall pay, with its next installment of Base Rent due, a fraction of the Estimated Direct Expenses for the then-current Expense Year (reduced by any amounts paid pursuant to the last sentence of this </w:t>
      </w:r>
      <w:r>
        <w:rPr>
          <w:rFonts w:ascii="Times New Roman" w:hAnsi="Times New Roman"/>
          <w:sz w:val="20"/>
          <w:u w:val="single"/>
        </w:rPr>
        <w:t>Section 4.4.2</w:t>
      </w:r>
      <w:r>
        <w:rPr>
          <w:rFonts w:ascii="Times New Roman" w:hAnsi="Times New Roman"/>
          <w:sz w:val="20"/>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4.5</w:t>
      </w:r>
      <w:bookmarkStart w:id="1600" w:name="TAB282"/>
      <w:bookmarkEnd w:id="1600"/>
      <w:r>
        <w:rPr>
          <w:color w:val="000000"/>
          <w:spacing w:val="180"/>
        </w:rPr>
        <w:t> </w:t>
      </w:r>
      <w:r>
        <w:rPr>
          <w:rFonts w:ascii="Times New Roman" w:hAnsi="Times New Roman"/>
          <w:b/>
          <w:sz w:val="20"/>
          <w:u w:val="single"/>
        </w:rPr>
        <w:t>Taxes and Other Charges for Which Tenant Is Directly Responsible</w:t>
      </w:r>
      <w:r>
        <w:rPr>
          <w:rFonts w:ascii="Times New Roman" w:hAnsi="Times New Roman"/>
          <w:sz w:val="20"/>
        </w:rPr>
        <w:t>.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5.</w:t>
      </w:r>
      <w:bookmarkStart w:id="1601" w:name="TAB283"/>
      <w:bookmarkEnd w:id="1601"/>
      <w:r>
        <w:rPr>
          <w:color w:val="000000"/>
          <w:spacing w:val="180"/>
        </w:rPr>
        <w:t> </w:t>
      </w:r>
      <w:bookmarkStart w:id="1602" w:name="TAB14"/>
      <w:bookmarkEnd w:id="1602"/>
      <w:r>
        <w:rPr>
          <w:rFonts w:ascii="Times New Roman" w:hAnsi="Times New Roman"/>
          <w:sz w:val="20"/>
        </w:rPr>
        <w:t>USE OF PREMISES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5.1</w:t>
      </w:r>
      <w:bookmarkStart w:id="1603" w:name="TAB284"/>
      <w:bookmarkEnd w:id="1603"/>
      <w:r>
        <w:rPr>
          <w:color w:val="000000"/>
          <w:spacing w:val="180"/>
        </w:rPr>
        <w:t> </w:t>
      </w:r>
      <w:r>
        <w:rPr>
          <w:rFonts w:ascii="Times New Roman" w:hAnsi="Times New Roman"/>
          <w:b/>
          <w:sz w:val="20"/>
          <w:u w:val="single"/>
        </w:rPr>
        <w:t>Permitted Use</w:t>
      </w:r>
      <w:r>
        <w:rPr>
          <w:rFonts w:ascii="Times New Roman" w:hAnsi="Times New Roman"/>
          <w:sz w:val="20"/>
        </w:rPr>
        <w:t xml:space="preserve">.  Tenant shall use the Premises solely for the Permitted Use set forth in </w:t>
      </w:r>
      <w:r>
        <w:rPr>
          <w:rFonts w:ascii="Times New Roman" w:hAnsi="Times New Roman"/>
          <w:sz w:val="20"/>
          <w:u w:val="single"/>
        </w:rPr>
        <w:t>Section 7</w:t>
      </w:r>
      <w:r>
        <w:rPr>
          <w:rFonts w:ascii="Times New Roman" w:hAnsi="Times New Roman"/>
          <w:sz w:val="20"/>
        </w:rPr>
        <w:t xml:space="preserve"> of the Summary and Tenant shall not use or permit the Premises or the Project to be used for any other purpose or purposes whatsoever without the prior written consent of Landlord, which may be withheld in Landlord's sole discretion.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04" w:name="PGBRK149"/>
      <w:bookmarkStart w:id="1605" w:name="PGBRK149"/>
      <w:bookmarkEnd w:id="16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6" w:name="FTR149"/>
      <w:bookmarkStart w:id="1607" w:name="FTR149"/>
      <w:bookmarkEnd w:id="1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08" w:name="GLFTR149"/>
      <w:bookmarkEnd w:id="16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09" w:name="PN149"/>
      <w:bookmarkEnd w:id="1609"/>
      <w:r>
        <w:rPr>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0" w:name="HDR149"/>
      <w:bookmarkStart w:id="1611" w:name="HDR149"/>
      <w:bookmarkEnd w:id="1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12" w:name="GLHDR149"/>
      <w:bookmarkEnd w:id="16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5.2</w:t>
      </w:r>
      <w:bookmarkStart w:id="1613" w:name="TAB285"/>
      <w:bookmarkEnd w:id="1613"/>
      <w:r>
        <w:rPr>
          <w:color w:val="000000"/>
          <w:spacing w:val="180"/>
        </w:rPr>
        <w:t> </w:t>
      </w:r>
      <w:r>
        <w:rPr>
          <w:rFonts w:ascii="Times New Roman" w:hAnsi="Times New Roman"/>
          <w:b/>
          <w:sz w:val="20"/>
          <w:u w:val="single"/>
        </w:rPr>
        <w:t>Prohibited Uses</w:t>
      </w:r>
      <w:r>
        <w:rPr>
          <w:rFonts w:ascii="Times New Roman" w:hAnsi="Times New Roman"/>
          <w:sz w:val="20"/>
        </w:rPr>
        <w:t>.  Tenant further covenants and agrees that Tenant shall not use, or suffer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Documents.  Landlord shall have the right to impose reasonable and customary rule and regulations regarding the use of the Project, as reasonably deemed necessary by Landlord with respect to the orderly operation of the Project, and Tenant shall comply with such reasonable rules and regulations.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5.3</w:t>
      </w:r>
      <w:bookmarkStart w:id="1614" w:name="TAB286"/>
      <w:bookmarkEnd w:id="1614"/>
      <w:r>
        <w:rPr>
          <w:color w:val="000000"/>
          <w:spacing w:val="180"/>
        </w:rPr>
        <w:t> </w:t>
      </w:r>
      <w:r>
        <w:rPr>
          <w:rFonts w:ascii="Times New Roman" w:hAnsi="Times New Roman"/>
          <w:b/>
          <w:sz w:val="20"/>
          <w:u w:val="single"/>
        </w:rPr>
        <w:t>Hazardous Materials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5.3.1</w:t>
      </w:r>
      <w:bookmarkStart w:id="1615" w:name="TAB287"/>
      <w:bookmarkEnd w:id="1615"/>
      <w:r>
        <w:rPr>
          <w:color w:val="000000"/>
          <w:spacing w:val="180"/>
        </w:rPr>
        <w:t> </w:t>
      </w:r>
      <w:r>
        <w:rPr>
          <w:rFonts w:ascii="Times New Roman" w:hAnsi="Times New Roman"/>
          <w:b/>
          <w:sz w:val="20"/>
          <w:u w:val="single"/>
        </w:rPr>
        <w:t>Tenant's Obligations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5.3.1.1</w:t>
      </w:r>
      <w:bookmarkStart w:id="1616" w:name="TAB288"/>
      <w:bookmarkEnd w:id="1616"/>
      <w:r>
        <w:rPr>
          <w:color w:val="000000"/>
          <w:spacing w:val="180"/>
        </w:rPr>
        <w:t> </w:t>
      </w:r>
      <w:r>
        <w:rPr>
          <w:rFonts w:ascii="Times New Roman" w:hAnsi="Times New Roman"/>
          <w:b/>
          <w:sz w:val="20"/>
          <w:u w:val="single"/>
        </w:rPr>
        <w:t>Prohibitions</w:t>
      </w:r>
      <w:r>
        <w:rPr>
          <w:rFonts w:ascii="Times New Roman" w:hAnsi="Times New Roman"/>
          <w:sz w:val="20"/>
        </w:rPr>
        <w:t>.  As a material inducement to Landlord to enter into this Lease with Tenant, Tenant has fully and accurately completed Landlord’s Pre-Leasing Environmental Exposure Questionnaire (the “</w:t>
      </w:r>
      <w:r>
        <w:rPr>
          <w:rFonts w:ascii="Times New Roman" w:hAnsi="Times New Roman"/>
          <w:b/>
          <w:sz w:val="20"/>
        </w:rPr>
        <w:t>Environmental Questionnaire</w:t>
      </w:r>
      <w:r>
        <w:rPr>
          <w:rFonts w:ascii="Times New Roman" w:hAnsi="Times New Roman"/>
          <w:sz w:val="20"/>
        </w:rPr>
        <w:t xml:space="preserve">”), which is attached as </w:t>
      </w:r>
      <w:r>
        <w:rPr>
          <w:rFonts w:ascii="Times New Roman" w:hAnsi="Times New Roman"/>
          <w:b/>
          <w:sz w:val="20"/>
          <w:u w:val="single"/>
        </w:rPr>
        <w:t>Exhibit E</w:t>
      </w:r>
      <w:r>
        <w:rPr>
          <w:rFonts w:ascii="Times New Roman" w:hAnsi="Times New Roman"/>
          <w:sz w:val="20"/>
        </w:rPr>
        <w:t>.  Tenant agrees that except for those chemicals or materials, and their respective quantities, specifically listed on the Environmental Questionnaire, neither Tenant nor Tenant’s employees, contractors and subcontractors of any tier, entities with a contractual relationship with Tenant (other than Landlord), or any entity acting as an agent or sub-agent of Tenant (collectively, "</w:t>
      </w:r>
      <w:r>
        <w:rPr>
          <w:rFonts w:ascii="Times New Roman" w:hAnsi="Times New Roman"/>
          <w:b/>
          <w:sz w:val="20"/>
        </w:rPr>
        <w:t>Tenant's Agents</w:t>
      </w:r>
      <w:r>
        <w:rPr>
          <w:rFonts w:ascii="Times New Roman" w:hAnsi="Times New Roman"/>
          <w:sz w:val="20"/>
        </w:rPr>
        <w:t>") will produce, use, store or generate any "Hazardous Materials," as that term is defined below, on, under or about the Premises, nor cause or permit any Hazardous Material to be brought upon, placed, stored, manufactured, generated, blended, handled, recycled, used or "Released," as that term is defined below, on, in, under or about the Premises.  If any material information provided to Landlord by Tenant on the Environmental Questionnaire, or otherwise relating to information concerning Hazardous Materials is false, incomplete, or misleading in any material respect, the same shall be deemed a default by Tenant under this Lease.  Tenant shall deliver to Landlord an updated Environmental Questionnaire at least once a year.  Landlord’s prior written consent shall be required to any material change in Hazardous Materials use for the Premises described on the initial Environmental Questionnaire, such consent not to be unreasonably withheld.  Tenant shall not install or permit any underground storage tank on the Premises.  For purposes of this Lease, "</w:t>
      </w:r>
      <w:r>
        <w:rPr>
          <w:rFonts w:ascii="Times New Roman" w:hAnsi="Times New Roman"/>
          <w:b/>
          <w:sz w:val="20"/>
        </w:rPr>
        <w:t>Hazardous Materials</w:t>
      </w:r>
      <w:r>
        <w:rPr>
          <w:rFonts w:ascii="Times New Roman" w:hAnsi="Times New Roman"/>
          <w:sz w:val="20"/>
        </w:rPr>
        <w:t>" means all flammable explosives, petroleum and petroleum products, waste oil, radon, radioactive materials, toxic pollutants, asbestos, polychlorinated biphenyls (“</w:t>
      </w:r>
      <w:r>
        <w:rPr>
          <w:rFonts w:ascii="Times New Roman" w:hAnsi="Times New Roman"/>
          <w:b/>
          <w:sz w:val="20"/>
        </w:rPr>
        <w:t>PCBs</w:t>
      </w:r>
      <w:r>
        <w:rPr>
          <w:rFonts w:ascii="Times New Roman" w:hAnsi="Times New Roman"/>
          <w:sz w:val="20"/>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sz w:val="20"/>
        </w:rPr>
        <w:t>Release</w:t>
      </w:r>
      <w:r>
        <w:rPr>
          <w:rFonts w:ascii="Times New Roman" w:hAnsi="Times New Roman"/>
          <w:sz w:val="20"/>
        </w:rPr>
        <w:t>" or "</w:t>
      </w:r>
      <w:r>
        <w:rPr>
          <w:rFonts w:ascii="Times New Roman" w:hAnsi="Times New Roman"/>
          <w:b/>
          <w:sz w:val="20"/>
        </w:rPr>
        <w:t>Released</w:t>
      </w:r>
      <w:r>
        <w:rPr>
          <w:rFonts w:ascii="Times New Roman" w:hAnsi="Times New Roman"/>
          <w:sz w:val="20"/>
        </w:rPr>
        <w:t>" or "</w:t>
      </w:r>
      <w:r>
        <w:rPr>
          <w:rFonts w:ascii="Times New Roman" w:hAnsi="Times New Roman"/>
          <w:b/>
          <w:sz w:val="20"/>
        </w:rPr>
        <w:t>Releases</w:t>
      </w:r>
      <w:r>
        <w:rPr>
          <w:rFonts w:ascii="Times New Roman" w:hAnsi="Times New Roman"/>
          <w:sz w:val="20"/>
        </w:rPr>
        <w:t>" shall mean any release, deposit, discharge, emission, leaking, spilling, seeping, migrating, in</w:t>
        <w:softHyphen/>
        <w:t>jecting, pumping, pouring, emptying, escaping, dumping, disposing, or other movement of Hazardous Materials into the environment.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7" w:name="PGBRK150"/>
      <w:bookmarkStart w:id="1618" w:name="PGBRK150"/>
      <w:bookmarkEnd w:id="1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9" w:name="FTR150"/>
      <w:bookmarkStart w:id="1620" w:name="FTR150"/>
      <w:bookmarkEnd w:id="1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21" w:name="GLFTR150"/>
      <w:bookmarkEnd w:id="16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22" w:name="PN150"/>
      <w:bookmarkEnd w:id="1622"/>
      <w:r>
        <w:rPr>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3" w:name="HDR150"/>
      <w:bookmarkStart w:id="1624" w:name="HDR150"/>
      <w:bookmarkEnd w:id="1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5" w:name="GLHDR150"/>
      <w:bookmarkEnd w:id="16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5.3.1.2</w:t>
      </w:r>
      <w:bookmarkStart w:id="1626" w:name="TAB289"/>
      <w:bookmarkEnd w:id="1626"/>
      <w:r>
        <w:rPr>
          <w:color w:val="000000"/>
          <w:spacing w:val="180"/>
        </w:rPr>
        <w:t> </w:t>
      </w:r>
      <w:r>
        <w:rPr>
          <w:rFonts w:ascii="Times New Roman" w:hAnsi="Times New Roman"/>
          <w:b/>
          <w:sz w:val="20"/>
          <w:u w:val="single"/>
        </w:rPr>
        <w:t>Notices to Landlord</w:t>
      </w:r>
      <w:r>
        <w:rPr>
          <w:rFonts w:ascii="Times New Roman" w:hAnsi="Times New Roman"/>
          <w:sz w:val="20"/>
        </w:rPr>
        <w:t>.  Tenant shall notify Landlord in writing as soon as possible but in no event later than five (5) days after (i)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sz w:val="20"/>
        </w:rPr>
        <w:t>Hazardous Materials Claims</w:t>
      </w:r>
      <w:r>
        <w:rPr>
          <w:rFonts w:ascii="Times New Roman" w:hAnsi="Times New Roman"/>
          <w:sz w:val="20"/>
        </w:rPr>
        <w:t>”.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Times New Roman" w:hAnsi="Times New Roman"/>
          <w:b/>
          <w:sz w:val="20"/>
        </w:rPr>
        <w:t>Environmental Laws</w:t>
      </w:r>
      <w:r>
        <w:rPr>
          <w:rFonts w:ascii="Times New Roman" w:hAnsi="Times New Roman"/>
          <w:sz w:val="20"/>
        </w:rPr>
        <w:t>” means all applicable present and future laws relating to the protection of hu</w:t>
        <w:softHyphen/>
        <w:t>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5.3.1.3</w:t>
      </w:r>
      <w:bookmarkStart w:id="1627" w:name="TAB290"/>
      <w:bookmarkEnd w:id="1627"/>
      <w:r>
        <w:rPr>
          <w:color w:val="000000"/>
          <w:spacing w:val="180"/>
        </w:rPr>
        <w:t> </w:t>
      </w:r>
      <w:r>
        <w:rPr>
          <w:rFonts w:ascii="Times New Roman" w:hAnsi="Times New Roman"/>
          <w:b/>
          <w:sz w:val="20"/>
          <w:u w:val="single"/>
        </w:rPr>
        <w:t>Releases of Hazardous Materials</w:t>
      </w:r>
      <w:r>
        <w:rPr>
          <w:rFonts w:ascii="Times New Roman" w:hAnsi="Times New Roman"/>
          <w:sz w:val="20"/>
        </w:rPr>
        <w:t xml:space="preserve">.  If any Release of any Hazardous Material in, on, under, from or about the Premises shall occur at any time during the Lease and/or if any other Hazardous Material condition exists at the Premises that requires response actions of any kind, and such Release or condition is or was caused by Tenant or an invitee of Tenant, then,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Times New Roman" w:hAnsi="Times New Roman"/>
          <w:b/>
          <w:sz w:val="20"/>
          <w:u w:val="single"/>
        </w:rPr>
        <w:t>Section 5.3</w:t>
      </w:r>
      <w:r>
        <w:rPr>
          <w:rFonts w:ascii="Times New Roman" w:hAnsi="Times New Roman"/>
          <w:sz w:val="20"/>
        </w:rPr>
        <w:t xml:space="preserve">, including, without limitation, </w:t>
      </w:r>
      <w:r>
        <w:rPr>
          <w:rFonts w:ascii="Times New Roman" w:hAnsi="Times New Roman"/>
          <w:b/>
          <w:sz w:val="20"/>
          <w:u w:val="single"/>
        </w:rPr>
        <w:t>Section 5.3.4</w:t>
      </w:r>
      <w:r>
        <w:rPr>
          <w:rFonts w:ascii="Times New Roman" w:hAnsi="Times New Roman"/>
          <w:sz w:val="20"/>
        </w:rPr>
        <w:t>, and (iv) take any such additional investigative, remedial and corrective actions as Landlord shall in its reasonable discretion deem necessary such that the Premises are remediated to the condition existing prior to such Release.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28" w:name="PGBRK151"/>
      <w:bookmarkStart w:id="1629" w:name="PGBRK151"/>
      <w:bookmarkEnd w:id="1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30" w:name="FTR151"/>
      <w:bookmarkStart w:id="1631" w:name="FTR151"/>
      <w:bookmarkEnd w:id="1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32" w:name="GLFTR151"/>
      <w:bookmarkEnd w:id="16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33" w:name="PN151"/>
      <w:bookmarkEnd w:id="1633"/>
      <w:r>
        <w:rPr>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34" w:name="HDR151"/>
      <w:bookmarkStart w:id="1635" w:name="HDR151"/>
      <w:bookmarkEnd w:id="1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36" w:name="GLHDR151"/>
      <w:bookmarkEnd w:id="16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5.3.1.4</w:t>
      </w:r>
      <w:bookmarkStart w:id="1637" w:name="TAB291"/>
      <w:bookmarkEnd w:id="1637"/>
      <w:r>
        <w:rPr>
          <w:color w:val="000000"/>
          <w:spacing w:val="180"/>
        </w:rPr>
        <w:t> </w:t>
      </w:r>
      <w:r>
        <w:rPr>
          <w:rFonts w:ascii="Times New Roman" w:hAnsi="Times New Roman"/>
          <w:b/>
          <w:sz w:val="20"/>
          <w:u w:val="single"/>
        </w:rPr>
        <w:t>Indemnification</w:t>
      </w:r>
      <w:r>
        <w:rPr>
          <w:rFonts w:ascii="Times New Roman" w:hAnsi="Times New Roman"/>
          <w:sz w:val="20"/>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w:t>
        <w:softHyphen/>
        <w:t>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presence, use, generation, manufacture, treatment, handling, refining, production, processing, storage, Release or presence of Hazardous Materials in, on, under or about the Premises by Tenant or Tenant's Agents.  The foregoing indemnity shall not be applicable to claims based on any Hazardous Materials existing on, in or under the Premises, Building or Project as of the date of this Lease, except to the extent the actions of Tenant or Tenant's Agents exacerbate any previously existing Hazardous Materials condition.</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5.3.1.5</w:t>
      </w:r>
      <w:bookmarkStart w:id="1638" w:name="TAB292"/>
      <w:bookmarkEnd w:id="1638"/>
      <w:r>
        <w:rPr>
          <w:color w:val="000000"/>
          <w:spacing w:val="180"/>
        </w:rPr>
        <w:t> </w:t>
      </w:r>
      <w:r>
        <w:rPr>
          <w:rFonts w:ascii="Times New Roman" w:hAnsi="Times New Roman"/>
          <w:b/>
          <w:sz w:val="20"/>
          <w:u w:val="single"/>
        </w:rPr>
        <w:t>Compliance with Environmental Laws</w:t>
      </w:r>
      <w:r>
        <w:rPr>
          <w:rFonts w:ascii="Times New Roman" w:hAnsi="Times New Roman"/>
          <w:sz w:val="20"/>
        </w:rPr>
        <w:t>.  Without limiting the generality of Tenant’s obligation to comply with applicable laws as otherwise provided in this Lease, Tenant shall, at its sole cost and expense, comply with all Environmental Laws.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5.3.2</w:t>
      </w:r>
      <w:bookmarkStart w:id="1639" w:name="TAB293"/>
      <w:bookmarkEnd w:id="1639"/>
      <w:r>
        <w:rPr>
          <w:color w:val="000000"/>
          <w:spacing w:val="180"/>
        </w:rPr>
        <w:t> </w:t>
      </w:r>
      <w:r>
        <w:rPr>
          <w:rFonts w:ascii="Times New Roman" w:hAnsi="Times New Roman"/>
          <w:b/>
          <w:sz w:val="20"/>
          <w:u w:val="single"/>
        </w:rPr>
        <w:t>Assurance of Performance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5.3.2.1</w:t>
      </w:r>
      <w:bookmarkStart w:id="1640" w:name="TAB294"/>
      <w:bookmarkEnd w:id="1640"/>
      <w:r>
        <w:rPr>
          <w:color w:val="000000"/>
          <w:spacing w:val="180"/>
        </w:rPr>
        <w:t> </w:t>
      </w:r>
      <w:r>
        <w:rPr>
          <w:rFonts w:ascii="Times New Roman" w:hAnsi="Times New Roman"/>
          <w:b/>
          <w:sz w:val="20"/>
          <w:u w:val="single"/>
        </w:rPr>
        <w:t>Environmental Assessments In General</w:t>
      </w:r>
      <w:r>
        <w:rPr>
          <w:rFonts w:ascii="Times New Roman" w:hAnsi="Times New Roman"/>
          <w:sz w:val="20"/>
        </w:rPr>
        <w:t>.  Landlord may, but shall not be required to, engage from time to time such contractors as Landlord determines to be appropriate to perform environmental assessments of a scope reasonably determined by Landlord (an "</w:t>
      </w:r>
      <w:r>
        <w:rPr>
          <w:rFonts w:ascii="Times New Roman" w:hAnsi="Times New Roman"/>
          <w:b/>
          <w:sz w:val="20"/>
        </w:rPr>
        <w:t>Environmental Assessment</w:t>
      </w:r>
      <w:r>
        <w:rPr>
          <w:rFonts w:ascii="Times New Roman" w:hAnsi="Times New Roman"/>
          <w:sz w:val="20"/>
        </w:rPr>
        <w:t>") to ensure Tenant’s compliance with the requirements of this Lease with respect to Hazardous Materials.  .</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5.3.2.2</w:t>
      </w:r>
      <w:bookmarkStart w:id="1641" w:name="TAB295"/>
      <w:bookmarkEnd w:id="1641"/>
      <w:r>
        <w:rPr>
          <w:color w:val="000000"/>
          <w:spacing w:val="180"/>
        </w:rPr>
        <w:t> </w:t>
      </w:r>
      <w:r>
        <w:rPr>
          <w:rFonts w:ascii="Times New Roman" w:hAnsi="Times New Roman"/>
          <w:b/>
          <w:sz w:val="20"/>
          <w:u w:val="single"/>
        </w:rPr>
        <w:t>Costs of Environmental Assessments</w:t>
      </w:r>
      <w:r>
        <w:rPr>
          <w:rFonts w:ascii="Times New Roman" w:hAnsi="Times New Roman"/>
          <w:sz w:val="20"/>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Times New Roman" w:hAnsi="Times New Roman"/>
          <w:b/>
          <w:sz w:val="20"/>
          <w:u w:val="single"/>
        </w:rPr>
        <w:t>Section 5.3</w:t>
      </w:r>
      <w:r>
        <w:rPr>
          <w:rFonts w:ascii="Times New Roman" w:hAnsi="Times New Roman"/>
          <w:sz w:val="20"/>
        </w:rPr>
        <w:t>, then all of the costs and expenses of such Environmental Assessment shall be reimbursed by Tenant as Additional Rent within ten (10) days after receipt of written demand therefor.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5.3.3</w:t>
      </w:r>
      <w:bookmarkStart w:id="1642" w:name="TAB296"/>
      <w:bookmarkEnd w:id="1642"/>
      <w:r>
        <w:rPr>
          <w:color w:val="000000"/>
          <w:spacing w:val="180"/>
        </w:rPr>
        <w:t> </w:t>
      </w:r>
      <w:r>
        <w:rPr>
          <w:rFonts w:ascii="Times New Roman" w:hAnsi="Times New Roman"/>
          <w:b/>
          <w:sz w:val="20"/>
          <w:u w:val="single"/>
        </w:rPr>
        <w:t>Tenant’s Obligations upon Surrender</w:t>
      </w:r>
      <w:r>
        <w:rPr>
          <w:rFonts w:ascii="Times New Roman" w:hAnsi="Times New Roman"/>
          <w:sz w:val="20"/>
        </w:rPr>
        <w:t xml:space="preserve">.  At the expiration or earlier termination of the Lease Term, Tenant, at Tenant’s sole cost and expense, shall:  (i) cause an Environmental Assessment of the Premises to be conducted in accordance with </w:t>
      </w:r>
      <w:r>
        <w:rPr>
          <w:rFonts w:ascii="Times New Roman" w:hAnsi="Times New Roman"/>
          <w:b/>
          <w:sz w:val="20"/>
          <w:u w:val="single"/>
        </w:rPr>
        <w:t>Section 15.3</w:t>
      </w:r>
      <w:r>
        <w:rPr>
          <w:rFonts w:ascii="Times New Roman" w:hAnsi="Times New Roman"/>
          <w:sz w:val="20"/>
        </w:rPr>
        <w:t>; (ii) cause all Hazardous Materials to be removed from the Premises and disposed of in accordance with all Environmental Laws and as necessary to allow the Premises to be used for any purpose; and (iii) cause to be removed all containers installed or used by Tenant or Tenant’s Agents to store any Hazardous Materials on the Premises, and cause to be repaired any damage to the Premises caused by such removal.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43" w:name="PGBRK152"/>
      <w:bookmarkStart w:id="1644" w:name="PGBRK152"/>
      <w:bookmarkEnd w:id="1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45" w:name="FTR152"/>
      <w:bookmarkStart w:id="1646" w:name="FTR152"/>
      <w:bookmarkEnd w:id="1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47" w:name="GLFTR152"/>
      <w:bookmarkEnd w:id="16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48" w:name="PN152"/>
      <w:bookmarkEnd w:id="1648"/>
      <w:r>
        <w:rPr>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49" w:name="HDR152"/>
      <w:bookmarkStart w:id="1650" w:name="HDR152"/>
      <w:bookmarkEnd w:id="1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51" w:name="GLHDR152"/>
      <w:bookmarkEnd w:id="1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5.3.4</w:t>
      </w:r>
      <w:bookmarkStart w:id="1652" w:name="TAB297"/>
      <w:bookmarkEnd w:id="1652"/>
      <w:r>
        <w:rPr>
          <w:color w:val="000000"/>
          <w:spacing w:val="180"/>
        </w:rPr>
        <w:t> </w:t>
      </w:r>
      <w:r>
        <w:rPr>
          <w:rFonts w:ascii="Times New Roman" w:hAnsi="Times New Roman"/>
          <w:b/>
          <w:sz w:val="20"/>
          <w:u w:val="single"/>
        </w:rPr>
        <w:t>Clean-up</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5.3.4.1</w:t>
      </w:r>
      <w:bookmarkStart w:id="1653" w:name="TAB298"/>
      <w:bookmarkEnd w:id="1653"/>
      <w:r>
        <w:rPr>
          <w:color w:val="000000"/>
          <w:spacing w:val="180"/>
        </w:rPr>
        <w:t> </w:t>
      </w:r>
      <w:r>
        <w:rPr>
          <w:rFonts w:ascii="Times New Roman" w:hAnsi="Times New Roman"/>
          <w:b/>
          <w:sz w:val="20"/>
          <w:u w:val="single"/>
        </w:rPr>
        <w:t>Environmental Reports; Clean-Up</w:t>
      </w:r>
      <w:r>
        <w:rPr>
          <w:rFonts w:ascii="Times New Roman" w:hAnsi="Times New Roman"/>
          <w:sz w:val="20"/>
        </w:rPr>
        <w:t>.  If any written report, including any report containing results of any Environmental Assessment (an “</w:t>
      </w:r>
      <w:r>
        <w:rPr>
          <w:rFonts w:ascii="Times New Roman" w:hAnsi="Times New Roman"/>
          <w:b/>
          <w:sz w:val="20"/>
        </w:rPr>
        <w:t>Environmental Report</w:t>
      </w:r>
      <w:r>
        <w:rPr>
          <w:rFonts w:ascii="Times New Roman" w:hAnsi="Times New Roman"/>
          <w:sz w:val="20"/>
        </w:rPr>
        <w:t xml:space="preserve">”) shall indicate (i) the presence of any Hazardous Materials as to which Tenant has a removal or remediation obligation under this </w:t>
      </w:r>
      <w:r>
        <w:rPr>
          <w:rFonts w:ascii="Times New Roman" w:hAnsi="Times New Roman"/>
          <w:b/>
          <w:sz w:val="20"/>
          <w:u w:val="single"/>
        </w:rPr>
        <w:t>Section 5.3</w:t>
      </w:r>
      <w:r>
        <w:rPr>
          <w:rFonts w:ascii="Times New Roman" w:hAnsi="Times New Roman"/>
          <w:sz w:val="20"/>
        </w:rPr>
        <w:t>, and (ii) that as a result of same, the investigation, characterization, monitoring, assessment, repair, closure, remediation, removal, or other clean-up (the “</w:t>
      </w:r>
      <w:r>
        <w:rPr>
          <w:rFonts w:ascii="Times New Roman" w:hAnsi="Times New Roman"/>
          <w:b/>
          <w:sz w:val="20"/>
        </w:rPr>
        <w:t>Clean-up</w:t>
      </w:r>
      <w:r>
        <w:rPr>
          <w:rFonts w:ascii="Times New Roman" w:hAnsi="Times New Roman"/>
          <w:sz w:val="20"/>
        </w:rPr>
        <w:t>”) 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5.3.4.2</w:t>
      </w:r>
      <w:bookmarkStart w:id="1654" w:name="TAB299"/>
      <w:bookmarkEnd w:id="1654"/>
      <w:r>
        <w:rPr>
          <w:color w:val="000000"/>
          <w:spacing w:val="180"/>
        </w:rPr>
        <w:t> </w:t>
      </w:r>
      <w:r>
        <w:rPr>
          <w:rFonts w:ascii="Times New Roman" w:hAnsi="Times New Roman"/>
          <w:b/>
          <w:sz w:val="20"/>
          <w:u w:val="single"/>
        </w:rPr>
        <w:t>No Rent Abatement</w:t>
      </w:r>
      <w:r>
        <w:rPr>
          <w:rFonts w:ascii="Times New Roman" w:hAnsi="Times New Roman"/>
          <w:sz w:val="20"/>
        </w:rPr>
        <w:t>.  Tenant shall continue to pay all Rent due or accruing under this Lease during any Clean-up, and shall not be entitled to any reduction, offset or deferral of any Base Rent or Additional Rent due or accruing under this Lease during any such Clean-up.</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5.3.4.3</w:t>
      </w:r>
      <w:bookmarkStart w:id="1655" w:name="TAB2100"/>
      <w:bookmarkEnd w:id="1655"/>
      <w:r>
        <w:rPr>
          <w:color w:val="000000"/>
          <w:spacing w:val="180"/>
        </w:rPr>
        <w:t> </w:t>
      </w:r>
      <w:r>
        <w:rPr>
          <w:rFonts w:ascii="Times New Roman" w:hAnsi="Times New Roman"/>
          <w:b/>
          <w:sz w:val="20"/>
          <w:u w:val="single"/>
        </w:rPr>
        <w:t>Surrender of Premises</w:t>
      </w:r>
      <w:r>
        <w:rPr>
          <w:rFonts w:ascii="Times New Roman" w:hAnsi="Times New Roman"/>
          <w:sz w:val="20"/>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sz w:val="20"/>
        </w:rPr>
        <w:t>Closure Letter</w:t>
      </w:r>
      <w:r>
        <w:rPr>
          <w:rFonts w:ascii="Times New Roman" w:hAnsi="Times New Roman"/>
          <w:sz w:val="20"/>
        </w:rPr>
        <w:t>”).  Upon the expiration or earlier termination of this Lease, Tenant shall also be obligated to close all permits obtained in connection with Hazardous Materials in accordance with applicable laws.</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b/>
          <w:sz w:val="20"/>
        </w:rPr>
        <w:t>5.3.4.4</w:t>
      </w:r>
      <w:bookmarkStart w:id="1656" w:name="TAB2101"/>
      <w:bookmarkEnd w:id="1656"/>
      <w:r>
        <w:rPr>
          <w:color w:val="000000"/>
          <w:spacing w:val="180"/>
        </w:rPr>
        <w:t> </w:t>
      </w:r>
      <w:r>
        <w:rPr>
          <w:rFonts w:ascii="Times New Roman" w:hAnsi="Times New Roman"/>
          <w:b/>
          <w:sz w:val="20"/>
          <w:u w:val="single"/>
        </w:rPr>
        <w:t>Failure to Timely Clean-Up</w:t>
      </w:r>
      <w:r>
        <w:rPr>
          <w:rFonts w:ascii="Times New Roman" w:hAnsi="Times New Roman"/>
          <w:sz w:val="20"/>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Tenant shall be liable to Landlord as a holdover tenant (as more particularly provided in </w:t>
      </w:r>
      <w:r>
        <w:rPr>
          <w:rFonts w:ascii="Times New Roman" w:hAnsi="Times New Roman"/>
          <w:b/>
          <w:sz w:val="20"/>
          <w:u w:val="single"/>
        </w:rPr>
        <w:t>Article 16</w:t>
      </w:r>
      <w:r>
        <w:rPr>
          <w:rFonts w:ascii="Times New Roman" w:hAnsi="Times New Roman"/>
          <w:sz w:val="20"/>
        </w:rPr>
        <w:t xml:space="preserve">) until Tenant has fully complied with its obligations under this </w:t>
      </w:r>
      <w:r>
        <w:rPr>
          <w:rFonts w:ascii="Times New Roman" w:hAnsi="Times New Roman"/>
          <w:b/>
          <w:sz w:val="20"/>
          <w:u w:val="single"/>
        </w:rPr>
        <w:t>Section 5.3</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5.3.5</w:t>
      </w:r>
      <w:bookmarkStart w:id="1657" w:name="TAB2102"/>
      <w:bookmarkEnd w:id="1657"/>
      <w:r>
        <w:rPr>
          <w:color w:val="000000"/>
          <w:spacing w:val="180"/>
        </w:rPr>
        <w:t> </w:t>
      </w:r>
      <w:r>
        <w:rPr>
          <w:rFonts w:ascii="Times New Roman" w:hAnsi="Times New Roman"/>
          <w:b/>
          <w:sz w:val="20"/>
          <w:u w:val="single"/>
        </w:rPr>
        <w:t>Confidentiality</w:t>
      </w:r>
      <w:r>
        <w:rPr>
          <w:rFonts w:ascii="Times New Roman" w:hAnsi="Times New Roman"/>
          <w:sz w:val="20"/>
        </w:rPr>
        <w:t>.  Unless compelled to do so by applicable law, Tenant agrees that Tenant shall not dis</w:t>
        <w:softHyphen/>
        <w:t xml:space="preserve">close, discuss, disseminate or copy any information, data, findings, communications, conclusions and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Times New Roman" w:hAnsi="Times New Roman"/>
          <w:b/>
          <w:sz w:val="20"/>
          <w:u w:val="single"/>
        </w:rPr>
        <w:t>Section 5.3</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5.3.6</w:t>
      </w:r>
      <w:bookmarkStart w:id="1658" w:name="TAB2103"/>
      <w:bookmarkEnd w:id="1658"/>
      <w:r>
        <w:rPr>
          <w:color w:val="000000"/>
          <w:spacing w:val="180"/>
        </w:rPr>
        <w:t> </w:t>
      </w:r>
      <w:r>
        <w:rPr>
          <w:rFonts w:ascii="Times New Roman" w:hAnsi="Times New Roman"/>
          <w:b/>
          <w:sz w:val="20"/>
          <w:u w:val="single"/>
        </w:rPr>
        <w:t>Copies of Environmental Reports</w:t>
      </w:r>
      <w:r>
        <w:rPr>
          <w:rFonts w:ascii="Times New Roman" w:hAnsi="Times New Roman"/>
          <w:sz w:val="20"/>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59" w:name="PGBRK153"/>
      <w:bookmarkStart w:id="1660" w:name="PGBRK153"/>
      <w:bookmarkEnd w:id="16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1" w:name="FTR153"/>
      <w:bookmarkStart w:id="1662" w:name="FTR153"/>
      <w:bookmarkEnd w:id="1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63" w:name="GLFTR153"/>
      <w:bookmarkEnd w:id="16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64" w:name="PN153"/>
      <w:bookmarkEnd w:id="1664"/>
      <w:r>
        <w:rPr>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5" w:name="HDR153"/>
      <w:bookmarkStart w:id="1666" w:name="HDR153"/>
      <w:bookmarkEnd w:id="1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67" w:name="GLHDR153"/>
      <w:bookmarkEnd w:id="16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5.3.7</w:t>
      </w:r>
      <w:bookmarkStart w:id="1668" w:name="TAB2104"/>
      <w:bookmarkEnd w:id="1668"/>
      <w:r>
        <w:rPr>
          <w:color w:val="000000"/>
          <w:spacing w:val="180"/>
        </w:rPr>
        <w:t> </w:t>
      </w:r>
      <w:r>
        <w:rPr>
          <w:rFonts w:ascii="Times New Roman" w:hAnsi="Times New Roman"/>
          <w:b/>
          <w:sz w:val="20"/>
          <w:u w:val="single"/>
        </w:rPr>
        <w:t>Signs, Response Plans, Etc</w:t>
      </w:r>
      <w:r>
        <w:rPr>
          <w:rFonts w:ascii="Times New Roman" w:hAnsi="Times New Roman"/>
          <w:sz w:val="20"/>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5.3.8</w:t>
      </w:r>
      <w:bookmarkStart w:id="1669" w:name="TAB2105"/>
      <w:bookmarkEnd w:id="1669"/>
      <w:r>
        <w:rPr>
          <w:color w:val="000000"/>
          <w:spacing w:val="180"/>
        </w:rPr>
        <w:t> </w:t>
      </w:r>
      <w:r>
        <w:rPr>
          <w:rFonts w:ascii="Times New Roman" w:hAnsi="Times New Roman"/>
          <w:b/>
          <w:sz w:val="20"/>
          <w:u w:val="single"/>
        </w:rPr>
        <w:t>Survival</w:t>
      </w:r>
      <w:r>
        <w:rPr>
          <w:rFonts w:ascii="Times New Roman" w:hAnsi="Times New Roman"/>
          <w:sz w:val="20"/>
        </w:rPr>
        <w:t xml:space="preserve">.  Each covenant, agreement, representation, warranty and indemnification made by Tenant set forth in this </w:t>
      </w:r>
      <w:r>
        <w:rPr>
          <w:rFonts w:ascii="Times New Roman" w:hAnsi="Times New Roman"/>
          <w:b/>
          <w:sz w:val="20"/>
          <w:u w:val="single"/>
        </w:rPr>
        <w:t>Section 5.3</w:t>
      </w:r>
      <w:r>
        <w:rPr>
          <w:rFonts w:ascii="Times New Roman" w:hAnsi="Times New Roman"/>
          <w:sz w:val="20"/>
        </w:rPr>
        <w:t xml:space="preserve"> shall survive the expiration or earlier termination of this Lease and shall remain effective until all of Tenant’s obligations under this </w:t>
      </w:r>
      <w:r>
        <w:rPr>
          <w:rFonts w:ascii="Times New Roman" w:hAnsi="Times New Roman"/>
          <w:b/>
          <w:sz w:val="20"/>
          <w:u w:val="single"/>
        </w:rPr>
        <w:t>Section 5.3</w:t>
      </w:r>
      <w:r>
        <w:rPr>
          <w:rFonts w:ascii="Times New Roman" w:hAnsi="Times New Roman"/>
          <w:sz w:val="20"/>
        </w:rPr>
        <w:t xml:space="preserve"> have been completely performed and satisfied.</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6.</w:t>
      </w:r>
      <w:bookmarkStart w:id="1670" w:name="TAB2106"/>
      <w:bookmarkEnd w:id="1670"/>
      <w:r>
        <w:rPr>
          <w:color w:val="000000"/>
          <w:spacing w:val="180"/>
        </w:rPr>
        <w:t> </w:t>
      </w:r>
      <w:bookmarkStart w:id="1671" w:name="TAB15"/>
      <w:bookmarkEnd w:id="1671"/>
      <w:r>
        <w:rPr>
          <w:rFonts w:ascii="Times New Roman" w:hAnsi="Times New Roman"/>
          <w:sz w:val="20"/>
        </w:rPr>
        <w:t>SERVICES AND UTILITIES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6.1</w:t>
      </w:r>
      <w:bookmarkStart w:id="1672" w:name="TAB2107"/>
      <w:bookmarkEnd w:id="1672"/>
      <w:r>
        <w:rPr>
          <w:color w:val="000000"/>
          <w:spacing w:val="180"/>
        </w:rPr>
        <w:t> </w:t>
      </w:r>
      <w:r>
        <w:rPr>
          <w:rFonts w:ascii="Times New Roman" w:hAnsi="Times New Roman"/>
          <w:b/>
          <w:sz w:val="20"/>
          <w:u w:val="single"/>
        </w:rPr>
        <w:t>In General</w:t>
      </w:r>
      <w:r>
        <w:rPr>
          <w:rFonts w:ascii="Times New Roman" w:hAnsi="Times New Roman"/>
          <w:sz w:val="20"/>
        </w:rPr>
        <w:t>.  Tenant will be responsible, at its sole cost and expense, for the furnishing of all services and utilities to the Premises, including, but not limited to heating, ventilation and air-conditioning, electricity, water, telephone, janitorial and interior Premises security services.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6.1.1</w:t>
      </w:r>
      <w:bookmarkStart w:id="1673" w:name="TAB2108"/>
      <w:bookmarkEnd w:id="1673"/>
      <w:r>
        <w:rPr>
          <w:color w:val="000000"/>
          <w:spacing w:val="180"/>
        </w:rPr>
        <w:t> </w:t>
      </w:r>
      <w:r>
        <w:rPr>
          <w:rFonts w:ascii="Times New Roman" w:hAnsi="Times New Roman"/>
          <w:sz w:val="20"/>
        </w:rPr>
        <w:t>All utilities (including without limitation, electricity, gas, sewer and water) to the Building are separately metered at the Premises and shall be paid directly by Tenant to the applicable utility provider.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6.1.2</w:t>
      </w:r>
      <w:bookmarkStart w:id="1674" w:name="TAB2109"/>
      <w:bookmarkEnd w:id="1674"/>
      <w:r>
        <w:rPr>
          <w:color w:val="000000"/>
          <w:spacing w:val="180"/>
        </w:rPr>
        <w:t> </w:t>
      </w:r>
      <w:r>
        <w:rPr>
          <w:rFonts w:ascii="Times New Roman" w:hAnsi="Times New Roman"/>
          <w:sz w:val="20"/>
        </w:rPr>
        <w:t>Landlord shall not provide janitorial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Tenant shall cooperate fully with Landlord at all times and abide by all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 provide any services or utilities to the Building, including, but not limited to heating, ventilation and air-conditioning, electricity, water, telephone, janitorial and interior Building security services.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6.2</w:t>
      </w:r>
      <w:bookmarkStart w:id="1675" w:name="TAB2110"/>
      <w:bookmarkEnd w:id="1675"/>
      <w:r>
        <w:rPr>
          <w:color w:val="000000"/>
          <w:spacing w:val="180"/>
        </w:rPr>
        <w:t> </w:t>
      </w:r>
      <w:r>
        <w:rPr>
          <w:rFonts w:ascii="Times New Roman" w:hAnsi="Times New Roman"/>
          <w:b/>
          <w:sz w:val="20"/>
          <w:u w:val="single"/>
        </w:rPr>
        <w:t>Interruption of Use</w:t>
      </w:r>
      <w:r>
        <w:rPr>
          <w:rFonts w:ascii="Times New Roman" w:hAnsi="Times New Roman"/>
          <w:sz w:val="20"/>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hAnsi="Times New Roman"/>
          <w:sz w:val="20"/>
          <w:u w:val="single"/>
        </w:rPr>
        <w:t>Article 6</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76" w:name="PGBRK154"/>
      <w:bookmarkStart w:id="1677" w:name="PGBRK154"/>
      <w:bookmarkEnd w:id="1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78" w:name="FTR154"/>
      <w:bookmarkStart w:id="1679" w:name="FTR154"/>
      <w:bookmarkEnd w:id="1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0" w:name="GLFTR154"/>
      <w:bookmarkEnd w:id="1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81" w:name="PN154"/>
      <w:bookmarkEnd w:id="1681"/>
      <w:r>
        <w:rPr>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2" w:name="HDR154"/>
      <w:bookmarkStart w:id="1683" w:name="HDR154"/>
      <w:bookmarkEnd w:id="1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84" w:name="GLHDR154"/>
      <w:bookmarkEnd w:id="16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rPr/>
      </w:pPr>
      <w:r>
        <w:rPr>
          <w:rFonts w:ascii="Times New Roman" w:hAnsi="Times New Roman"/>
          <w:b/>
          <w:sz w:val="20"/>
        </w:rPr>
        <w:t>7.</w:t>
      </w:r>
      <w:bookmarkStart w:id="1685" w:name="TAB2111"/>
      <w:bookmarkEnd w:id="1685"/>
      <w:r>
        <w:rPr>
          <w:color w:val="000000"/>
          <w:spacing w:val="180"/>
        </w:rPr>
        <w:t> </w:t>
      </w:r>
      <w:bookmarkStart w:id="1686" w:name="TAB16"/>
      <w:bookmarkEnd w:id="1686"/>
      <w:r>
        <w:rPr>
          <w:rFonts w:ascii="Times New Roman" w:hAnsi="Times New Roman"/>
          <w:sz w:val="20"/>
        </w:rPr>
        <w:t>REPAIRS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7.1</w:t>
      </w:r>
      <w:bookmarkStart w:id="1687" w:name="TAB2112"/>
      <w:bookmarkEnd w:id="1687"/>
      <w:r>
        <w:rPr>
          <w:color w:val="000000"/>
          <w:spacing w:val="180"/>
        </w:rPr>
        <w:t> </w:t>
      </w:r>
      <w:r>
        <w:rPr>
          <w:rFonts w:ascii="Times New Roman" w:hAnsi="Times New Roman"/>
          <w:b/>
          <w:sz w:val="20"/>
          <w:u w:val="single"/>
        </w:rPr>
        <w:t>Tenant Repair Obligations</w:t>
      </w:r>
      <w:r>
        <w:rPr>
          <w:rFonts w:ascii="Times New Roman" w:hAnsi="Times New Roman"/>
          <w:sz w:val="20"/>
        </w:rPr>
        <w:t>.  Tenant shall, throughout the Term, at its sole cost and expense, maintain, repair, replace and improve as required, the Premises and every part thereof in a good standard of maintenance, repair and replacement as required, and in good and sanitary condition, all in accordance with the standards of First Class Life Sciences Projects, except for Landlord Repair Obligations, whether or not such maintenance, repair, replacement or improvement is required in order to comply with applicable Laws ("</w:t>
      </w:r>
      <w:r>
        <w:rPr>
          <w:rFonts w:ascii="Times New Roman" w:hAnsi="Times New Roman"/>
          <w:b/>
          <w:sz w:val="20"/>
        </w:rPr>
        <w:t>Tenant's Repair Obligations</w:t>
      </w:r>
      <w:r>
        <w:rPr>
          <w:rFonts w:ascii="Times New Roman" w:hAnsi="Times New Roman"/>
          <w:sz w:val="20"/>
        </w:rPr>
        <w:t>"), including, without limitation, the following: (1) glass, windows, window frames, window casements (including the repairing, resealing, cleaning and replacing of both interior and exterior windows) and skylights; (2) interior and exterior doors, door frames and door closers; (3) interior lighting (including, without limitation, light bulbs and ballasts); (4) the plumbing, sewer, drainage, electrical, fire protection, elevator, escalator, life safety and security systems and equipment, existing heating, ventilation and air-conditioning systems, and all other mechanical, electrical and communications systems and equipment (collectively, the "</w:t>
      </w:r>
      <w:r>
        <w:rPr>
          <w:rFonts w:ascii="Times New Roman" w:hAnsi="Times New Roman"/>
          <w:b/>
          <w:sz w:val="20"/>
        </w:rPr>
        <w:t>Premises Systems</w:t>
      </w:r>
      <w:r>
        <w:rPr>
          <w:rFonts w:ascii="Times New Roman" w:hAnsi="Times New Roman"/>
          <w:sz w:val="20"/>
        </w:rPr>
        <w:t>"), including without limitation (i) any specialty or supplemental Premises Systems installed by or for Tenant and (ii) all electrical facilities and equipment, including lighting fixtures, lamps, fans and any exhaust equipment and systems, electrical motors and all other appliances and equipment of every kind and nature located in, upon or about the Premises; (5) all communications systems serving the Premises; (6) all of Tenant's security systems in or about or serving the Premises; (7) Tenant's signage; (8) interior demising walls and partitions (including painting and wall coverings), equipment, floors, and any roll-up doors, ramps and dock equipment; and (9) the non-structural portions of the roof of the Building, including the roof membrane and coverings.  Tenant’s Repair Obligations also includes the routine maintenance of the load bearing and exterior walls of the Building within the Premises, including, without limitation, any painting, sealing, patching and waterproofing of such walls.  Tenant shall additionally be responsible, at Tenant’s sole cost and expense, to furnish all expendables, including light bulbs, paper goods and soaps, used in the Premises, and, to the extent that Landlord notifies Tenant in writing of its intention to no longer arrange for such monitoring, cause the fire alarm systems serving the Premises to be monitored by a monitoring or protective services firm approved by Landlord in writing.</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7.2</w:t>
      </w:r>
      <w:bookmarkStart w:id="1688" w:name="TAB2113"/>
      <w:bookmarkEnd w:id="1688"/>
      <w:r>
        <w:rPr>
          <w:color w:val="000000"/>
          <w:spacing w:val="180"/>
        </w:rPr>
        <w:t> </w:t>
      </w:r>
      <w:r>
        <w:rPr>
          <w:rFonts w:ascii="Times New Roman" w:hAnsi="Times New Roman"/>
          <w:b/>
          <w:sz w:val="20"/>
          <w:u w:val="single"/>
        </w:rPr>
        <w:t>Service Contracts</w:t>
      </w:r>
      <w:r>
        <w:rPr>
          <w:rFonts w:ascii="Times New Roman" w:hAnsi="Times New Roman"/>
          <w:sz w:val="20"/>
        </w:rPr>
        <w:t>.  All Building Systems, including HVAC, elevators, main electrical, plumbing and fire/life-safety systems, shall be maintained, repaired and replaced by Tenant (i) in a commercially reasonable first-class condition, (ii) in accordance with any applicable manufacturer specifications relating to any particular component of such Premises Systems, (iii) in accordance with applicable Laws.  Tenant shall contract with a qualified, experienced professional third party service companies (a "</w:t>
      </w:r>
      <w:r>
        <w:rPr>
          <w:rFonts w:ascii="Times New Roman" w:hAnsi="Times New Roman"/>
          <w:b/>
          <w:sz w:val="20"/>
        </w:rPr>
        <w:t>Service Contract</w:t>
      </w:r>
      <w:r>
        <w:rPr>
          <w:rFonts w:ascii="Times New Roman" w:hAnsi="Times New Roman"/>
          <w:sz w:val="20"/>
        </w:rPr>
        <w:t>").  Tenant shall regularly, in accordance with commercially reasonable standards, generate and maintain preventive maintenance records relating to each Building’s mechanical and main electrical systems, including life safety, elevators and the central plant (“Preventative Maintenance Records”).  In addition, upon Landlord’s request, Tenant shall deliver a copy of all current Service Contracts to Landlord and/or a copy of the Preventative Maintenance Records.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7.3</w:t>
      </w:r>
      <w:bookmarkStart w:id="1689" w:name="TAB2114"/>
      <w:bookmarkEnd w:id="1689"/>
      <w:r>
        <w:rPr>
          <w:color w:val="000000"/>
          <w:spacing w:val="180"/>
        </w:rPr>
        <w:t> </w:t>
      </w:r>
      <w:r>
        <w:rPr>
          <w:rFonts w:ascii="Times New Roman" w:hAnsi="Times New Roman"/>
          <w:b/>
          <w:sz w:val="20"/>
          <w:u w:val="single"/>
        </w:rPr>
        <w:t>Landlord's Right to Perform Tenant's Repair Obligations</w:t>
      </w:r>
      <w:r>
        <w:rPr>
          <w:rFonts w:ascii="Times New Roman" w:hAnsi="Times New Roman"/>
          <w:sz w:val="20"/>
        </w:rPr>
        <w:t>.  Tenant shall notify Landlord in writing at least thirty (30) days prior to performing any material Tenant's Repair Obligations, including without limitation, any Tenant's Repair Obligation which affect the Premises Systems or which is reasonably anticipated to cost more than $100,000.00.  Upon receipt of such notice from Tenant, Landlord shall have the right to either (i) perform such material Tenant's Repair Obligation by delivering notice of such election to Tenant within thirty (30) days following receipt of Tenant's notice, and Tenant shall pay Landlord the cost thereof (including Landlord's reasonable supervision fee) within thirty (30) days after receipt of an invoice therefor, or (ii) require Tenant to perform such Tenant's Repair Obligation at Tenant's sole cost and expense.  If Tenant fails to perform any Tenant's Repair Obligation within a reasonable time period, as reasonably determined by Landlord, then Landlord may, but need not, following delivery of notice to Tenant of such election, make such Tenant Repair Obligation, and Tenant shall pay Landlord the cost thereof, (including Landlord's reasonable supervision fee) within thirty (30) days after receipt of an invoice therefor.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7.4</w:t>
      </w:r>
      <w:bookmarkStart w:id="1690" w:name="TAB2115"/>
      <w:bookmarkEnd w:id="1690"/>
      <w:r>
        <w:rPr>
          <w:color w:val="000000"/>
          <w:spacing w:val="180"/>
        </w:rPr>
        <w:t> </w:t>
      </w:r>
      <w:r>
        <w:rPr>
          <w:rFonts w:ascii="Times New Roman" w:hAnsi="Times New Roman"/>
          <w:b/>
          <w:sz w:val="20"/>
          <w:u w:val="single"/>
        </w:rPr>
        <w:t>Landlord Repair Obligations</w:t>
      </w:r>
      <w:r>
        <w:rPr>
          <w:rFonts w:ascii="Times New Roman" w:hAnsi="Times New Roman"/>
          <w:sz w:val="20"/>
        </w:rPr>
        <w:t>.  Landlord shall be responsible for repairs to the exterior walls, foundation and roof of the Building, the structural portions of the floors of the Building, except to the extent that such repairs are required due to the negligence or willful misconduct of Tenant (the "</w:t>
      </w:r>
      <w:r>
        <w:rPr>
          <w:rFonts w:ascii="Times New Roman" w:hAnsi="Times New Roman"/>
          <w:b/>
          <w:sz w:val="20"/>
        </w:rPr>
        <w:t>Landlord Repair Obligation</w:t>
      </w:r>
      <w:r>
        <w:rPr>
          <w:rFonts w:ascii="Times New Roman" w:hAnsi="Times New Roman"/>
          <w:sz w:val="20"/>
        </w:rPr>
        <w:t>"); provided, however, that if such repairs are due to the negligence or willful misconduct of Tenant, Landlord shall nevertheless make such repairs at Tenant's expense, or, if covered by Landlord's insurance, Tenant shall only be obligated to pay any deductible in connection therewith.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91" w:name="PGBRK155"/>
      <w:bookmarkStart w:id="1692" w:name="PGBRK155"/>
      <w:bookmarkEnd w:id="1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3" w:name="FTR155"/>
      <w:bookmarkStart w:id="1694" w:name="FTR155"/>
      <w:bookmarkEnd w:id="1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95" w:name="GLFTR155"/>
      <w:bookmarkEnd w:id="16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96" w:name="PN155"/>
      <w:bookmarkEnd w:id="1696"/>
      <w:r>
        <w:rPr>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7" w:name="HDR155"/>
      <w:bookmarkStart w:id="1698" w:name="HDR155"/>
      <w:bookmarkEnd w:id="1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99" w:name="GLHDR155"/>
      <w:bookmarkEnd w:id="1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rPr/>
      </w:pPr>
      <w:r>
        <w:rPr>
          <w:rFonts w:ascii="Times New Roman" w:hAnsi="Times New Roman"/>
          <w:b/>
          <w:sz w:val="20"/>
        </w:rPr>
        <w:t>8.</w:t>
      </w:r>
      <w:bookmarkStart w:id="1700" w:name="TAB2116"/>
      <w:bookmarkEnd w:id="1700"/>
      <w:r>
        <w:rPr>
          <w:color w:val="000000"/>
          <w:spacing w:val="180"/>
        </w:rPr>
        <w:t> </w:t>
      </w:r>
      <w:bookmarkStart w:id="1701" w:name="TAB17"/>
      <w:bookmarkEnd w:id="1701"/>
      <w:r>
        <w:rPr>
          <w:rFonts w:ascii="Times New Roman" w:hAnsi="Times New Roman"/>
          <w:sz w:val="20"/>
        </w:rPr>
        <w:t>ADDITIONS AND ALTERATIONS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8.1</w:t>
      </w:r>
      <w:bookmarkStart w:id="1702" w:name="TAB2117"/>
      <w:bookmarkEnd w:id="1702"/>
      <w:r>
        <w:rPr>
          <w:color w:val="000000"/>
          <w:spacing w:val="180"/>
        </w:rPr>
        <w:t> </w:t>
      </w:r>
      <w:r>
        <w:rPr>
          <w:rFonts w:ascii="Times New Roman" w:hAnsi="Times New Roman"/>
          <w:b/>
          <w:sz w:val="20"/>
          <w:u w:val="single"/>
        </w:rPr>
        <w:t>Landlord's Consent to Alterations</w:t>
      </w:r>
      <w:r>
        <w:rPr>
          <w:rFonts w:ascii="Times New Roman" w:hAnsi="Times New Roman"/>
          <w:sz w:val="20"/>
        </w:rPr>
        <w:t>.  Tenant may not make any improvements, alterations, additions or changes to the Premises or any mechanical, plumbing or HVAC facilities or systems pertaining to the Premises (collectively, the "</w:t>
      </w:r>
      <w:r>
        <w:rPr>
          <w:rFonts w:ascii="Times New Roman" w:hAnsi="Times New Roman"/>
          <w:b/>
          <w:sz w:val="20"/>
        </w:rPr>
        <w:t>Alterations</w:t>
      </w:r>
      <w:r>
        <w:rPr>
          <w:rFonts w:ascii="Times New Roman" w:hAnsi="Times New Roman"/>
          <w:sz w:val="20"/>
        </w:rPr>
        <w:t xml:space="preserve">") without first procuring the prior written consent of Landlord to such Alterations, which consent shall be requested by Tenant not less than ten (10)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but without Landlord's prior consent, to the extent that such Alterations (i) do not affect the building systems or equipment, (ii) are not visible from the exterior of the Building, and (iii) cost less than $50,000.00 for a particular job of work.  The construction of the initial improvements to the Premises shall be governed by the terms of the Tenant Work Letter and not the terms of this </w:t>
      </w:r>
      <w:r>
        <w:rPr>
          <w:rFonts w:ascii="Times New Roman" w:hAnsi="Times New Roman"/>
          <w:sz w:val="20"/>
          <w:u w:val="single"/>
        </w:rPr>
        <w:t>Article 8</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8.2</w:t>
      </w:r>
      <w:bookmarkStart w:id="1703" w:name="TAB2118"/>
      <w:bookmarkEnd w:id="1703"/>
      <w:r>
        <w:rPr>
          <w:color w:val="000000"/>
          <w:spacing w:val="180"/>
        </w:rPr>
        <w:t> </w:t>
      </w:r>
      <w:r>
        <w:rPr>
          <w:rFonts w:ascii="Times New Roman" w:hAnsi="Times New Roman"/>
          <w:b/>
          <w:sz w:val="20"/>
          <w:u w:val="single"/>
        </w:rPr>
        <w:t>Manner of Construction</w:t>
      </w:r>
      <w:r>
        <w:rPr>
          <w:rFonts w:ascii="Times New Roman" w:hAnsi="Times New Roman"/>
          <w:sz w:val="20"/>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(or repairs), Tenant shall deliver to Landlord final lien waivers from all contractors, subcontractors and materialmen who performed such work.  In addition to Tenant's obligations under </w:t>
      </w:r>
      <w:r>
        <w:rPr>
          <w:rFonts w:ascii="Times New Roman" w:hAnsi="Times New Roman"/>
          <w:sz w:val="20"/>
          <w:u w:val="single"/>
        </w:rPr>
        <w:t>Article 9</w:t>
      </w:r>
      <w:r>
        <w:rPr>
          <w:rFonts w:ascii="Times New Roman" w:hAnsi="Times New Roman"/>
          <w:sz w:val="20"/>
        </w:rPr>
        <w:t xml:space="preserve"> of this Lease, upon completion of any Alterations, Tenant agrees to cause a Notice of Completion to be recorded in the office of the Recorder of the County of San Francisco in accordance with Section 3093 of the Civil Code of the State of California or any successor statute, and Tenant shall deliver to the Project construction manager a reproducible copy of the "</w:t>
      </w:r>
      <w:r>
        <w:rPr>
          <w:rFonts w:ascii="Times New Roman" w:hAnsi="Times New Roman"/>
          <w:b/>
          <w:sz w:val="20"/>
        </w:rPr>
        <w:t>as built</w:t>
      </w:r>
      <w:r>
        <w:rPr>
          <w:rFonts w:ascii="Times New Roman" w:hAnsi="Times New Roman"/>
          <w:sz w:val="20"/>
        </w:rPr>
        <w:t>" drawings of the Alterations as well as all permits, approvals and other documents issued by any governmental agency in connection with the Alterations.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8.3</w:t>
      </w:r>
      <w:bookmarkStart w:id="1704" w:name="TAB2119"/>
      <w:bookmarkEnd w:id="1704"/>
      <w:r>
        <w:rPr>
          <w:color w:val="000000"/>
          <w:spacing w:val="180"/>
        </w:rPr>
        <w:t> </w:t>
      </w:r>
      <w:r>
        <w:rPr>
          <w:rFonts w:ascii="Times New Roman" w:hAnsi="Times New Roman"/>
          <w:b/>
          <w:sz w:val="20"/>
          <w:u w:val="single"/>
        </w:rPr>
        <w:t>Payment for Improvements</w:t>
      </w:r>
      <w:r>
        <w:rPr>
          <w:rFonts w:ascii="Times New Roman" w:hAnsi="Times New Roman"/>
          <w:sz w:val="20"/>
        </w:rPr>
        <w:t>.  If Tenant orders any work directly from Landlord, Tenant shall pay to Landlord an amount equal to five percent (5%) of the cost of such work to compensate Landlord for all overhead, general conditions, fees and other costs and expenses arising from Landlord's involvement with such work.  If Tenant does not order any work directly from Landlord, Tenant shall reimburse Landlord for Landlord's reasonable, actual, out-of-pocket costs and expenses actually incurred in connection with Landlord's review of such work.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8.4</w:t>
      </w:r>
      <w:bookmarkStart w:id="1705" w:name="TAB2120"/>
      <w:bookmarkEnd w:id="1705"/>
      <w:r>
        <w:rPr>
          <w:color w:val="000000"/>
          <w:spacing w:val="180"/>
        </w:rPr>
        <w:t> </w:t>
      </w:r>
      <w:r>
        <w:rPr>
          <w:rFonts w:ascii="Times New Roman" w:hAnsi="Times New Roman"/>
          <w:b/>
          <w:sz w:val="20"/>
          <w:u w:val="single"/>
        </w:rPr>
        <w:t>Construction Insurance</w:t>
      </w:r>
      <w:r>
        <w:rPr>
          <w:rFonts w:ascii="Times New Roman" w:hAnsi="Times New Roman"/>
          <w:sz w:val="20"/>
        </w:rPr>
        <w:t xml:space="preserve">.  In addition to the requirements of </w:t>
      </w:r>
      <w:r>
        <w:rPr>
          <w:rFonts w:ascii="Times New Roman" w:hAnsi="Times New Roman"/>
          <w:sz w:val="20"/>
          <w:u w:val="single"/>
        </w:rPr>
        <w:t>Article 10</w:t>
      </w:r>
      <w:r>
        <w:rPr>
          <w:rFonts w:ascii="Times New Roman" w:hAnsi="Times New Roman"/>
          <w:sz w:val="20"/>
        </w:rPr>
        <w:t xml:space="preserve"> of this Lease, in the event that Tenant makes any Alterations, prior to the commencement of such Alterations, Tenant shall provide Landlord with evidence that Tenant carries "</w:t>
      </w:r>
      <w:r>
        <w:rPr>
          <w:rFonts w:ascii="Times New Roman" w:hAnsi="Times New Roman"/>
          <w:b/>
          <w:sz w:val="20"/>
        </w:rPr>
        <w:t>Builder's All Risk</w:t>
      </w:r>
      <w:r>
        <w:rPr>
          <w:rFonts w:ascii="Times New Roman" w:hAnsi="Times New Roman"/>
          <w:sz w:val="20"/>
        </w:rPr>
        <w:t xml:space="preserve">" insurance in an amount approved by Landlord covering the construction of such Alterations, and such other insurance as Landlord may reasonably require, it being understood and agreed that all of such Alterations shall be insured by Tenant pursuant to </w:t>
      </w:r>
      <w:r>
        <w:rPr>
          <w:rFonts w:ascii="Times New Roman" w:hAnsi="Times New Roman"/>
          <w:sz w:val="20"/>
          <w:u w:val="single"/>
        </w:rPr>
        <w:t>Article 10</w:t>
      </w:r>
      <w:r>
        <w:rPr>
          <w:rFonts w:ascii="Times New Roman" w:hAnsi="Times New Roman"/>
          <w:sz w:val="20"/>
        </w:rPr>
        <w:t xml:space="preserve"> of this Lease immediately upon completion thereof.  In addition, Tenant's contractors and subcontractors shall be required to carry (i) Commercial General Liability Insurance in an amount approved by Landlord, with Landlord, and, at Landlord's option, Landlord's property manager and project manager, as additional insureds in an amount approved by Landlord, and otherwise in accordance with the requirements of Article 10 of this Lease, and (ii) workers compensation insurance with a waiver of subrogation in favor of Landlord .  Landlord may, in its discretion, require Tenant to obtain a lien and completion bond or some alternate form of security satisfactory to Landlord in an amount sufficient to ensure the lien-free completion of such Alterations and naming Landlord as a co-obligee.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06" w:name="PGBRK156"/>
      <w:bookmarkStart w:id="1707" w:name="PGBRK156"/>
      <w:bookmarkEnd w:id="1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8" w:name="FTR156"/>
      <w:bookmarkStart w:id="1709" w:name="FTR156"/>
      <w:bookmarkEnd w:id="17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10" w:name="GLFTR156"/>
      <w:bookmarkEnd w:id="17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11" w:name="PN156"/>
      <w:bookmarkEnd w:id="1711"/>
      <w:r>
        <w:rPr>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2" w:name="HDR156"/>
      <w:bookmarkStart w:id="1713" w:name="HDR156"/>
      <w:bookmarkEnd w:id="1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4" w:name="GLHDR156"/>
      <w:bookmarkEnd w:id="17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8.5</w:t>
      </w:r>
      <w:bookmarkStart w:id="1715" w:name="TAB2121"/>
      <w:bookmarkEnd w:id="1715"/>
      <w:r>
        <w:rPr>
          <w:color w:val="000000"/>
          <w:spacing w:val="180"/>
        </w:rPr>
        <w:t> </w:t>
      </w:r>
      <w:r>
        <w:rPr>
          <w:rFonts w:ascii="Times New Roman" w:hAnsi="Times New Roman"/>
          <w:b/>
          <w:sz w:val="20"/>
          <w:u w:val="single"/>
        </w:rPr>
        <w:t>Landlord's Property</w:t>
      </w:r>
      <w:r>
        <w:rPr>
          <w:rFonts w:ascii="Times New Roman" w:hAnsi="Times New Roman"/>
          <w:sz w:val="20"/>
        </w:rPr>
        <w:t>.  All Alterations, improvements, fixtures, built-in equipment and/or appurtenances which may be installed in or about the Premises, from time to time, shall be at the sole cost of Tenant and shall be and become the property of Landlord and remain in place at the Premises following the expiration or earlier termination of this Lease.  Notwithstanding the foregoing, Landlord may, by written notice to Tenant prior to the end of the Lease Term, or given following any earlier termination of this Lease, require Tenant, at Tenant's expense, to remove any Alterations and/or improvements and/or systems and equipment within the Premises and to repair any damage to the Premises and Building caused by such removal and return the affected portion of the Premises to a building standard tenant improved condition as determined by Landlord.  If Tenant fails to complete such removal and/or to repair any damage caused by the removal of any Alterations and/or improvements and/or systems and equipment in the Premises and return the affected portion of the Premises to a building standard tenant improved condition as reasonably determined by Landlord, Landlord may do so and may charge the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9.</w:t>
      </w:r>
      <w:bookmarkStart w:id="1716" w:name="TAB2122"/>
      <w:bookmarkEnd w:id="1716"/>
      <w:r>
        <w:rPr>
          <w:color w:val="000000"/>
          <w:spacing w:val="180"/>
        </w:rPr>
        <w:t> </w:t>
      </w:r>
      <w:bookmarkStart w:id="1717" w:name="TAB18"/>
      <w:bookmarkEnd w:id="1717"/>
      <w:r>
        <w:rPr>
          <w:rFonts w:ascii="Times New Roman" w:hAnsi="Times New Roman"/>
          <w:sz w:val="20"/>
        </w:rPr>
        <w:t xml:space="preserve">COVENANT AGAINST LIENS  </w:t>
      </w:r>
      <w:bookmarkStart w:id="1718" w:name="x"/>
      <w:bookmarkEnd w:id="1718"/>
      <w:r>
        <w:rPr>
          <w:rFonts w:ascii="Times New Roman" w:hAnsi="Times New Roman"/>
          <w:sz w:val="20"/>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10.</w:t>
      </w:r>
      <w:bookmarkStart w:id="1719" w:name="TAB2123"/>
      <w:bookmarkEnd w:id="1719"/>
      <w:r>
        <w:rPr>
          <w:color w:val="000000"/>
          <w:spacing w:val="180"/>
        </w:rPr>
        <w:t> </w:t>
      </w:r>
      <w:bookmarkStart w:id="1720" w:name="TAB19"/>
      <w:bookmarkEnd w:id="1720"/>
      <w:r>
        <w:rPr>
          <w:rFonts w:ascii="Times New Roman" w:hAnsi="Times New Roman"/>
          <w:sz w:val="20"/>
        </w:rPr>
        <w:t>INSURANCE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10.1</w:t>
      </w:r>
      <w:bookmarkStart w:id="1721" w:name="TAB2124"/>
      <w:bookmarkEnd w:id="1721"/>
      <w:r>
        <w:rPr>
          <w:color w:val="000000"/>
          <w:spacing w:val="180"/>
        </w:rPr>
        <w:t> </w:t>
      </w:r>
      <w:r>
        <w:rPr>
          <w:rFonts w:ascii="Times New Roman" w:hAnsi="Times New Roman"/>
          <w:b/>
          <w:sz w:val="20"/>
          <w:u w:val="single"/>
        </w:rPr>
        <w:t>Indemnification and Waiver</w:t>
      </w:r>
      <w:r>
        <w:rPr>
          <w:rFonts w:ascii="Times New Roman" w:hAnsi="Times New Roman"/>
          <w:sz w:val="20"/>
        </w:rPr>
        <w:t>.  Tenant hereby assumes all risk of damage to property or injury to persons in, upon or about the Premises from any cause whatsoever and agrees that Landlord, its partners, subpartners and their respective officers, agents, servants, employees, lenders, any property manager and independent contractors (collectively, "</w:t>
      </w:r>
      <w:r>
        <w:rPr>
          <w:rFonts w:ascii="Times New Roman" w:hAnsi="Times New Roman"/>
          <w:b/>
          <w:sz w:val="20"/>
        </w:rPr>
        <w:t>Landlord Parties</w:t>
      </w:r>
      <w:r>
        <w:rPr>
          <w:rFonts w:ascii="Times New Roman" w:hAnsi="Times New Roman"/>
          <w:sz w:val="20"/>
        </w:rPr>
        <w:t xml:space="preserve">")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claims, loss, cost, damage, injury, expense and liability (including without limitation court costs and reasonable attorneys' fees) incurred in connection with or arising from any cause in, on or about the Premises,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to the gross negligence or willful misconduct of Landlord.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The provisions of this </w:t>
      </w:r>
      <w:r>
        <w:rPr>
          <w:rFonts w:ascii="Times New Roman" w:hAnsi="Times New Roman"/>
          <w:sz w:val="20"/>
          <w:u w:val="single"/>
        </w:rPr>
        <w:t>Section 10.1</w:t>
      </w:r>
      <w:r>
        <w:rPr>
          <w:rFonts w:ascii="Times New Roman" w:hAnsi="Times New Roman"/>
          <w:sz w:val="20"/>
        </w:rPr>
        <w:t xml:space="preserve"> shall survive the expiration or sooner termination of this Lease with respect to any claims or liability arising in connection with any event occurring prior to such expiration or termination.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10.2</w:t>
      </w:r>
      <w:bookmarkStart w:id="1722" w:name="TAB2125"/>
      <w:bookmarkEnd w:id="1722"/>
      <w:r>
        <w:rPr>
          <w:color w:val="000000"/>
          <w:spacing w:val="180"/>
        </w:rPr>
        <w:t> </w:t>
      </w:r>
      <w:r>
        <w:rPr>
          <w:rFonts w:ascii="Times New Roman" w:hAnsi="Times New Roman"/>
          <w:b/>
          <w:sz w:val="20"/>
          <w:u w:val="single"/>
        </w:rPr>
        <w:t>Tenant's Compliance With Landlord's Property Insurance</w:t>
      </w:r>
      <w:r>
        <w:rPr>
          <w:rFonts w:ascii="Times New Roman" w:hAnsi="Times New Roman"/>
          <w:sz w:val="20"/>
        </w:rPr>
        <w:t>.  Landlord shall insure the Building 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23" w:name="PGBRK157"/>
      <w:bookmarkStart w:id="1724" w:name="PGBRK157"/>
      <w:bookmarkEnd w:id="17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25" w:name="FTR157"/>
      <w:bookmarkStart w:id="1726" w:name="FTR157"/>
      <w:bookmarkEnd w:id="1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27" w:name="GLFTR157"/>
      <w:bookmarkEnd w:id="17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28" w:name="PN157"/>
      <w:bookmarkEnd w:id="1728"/>
      <w:r>
        <w:rPr>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29" w:name="HDR157"/>
      <w:bookmarkStart w:id="1730" w:name="HDR157"/>
      <w:bookmarkEnd w:id="17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31" w:name="GLHDR157"/>
      <w:bookmarkEnd w:id="17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10.3</w:t>
      </w:r>
      <w:bookmarkStart w:id="1732" w:name="TAB2126"/>
      <w:bookmarkEnd w:id="1732"/>
      <w:r>
        <w:rPr>
          <w:color w:val="000000"/>
          <w:spacing w:val="180"/>
        </w:rPr>
        <w:t> </w:t>
      </w:r>
      <w:r>
        <w:rPr>
          <w:rFonts w:ascii="Times New Roman" w:hAnsi="Times New Roman"/>
          <w:b/>
          <w:sz w:val="20"/>
          <w:u w:val="single"/>
        </w:rPr>
        <w:t>Tenant's Insurance</w:t>
      </w:r>
      <w:r>
        <w:rPr>
          <w:rFonts w:ascii="Times New Roman" w:hAnsi="Times New Roman"/>
          <w:sz w:val="20"/>
        </w:rPr>
        <w:t>.  Tenant shall maintain the following coverages in the following amounts.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10.3.1</w:t>
      </w:r>
      <w:bookmarkStart w:id="1733" w:name="TAB2127"/>
      <w:bookmarkEnd w:id="1733"/>
      <w:r>
        <w:rPr>
          <w:color w:val="000000"/>
          <w:spacing w:val="180"/>
        </w:rPr>
        <w:t> </w:t>
      </w:r>
      <w:r>
        <w:rPr>
          <w:rFonts w:ascii="Times New Roman" w:hAnsi="Times New Roman"/>
          <w:sz w:val="20"/>
        </w:rPr>
        <w:t>Commercial General Liability Insurance on an occurrence form covering the insured against claims of bodily injury, personal injury and property damage (including loss of use thereof) arising out of Tenant's operations, and contractual liabilities including a contractual coverage, and including products and completed operations coverage, for limits of liability on a per location basis of not less than:</w:t>
      </w:r>
    </w:p>
    <w:p>
      <w:pPr>
        <w:pStyle w:val="TextBody"/>
        <w:spacing w:before="0" w:after="0"/>
        <w:ind w:left="0" w:right="0" w:firstLine="1440"/>
        <w:jc w:val="both"/>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Bodily Injury and</w:t>
            </w:r>
          </w:p>
          <w:p>
            <w:pPr>
              <w:pStyle w:val="TableContents"/>
              <w:spacing w:before="0" w:after="0"/>
              <w:ind w:left="0" w:right="0" w:hanging="0"/>
              <w:jc w:val="both"/>
              <w:rPr>
                <w:rFonts w:ascii="times new roman" w:hAnsi="times new roman"/>
                <w:sz w:val="20"/>
              </w:rPr>
            </w:pPr>
            <w:r>
              <w:rPr>
                <w:rFonts w:ascii="times new roman" w:hAnsi="times new roman"/>
                <w:sz w:val="20"/>
              </w:rPr>
              <w:t>Property Damage Liability</w:t>
            </w:r>
          </w:p>
          <w:p>
            <w:pPr>
              <w:pStyle w:val="TableContents"/>
              <w:spacing w:before="0" w:after="0"/>
              <w:ind w:left="0" w:right="0" w:hanging="0"/>
              <w:jc w:val="both"/>
              <w:rPr/>
            </w:pPr>
            <w:r>
              <w:rPr/>
              <w:t> </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$5,000,000 each occurrence</w:t>
            </w:r>
          </w:p>
          <w:p>
            <w:pPr>
              <w:pStyle w:val="TableContents"/>
              <w:spacing w:before="0" w:after="0"/>
              <w:ind w:left="0" w:right="0" w:hanging="0"/>
              <w:jc w:val="both"/>
              <w:rPr>
                <w:rFonts w:ascii="times new roman" w:hAnsi="times new roman"/>
                <w:sz w:val="20"/>
              </w:rPr>
            </w:pPr>
            <w:r>
              <w:rPr>
                <w:rFonts w:ascii="times new roman" w:hAnsi="times new roman"/>
                <w:sz w:val="20"/>
              </w:rPr>
              <w:t>$5,000,000 annual aggregate</w:t>
            </w:r>
          </w:p>
        </w:tc>
      </w:tr>
      <w:tr>
        <w:trPr/>
        <w:tc>
          <w:tcPr>
            <w:tcW w:w="51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Personal Injury Liability</w:t>
            </w:r>
          </w:p>
        </w:tc>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$3,000,000 each occurrence</w:t>
            </w:r>
          </w:p>
          <w:p>
            <w:pPr>
              <w:pStyle w:val="TableContents"/>
              <w:spacing w:before="0" w:after="0"/>
              <w:ind w:left="0" w:right="0" w:hanging="0"/>
              <w:jc w:val="both"/>
              <w:rPr>
                <w:rFonts w:ascii="times new roman" w:hAnsi="times new roman"/>
                <w:sz w:val="20"/>
              </w:rPr>
            </w:pPr>
            <w:r>
              <w:rPr>
                <w:rFonts w:ascii="times new roman" w:hAnsi="times new roman"/>
                <w:sz w:val="20"/>
              </w:rPr>
              <w:t>$3,000,000 annual aggregate</w:t>
            </w:r>
          </w:p>
        </w:tc>
      </w:tr>
    </w:tbl>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10.3.2</w:t>
      </w:r>
      <w:bookmarkStart w:id="1734" w:name="TAB2128"/>
      <w:bookmarkEnd w:id="1734"/>
      <w:r>
        <w:rPr>
          <w:color w:val="000000"/>
          <w:spacing w:val="180"/>
        </w:rPr>
        <w:t> </w:t>
      </w:r>
      <w:r>
        <w:rPr>
          <w:rFonts w:ascii="Times New Roman" w:hAnsi="Times New Roman"/>
          <w:sz w:val="20"/>
        </w:rPr>
        <w:t>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Times New Roman" w:hAnsi="Times New Roman"/>
          <w:b/>
          <w:sz w:val="20"/>
        </w:rPr>
        <w:t>Tenant Improvements</w:t>
      </w:r>
      <w:r>
        <w:rPr>
          <w:rFonts w:ascii="Times New Roman" w:hAnsi="Times New Roman"/>
          <w:sz w:val="20"/>
        </w:rPr>
        <w:t>," as that term is defined in the Tenant Work Letter, and any other improvements which exist in the Premises as of the Lease Commencement Date (excluding the Base Building) (the "</w:t>
      </w:r>
      <w:r>
        <w:rPr>
          <w:rFonts w:ascii="Times New Roman" w:hAnsi="Times New Roman"/>
          <w:b/>
          <w:sz w:val="20"/>
        </w:rPr>
        <w:t>Original Improvements</w:t>
      </w:r>
      <w:r>
        <w:rPr>
          <w:rFonts w:ascii="Times New Roman" w:hAnsi="Times New Roman"/>
          <w:sz w:val="20"/>
        </w:rPr>
        <w:t>"), and (iii) all other improvements, alterations and additions to the Premises.  Such insurance shall be written on an "</w:t>
      </w:r>
      <w:r>
        <w:rPr>
          <w:rFonts w:ascii="Times New Roman" w:hAnsi="Times New Roman"/>
          <w:b/>
          <w:sz w:val="20"/>
        </w:rPr>
        <w:t>all risks</w:t>
      </w:r>
      <w:r>
        <w:rPr>
          <w:rFonts w:ascii="Times New Roman" w:hAnsi="Times New Roman"/>
          <w:sz w:val="20"/>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10.3.3</w:t>
      </w:r>
      <w:bookmarkStart w:id="1735" w:name="TAB2129"/>
      <w:bookmarkEnd w:id="1735"/>
      <w:r>
        <w:rPr>
          <w:color w:val="000000"/>
          <w:spacing w:val="180"/>
        </w:rPr>
        <w:t> </w:t>
      </w:r>
      <w:r>
        <w:rPr>
          <w:rFonts w:ascii="Times New Roman" w:hAnsi="Times New Roman"/>
          <w:sz w:val="20"/>
        </w:rPr>
        <w:t xml:space="preserve">Business Income Interruption for one (1) year plus Extra Expense insurance in such amounts as will reimburse Tenant for actual direct or indirect loss of earnings attributable to the risks outlined in </w:t>
      </w:r>
      <w:r>
        <w:rPr>
          <w:rFonts w:ascii="Times New Roman" w:hAnsi="Times New Roman"/>
          <w:sz w:val="20"/>
          <w:u w:val="single"/>
        </w:rPr>
        <w:t>Section 10.3.2</w:t>
      </w:r>
      <w:r>
        <w:rPr>
          <w:rFonts w:ascii="Times New Roman" w:hAnsi="Times New Roman"/>
          <w:sz w:val="20"/>
        </w:rPr>
        <w:t xml:space="preserve"> above.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10.3.4</w:t>
      </w:r>
      <w:bookmarkStart w:id="1736" w:name="TAB2130"/>
      <w:bookmarkEnd w:id="1736"/>
      <w:r>
        <w:rPr>
          <w:color w:val="000000"/>
          <w:spacing w:val="180"/>
        </w:rPr>
        <w:t> </w:t>
      </w:r>
      <w:r>
        <w:rPr>
          <w:rFonts w:ascii="Times New Roman" w:hAnsi="Times New Roman"/>
          <w:sz w:val="20"/>
        </w:rPr>
        <w:t>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10.4</w:t>
      </w:r>
      <w:bookmarkStart w:id="1737" w:name="TAB2131"/>
      <w:bookmarkEnd w:id="1737"/>
      <w:r>
        <w:rPr>
          <w:color w:val="000000"/>
          <w:spacing w:val="180"/>
        </w:rPr>
        <w:t> </w:t>
      </w:r>
      <w:r>
        <w:rPr>
          <w:rFonts w:ascii="Times New Roman" w:hAnsi="Times New Roman"/>
          <w:b/>
          <w:sz w:val="20"/>
          <w:u w:val="single"/>
        </w:rPr>
        <w:t>Form of Policies</w:t>
      </w:r>
      <w:r>
        <w:rPr>
          <w:rFonts w:ascii="Times New Roman" w:hAnsi="Times New Roman"/>
          <w:sz w:val="20"/>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or loss payee, as applicable, including Landlord's managing agent, if any; (ii) be issued by an insurance company having a rating of not less than A:IX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required of Tenant; (v) be in form and content reasonably acceptable to Landlord; and (vi) provide that said insurance shall not be canceled or coverage changed unless thirty (30) days' prior written notice shall have been given to Landlord and any mortgagee of Landlord (unless such cancellation is the result of non-payment of premiums).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10.5</w:t>
      </w:r>
      <w:bookmarkStart w:id="1738" w:name="TAB2132"/>
      <w:bookmarkEnd w:id="1738"/>
      <w:r>
        <w:rPr>
          <w:color w:val="000000"/>
          <w:spacing w:val="180"/>
        </w:rPr>
        <w:t> </w:t>
      </w:r>
      <w:r>
        <w:rPr>
          <w:rFonts w:ascii="Times New Roman" w:hAnsi="Times New Roman"/>
          <w:b/>
          <w:sz w:val="20"/>
          <w:u w:val="single"/>
        </w:rPr>
        <w:t>Subrogation</w:t>
      </w:r>
      <w:r>
        <w:rPr>
          <w:rFonts w:ascii="Times New Roman" w:hAnsi="Times New Roman"/>
          <w:sz w:val="20"/>
        </w:rPr>
        <w:t>.  Landlord and Tenant hereby agree to look solely to, and seek recovery only from, their respective insurance carriers in the event of a property or business interruption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9" w:name="PGBRK158"/>
      <w:bookmarkStart w:id="1740" w:name="PGBRK158"/>
      <w:bookmarkEnd w:id="1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1" w:name="FTR158"/>
      <w:bookmarkStart w:id="1742" w:name="FTR158"/>
      <w:bookmarkEnd w:id="1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43" w:name="GLFTR158"/>
      <w:bookmarkEnd w:id="17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44" w:name="PN158"/>
      <w:bookmarkEnd w:id="1744"/>
      <w:r>
        <w:rPr>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5" w:name="HDR158"/>
      <w:bookmarkStart w:id="1746" w:name="HDR158"/>
      <w:bookmarkEnd w:id="1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47" w:name="GLHDR158"/>
      <w:bookmarkEnd w:id="17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10.6</w:t>
      </w:r>
      <w:bookmarkStart w:id="1748" w:name="TAB2133"/>
      <w:bookmarkEnd w:id="1748"/>
      <w:r>
        <w:rPr>
          <w:color w:val="000000"/>
          <w:spacing w:val="180"/>
        </w:rPr>
        <w:t> </w:t>
      </w:r>
      <w:r>
        <w:rPr>
          <w:rFonts w:ascii="Times New Roman" w:hAnsi="Times New Roman"/>
          <w:b/>
          <w:sz w:val="20"/>
          <w:u w:val="single"/>
        </w:rPr>
        <w:t>Additional Insurance Obligations</w:t>
      </w:r>
      <w:r>
        <w:rPr>
          <w:rFonts w:ascii="Times New Roman" w:hAnsi="Times New Roman"/>
          <w:sz w:val="20"/>
        </w:rPr>
        <w:t xml:space="preserve">.  Tenant shall carry and maintain during the entire Lease Term, at Tenant's sole cost and expense, increased amounts of the insurance required to be carried by Tenant pursuant to this </w:t>
      </w:r>
      <w:r>
        <w:rPr>
          <w:rFonts w:ascii="Times New Roman" w:hAnsi="Times New Roman"/>
          <w:sz w:val="20"/>
          <w:u w:val="single"/>
        </w:rPr>
        <w:t>Article 10</w:t>
      </w:r>
      <w:r>
        <w:rPr>
          <w:rFonts w:ascii="Times New Roman" w:hAnsi="Times New Roman"/>
          <w:sz w:val="20"/>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11.</w:t>
      </w:r>
      <w:bookmarkStart w:id="1749" w:name="TAB2134"/>
      <w:bookmarkEnd w:id="1749"/>
      <w:r>
        <w:rPr>
          <w:color w:val="000000"/>
          <w:spacing w:val="180"/>
        </w:rPr>
        <w:t> </w:t>
      </w:r>
      <w:bookmarkStart w:id="1750" w:name="TAB110"/>
      <w:bookmarkEnd w:id="1750"/>
      <w:r>
        <w:rPr>
          <w:rFonts w:ascii="Times New Roman" w:hAnsi="Times New Roman"/>
          <w:sz w:val="20"/>
        </w:rPr>
        <w:t>DAMAGE AND DESTRUCTION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11.1</w:t>
      </w:r>
      <w:bookmarkStart w:id="1751" w:name="TAB2135"/>
      <w:bookmarkEnd w:id="1751"/>
      <w:r>
        <w:rPr>
          <w:color w:val="000000"/>
          <w:spacing w:val="180"/>
        </w:rPr>
        <w:t> </w:t>
      </w:r>
      <w:r>
        <w:rPr>
          <w:rFonts w:ascii="Times New Roman" w:hAnsi="Times New Roman"/>
          <w:b/>
          <w:sz w:val="20"/>
          <w:u w:val="single"/>
        </w:rPr>
        <w:t>Repair of Damage to Premises by Landlord</w:t>
      </w:r>
      <w:r>
        <w:rPr>
          <w:rFonts w:ascii="Times New Roman" w:hAnsi="Times New Roman"/>
          <w:sz w:val="20"/>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Times New Roman" w:hAnsi="Times New Roman"/>
          <w:sz w:val="20"/>
          <w:u w:val="single"/>
        </w:rPr>
        <w:t>Article 11</w:t>
      </w:r>
      <w:r>
        <w:rPr>
          <w:rFonts w:ascii="Times New Roman" w:hAnsi="Times New Roman"/>
          <w:sz w:val="20"/>
        </w:rPr>
        <w:t>,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shall not be materially impaired.  Upon the occurrence of any damage to the Premises, upon notice (the "</w:t>
      </w:r>
      <w:r>
        <w:rPr>
          <w:rFonts w:ascii="Times New Roman" w:hAnsi="Times New Roman"/>
          <w:b/>
          <w:sz w:val="20"/>
        </w:rPr>
        <w:t>Landlord Repair Notice</w:t>
      </w:r>
      <w:r>
        <w:rPr>
          <w:rFonts w:ascii="Times New Roman" w:hAnsi="Times New Roman"/>
          <w:sz w:val="20"/>
        </w:rPr>
        <w:t xml:space="preserve">") to Tenant from Landlord, Tenant shall assign to Landlord (or to any party designated by Landlord) all insurance proceeds payable to Tenant under Tenant's insurance required under </w:t>
      </w:r>
      <w:r>
        <w:rPr>
          <w:rFonts w:ascii="Times New Roman" w:hAnsi="Times New Roman"/>
          <w:sz w:val="20"/>
          <w:u w:val="single"/>
        </w:rPr>
        <w:t>Section 10.3</w:t>
      </w:r>
      <w:r>
        <w:rPr>
          <w:rFonts w:ascii="Times New Roman" w:hAnsi="Times New Roman"/>
          <w:sz w:val="20"/>
        </w:rPr>
        <w:t xml:space="preserve"> 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In the event that Landlord does not deliver the Landlord Repair Notice within sixty (60) days following the date the casualty becomes known to Landlord, Tenant shall, at its sole cost and expense, repair any injury or damage to the Tenant Improvements and the Original Improvements installed in the Premises and shall return such Tenant Improvements and Original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52" w:name="PGBRK159"/>
      <w:bookmarkStart w:id="1753" w:name="PGBRK159"/>
      <w:bookmarkEnd w:id="1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4" w:name="FTR159"/>
      <w:bookmarkStart w:id="1755" w:name="FTR159"/>
      <w:bookmarkEnd w:id="1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6" w:name="GLFTR159"/>
      <w:bookmarkEnd w:id="17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57" w:name="PN159"/>
      <w:bookmarkEnd w:id="1757"/>
      <w:r>
        <w:rPr>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8" w:name="HDR159"/>
      <w:bookmarkStart w:id="1759" w:name="HDR159"/>
      <w:bookmarkEnd w:id="1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60" w:name="GLHDR159"/>
      <w:bookmarkEnd w:id="17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11.2</w:t>
      </w:r>
      <w:bookmarkStart w:id="1761" w:name="TAB2136"/>
      <w:bookmarkEnd w:id="1761"/>
      <w:r>
        <w:rPr>
          <w:color w:val="000000"/>
          <w:spacing w:val="180"/>
        </w:rPr>
        <w:t> </w:t>
      </w:r>
      <w:r>
        <w:rPr>
          <w:rFonts w:ascii="Times New Roman" w:hAnsi="Times New Roman"/>
          <w:b/>
          <w:sz w:val="20"/>
          <w:u w:val="single"/>
        </w:rPr>
        <w:t>Landlord's Option to Repair</w:t>
      </w:r>
      <w:r>
        <w:rPr>
          <w:rFonts w:ascii="Times New Roman" w:hAnsi="Times New Roman"/>
          <w:sz w:val="20"/>
        </w:rPr>
        <w:t xml:space="preserve">.  Notwithstanding the terms of </w:t>
      </w:r>
      <w:r>
        <w:rPr>
          <w:rFonts w:ascii="Times New Roman" w:hAnsi="Times New Roman"/>
          <w:sz w:val="20"/>
          <w:u w:val="single"/>
        </w:rPr>
        <w:t>Section 11.1</w:t>
      </w:r>
      <w:r>
        <w:rPr>
          <w:rFonts w:ascii="Times New Roman" w:hAnsi="Times New Roman"/>
          <w:sz w:val="20"/>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 (180) 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Notwithstanding the provisions of this Section 11.2, Tenant shall have the right to terminate this Lease under this Section 11.2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(c) as a result of the damage, Tenant cannot reasonably conduct business from the Premises; and, (d) as a result of the damage to the Project, Tenant does not occupy or use the Premises at all.</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11.3</w:t>
      </w:r>
      <w:bookmarkStart w:id="1762" w:name="TAB2137"/>
      <w:bookmarkEnd w:id="1762"/>
      <w:r>
        <w:rPr>
          <w:color w:val="000000"/>
          <w:spacing w:val="180"/>
        </w:rPr>
        <w:t> </w:t>
      </w:r>
      <w:r>
        <w:rPr>
          <w:rFonts w:ascii="Times New Roman" w:hAnsi="Times New Roman"/>
          <w:b/>
          <w:sz w:val="20"/>
          <w:u w:val="single"/>
        </w:rPr>
        <w:t>Waiver of Statutory Provisions</w:t>
      </w:r>
      <w:r>
        <w:rPr>
          <w:rFonts w:ascii="Times New Roman" w:hAnsi="Times New Roman"/>
          <w:sz w:val="20"/>
        </w:rPr>
        <w:t xml:space="preserve">.  The provisions of this Lease, including this </w:t>
      </w:r>
      <w:r>
        <w:rPr>
          <w:rFonts w:ascii="Times New Roman" w:hAnsi="Times New Roman"/>
          <w:sz w:val="20"/>
          <w:u w:val="single"/>
        </w:rPr>
        <w:t>Article 11</w:t>
      </w:r>
      <w:r>
        <w:rPr>
          <w:rFonts w:ascii="Times New Roman" w:hAnsi="Times New Roman"/>
          <w:sz w:val="20"/>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12.</w:t>
      </w:r>
      <w:bookmarkStart w:id="1763" w:name="TAB2138"/>
      <w:bookmarkEnd w:id="1763"/>
      <w:r>
        <w:rPr>
          <w:color w:val="000000"/>
          <w:spacing w:val="180"/>
        </w:rPr>
        <w:t> </w:t>
      </w:r>
      <w:bookmarkStart w:id="1764" w:name="TAB111"/>
      <w:bookmarkEnd w:id="1764"/>
      <w:r>
        <w:rPr>
          <w:rFonts w:ascii="Times New Roman" w:hAnsi="Times New Roman"/>
          <w:sz w:val="20"/>
        </w:rPr>
        <w:t>NONWAIVER                                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65" w:name="PGBRK160"/>
      <w:bookmarkStart w:id="1766" w:name="PGBRK160"/>
      <w:bookmarkEnd w:id="1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7" w:name="FTR160"/>
      <w:bookmarkStart w:id="1768" w:name="FTR160"/>
      <w:bookmarkEnd w:id="1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69" w:name="GLFTR160"/>
      <w:bookmarkEnd w:id="1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70" w:name="PN160"/>
      <w:bookmarkEnd w:id="1770"/>
      <w:r>
        <w:rPr>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1" w:name="HDR160"/>
      <w:bookmarkStart w:id="1772" w:name="HDR160"/>
      <w:bookmarkEnd w:id="17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73" w:name="GLHDR160"/>
      <w:bookmarkEnd w:id="17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13.</w:t>
      </w:r>
      <w:bookmarkStart w:id="1774" w:name="TAB2139"/>
      <w:bookmarkEnd w:id="1774"/>
      <w:r>
        <w:rPr>
          <w:color w:val="000000"/>
          <w:spacing w:val="180"/>
        </w:rPr>
        <w:t> </w:t>
      </w:r>
      <w:bookmarkStart w:id="1775" w:name="TAB112"/>
      <w:bookmarkEnd w:id="1775"/>
      <w:r>
        <w:rPr>
          <w:rFonts w:ascii="Times New Roman" w:hAnsi="Times New Roman"/>
          <w:sz w:val="20"/>
        </w:rPr>
        <w:t>CONDEMNATION  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14.</w:t>
      </w:r>
      <w:bookmarkStart w:id="1776" w:name="TAB2140"/>
      <w:bookmarkEnd w:id="1776"/>
      <w:r>
        <w:rPr>
          <w:color w:val="000000"/>
          <w:spacing w:val="180"/>
        </w:rPr>
        <w:t> </w:t>
      </w:r>
      <w:bookmarkStart w:id="1777" w:name="TAB113"/>
      <w:bookmarkEnd w:id="1777"/>
      <w:r>
        <w:rPr>
          <w:rFonts w:ascii="Times New Roman" w:hAnsi="Times New Roman"/>
          <w:sz w:val="20"/>
        </w:rPr>
        <w:t>ASSIGNMENT AND SUBLETTING</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14.1</w:t>
      </w:r>
      <w:bookmarkStart w:id="1778" w:name="TAB2141"/>
      <w:bookmarkEnd w:id="1778"/>
      <w:r>
        <w:rPr>
          <w:color w:val="000000"/>
          <w:spacing w:val="180"/>
        </w:rPr>
        <w:t> </w:t>
      </w:r>
      <w:r>
        <w:rPr>
          <w:rFonts w:ascii="Times New Roman" w:hAnsi="Times New Roman"/>
          <w:b/>
          <w:sz w:val="20"/>
          <w:u w:val="single"/>
        </w:rPr>
        <w:t>Transfers</w:t>
      </w:r>
      <w:r>
        <w:rPr>
          <w:rFonts w:ascii="Times New Roman" w:hAnsi="Times New Roman"/>
          <w:sz w:val="20"/>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hAnsi="Times New Roman"/>
          <w:b/>
          <w:sz w:val="20"/>
        </w:rPr>
        <w:t>Transfers</w:t>
      </w:r>
      <w:r>
        <w:rPr>
          <w:rFonts w:ascii="Times New Roman" w:hAnsi="Times New Roman"/>
          <w:sz w:val="20"/>
        </w:rPr>
        <w:t>" and any person to whom any Transfer is made or sought to be made is hereinafter sometimes referred to as a "</w:t>
      </w:r>
      <w:r>
        <w:rPr>
          <w:rFonts w:ascii="Times New Roman" w:hAnsi="Times New Roman"/>
          <w:b/>
          <w:sz w:val="20"/>
        </w:rPr>
        <w:t>Transferee</w:t>
      </w:r>
      <w:r>
        <w:rPr>
          <w:rFonts w:ascii="Times New Roman" w:hAnsi="Times New Roman"/>
          <w:sz w:val="20"/>
        </w:rPr>
        <w:t>").  If Tenant desires Landlord's consent to any Transfer, Tenant shall notify Landlord in writing, which notice (the "</w:t>
      </w:r>
      <w:r>
        <w:rPr>
          <w:rFonts w:ascii="Times New Roman" w:hAnsi="Times New Roman"/>
          <w:b/>
          <w:sz w:val="20"/>
        </w:rPr>
        <w:t>Transfer Notice</w:t>
      </w:r>
      <w:r>
        <w:rPr>
          <w:rFonts w:ascii="Times New Roman" w:hAnsi="Times New Roman"/>
          <w:sz w:val="20"/>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Times New Roman" w:hAnsi="Times New Roman"/>
          <w:b/>
          <w:sz w:val="20"/>
        </w:rPr>
        <w:t>Subject Space</w:t>
      </w:r>
      <w:r>
        <w:rPr>
          <w:rFonts w:ascii="Times New Roman" w:hAnsi="Times New Roman"/>
          <w:sz w:val="20"/>
        </w:rPr>
        <w:t>"), (iii) all of the terms of the proposed Transfer and the consideration therefor, including calculation of the "</w:t>
      </w:r>
      <w:r>
        <w:rPr>
          <w:rFonts w:ascii="Times New Roman" w:hAnsi="Times New Roman"/>
          <w:b/>
          <w:sz w:val="20"/>
        </w:rPr>
        <w:t>Transfer Premium</w:t>
      </w:r>
      <w:r>
        <w:rPr>
          <w:rFonts w:ascii="Times New Roman" w:hAnsi="Times New Roman"/>
          <w:sz w:val="20"/>
        </w:rPr>
        <w:t xml:space="preserve">", as that term is defined in </w:t>
      </w:r>
      <w:r>
        <w:rPr>
          <w:rFonts w:ascii="Times New Roman" w:hAnsi="Times New Roman"/>
          <w:sz w:val="20"/>
          <w:u w:val="single"/>
        </w:rPr>
        <w:t>Section 14.3</w:t>
      </w:r>
      <w:r>
        <w:rPr>
          <w:rFonts w:ascii="Times New Roman" w:hAnsi="Times New Roman"/>
          <w:sz w:val="20"/>
        </w:rPr>
        <w:t xml:space="preserve"> below, in connection with such Transfer, the name and address of the proposed Transferee, and a copy of 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14.2</w:t>
      </w:r>
      <w:bookmarkStart w:id="1779" w:name="TAB2142"/>
      <w:bookmarkEnd w:id="1779"/>
      <w:r>
        <w:rPr>
          <w:color w:val="000000"/>
          <w:spacing w:val="180"/>
        </w:rPr>
        <w:t> </w:t>
      </w:r>
      <w:r>
        <w:rPr>
          <w:rFonts w:ascii="Times New Roman" w:hAnsi="Times New Roman"/>
          <w:b/>
          <w:sz w:val="20"/>
          <w:u w:val="single"/>
        </w:rPr>
        <w:t>Landlord's Consent</w:t>
      </w:r>
      <w:r>
        <w:rPr>
          <w:rFonts w:ascii="Times New Roman" w:hAnsi="Times New Roman"/>
          <w:sz w:val="20"/>
        </w:rPr>
        <w:t>.  Landlord shall not unreasonably withhold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14.2.1</w:t>
      </w:r>
      <w:bookmarkStart w:id="1780" w:name="TAB2143"/>
      <w:bookmarkEnd w:id="1780"/>
      <w:r>
        <w:rPr>
          <w:color w:val="000000"/>
          <w:spacing w:val="180"/>
        </w:rPr>
        <w:t> </w:t>
      </w:r>
      <w:r>
        <w:rPr>
          <w:rFonts w:ascii="Times New Roman" w:hAnsi="Times New Roman"/>
          <w:sz w:val="20"/>
        </w:rPr>
        <w:t>The Transferee is of a character or reputation or engaged in a business which is not consistent with the quality of the Building or the Project;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81" w:name="PGBRK161"/>
      <w:bookmarkStart w:id="1782" w:name="PGBRK161"/>
      <w:bookmarkEnd w:id="1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3" w:name="FTR161"/>
      <w:bookmarkStart w:id="1784" w:name="FTR161"/>
      <w:bookmarkEnd w:id="17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5" w:name="GLFTR161"/>
      <w:bookmarkEnd w:id="17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86" w:name="PN161"/>
      <w:bookmarkEnd w:id="1786"/>
      <w:r>
        <w:rPr>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7" w:name="HDR161"/>
      <w:bookmarkStart w:id="1788" w:name="HDR161"/>
      <w:bookmarkEnd w:id="1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89" w:name="GLHDR161"/>
      <w:bookmarkEnd w:id="17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14.2.2</w:t>
      </w:r>
      <w:bookmarkStart w:id="1790" w:name="TAB2144"/>
      <w:bookmarkEnd w:id="1790"/>
      <w:r>
        <w:rPr>
          <w:color w:val="000000"/>
          <w:spacing w:val="180"/>
        </w:rPr>
        <w:t> </w:t>
      </w:r>
      <w:r>
        <w:rPr>
          <w:rFonts w:ascii="Times New Roman" w:hAnsi="Times New Roman"/>
          <w:sz w:val="20"/>
        </w:rPr>
        <w:t>The Transferee is either a governmental agency or instrumentality thereof;</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14.2.3</w:t>
      </w:r>
      <w:bookmarkStart w:id="1791" w:name="TAB2145"/>
      <w:bookmarkEnd w:id="1791"/>
      <w:r>
        <w:rPr>
          <w:color w:val="000000"/>
          <w:spacing w:val="180"/>
        </w:rPr>
        <w:t> </w:t>
      </w:r>
      <w:r>
        <w:rPr>
          <w:rFonts w:ascii="Times New Roman" w:hAnsi="Times New Roman"/>
          <w:sz w:val="20"/>
        </w:rPr>
        <w:t>The Transferee is not a party of reasonable financial worth and/or financial stability in light of the responsibilities to be undertaken in connection with the Transfer on the date consent is requested;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14.2.4</w:t>
      </w:r>
      <w:bookmarkStart w:id="1792" w:name="TAB2146"/>
      <w:bookmarkEnd w:id="1792"/>
      <w:r>
        <w:rPr>
          <w:color w:val="000000"/>
          <w:spacing w:val="180"/>
        </w:rPr>
        <w:t> </w:t>
      </w:r>
      <w:r>
        <w:rPr>
          <w:rFonts w:ascii="Times New Roman" w:hAnsi="Times New Roman"/>
          <w:sz w:val="20"/>
        </w:rPr>
        <w:t>The proposed Transfer would cause a violation of another lease for space in the Project, or would give an occupant of the Project a right to cancel its lease.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If Landlord consents to any Transfer pursuant to the terms of this </w:t>
      </w:r>
      <w:r>
        <w:rPr>
          <w:rFonts w:ascii="Times New Roman" w:hAnsi="Times New Roman"/>
          <w:sz w:val="20"/>
          <w:u w:val="single"/>
        </w:rPr>
        <w:t>Section 14.2</w:t>
      </w:r>
      <w:r>
        <w:rPr>
          <w:rFonts w:ascii="Times New Roman" w:hAnsi="Times New Roman"/>
          <w:sz w:val="20"/>
        </w:rPr>
        <w:t xml:space="preserve"> (and does not exercise any recapture rights Landlord may have under </w:t>
      </w:r>
      <w:r>
        <w:rPr>
          <w:rFonts w:ascii="Times New Roman" w:hAnsi="Times New Roman"/>
          <w:sz w:val="20"/>
          <w:u w:val="single"/>
        </w:rPr>
        <w:t>Section 14.4</w:t>
      </w:r>
      <w:r>
        <w:rPr>
          <w:rFonts w:ascii="Times New Roman" w:hAnsi="Times New Roman"/>
          <w:sz w:val="20"/>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Times New Roman" w:hAnsi="Times New Roman"/>
          <w:sz w:val="20"/>
          <w:u w:val="single"/>
        </w:rPr>
        <w:t>Section 14.1</w:t>
      </w:r>
      <w:r>
        <w:rPr>
          <w:rFonts w:ascii="Times New Roman" w:hAnsi="Times New Roman"/>
          <w:sz w:val="20"/>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Times New Roman" w:hAnsi="Times New Roman"/>
          <w:sz w:val="20"/>
          <w:u w:val="single"/>
        </w:rPr>
        <w:t>Section 14.2</w:t>
      </w:r>
      <w:r>
        <w:rPr>
          <w:rFonts w:ascii="Times New Roman" w:hAnsi="Times New Roman"/>
          <w:sz w:val="20"/>
        </w:rPr>
        <w:t xml:space="preserve">, Tenant shall again submit the Transfer to Landlord for its approval and other action under this </w:t>
      </w:r>
      <w:r>
        <w:rPr>
          <w:rFonts w:ascii="Times New Roman" w:hAnsi="Times New Roman"/>
          <w:sz w:val="20"/>
          <w:u w:val="single"/>
        </w:rPr>
        <w:t>Article 14</w:t>
      </w:r>
      <w:r>
        <w:rPr>
          <w:rFonts w:ascii="Times New Roman" w:hAnsi="Times New Roman"/>
          <w:sz w:val="20"/>
        </w:rPr>
        <w:t xml:space="preserve"> (including Landlord's right of recapture, if any, under </w:t>
      </w:r>
      <w:r>
        <w:rPr>
          <w:rFonts w:ascii="Times New Roman" w:hAnsi="Times New Roman"/>
          <w:sz w:val="20"/>
          <w:u w:val="single"/>
        </w:rPr>
        <w:t>Section 14.4</w:t>
      </w:r>
      <w:r>
        <w:rPr>
          <w:rFonts w:ascii="Times New Roman" w:hAnsi="Times New Roman"/>
          <w:sz w:val="20"/>
        </w:rPr>
        <w:t xml:space="preserve"> of this Lease).  Notwithstanding anything to the contrary in this Lease, if Tenant or any proposed Transferee claims that Landlord has unreasonably withheld or delayed its consent under </w:t>
      </w:r>
      <w:r>
        <w:rPr>
          <w:rFonts w:ascii="Times New Roman" w:hAnsi="Times New Roman"/>
          <w:sz w:val="20"/>
          <w:u w:val="single"/>
        </w:rPr>
        <w:t>Section 14.2</w:t>
      </w:r>
      <w:r>
        <w:rPr>
          <w:rFonts w:ascii="Times New Roman" w:hAnsi="Times New Roman"/>
          <w:sz w:val="20"/>
        </w:rPr>
        <w:t xml:space="preserve"> or otherwise has breached or acted unreasonably under this </w:t>
      </w:r>
      <w:r>
        <w:rPr>
          <w:rFonts w:ascii="Times New Roman" w:hAnsi="Times New Roman"/>
          <w:sz w:val="20"/>
          <w:u w:val="single"/>
        </w:rPr>
        <w:t>Article 14</w:t>
      </w:r>
      <w:r>
        <w:rPr>
          <w:rFonts w:ascii="Times New Roman" w:hAnsi="Times New Roman"/>
          <w:sz w:val="20"/>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14.3</w:t>
      </w:r>
      <w:bookmarkStart w:id="1793" w:name="TAB2147"/>
      <w:bookmarkEnd w:id="1793"/>
      <w:r>
        <w:rPr>
          <w:color w:val="000000"/>
          <w:spacing w:val="180"/>
        </w:rPr>
        <w:t> </w:t>
      </w:r>
      <w:r>
        <w:rPr>
          <w:rFonts w:ascii="Times New Roman" w:hAnsi="Times New Roman"/>
          <w:b/>
          <w:sz w:val="20"/>
          <w:u w:val="single"/>
        </w:rPr>
        <w:t>Transfer Premium</w:t>
      </w:r>
      <w:r>
        <w:rPr>
          <w:rFonts w:ascii="Times New Roman" w:hAnsi="Times New Roman"/>
          <w:sz w:val="20"/>
        </w:rPr>
        <w:t>.  If Landlord consents to a Transfer, as a condition thereto which the parties hereby agree is reasonable, Tenant shall pay to Landlord fifty percent (50%) of any "</w:t>
      </w:r>
      <w:r>
        <w:rPr>
          <w:rFonts w:ascii="Times New Roman" w:hAnsi="Times New Roman"/>
          <w:b/>
          <w:sz w:val="20"/>
        </w:rPr>
        <w:t>Transfer Premium</w:t>
      </w:r>
      <w:r>
        <w:rPr>
          <w:rFonts w:ascii="Times New Roman" w:hAnsi="Times New Roman"/>
          <w:sz w:val="20"/>
        </w:rPr>
        <w:t xml:space="preserve">," as that term is defined in this </w:t>
      </w:r>
      <w:r>
        <w:rPr>
          <w:rFonts w:ascii="Times New Roman" w:hAnsi="Times New Roman"/>
          <w:sz w:val="20"/>
          <w:u w:val="single"/>
        </w:rPr>
        <w:t>Section 14.3</w:t>
      </w:r>
      <w:r>
        <w:rPr>
          <w:rFonts w:ascii="Times New Roman" w:hAnsi="Times New Roman"/>
          <w:sz w:val="20"/>
        </w:rPr>
        <w:t>, received by Tenant from such Transferee.  "</w:t>
      </w:r>
      <w:r>
        <w:rPr>
          <w:rFonts w:ascii="Times New Roman" w:hAnsi="Times New Roman"/>
          <w:b/>
          <w:sz w:val="20"/>
        </w:rPr>
        <w:t>Transfer Premium</w:t>
      </w:r>
      <w:r>
        <w:rPr>
          <w:rFonts w:ascii="Times New Roman" w:hAnsi="Times New Roman"/>
          <w:sz w:val="20"/>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and after deduction of (i) any costs of improvements made to the Subject Space in connection with such Transfer, (ii) brokerage commissions paid in connection with such Transfer, and (iii) reasonable legal fees incurred in connection with such Transfer.  "</w:t>
      </w:r>
      <w:r>
        <w:rPr>
          <w:rFonts w:ascii="Times New Roman" w:hAnsi="Times New Roman"/>
          <w:b/>
          <w:sz w:val="20"/>
        </w:rPr>
        <w:t>Transfer Premium</w:t>
      </w:r>
      <w:r>
        <w:rPr>
          <w:rFonts w:ascii="Times New Roman" w:hAnsi="Times New Roman"/>
          <w:sz w:val="20"/>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4" w:name="PGBRK162"/>
      <w:bookmarkStart w:id="1795" w:name="PGBRK162"/>
      <w:bookmarkEnd w:id="1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6" w:name="FTR162"/>
      <w:bookmarkStart w:id="1797" w:name="FTR162"/>
      <w:bookmarkEnd w:id="1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98" w:name="GLFTR162"/>
      <w:bookmarkEnd w:id="17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99" w:name="PN162"/>
      <w:bookmarkEnd w:id="1799"/>
      <w:r>
        <w:rPr>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0" w:name="HDR162"/>
      <w:bookmarkStart w:id="1801" w:name="HDR162"/>
      <w:bookmarkEnd w:id="18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02" w:name="GLHDR162"/>
      <w:bookmarkEnd w:id="18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14.4</w:t>
      </w:r>
      <w:bookmarkStart w:id="1803" w:name="TAB2148"/>
      <w:bookmarkEnd w:id="1803"/>
      <w:r>
        <w:rPr>
          <w:color w:val="000000"/>
          <w:spacing w:val="180"/>
        </w:rPr>
        <w:t> </w:t>
      </w:r>
      <w:r>
        <w:rPr>
          <w:rFonts w:ascii="Times New Roman" w:hAnsi="Times New Roman"/>
          <w:b/>
          <w:sz w:val="20"/>
          <w:u w:val="single"/>
        </w:rPr>
        <w:t>Landlord's Option as to Subject Space</w:t>
      </w:r>
      <w:r>
        <w:rPr>
          <w:rFonts w:ascii="Times New Roman" w:hAnsi="Times New Roman"/>
          <w:sz w:val="20"/>
        </w:rPr>
        <w:t xml:space="preserve">.  Notwithstanding anything to the contrary contained in this </w:t>
      </w:r>
      <w:r>
        <w:rPr>
          <w:rFonts w:ascii="Times New Roman" w:hAnsi="Times New Roman"/>
          <w:sz w:val="20"/>
          <w:u w:val="single"/>
        </w:rPr>
        <w:t>Article 14</w:t>
      </w:r>
      <w:r>
        <w:rPr>
          <w:rFonts w:ascii="Times New Roman" w:hAnsi="Times New Roman"/>
          <w:sz w:val="20"/>
        </w:rPr>
        <w:t>, in the event Tenant contemplates a Transfer which, together with all prior Transfers then remaining in effect, would cause fifty percent (50%) or more of the Premises to be Transferred for more than fifty percent (50%) of the then remaining Lease Term (taking into account any extension of the Lease Term which has irrevocably exercised by Tenant), Tenant shall give Landlord notice (the "</w:t>
      </w:r>
      <w:r>
        <w:rPr>
          <w:rFonts w:ascii="Times New Roman" w:hAnsi="Times New Roman"/>
          <w:b/>
          <w:sz w:val="20"/>
        </w:rPr>
        <w:t>Intention to Transfer Notice</w:t>
      </w:r>
      <w:r>
        <w:rPr>
          <w:rFonts w:ascii="Times New Roman" w:hAnsi="Times New Roman"/>
          <w:sz w:val="20"/>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Times New Roman" w:hAnsi="Times New Roman"/>
          <w:b/>
          <w:sz w:val="20"/>
        </w:rPr>
        <w:t>Contemplated Transfer Space</w:t>
      </w:r>
      <w:r>
        <w:rPr>
          <w:rFonts w:ascii="Times New Roman" w:hAnsi="Times New Roman"/>
          <w:sz w:val="20"/>
        </w:rPr>
        <w:t>"), the contemplated date of commencement of the Contemplated Transfer (the "</w:t>
      </w:r>
      <w:r>
        <w:rPr>
          <w:rFonts w:ascii="Times New Roman" w:hAnsi="Times New Roman"/>
          <w:b/>
          <w:sz w:val="20"/>
        </w:rPr>
        <w:t>Contemplated Effective Date</w:t>
      </w:r>
      <w:r>
        <w:rPr>
          <w:rFonts w:ascii="Times New Roman" w:hAnsi="Times New Roman"/>
          <w:sz w:val="20"/>
        </w:rPr>
        <w:t xml:space="preserve">"), and the contemplated length of the term of such contemplated Transfer, and shall specify that such Intention to Transfer Notice is delivered to Landlord pursuant to this </w:t>
      </w:r>
      <w:r>
        <w:rPr>
          <w:rFonts w:ascii="Times New Roman" w:hAnsi="Times New Roman"/>
          <w:sz w:val="20"/>
          <w:u w:val="single"/>
        </w:rPr>
        <w:t>Section 14.4</w:t>
      </w:r>
      <w:r>
        <w:rPr>
          <w:rFonts w:ascii="Times New Roman" w:hAnsi="Times New Roman"/>
          <w:sz w:val="20"/>
        </w:rPr>
        <w:t xml:space="preserve"> in order to allow Landlord to elect to recapture the Contemplated Transfer Space.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Times New Roman" w:hAnsi="Times New Roman"/>
          <w:sz w:val="20"/>
          <w:u w:val="single"/>
        </w:rPr>
        <w:t>Section 14.4</w:t>
      </w:r>
      <w:r>
        <w:rPr>
          <w:rFonts w:ascii="Times New Roman" w:hAnsi="Times New Roman"/>
          <w:sz w:val="20"/>
        </w:rPr>
        <w:t xml:space="preserve">, then, subject to the other terms of this </w:t>
      </w:r>
      <w:r>
        <w:rPr>
          <w:rFonts w:ascii="Times New Roman" w:hAnsi="Times New Roman"/>
          <w:sz w:val="20"/>
          <w:u w:val="single"/>
        </w:rPr>
        <w:t>Article 14</w:t>
      </w:r>
      <w:r>
        <w:rPr>
          <w:rFonts w:ascii="Times New Roman" w:hAnsi="Times New Roman"/>
          <w:sz w:val="20"/>
        </w:rPr>
        <w:t>, for a period of nine (9) months (the "</w:t>
      </w:r>
      <w:r>
        <w:rPr>
          <w:rFonts w:ascii="Times New Roman" w:hAnsi="Times New Roman"/>
          <w:b/>
          <w:sz w:val="20"/>
        </w:rPr>
        <w:t>Nine Month Period</w:t>
      </w:r>
      <w:r>
        <w:rPr>
          <w:rFonts w:ascii="Times New Roman" w:hAnsi="Times New Roman"/>
          <w:sz w:val="20"/>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Times New Roman" w:hAnsi="Times New Roman"/>
          <w:sz w:val="20"/>
          <w:u w:val="single"/>
        </w:rPr>
        <w:t>Article 14</w:t>
      </w:r>
      <w:r>
        <w:rPr>
          <w:rFonts w:ascii="Times New Roman" w:hAnsi="Times New Roman"/>
          <w:sz w:val="20"/>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Times New Roman" w:hAnsi="Times New Roman"/>
          <w:sz w:val="20"/>
          <w:u w:val="single"/>
        </w:rPr>
        <w:t>Section 14.4</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14.5</w:t>
      </w:r>
      <w:bookmarkStart w:id="1804" w:name="TAB2149"/>
      <w:bookmarkEnd w:id="1804"/>
      <w:r>
        <w:rPr>
          <w:color w:val="000000"/>
          <w:spacing w:val="180"/>
        </w:rPr>
        <w:t> </w:t>
      </w:r>
      <w:r>
        <w:rPr>
          <w:rFonts w:ascii="Times New Roman" w:hAnsi="Times New Roman"/>
          <w:b/>
          <w:sz w:val="20"/>
          <w:u w:val="single"/>
        </w:rPr>
        <w:t>Effect of Transfer</w:t>
      </w:r>
      <w:r>
        <w:rPr>
          <w:rFonts w:ascii="Times New Roman" w:hAnsi="Times New Roman"/>
          <w:sz w:val="20"/>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14.6</w:t>
      </w:r>
      <w:bookmarkStart w:id="1805" w:name="TAB2150"/>
      <w:bookmarkEnd w:id="1805"/>
      <w:r>
        <w:rPr>
          <w:color w:val="000000"/>
          <w:spacing w:val="180"/>
        </w:rPr>
        <w:t> </w:t>
      </w:r>
      <w:r>
        <w:rPr>
          <w:rFonts w:ascii="Times New Roman" w:hAnsi="Times New Roman"/>
          <w:b/>
          <w:sz w:val="20"/>
          <w:u w:val="single"/>
        </w:rPr>
        <w:t>Additional Transfers</w:t>
      </w:r>
      <w:r>
        <w:rPr>
          <w:rFonts w:ascii="Times New Roman" w:hAnsi="Times New Roman"/>
          <w:sz w:val="20"/>
        </w:rPr>
        <w:t>.  For purposes of this Lease, the term "</w:t>
      </w:r>
      <w:r>
        <w:rPr>
          <w:rFonts w:ascii="Times New Roman" w:hAnsi="Times New Roman"/>
          <w:b/>
          <w:sz w:val="20"/>
        </w:rPr>
        <w:t>Transfer</w:t>
      </w:r>
      <w:r>
        <w:rPr>
          <w:rFonts w:ascii="Times New Roman" w:hAnsi="Times New Roman"/>
          <w:sz w:val="20"/>
        </w:rPr>
        <w:t>" shall also include (i)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Times New Roman" w:hAnsi="Times New Roman"/>
          <w:i/>
          <w:sz w:val="20"/>
        </w:rPr>
        <w:t>i.e.</w:t>
      </w:r>
      <w:r>
        <w:rPr>
          <w:rFonts w:ascii="Times New Roman" w:hAnsi="Times New Roman"/>
          <w:sz w:val="20"/>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6" w:name="PGBRK163"/>
      <w:bookmarkStart w:id="1807" w:name="PGBRK163"/>
      <w:bookmarkEnd w:id="18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8" w:name="FTR163"/>
      <w:bookmarkStart w:id="1809" w:name="FTR163"/>
      <w:bookmarkEnd w:id="1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10" w:name="GLFTR163"/>
      <w:bookmarkEnd w:id="18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11" w:name="PN163"/>
      <w:bookmarkEnd w:id="1811"/>
      <w:r>
        <w:rPr>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2" w:name="HDR163"/>
      <w:bookmarkStart w:id="1813" w:name="HDR163"/>
      <w:bookmarkEnd w:id="1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14" w:name="GLHDR163"/>
      <w:bookmarkEnd w:id="18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14.7</w:t>
      </w:r>
      <w:bookmarkStart w:id="1815" w:name="TAB2151"/>
      <w:bookmarkEnd w:id="1815"/>
      <w:r>
        <w:rPr>
          <w:color w:val="000000"/>
          <w:spacing w:val="180"/>
        </w:rPr>
        <w:t> </w:t>
      </w:r>
      <w:r>
        <w:rPr>
          <w:rFonts w:ascii="Times New Roman" w:hAnsi="Times New Roman"/>
          <w:b/>
          <w:sz w:val="20"/>
          <w:u w:val="single"/>
        </w:rPr>
        <w:t>Occurrence of Default</w:t>
      </w:r>
      <w:r>
        <w:rPr>
          <w:rFonts w:ascii="Times New Roman" w:hAnsi="Times New Roman"/>
          <w:sz w:val="20"/>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hAnsi="Times New Roman"/>
          <w:sz w:val="20"/>
          <w:u w:val="single"/>
        </w:rPr>
        <w:t>Article 14</w:t>
      </w:r>
      <w:r>
        <w:rPr>
          <w:rFonts w:ascii="Times New Roman" w:hAnsi="Times New Roman"/>
          <w:sz w:val="20"/>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14.8</w:t>
      </w:r>
      <w:bookmarkStart w:id="1816" w:name="TAB2152"/>
      <w:bookmarkEnd w:id="1816"/>
      <w:r>
        <w:rPr>
          <w:color w:val="000000"/>
          <w:spacing w:val="180"/>
        </w:rPr>
        <w:t> </w:t>
      </w:r>
      <w:r>
        <w:rPr>
          <w:rFonts w:ascii="Times New Roman" w:hAnsi="Times New Roman"/>
          <w:b/>
          <w:sz w:val="20"/>
          <w:u w:val="single"/>
        </w:rPr>
        <w:t>Non-Transfers</w:t>
      </w:r>
      <w:r>
        <w:rPr>
          <w:rFonts w:ascii="Times New Roman" w:hAnsi="Times New Roman"/>
          <w:sz w:val="20"/>
        </w:rPr>
        <w:t xml:space="preserve">.  Notwithstanding anything to the contrary contained in this </w:t>
      </w:r>
      <w:r>
        <w:rPr>
          <w:rFonts w:ascii="Times New Roman" w:hAnsi="Times New Roman"/>
          <w:sz w:val="20"/>
          <w:u w:val="single"/>
        </w:rPr>
        <w:t>Article 14</w:t>
      </w:r>
      <w:r>
        <w:rPr>
          <w:rFonts w:ascii="Times New Roman" w:hAnsi="Times New Roman"/>
          <w:sz w:val="20"/>
        </w:rPr>
        <w:t xml:space="preserve">, an assignment or subletting of all or a portion of the Premises to an affiliate of Tenant (an entity which is controlled by, controls, or is under common control with, Tenant), shall not be deemed a Transfer under this </w:t>
      </w:r>
      <w:r>
        <w:rPr>
          <w:rFonts w:ascii="Times New Roman" w:hAnsi="Times New Roman"/>
          <w:sz w:val="20"/>
          <w:u w:val="single"/>
        </w:rPr>
        <w:t>Article 14</w:t>
      </w:r>
      <w:r>
        <w:rPr>
          <w:rFonts w:ascii="Times New Roman" w:hAnsi="Times New Roman"/>
          <w:sz w:val="20"/>
        </w:rPr>
        <w:t>, provided that Tenant notifies Landlord of any such assignment or sublease and promptly supplies Landlord with any documents or information requested by Landlord regarding such assignment or sublease or such affiliate, and further provided that such assignment or sublease is not a subterfuge by Tenant to avoid its obligations under this Lease.  "</w:t>
      </w:r>
      <w:r>
        <w:rPr>
          <w:rFonts w:ascii="Times New Roman" w:hAnsi="Times New Roman"/>
          <w:b/>
          <w:sz w:val="20"/>
        </w:rPr>
        <w:t>Control</w:t>
      </w:r>
      <w:r>
        <w:rPr>
          <w:rFonts w:ascii="Times New Roman" w:hAnsi="Times New Roman"/>
          <w:sz w:val="20"/>
        </w:rPr>
        <w:t xml:space="preserve">," as used in this </w:t>
      </w:r>
      <w:r>
        <w:rPr>
          <w:rFonts w:ascii="Times New Roman" w:hAnsi="Times New Roman"/>
          <w:sz w:val="20"/>
          <w:u w:val="single"/>
        </w:rPr>
        <w:t>Section 14.8</w:t>
      </w:r>
      <w:r>
        <w:rPr>
          <w:rFonts w:ascii="Times New Roman" w:hAnsi="Times New Roman"/>
          <w:sz w:val="20"/>
        </w:rPr>
        <w:t>, shall mean the ownership, directly or indirectly, of at least fifty-one percent (51%) of the voting 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15.</w:t>
      </w:r>
      <w:bookmarkStart w:id="1817" w:name="TAB2153"/>
      <w:bookmarkEnd w:id="1817"/>
      <w:r>
        <w:rPr>
          <w:color w:val="000000"/>
          <w:spacing w:val="180"/>
        </w:rPr>
        <w:t> </w:t>
      </w:r>
      <w:bookmarkStart w:id="1818" w:name="TAB114"/>
      <w:bookmarkEnd w:id="1818"/>
      <w:r>
        <w:rPr>
          <w:rFonts w:ascii="Times New Roman" w:hAnsi="Times New Roman"/>
          <w:sz w:val="20"/>
        </w:rPr>
        <w:t>SURRENDER OF PREMISES; OWNERSHIP AND REMOVAL OF TRADE FIXTURES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15.1</w:t>
      </w:r>
      <w:bookmarkStart w:id="1819" w:name="TAB2154"/>
      <w:bookmarkEnd w:id="1819"/>
      <w:r>
        <w:rPr>
          <w:color w:val="000000"/>
          <w:spacing w:val="180"/>
        </w:rPr>
        <w:t> </w:t>
      </w:r>
      <w:r>
        <w:rPr>
          <w:rFonts w:ascii="Times New Roman" w:hAnsi="Times New Roman"/>
          <w:b/>
          <w:sz w:val="20"/>
          <w:u w:val="single"/>
        </w:rPr>
        <w:t>Surrender of Premises</w:t>
      </w:r>
      <w:r>
        <w:rPr>
          <w:rFonts w:ascii="Times New Roman" w:hAnsi="Times New Roman"/>
          <w:sz w:val="20"/>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15.2</w:t>
      </w:r>
      <w:bookmarkStart w:id="1820" w:name="TAB2155"/>
      <w:bookmarkEnd w:id="1820"/>
      <w:r>
        <w:rPr>
          <w:color w:val="000000"/>
          <w:spacing w:val="180"/>
        </w:rPr>
        <w:t> </w:t>
      </w:r>
      <w:r>
        <w:rPr>
          <w:rFonts w:ascii="Times New Roman" w:hAnsi="Times New Roman"/>
          <w:b/>
          <w:sz w:val="20"/>
          <w:u w:val="single"/>
        </w:rPr>
        <w:t>Removal of Tenant Property by Tenant</w:t>
      </w:r>
      <w:r>
        <w:rPr>
          <w:rFonts w:ascii="Times New Roman" w:hAnsi="Times New Roman"/>
          <w:sz w:val="20"/>
        </w:rPr>
        <w:t xml:space="preserve">.  Upon the expiration of the Lease Term, or upon any earlier termination of this Lease, Tenant shall, subject to the provisions of this </w:t>
      </w:r>
      <w:r>
        <w:rPr>
          <w:rFonts w:ascii="Times New Roman" w:hAnsi="Times New Roman"/>
          <w:sz w:val="20"/>
          <w:u w:val="single"/>
        </w:rPr>
        <w:t>Article 15</w:t>
      </w:r>
      <w:r>
        <w:rPr>
          <w:rFonts w:ascii="Times New Roman" w:hAnsi="Times New Roman"/>
          <w:sz w:val="20"/>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21" w:name="PGBRK164"/>
      <w:bookmarkStart w:id="1822" w:name="PGBRK164"/>
      <w:bookmarkEnd w:id="1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3" w:name="FTR164"/>
      <w:bookmarkStart w:id="1824" w:name="FTR164"/>
      <w:bookmarkEnd w:id="1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25" w:name="GLFTR164"/>
      <w:bookmarkEnd w:id="18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26" w:name="PN164"/>
      <w:bookmarkEnd w:id="1826"/>
      <w:r>
        <w:rPr>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7" w:name="HDR164"/>
      <w:bookmarkStart w:id="1828" w:name="HDR164"/>
      <w:bookmarkEnd w:id="1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9" w:name="GLHDR164"/>
      <w:bookmarkEnd w:id="18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15.3</w:t>
      </w:r>
      <w:bookmarkStart w:id="1830" w:name="TAB2156"/>
      <w:bookmarkEnd w:id="1830"/>
      <w:r>
        <w:rPr>
          <w:color w:val="000000"/>
          <w:spacing w:val="180"/>
        </w:rPr>
        <w:t> </w:t>
      </w:r>
      <w:r>
        <w:rPr>
          <w:rFonts w:ascii="Times New Roman" w:hAnsi="Times New Roman"/>
          <w:b/>
          <w:sz w:val="20"/>
          <w:u w:val="single"/>
        </w:rPr>
        <w:t>Environmental Assessment</w:t>
      </w:r>
      <w:r>
        <w:rPr>
          <w:rFonts w:ascii="Times New Roman" w:hAnsi="Times New Roman"/>
          <w:sz w:val="20"/>
        </w:rPr>
        <w:t xml:space="preserve">.  In connection with its surrender of the Premises, Tenant shall submit to Landlord, at least one hundred twenty (120)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which (i) evidences that the Premises are in a clean and safe condition and free and clear of any Hazardous Materials; and (ii) includes a review of the Premises by an environmental consultant for asbestos, mold, fungus, spores, and other moisture conditions, on-site chemical use, and lead-based paint.  If such Environmental Assessment reveals that remediation or Clean-up is required under any Environmental Laws, Tenant shall submit a remediation plan prepared by a recognized environmental consultant and shall be responsible for all costs of remediation and Clean-up, as more particularly provided in </w:t>
      </w:r>
      <w:r>
        <w:rPr>
          <w:rFonts w:ascii="Times New Roman" w:hAnsi="Times New Roman"/>
          <w:b/>
          <w:sz w:val="20"/>
          <w:u w:val="single"/>
        </w:rPr>
        <w:t>Section 5.3</w:t>
      </w:r>
      <w:r>
        <w:rPr>
          <w:rFonts w:ascii="Times New Roman" w:hAnsi="Times New Roman"/>
          <w:sz w:val="20"/>
        </w:rPr>
        <w:t>, above.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15.4</w:t>
      </w:r>
      <w:bookmarkStart w:id="1831" w:name="TAB2157"/>
      <w:bookmarkEnd w:id="1831"/>
      <w:r>
        <w:rPr>
          <w:color w:val="000000"/>
          <w:spacing w:val="180"/>
        </w:rPr>
        <w:t> </w:t>
      </w:r>
      <w:r>
        <w:rPr>
          <w:rFonts w:ascii="Times New Roman" w:hAnsi="Times New Roman"/>
          <w:b/>
          <w:sz w:val="20"/>
          <w:u w:val="single"/>
        </w:rPr>
        <w:t>Condition of the Building and Premises Upon Surrender</w:t>
      </w:r>
      <w:r>
        <w:rPr>
          <w:rFonts w:ascii="Times New Roman" w:hAnsi="Times New Roman"/>
          <w:sz w:val="20"/>
        </w:rPr>
        <w:t xml:space="preserve">.  In addition to the above requirements of this </w:t>
      </w:r>
      <w:r>
        <w:rPr>
          <w:rFonts w:ascii="Times New Roman" w:hAnsi="Times New Roman"/>
          <w:sz w:val="20"/>
          <w:u w:val="single"/>
        </w:rPr>
        <w:t>Article 15</w:t>
      </w:r>
      <w:r>
        <w:rPr>
          <w:rFonts w:ascii="Times New Roman" w:hAnsi="Times New Roman"/>
          <w:sz w:val="20"/>
        </w:rPr>
        <w:t xml:space="preserve">, upon the expiration of the Lease Term, or upon any earlier termination of this Lease, Tenant shall, surrender the Premises and Building such that the same are in compliance with all Applicable Laws and with Tenant having complied with all of Tenant’s obligations under this Lease, including those relating to improvement, repair, maintenance, compliance with law, testing and other related obligations of Tenant set forth in </w:t>
      </w:r>
      <w:r>
        <w:rPr>
          <w:rFonts w:ascii="Times New Roman" w:hAnsi="Times New Roman"/>
          <w:sz w:val="20"/>
          <w:u w:val="single"/>
        </w:rPr>
        <w:t>Article 7</w:t>
      </w:r>
      <w:r>
        <w:rPr>
          <w:rFonts w:ascii="Times New Roman" w:hAnsi="Times New Roman"/>
          <w:sz w:val="20"/>
        </w:rPr>
        <w:t xml:space="preserve"> of this Lease.  In the event that the Building and Premises shall be surrendered in a condition which does not comply with the terms of this </w:t>
      </w:r>
      <w:r>
        <w:rPr>
          <w:rFonts w:ascii="Times New Roman" w:hAnsi="Times New Roman"/>
          <w:sz w:val="20"/>
          <w:u w:val="single"/>
        </w:rPr>
        <w:t>Section 15.4</w:t>
      </w:r>
      <w:r>
        <w:rPr>
          <w:rFonts w:ascii="Times New Roman" w:hAnsi="Times New Roman"/>
          <w:sz w:val="20"/>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Tenant shall be deemed during the period that Tenant or Landlord, as the case may be, perform obligations relating to the Surrender Improvements to be in holdover under </w:t>
      </w:r>
      <w:r>
        <w:rPr>
          <w:rFonts w:ascii="Times New Roman" w:hAnsi="Times New Roman"/>
          <w:sz w:val="20"/>
          <w:u w:val="single"/>
        </w:rPr>
        <w:t>Article 16</w:t>
      </w:r>
      <w:r>
        <w:rPr>
          <w:rFonts w:ascii="Times New Roman" w:hAnsi="Times New Roman"/>
          <w:sz w:val="20"/>
        </w:rPr>
        <w:t xml:space="preserve"> of this Lease.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16.</w:t>
      </w:r>
      <w:bookmarkStart w:id="1832" w:name="TAB2158"/>
      <w:bookmarkEnd w:id="1832"/>
      <w:r>
        <w:rPr>
          <w:color w:val="000000"/>
          <w:spacing w:val="180"/>
        </w:rPr>
        <w:t> </w:t>
      </w:r>
      <w:bookmarkStart w:id="1833" w:name="TAB115"/>
      <w:bookmarkEnd w:id="1833"/>
      <w:r>
        <w:rPr>
          <w:rFonts w:ascii="Times New Roman" w:hAnsi="Times New Roman"/>
          <w:sz w:val="20"/>
        </w:rPr>
        <w:t>HOLDING OVER  If Tenant holds over after the expiration of the Lease Term or earlier termination thereof, with the express or implied 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Rent shall be payable at a monthly rate equal to 150% of the Rent applicable during the last rental period of the Lease Term under this Lease.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17.</w:t>
      </w:r>
      <w:bookmarkStart w:id="1834" w:name="TAB2159"/>
      <w:bookmarkEnd w:id="1834"/>
      <w:r>
        <w:rPr>
          <w:color w:val="000000"/>
          <w:spacing w:val="180"/>
        </w:rPr>
        <w:t> </w:t>
      </w:r>
      <w:bookmarkStart w:id="1835" w:name="TAB116"/>
      <w:bookmarkEnd w:id="1835"/>
      <w:r>
        <w:rPr>
          <w:rFonts w:ascii="Times New Roman" w:hAnsi="Times New Roman"/>
          <w:sz w:val="20"/>
        </w:rPr>
        <w:t xml:space="preserve">ESTOPPEL CERTIFICATES  Within ten (10) business days following a request in writing by Landlord, Tenant shall execute, acknowledge and deliver to Landlord an estoppel certificate, which, as submitted by Landlord, shall be substantially in the form of </w:t>
      </w:r>
      <w:r>
        <w:rPr>
          <w:rFonts w:ascii="Times New Roman" w:hAnsi="Times New Roman"/>
          <w:b/>
          <w:sz w:val="20"/>
          <w:u w:val="single"/>
        </w:rPr>
        <w:t>Exhibit D</w:t>
      </w:r>
      <w:r>
        <w:rPr>
          <w:rFonts w:ascii="Times New Roman" w:hAnsi="Times New Roman"/>
          <w:sz w:val="20"/>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36" w:name="PGBRK165"/>
      <w:bookmarkStart w:id="1837" w:name="PGBRK165"/>
      <w:bookmarkEnd w:id="1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38" w:name="FTR165"/>
      <w:bookmarkStart w:id="1839" w:name="FTR165"/>
      <w:bookmarkEnd w:id="1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40" w:name="GLFTR165"/>
      <w:bookmarkEnd w:id="18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41" w:name="PN165"/>
      <w:bookmarkEnd w:id="1841"/>
      <w:r>
        <w:rPr>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42" w:name="HDR165"/>
      <w:bookmarkStart w:id="1843" w:name="HDR165"/>
      <w:bookmarkEnd w:id="1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44" w:name="GLHDR165"/>
      <w:bookmarkEnd w:id="18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18.</w:t>
      </w:r>
      <w:bookmarkStart w:id="1845" w:name="TAB2160"/>
      <w:bookmarkEnd w:id="1845"/>
      <w:r>
        <w:rPr>
          <w:color w:val="000000"/>
          <w:spacing w:val="180"/>
        </w:rPr>
        <w:t> </w:t>
      </w:r>
      <w:bookmarkStart w:id="1846" w:name="TAB117"/>
      <w:bookmarkEnd w:id="1846"/>
      <w:r>
        <w:rPr>
          <w:rFonts w:ascii="Times New Roman" w:hAnsi="Times New Roman"/>
          <w:sz w:val="20"/>
        </w:rPr>
        <w:t>SUBORDINATION  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19.</w:t>
      </w:r>
      <w:bookmarkStart w:id="1847" w:name="TAB2161"/>
      <w:bookmarkEnd w:id="1847"/>
      <w:r>
        <w:rPr>
          <w:color w:val="000000"/>
          <w:spacing w:val="180"/>
        </w:rPr>
        <w:t> </w:t>
      </w:r>
      <w:bookmarkStart w:id="1848" w:name="TAB118"/>
      <w:bookmarkEnd w:id="1848"/>
      <w:r>
        <w:rPr>
          <w:rFonts w:ascii="Times New Roman" w:hAnsi="Times New Roman"/>
          <w:sz w:val="20"/>
        </w:rPr>
        <w:t>DEFAULTS; REMEDIES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19.1</w:t>
      </w:r>
      <w:bookmarkStart w:id="1849" w:name="TAB2162"/>
      <w:bookmarkEnd w:id="1849"/>
      <w:r>
        <w:rPr>
          <w:color w:val="000000"/>
          <w:spacing w:val="180"/>
        </w:rPr>
        <w:t> </w:t>
      </w:r>
      <w:r>
        <w:rPr>
          <w:rFonts w:ascii="Times New Roman" w:hAnsi="Times New Roman"/>
          <w:b/>
          <w:sz w:val="20"/>
          <w:u w:val="single"/>
        </w:rPr>
        <w:t>Events of Default</w:t>
      </w:r>
      <w:r>
        <w:rPr>
          <w:rFonts w:ascii="Times New Roman" w:hAnsi="Times New Roman"/>
          <w:sz w:val="20"/>
        </w:rPr>
        <w:t>.  The occurrence of any of the following shall constitute a default of this Lease by Tenant: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19.1.1</w:t>
      </w:r>
      <w:bookmarkStart w:id="1850" w:name="TAB2163"/>
      <w:bookmarkEnd w:id="1850"/>
      <w:r>
        <w:rPr>
          <w:color w:val="000000"/>
          <w:spacing w:val="180"/>
        </w:rPr>
        <w:t> </w:t>
      </w:r>
      <w:r>
        <w:rPr>
          <w:rFonts w:ascii="Times New Roman" w:hAnsi="Times New Roman"/>
          <w:sz w:val="20"/>
        </w:rPr>
        <w:t>Any failure by Tenant to pay any Rent or any other charge required to be paid under this Lease, or any part thereof, when due unless such failure is cured within five (5) business days after notice;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19.1.2</w:t>
      </w:r>
      <w:bookmarkStart w:id="1851" w:name="TAB2164"/>
      <w:bookmarkEnd w:id="1851"/>
      <w:r>
        <w:rPr>
          <w:color w:val="000000"/>
          <w:spacing w:val="180"/>
        </w:rPr>
        <w:t> </w:t>
      </w:r>
      <w:r>
        <w:rPr>
          <w:rFonts w:ascii="Times New Roman" w:hAnsi="Times New Roman"/>
          <w:sz w:val="20"/>
        </w:rPr>
        <w:t xml:space="preserve">Except where a specific time period is otherwise set forth for Tenant's performance in this Lease, in which event the failure to perform by Tenant within such time period shall be a default by Tenant under this </w:t>
      </w:r>
      <w:r>
        <w:rPr>
          <w:rFonts w:ascii="Times New Roman" w:hAnsi="Times New Roman"/>
          <w:sz w:val="20"/>
          <w:u w:val="single"/>
        </w:rPr>
        <w:t>Section 19.1.2</w:t>
      </w:r>
      <w:r>
        <w:rPr>
          <w:rFonts w:ascii="Times New Roman" w:hAnsi="Times New Roman"/>
          <w:sz w:val="20"/>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19.1.3</w:t>
      </w:r>
      <w:bookmarkStart w:id="1852" w:name="TAB2165"/>
      <w:bookmarkEnd w:id="1852"/>
      <w:r>
        <w:rPr>
          <w:color w:val="000000"/>
          <w:spacing w:val="180"/>
        </w:rPr>
        <w:t> </w:t>
      </w:r>
      <w:r>
        <w:rPr>
          <w:rFonts w:ascii="Times New Roman" w:hAnsi="Times New Roman"/>
          <w:sz w:val="20"/>
        </w:rPr>
        <w:t>Abandonment or vacation of all or a substantial portion of the Premises by Tenant;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19.1.4</w:t>
      </w:r>
      <w:bookmarkStart w:id="1853" w:name="TAB2166"/>
      <w:bookmarkEnd w:id="1853"/>
      <w:r>
        <w:rPr>
          <w:color w:val="000000"/>
          <w:spacing w:val="180"/>
        </w:rPr>
        <w:t> </w:t>
      </w:r>
      <w:r>
        <w:rPr>
          <w:rFonts w:ascii="Times New Roman" w:hAnsi="Times New Roman"/>
          <w:sz w:val="20"/>
        </w:rPr>
        <w:t xml:space="preserve">The failure by Tenant to observe or perform according to the provisions of </w:t>
      </w:r>
      <w:r>
        <w:rPr>
          <w:rFonts w:ascii="Times New Roman" w:hAnsi="Times New Roman"/>
          <w:sz w:val="20"/>
          <w:u w:val="single"/>
        </w:rPr>
        <w:t>Articles 5</w:t>
      </w:r>
      <w:r>
        <w:rPr>
          <w:rFonts w:ascii="Times New Roman" w:hAnsi="Times New Roman"/>
          <w:sz w:val="20"/>
        </w:rPr>
        <w:t xml:space="preserve">, </w:t>
      </w:r>
      <w:r>
        <w:rPr>
          <w:rFonts w:ascii="Times New Roman" w:hAnsi="Times New Roman"/>
          <w:sz w:val="20"/>
          <w:u w:val="single"/>
        </w:rPr>
        <w:t>14</w:t>
      </w:r>
      <w:r>
        <w:rPr>
          <w:rFonts w:ascii="Times New Roman" w:hAnsi="Times New Roman"/>
          <w:sz w:val="20"/>
        </w:rPr>
        <w:t xml:space="preserve">, </w:t>
      </w:r>
      <w:r>
        <w:rPr>
          <w:rFonts w:ascii="Times New Roman" w:hAnsi="Times New Roman"/>
          <w:sz w:val="20"/>
          <w:u w:val="single"/>
        </w:rPr>
        <w:t>17</w:t>
      </w:r>
      <w:r>
        <w:rPr>
          <w:rFonts w:ascii="Times New Roman" w:hAnsi="Times New Roman"/>
          <w:sz w:val="20"/>
        </w:rPr>
        <w:t xml:space="preserve"> or </w:t>
      </w:r>
      <w:r>
        <w:rPr>
          <w:rFonts w:ascii="Times New Roman" w:hAnsi="Times New Roman"/>
          <w:sz w:val="20"/>
          <w:u w:val="single"/>
        </w:rPr>
        <w:t>18</w:t>
      </w:r>
      <w:r>
        <w:rPr>
          <w:rFonts w:ascii="Times New Roman" w:hAnsi="Times New Roman"/>
          <w:sz w:val="20"/>
        </w:rPr>
        <w:t xml:space="preserve"> of this Lease where such failure continues for more than two (2) business days after notice from Landlord;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19.1.5</w:t>
      </w:r>
      <w:bookmarkStart w:id="1854" w:name="TAB2167"/>
      <w:bookmarkEnd w:id="1854"/>
      <w:r>
        <w:rPr>
          <w:color w:val="000000"/>
          <w:spacing w:val="180"/>
        </w:rPr>
        <w:t> </w:t>
      </w:r>
      <w:r>
        <w:rPr>
          <w:rFonts w:ascii="Times New Roman" w:hAnsi="Times New Roman"/>
          <w:sz w:val="20"/>
        </w:rPr>
        <w:t>Tenant's failure to occupy the Premises within ten (10) business days after the Lease Commencement Date.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notice periods provided herein are in lieu of, and not in addition to, any notice periods provided by law.</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19.2</w:t>
      </w:r>
      <w:bookmarkStart w:id="1855" w:name="TAB2168"/>
      <w:bookmarkEnd w:id="1855"/>
      <w:r>
        <w:rPr>
          <w:color w:val="000000"/>
          <w:spacing w:val="180"/>
        </w:rPr>
        <w:t> </w:t>
      </w:r>
      <w:r>
        <w:rPr>
          <w:rFonts w:ascii="Times New Roman" w:hAnsi="Times New Roman"/>
          <w:b/>
          <w:sz w:val="20"/>
          <w:u w:val="single"/>
        </w:rPr>
        <w:t>Remedies Upon Default</w:t>
      </w:r>
      <w:r>
        <w:rPr>
          <w:rFonts w:ascii="Times New Roman" w:hAnsi="Times New Roman"/>
          <w:sz w:val="20"/>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6" w:name="PGBRK166"/>
      <w:bookmarkStart w:id="1857" w:name="PGBRK166"/>
      <w:bookmarkEnd w:id="1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8" w:name="FTR166"/>
      <w:bookmarkStart w:id="1859" w:name="FTR166"/>
      <w:bookmarkEnd w:id="1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60" w:name="GLFTR166"/>
      <w:bookmarkEnd w:id="18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61" w:name="PN166"/>
      <w:bookmarkEnd w:id="1861"/>
      <w:r>
        <w:rPr>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2" w:name="HDR166"/>
      <w:bookmarkStart w:id="1863" w:name="HDR166"/>
      <w:bookmarkEnd w:id="1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64" w:name="GLHDR166"/>
      <w:bookmarkEnd w:id="18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19.2.1</w:t>
      </w:r>
      <w:bookmarkStart w:id="1865" w:name="TAB2169"/>
      <w:bookmarkEnd w:id="1865"/>
      <w:r>
        <w:rPr>
          <w:color w:val="000000"/>
          <w:spacing w:val="180"/>
        </w:rPr>
        <w:t> </w:t>
      </w:r>
      <w:r>
        <w:rPr>
          <w:rFonts w:ascii="Times New Roman" w:hAnsi="Times New Roman"/>
          <w:sz w:val="20"/>
        </w:rPr>
        <w:t>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(i)</w:t>
      </w:r>
      <w:bookmarkStart w:id="1866" w:name="TAB2170"/>
      <w:bookmarkEnd w:id="1866"/>
      <w:r>
        <w:rPr>
          <w:color w:val="000000"/>
          <w:spacing w:val="180"/>
        </w:rPr>
        <w:t> </w:t>
      </w:r>
      <w:r>
        <w:rPr>
          <w:rFonts w:ascii="Times New Roman" w:hAnsi="Times New Roman"/>
          <w:sz w:val="20"/>
        </w:rPr>
        <w:t>The worth at the time of award of the unpaid rent which has been earned at the time of such termination; plus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(ii)</w:t>
      </w:r>
      <w:bookmarkStart w:id="1867" w:name="TAB2171"/>
      <w:bookmarkEnd w:id="1867"/>
      <w:r>
        <w:rPr>
          <w:color w:val="000000"/>
          <w:spacing w:val="180"/>
        </w:rPr>
        <w:t> </w:t>
      </w:r>
      <w:r>
        <w:rPr>
          <w:rFonts w:ascii="Times New Roman" w:hAnsi="Times New Roman"/>
          <w:sz w:val="20"/>
        </w:rPr>
        <w:t>The worth at the time of award of the amount by which the unpaid rent which would have been earned after termination until the time of award exceeds the amount of such rental loss that Tenant proves could have been reasonably avoided; plus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(iii)</w:t>
      </w:r>
      <w:bookmarkStart w:id="1868" w:name="TAB2172"/>
      <w:bookmarkEnd w:id="1868"/>
      <w:r>
        <w:rPr>
          <w:color w:val="000000"/>
          <w:spacing w:val="180"/>
        </w:rPr>
        <w:t> </w:t>
      </w:r>
      <w:r>
        <w:rPr>
          <w:rFonts w:ascii="Times New Roman" w:hAnsi="Times New Roman"/>
          <w:sz w:val="20"/>
        </w:rPr>
        <w:t>The worth at the time of award of the amount by which the unpaid rent for the balance of the Lease Term after the time of award exceeds the amount of such rental loss that Tenant proves could have been reasonably avoided; plus</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(iv)</w:t>
      </w:r>
      <w:bookmarkStart w:id="1869" w:name="TAB2173"/>
      <w:bookmarkEnd w:id="1869"/>
      <w:r>
        <w:rPr>
          <w:color w:val="000000"/>
          <w:spacing w:val="180"/>
        </w:rPr>
        <w:t> </w:t>
      </w:r>
      <w:r>
        <w:rPr>
          <w:rFonts w:ascii="Times New Roman" w:hAnsi="Times New Roman"/>
          <w:sz w:val="20"/>
        </w:rPr>
        <w:t>Any other amount necessary to compensate Landlord for all the detriment proximately caused by Tenant's failure to perform its obligations under this Lease or which in the ordinary course of things would be likely to result therefrom; and</w:t>
      </w:r>
    </w:p>
    <w:p>
      <w:pPr>
        <w:pStyle w:val="TextBody"/>
        <w:spacing w:before="0" w:after="0"/>
        <w:ind w:left="0" w:right="0" w:hanging="0"/>
        <w:jc w:val="both"/>
        <w:rPr/>
      </w:pPr>
      <w:r>
        <w:rPr/>
        <w:t> </w:t>
      </w:r>
    </w:p>
    <w:p>
      <w:pPr>
        <w:pStyle w:val="TextBody"/>
        <w:spacing w:before="0" w:after="0"/>
        <w:ind w:left="720" w:right="0" w:firstLine="2160"/>
        <w:jc w:val="both"/>
        <w:rPr/>
      </w:pPr>
      <w:r>
        <w:rPr>
          <w:rFonts w:ascii="Times New Roman" w:hAnsi="Times New Roman"/>
          <w:sz w:val="20"/>
        </w:rPr>
        <w:t>(v)</w:t>
      </w:r>
      <w:bookmarkStart w:id="1870" w:name="TAB2174"/>
      <w:bookmarkEnd w:id="1870"/>
      <w:r>
        <w:rPr>
          <w:color w:val="000000"/>
          <w:spacing w:val="180"/>
        </w:rPr>
        <w:t> </w:t>
      </w:r>
      <w:r>
        <w:rPr>
          <w:rFonts w:ascii="Times New Roman" w:hAnsi="Times New Roman"/>
          <w:sz w:val="20"/>
        </w:rPr>
        <w:t>At Landlord's election, such other amounts in addition to or in lieu of the foregoing as may be permitted from time to time by applicable law.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term "</w:t>
      </w:r>
      <w:r>
        <w:rPr>
          <w:rFonts w:ascii="Times New Roman" w:hAnsi="Times New Roman"/>
          <w:b/>
          <w:sz w:val="20"/>
        </w:rPr>
        <w:t>rent</w:t>
      </w:r>
      <w:r>
        <w:rPr>
          <w:rFonts w:ascii="Times New Roman" w:hAnsi="Times New Roman"/>
          <w:sz w:val="20"/>
        </w:rPr>
        <w:t xml:space="preserve">" as used in this </w:t>
      </w:r>
      <w:r>
        <w:rPr>
          <w:rFonts w:ascii="Times New Roman" w:hAnsi="Times New Roman"/>
          <w:sz w:val="20"/>
          <w:u w:val="single"/>
        </w:rPr>
        <w:t>Section 19.2</w:t>
      </w:r>
      <w:r>
        <w:rPr>
          <w:rFonts w:ascii="Times New Roman" w:hAnsi="Times New Roman"/>
          <w:sz w:val="20"/>
        </w:rPr>
        <w:t xml:space="preserve"> shall be deemed to be and to mean all sums of every nature required to be paid by Tenant pursuant to the terms of this Lease, whether to Landlord or to others.  As used in </w:t>
      </w:r>
      <w:r>
        <w:rPr>
          <w:rFonts w:ascii="Times New Roman" w:hAnsi="Times New Roman"/>
          <w:sz w:val="20"/>
          <w:u w:val="single"/>
        </w:rPr>
        <w:t>Sections 19.2.1(i)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the "worth at the time of award" shall be computed by allowing interest at the rate set forth in </w:t>
      </w:r>
      <w:r>
        <w:rPr>
          <w:rFonts w:ascii="Times New Roman" w:hAnsi="Times New Roman"/>
          <w:sz w:val="20"/>
          <w:u w:val="single"/>
        </w:rPr>
        <w:t>Article 25</w:t>
      </w:r>
      <w:r>
        <w:rPr>
          <w:rFonts w:ascii="Times New Roman" w:hAnsi="Times New Roman"/>
          <w:sz w:val="20"/>
        </w:rPr>
        <w:t xml:space="preserve"> of this Lease, but in no case greater than the maximum amount of such interest permitted by law.  As used in </w:t>
      </w:r>
      <w:r>
        <w:rPr>
          <w:rFonts w:ascii="Times New Roman" w:hAnsi="Times New Roman"/>
          <w:sz w:val="20"/>
          <w:u w:val="single"/>
        </w:rPr>
        <w:t>Section 19.2.1(iii)</w:t>
      </w:r>
      <w:r>
        <w:rPr>
          <w:rFonts w:ascii="Times New Roman" w:hAnsi="Times New Roman"/>
          <w:sz w:val="20"/>
        </w:rPr>
        <w:t xml:space="preserve"> above, the "</w:t>
      </w:r>
      <w:r>
        <w:rPr>
          <w:rFonts w:ascii="Times New Roman" w:hAnsi="Times New Roman"/>
          <w:b/>
          <w:sz w:val="20"/>
        </w:rPr>
        <w:t>worth at the time of award</w:t>
      </w:r>
      <w:r>
        <w:rPr>
          <w:rFonts w:ascii="Times New Roman" w:hAnsi="Times New Roman"/>
          <w:sz w:val="20"/>
        </w:rPr>
        <w:t>" shall be computed by discounting such amount at the discount rate of the Federal Reserve Bank of San Francisco at the time of award plus one percent (1%).</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19.2.2</w:t>
      </w:r>
      <w:bookmarkStart w:id="1871" w:name="TAB2175"/>
      <w:bookmarkEnd w:id="1871"/>
      <w:r>
        <w:rPr>
          <w:color w:val="000000"/>
          <w:spacing w:val="180"/>
        </w:rPr>
        <w:t> </w:t>
      </w:r>
      <w:r>
        <w:rPr>
          <w:rFonts w:ascii="Times New Roman" w:hAnsi="Times New Roman"/>
          <w:sz w:val="20"/>
        </w:rPr>
        <w:t>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19.2.3</w:t>
      </w:r>
      <w:bookmarkStart w:id="1872" w:name="TAB2176"/>
      <w:bookmarkEnd w:id="1872"/>
      <w:r>
        <w:rPr>
          <w:color w:val="000000"/>
          <w:spacing w:val="180"/>
        </w:rPr>
        <w:t> </w:t>
      </w:r>
      <w:r>
        <w:rPr>
          <w:rFonts w:ascii="Times New Roman" w:hAnsi="Times New Roman"/>
          <w:sz w:val="20"/>
        </w:rPr>
        <w:t xml:space="preserve">Landlord shall at all times have the rights and remedies (which shall be cumulative with each other and cumulative and in addition to those rights and remedies available under </w:t>
      </w:r>
      <w:r>
        <w:rPr>
          <w:rFonts w:ascii="Times New Roman" w:hAnsi="Times New Roman"/>
          <w:sz w:val="20"/>
          <w:u w:val="single"/>
        </w:rPr>
        <w:t>Sections 19.2.1</w:t>
      </w:r>
      <w:r>
        <w:rPr>
          <w:rFonts w:ascii="Times New Roman" w:hAnsi="Times New Roman"/>
          <w:sz w:val="20"/>
        </w:rPr>
        <w:t xml:space="preserve"> and </w:t>
      </w:r>
      <w:r>
        <w:rPr>
          <w:rFonts w:ascii="Times New Roman" w:hAnsi="Times New Roman"/>
          <w:sz w:val="20"/>
          <w:u w:val="single"/>
        </w:rPr>
        <w:t>19.2.2</w:t>
      </w:r>
      <w:r>
        <w:rPr>
          <w:rFonts w:ascii="Times New Roman" w:hAnsi="Times New Roman"/>
          <w:sz w:val="20"/>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19.3</w:t>
      </w:r>
      <w:bookmarkStart w:id="1873" w:name="TAB2177"/>
      <w:bookmarkEnd w:id="1873"/>
      <w:r>
        <w:rPr>
          <w:color w:val="000000"/>
          <w:spacing w:val="180"/>
        </w:rPr>
        <w:t> </w:t>
      </w:r>
      <w:r>
        <w:rPr>
          <w:rFonts w:ascii="Times New Roman" w:hAnsi="Times New Roman"/>
          <w:b/>
          <w:sz w:val="20"/>
          <w:u w:val="single"/>
        </w:rPr>
        <w:t>Subleases of Tenant</w:t>
      </w:r>
      <w:r>
        <w:rPr>
          <w:rFonts w:ascii="Times New Roman" w:hAnsi="Times New Roman"/>
          <w:sz w:val="20"/>
        </w:rPr>
        <w:t xml:space="preserve">.  Whether or not Landlord elects to terminate this Lease on account of any default by Tenant, as set forth in this </w:t>
      </w:r>
      <w:r>
        <w:rPr>
          <w:rFonts w:ascii="Times New Roman" w:hAnsi="Times New Roman"/>
          <w:sz w:val="20"/>
          <w:u w:val="single"/>
        </w:rPr>
        <w:t>Article 19</w:t>
      </w:r>
      <w:r>
        <w:rPr>
          <w:rFonts w:ascii="Times New Roman" w:hAnsi="Times New Roman"/>
          <w:sz w:val="20"/>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74" w:name="PGBRK167"/>
      <w:bookmarkStart w:id="1875" w:name="PGBRK167"/>
      <w:bookmarkEnd w:id="1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6" w:name="FTR167"/>
      <w:bookmarkStart w:id="1877" w:name="FTR167"/>
      <w:bookmarkEnd w:id="1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8" w:name="GLFTR167"/>
      <w:bookmarkEnd w:id="18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79" w:name="PN167"/>
      <w:bookmarkEnd w:id="1879"/>
      <w:r>
        <w:rPr>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0" w:name="HDR167"/>
      <w:bookmarkStart w:id="1881" w:name="HDR167"/>
      <w:bookmarkEnd w:id="18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82" w:name="GLHDR167"/>
      <w:bookmarkEnd w:id="18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19.4</w:t>
      </w:r>
      <w:bookmarkStart w:id="1883" w:name="TAB2178"/>
      <w:bookmarkEnd w:id="1883"/>
      <w:r>
        <w:rPr>
          <w:color w:val="000000"/>
          <w:spacing w:val="180"/>
        </w:rPr>
        <w:t> </w:t>
      </w:r>
      <w:r>
        <w:rPr>
          <w:rFonts w:ascii="Times New Roman" w:hAnsi="Times New Roman"/>
          <w:b/>
          <w:sz w:val="20"/>
          <w:u w:val="single"/>
        </w:rPr>
        <w:t>Efforts to Relet</w:t>
      </w:r>
      <w:r>
        <w:rPr>
          <w:rFonts w:ascii="Times New Roman" w:hAnsi="Times New Roman"/>
          <w:sz w:val="20"/>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20.</w:t>
      </w:r>
      <w:bookmarkStart w:id="1884" w:name="TAB2179"/>
      <w:bookmarkEnd w:id="1884"/>
      <w:r>
        <w:rPr>
          <w:color w:val="000000"/>
          <w:spacing w:val="180"/>
        </w:rPr>
        <w:t> </w:t>
      </w:r>
      <w:bookmarkStart w:id="1885" w:name="TAB119"/>
      <w:bookmarkEnd w:id="1885"/>
      <w:r>
        <w:rPr>
          <w:rFonts w:ascii="Times New Roman" w:hAnsi="Times New Roman"/>
          <w:sz w:val="20"/>
        </w:rPr>
        <w:t>COVENANT OF QUIET ENJOYMENT  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21.</w:t>
      </w:r>
      <w:bookmarkStart w:id="1886" w:name="TAB2180"/>
      <w:bookmarkEnd w:id="1886"/>
      <w:r>
        <w:rPr>
          <w:color w:val="000000"/>
          <w:spacing w:val="180"/>
        </w:rPr>
        <w:t> </w:t>
      </w:r>
      <w:bookmarkStart w:id="1887" w:name="TAB120"/>
      <w:bookmarkEnd w:id="1887"/>
      <w:r>
        <w:rPr>
          <w:rFonts w:ascii="Times New Roman" w:hAnsi="Times New Roman"/>
          <w:sz w:val="20"/>
        </w:rPr>
        <w:t>SECURITY DEPOSIT  On or before the Lease Commencement Date of this Lease, Tenant shall deposit with Landlord a security deposit (the "</w:t>
      </w:r>
      <w:r>
        <w:rPr>
          <w:rFonts w:ascii="Times New Roman" w:hAnsi="Times New Roman"/>
          <w:b/>
          <w:sz w:val="20"/>
        </w:rPr>
        <w:t>Security Deposit</w:t>
      </w:r>
      <w:r>
        <w:rPr>
          <w:rFonts w:ascii="Times New Roman" w:hAnsi="Times New Roman"/>
          <w:sz w:val="20"/>
        </w:rPr>
        <w:t>") in the amount set forth in Section 8 of the Summary, as security for the faithful performance by Tenant of all of its obligations under this Lease.  If Tenant defaults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sixty (60) days following the expiration of the Lease Term.  Tenant shall not be entitled to any interest on the Security Deposit.  Tenant hereby irrevocably waives and relinquishes any and all rights, benefits, or protections, if any, Tenant now has, or in the future may have, under Section 1950.7 of the California Civil Code, any successor statute, and all other provisions of law, now or hereafter in effect, including, but not limited to, any provision of law which (i) establishes the time frame by which a landlord must refund a security deposit under a lease, and/or (ii) provides that a landlord may claim from a security deposit only those sums reasonably necessary to remedy defaults in the payment of rent, to repair damage caused by a tenant or to clean the subject premises.  Tenant acknowledges and agrees that (a) any statutory time frames for the return of a security deposit are superseded by the express period identified in this Article 21, above, and (b) rather than be so limited, Landlord may claim from the Security Deposit (1) any and all sums expressly identified in this Article 21, above, and (2) any additional sums reasonably necessary to compensate Landlord for any and all losses or damages caused by Tenant's default of this Lease, including, but not limited to, all damages or rent due upon termination of Lease pursuant to Section 1951.2 of the California Civil Code.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22.</w:t>
      </w:r>
      <w:bookmarkStart w:id="1888" w:name="TAB2181"/>
      <w:bookmarkEnd w:id="1888"/>
      <w:r>
        <w:rPr>
          <w:color w:val="000000"/>
          <w:spacing w:val="180"/>
        </w:rPr>
        <w:t> </w:t>
      </w:r>
      <w:bookmarkStart w:id="1889" w:name="TAB121"/>
      <w:bookmarkEnd w:id="1889"/>
      <w:r>
        <w:rPr>
          <w:rFonts w:ascii="Times New Roman" w:hAnsi="Times New Roman"/>
          <w:sz w:val="20"/>
        </w:rPr>
        <w:t>COMMUNICATIONS AND COMPUTER LINE  Tenant may install, maintain, replace, remove or use any communications or computer wires and cables serving the Premises (collectively, the "</w:t>
      </w:r>
      <w:r>
        <w:rPr>
          <w:rFonts w:ascii="Times New Roman" w:hAnsi="Times New Roman"/>
          <w:b/>
          <w:sz w:val="20"/>
        </w:rPr>
        <w:t>Lines</w:t>
      </w:r>
      <w:r>
        <w:rPr>
          <w:rFonts w:ascii="Times New Roman" w:hAnsi="Times New Roman"/>
          <w:sz w:val="20"/>
        </w:rPr>
        <w:t>"), provided that Tenant shall obtain Landlord's prior written consent, use an experienced and qualified contractor approved in writing by Landlord,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23.</w:t>
      </w:r>
      <w:bookmarkStart w:id="1890" w:name="TAB2182"/>
      <w:bookmarkEnd w:id="1890"/>
      <w:r>
        <w:rPr>
          <w:color w:val="000000"/>
          <w:spacing w:val="180"/>
        </w:rPr>
        <w:t> </w:t>
      </w:r>
      <w:bookmarkStart w:id="1891" w:name="TAB122"/>
      <w:bookmarkEnd w:id="1891"/>
      <w:r>
        <w:rPr>
          <w:rFonts w:ascii="Times New Roman" w:hAnsi="Times New Roman"/>
          <w:sz w:val="20"/>
        </w:rPr>
        <w:t>SIGNS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23.1</w:t>
      </w:r>
      <w:bookmarkStart w:id="1892" w:name="TAB2183"/>
      <w:bookmarkEnd w:id="1892"/>
      <w:r>
        <w:rPr>
          <w:color w:val="000000"/>
          <w:spacing w:val="180"/>
        </w:rPr>
        <w:t> </w:t>
      </w:r>
      <w:r>
        <w:rPr>
          <w:rFonts w:ascii="Times New Roman" w:hAnsi="Times New Roman"/>
          <w:b/>
          <w:sz w:val="20"/>
          <w:u w:val="single"/>
        </w:rPr>
        <w:t>Exterior Signage</w:t>
      </w:r>
      <w:r>
        <w:rPr>
          <w:rFonts w:ascii="Times New Roman" w:hAnsi="Times New Roman"/>
          <w:sz w:val="20"/>
        </w:rPr>
        <w:t>.  Landlord, at Landlord's sole cost and expense, shall install the initial signage identifying Tenant (i) on the existing monument sign located at the Building, and (ii) at the entrance to the Building (collectively, "</w:t>
      </w:r>
      <w:r>
        <w:rPr>
          <w:rFonts w:ascii="Times New Roman" w:hAnsi="Times New Roman"/>
          <w:b/>
          <w:sz w:val="20"/>
        </w:rPr>
        <w:t>Tenant Signage</w:t>
      </w:r>
      <w:r>
        <w:rPr>
          <w:rFonts w:ascii="Times New Roman" w:hAnsi="Times New Roman"/>
          <w:sz w:val="20"/>
        </w:rPr>
        <w:t xml:space="preserve">"); provided, however, in no event shall Tenant's Signage include an "Objectionable Name," as that term is defined in </w:t>
      </w:r>
      <w:r>
        <w:rPr>
          <w:rFonts w:ascii="Times New Roman" w:hAnsi="Times New Roman"/>
          <w:sz w:val="20"/>
          <w:u w:val="single"/>
        </w:rPr>
        <w:t>Section 23.3</w:t>
      </w:r>
      <w:r>
        <w:rPr>
          <w:rFonts w:ascii="Times New Roman" w:hAnsi="Times New Roman"/>
          <w:sz w:val="20"/>
        </w:rPr>
        <w:t>, of this Lease.  All such signage shall be subject to all required governmental approvals.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Times New Roman" w:hAnsi="Times New Roman"/>
          <w:b/>
          <w:sz w:val="20"/>
        </w:rPr>
        <w:t>Sign Specifications</w:t>
      </w:r>
      <w:r>
        <w:rPr>
          <w:rFonts w:ascii="Times New Roman" w:hAnsi="Times New Roman"/>
          <w:sz w:val="20"/>
        </w:rPr>
        <w:t>") shall be Project standard as determined by Landlord.  Any changes to Tenant's Signage shall be at Tenant's sole cost and expense.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3" w:name="PGBRK168"/>
      <w:bookmarkStart w:id="1894" w:name="PGBRK168"/>
      <w:bookmarkEnd w:id="18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5" w:name="FTR168"/>
      <w:bookmarkStart w:id="1896" w:name="FTR168"/>
      <w:bookmarkEnd w:id="18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7" w:name="GLFTR168"/>
      <w:bookmarkEnd w:id="18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98" w:name="PN168"/>
      <w:bookmarkEnd w:id="1898"/>
      <w:r>
        <w:rPr>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9" w:name="HDR168"/>
      <w:bookmarkStart w:id="1900" w:name="HDR168"/>
      <w:bookmarkEnd w:id="19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01" w:name="GLHDR168"/>
      <w:bookmarkEnd w:id="19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23.2</w:t>
      </w:r>
      <w:bookmarkStart w:id="1902" w:name="TAB2184"/>
      <w:bookmarkEnd w:id="1902"/>
      <w:r>
        <w:rPr>
          <w:color w:val="000000"/>
          <w:spacing w:val="180"/>
        </w:rPr>
        <w:t> </w:t>
      </w:r>
      <w:r>
        <w:rPr>
          <w:rFonts w:ascii="Times New Roman" w:hAnsi="Times New Roman"/>
          <w:b/>
          <w:sz w:val="20"/>
          <w:u w:val="single"/>
        </w:rPr>
        <w:t>Objectionable Name</w:t>
      </w:r>
      <w:r>
        <w:rPr>
          <w:rFonts w:ascii="Times New Roman" w:hAnsi="Times New Roman"/>
          <w:sz w:val="20"/>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Times New Roman" w:hAnsi="Times New Roman"/>
          <w:b/>
          <w:sz w:val="20"/>
        </w:rPr>
        <w:t>Objectionable Name</w:t>
      </w:r>
      <w:r>
        <w:rPr>
          <w:rFonts w:ascii="Times New Roman" w:hAnsi="Times New Roman"/>
          <w:sz w:val="20"/>
        </w:rPr>
        <w:t>").  The parties hereby agree that the following name, or any reasonable derivation thereof, shall be deemed not to constitute an Objectionable Name:  "VistaGen Therapeutics, Inc."</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23.3</w:t>
      </w:r>
      <w:bookmarkStart w:id="1903" w:name="TAB2185"/>
      <w:bookmarkEnd w:id="1903"/>
      <w:r>
        <w:rPr>
          <w:color w:val="000000"/>
          <w:spacing w:val="180"/>
        </w:rPr>
        <w:t> </w:t>
      </w:r>
      <w:r>
        <w:rPr>
          <w:rFonts w:ascii="Times New Roman" w:hAnsi="Times New Roman"/>
          <w:b/>
          <w:sz w:val="20"/>
          <w:u w:val="single"/>
        </w:rPr>
        <w:t>Prohibited Signage and Other Items</w:t>
      </w:r>
      <w:r>
        <w:rPr>
          <w:rFonts w:ascii="Times New Roman" w:hAnsi="Times New Roman"/>
          <w:sz w:val="20"/>
        </w:rPr>
        <w:t>.  Any signs, notices, logos, pictures, names or advertisements 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24.</w:t>
      </w:r>
      <w:bookmarkStart w:id="1904" w:name="TAB2186"/>
      <w:bookmarkEnd w:id="1904"/>
      <w:r>
        <w:rPr>
          <w:color w:val="000000"/>
          <w:spacing w:val="180"/>
        </w:rPr>
        <w:t> </w:t>
      </w:r>
      <w:bookmarkStart w:id="1905" w:name="TAB123"/>
      <w:bookmarkEnd w:id="1905"/>
      <w:r>
        <w:rPr>
          <w:rFonts w:ascii="Times New Roman" w:hAnsi="Times New Roman"/>
          <w:sz w:val="20"/>
        </w:rPr>
        <w:t>COMPLIANCE WITH LAW  Tenant shall not do anything or suffer anything to be done in or about the Premises or the Project which will in any way conflict with any law, statute, ordinance or other governmental rule, regulation or requirement now in force or which may hereafter be enacted or promulgated.  At its sole cost and expense, Tenant shall promptly comply with all such governmental measures.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the governmental rules, regulations, requirements or standards described in this Article 24.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25.</w:t>
      </w:r>
      <w:bookmarkStart w:id="1906" w:name="TAB2187"/>
      <w:bookmarkEnd w:id="1906"/>
      <w:r>
        <w:rPr>
          <w:color w:val="000000"/>
          <w:spacing w:val="180"/>
        </w:rPr>
        <w:t> </w:t>
      </w:r>
      <w:bookmarkStart w:id="1907" w:name="TAB124"/>
      <w:bookmarkEnd w:id="1907"/>
      <w:r>
        <w:rPr>
          <w:rFonts w:ascii="Times New Roman" w:hAnsi="Times New Roman"/>
          <w:sz w:val="20"/>
        </w:rPr>
        <w:t>LATE CHARGES  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26.</w:t>
      </w:r>
      <w:bookmarkStart w:id="1908" w:name="TAB2188"/>
      <w:bookmarkEnd w:id="1908"/>
      <w:r>
        <w:rPr>
          <w:color w:val="000000"/>
          <w:spacing w:val="180"/>
        </w:rPr>
        <w:t> </w:t>
      </w:r>
      <w:bookmarkStart w:id="1909" w:name="TAB125"/>
      <w:bookmarkEnd w:id="1909"/>
      <w:r>
        <w:rPr>
          <w:rFonts w:ascii="Times New Roman" w:hAnsi="Times New Roman"/>
          <w:sz w:val="20"/>
        </w:rPr>
        <w:t>LANDLORD'S RIGHT TO CURE DEFAULT; PAYMENTS BY TENANT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26.1</w:t>
      </w:r>
      <w:bookmarkStart w:id="1910" w:name="TAB2189"/>
      <w:bookmarkEnd w:id="1910"/>
      <w:r>
        <w:rPr>
          <w:color w:val="000000"/>
          <w:spacing w:val="180"/>
        </w:rPr>
        <w:t> </w:t>
      </w:r>
      <w:r>
        <w:rPr>
          <w:rFonts w:ascii="Times New Roman" w:hAnsi="Times New Roman"/>
          <w:b/>
          <w:sz w:val="20"/>
          <w:u w:val="single"/>
        </w:rPr>
        <w:t>Landlord's Cure</w:t>
      </w:r>
      <w:r>
        <w:rPr>
          <w:rFonts w:ascii="Times New Roman" w:hAnsi="Times New Roman"/>
          <w:sz w:val="20"/>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hAnsi="Times New Roman"/>
          <w:sz w:val="20"/>
          <w:u w:val="single"/>
        </w:rPr>
        <w:t>Section 19.1.2</w:t>
      </w:r>
      <w:r>
        <w:rPr>
          <w:rFonts w:ascii="Times New Roman" w:hAnsi="Times New Roman"/>
          <w:sz w:val="20"/>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26.2</w:t>
      </w:r>
      <w:bookmarkStart w:id="1911" w:name="TAB2190"/>
      <w:bookmarkEnd w:id="1911"/>
      <w:r>
        <w:rPr>
          <w:color w:val="000000"/>
          <w:spacing w:val="180"/>
        </w:rPr>
        <w:t> </w:t>
      </w:r>
      <w:r>
        <w:rPr>
          <w:rFonts w:ascii="Times New Roman" w:hAnsi="Times New Roman"/>
          <w:b/>
          <w:sz w:val="20"/>
          <w:u w:val="single"/>
        </w:rPr>
        <w:t>Tenant's Reimbursement</w:t>
      </w:r>
      <w:r>
        <w:rPr>
          <w:rFonts w:ascii="Times New Roman" w:hAnsi="Times New Roman"/>
          <w:sz w:val="20"/>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Times New Roman" w:hAnsi="Times New Roman"/>
          <w:sz w:val="20"/>
          <w:u w:val="single"/>
        </w:rPr>
        <w:t>Section 26.1</w:t>
      </w:r>
      <w:r>
        <w:rPr>
          <w:rFonts w:ascii="Times New Roman" w:hAnsi="Times New Roman"/>
          <w:sz w:val="20"/>
        </w:rPr>
        <w:t xml:space="preserve">; (ii) sums equal to all losses, costs, liabilities, damages and expenses referred to in </w:t>
      </w:r>
      <w:r>
        <w:rPr>
          <w:rFonts w:ascii="Times New Roman" w:hAnsi="Times New Roman"/>
          <w:sz w:val="20"/>
          <w:u w:val="single"/>
        </w:rPr>
        <w:t>Article 10</w:t>
      </w:r>
      <w:r>
        <w:rPr>
          <w:rFonts w:ascii="Times New Roman" w:hAnsi="Times New Roman"/>
          <w:sz w:val="20"/>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hAnsi="Times New Roman"/>
          <w:sz w:val="20"/>
          <w:u w:val="single"/>
        </w:rPr>
        <w:t>Section 26.2</w:t>
      </w:r>
      <w:r>
        <w:rPr>
          <w:rFonts w:ascii="Times New Roman" w:hAnsi="Times New Roman"/>
          <w:sz w:val="20"/>
        </w:rPr>
        <w:t xml:space="preserve"> shall survive the expiration or sooner termination of the Lease Term.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2" w:name="PGBRK169"/>
      <w:bookmarkStart w:id="1913" w:name="PGBRK169"/>
      <w:bookmarkEnd w:id="19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4" w:name="FTR169"/>
      <w:bookmarkStart w:id="1915" w:name="FTR169"/>
      <w:bookmarkEnd w:id="19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16" w:name="GLFTR169"/>
      <w:bookmarkEnd w:id="19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17" w:name="PN169"/>
      <w:bookmarkEnd w:id="1917"/>
      <w:r>
        <w:rPr>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8" w:name="HDR169"/>
      <w:bookmarkStart w:id="1919" w:name="HDR169"/>
      <w:bookmarkEnd w:id="19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20" w:name="GLHDR169"/>
      <w:bookmarkEnd w:id="19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27.</w:t>
      </w:r>
      <w:bookmarkStart w:id="1921" w:name="TAB2191"/>
      <w:bookmarkEnd w:id="1921"/>
      <w:r>
        <w:rPr>
          <w:color w:val="000000"/>
          <w:spacing w:val="180"/>
        </w:rPr>
        <w:t> </w:t>
      </w:r>
      <w:bookmarkStart w:id="1922" w:name="TAB126"/>
      <w:bookmarkEnd w:id="1922"/>
      <w:r>
        <w:rPr>
          <w:rFonts w:ascii="Times New Roman" w:hAnsi="Times New Roman"/>
          <w:sz w:val="20"/>
        </w:rPr>
        <w:t>ENTRY BY LANDLORD  Landlord reserves the right at all reasonable times and upon reasonable notice to Tenant (except in the case of an emergency)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28.</w:t>
      </w:r>
      <w:bookmarkStart w:id="1923" w:name="TAB2192"/>
      <w:bookmarkEnd w:id="1923"/>
      <w:r>
        <w:rPr>
          <w:color w:val="000000"/>
          <w:spacing w:val="180"/>
        </w:rPr>
        <w:t> </w:t>
      </w:r>
      <w:bookmarkStart w:id="1924" w:name="TAB127"/>
      <w:bookmarkEnd w:id="1924"/>
      <w:r>
        <w:rPr>
          <w:rFonts w:ascii="Times New Roman" w:hAnsi="Times New Roman"/>
          <w:sz w:val="20"/>
        </w:rPr>
        <w:t>TENANT PARKING  Tenant shall have the right to use the amount of parking set forth in Section 9 of the Summary, in the on-site and/or off-site, as the case may be, parking facility (or facilities) which serve the Project.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pStyle w:val="TextBody"/>
        <w:spacing w:before="0" w:after="0"/>
        <w:ind w:left="0" w:right="0" w:hanging="0"/>
        <w:jc w:val="both"/>
        <w:rPr/>
      </w:pPr>
      <w:r>
        <w:rPr/>
        <w:t> </w:t>
      </w:r>
    </w:p>
    <w:p>
      <w:pPr>
        <w:pStyle w:val="TextBody"/>
        <w:spacing w:before="0" w:after="0"/>
        <w:ind w:left="720" w:right="0" w:hanging="0"/>
        <w:jc w:val="both"/>
        <w:rPr/>
      </w:pPr>
      <w:r>
        <w:rPr>
          <w:rFonts w:ascii="Times New Roman" w:hAnsi="Times New Roman"/>
          <w:b/>
          <w:sz w:val="20"/>
        </w:rPr>
        <w:t>29.</w:t>
      </w:r>
      <w:bookmarkStart w:id="1925" w:name="TAB2193"/>
      <w:bookmarkEnd w:id="1925"/>
      <w:r>
        <w:rPr>
          <w:color w:val="000000"/>
          <w:spacing w:val="180"/>
        </w:rPr>
        <w:t> </w:t>
      </w:r>
      <w:bookmarkStart w:id="1926" w:name="TAB128"/>
      <w:bookmarkEnd w:id="1926"/>
      <w:r>
        <w:rPr>
          <w:rFonts w:ascii="Times New Roman" w:hAnsi="Times New Roman"/>
          <w:sz w:val="20"/>
        </w:rPr>
        <w:t>MISCELLANEOUS PROVISIONS</w:t>
      </w:r>
      <w:bookmarkStart w:id="1927" w:name="xx"/>
      <w:bookmarkEnd w:id="1927"/>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w:t>
      </w:r>
      <w:bookmarkStart w:id="1928" w:name="TAB2194"/>
      <w:bookmarkEnd w:id="1928"/>
      <w:r>
        <w:rPr>
          <w:color w:val="000000"/>
          <w:spacing w:val="180"/>
        </w:rPr>
        <w:t> </w:t>
      </w:r>
      <w:r>
        <w:rPr>
          <w:rFonts w:ascii="Times New Roman" w:hAnsi="Times New Roman"/>
          <w:b/>
          <w:sz w:val="20"/>
          <w:u w:val="single"/>
        </w:rPr>
        <w:t>Terms; Captions</w:t>
      </w:r>
      <w:r>
        <w:rPr>
          <w:rFonts w:ascii="Times New Roman" w:hAnsi="Times New Roman"/>
          <w:sz w:val="20"/>
        </w:rPr>
        <w:t>.  The words "</w:t>
      </w:r>
      <w:r>
        <w:rPr>
          <w:rFonts w:ascii="Times New Roman" w:hAnsi="Times New Roman"/>
          <w:b/>
          <w:sz w:val="20"/>
        </w:rPr>
        <w:t>Landlord</w:t>
      </w:r>
      <w:r>
        <w:rPr>
          <w:rFonts w:ascii="Times New Roman" w:hAnsi="Times New Roman"/>
          <w:sz w:val="20"/>
        </w:rPr>
        <w:t>" and "</w:t>
      </w:r>
      <w:r>
        <w:rPr>
          <w:rFonts w:ascii="Times New Roman" w:hAnsi="Times New Roman"/>
          <w:b/>
          <w:sz w:val="20"/>
        </w:rPr>
        <w:t>Tenant</w:t>
      </w:r>
      <w:r>
        <w:rPr>
          <w:rFonts w:ascii="Times New Roman" w:hAnsi="Times New Roman"/>
          <w:sz w:val="20"/>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w:t>
      </w:r>
      <w:bookmarkStart w:id="1929" w:name="TAB2195"/>
      <w:bookmarkEnd w:id="1929"/>
      <w:r>
        <w:rPr>
          <w:color w:val="000000"/>
          <w:spacing w:val="180"/>
        </w:rPr>
        <w:t> </w:t>
      </w:r>
      <w:r>
        <w:rPr>
          <w:rFonts w:ascii="Times New Roman" w:hAnsi="Times New Roman"/>
          <w:b/>
          <w:sz w:val="20"/>
          <w:u w:val="single"/>
        </w:rPr>
        <w:t>Binding Effect</w:t>
      </w:r>
      <w:r>
        <w:rPr>
          <w:rFonts w:ascii="Times New Roman" w:hAnsi="Times New Roman"/>
          <w:sz w:val="20"/>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hAnsi="Times New Roman"/>
          <w:sz w:val="20"/>
          <w:u w:val="single"/>
        </w:rPr>
        <w:t>Article 14</w:t>
      </w:r>
      <w:r>
        <w:rPr>
          <w:rFonts w:ascii="Times New Roman" w:hAnsi="Times New Roman"/>
          <w:sz w:val="20"/>
        </w:rPr>
        <w:t xml:space="preserve"> of this Lease.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29.3</w:t>
      </w:r>
      <w:bookmarkStart w:id="1930" w:name="TAB2196"/>
      <w:bookmarkEnd w:id="1930"/>
      <w:r>
        <w:rPr>
          <w:color w:val="000000"/>
          <w:spacing w:val="180"/>
        </w:rPr>
        <w:t> </w:t>
      </w:r>
      <w:r>
        <w:rPr>
          <w:rFonts w:ascii="Times New Roman" w:hAnsi="Times New Roman"/>
          <w:b/>
          <w:sz w:val="20"/>
          <w:u w:val="single"/>
        </w:rPr>
        <w:t>No Air Rights</w:t>
      </w:r>
      <w:r>
        <w:rPr>
          <w:rFonts w:ascii="Times New Roman" w:hAnsi="Times New Roman"/>
          <w:sz w:val="20"/>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29.4</w:t>
      </w:r>
      <w:bookmarkStart w:id="1931" w:name="TAB2197"/>
      <w:bookmarkEnd w:id="1931"/>
      <w:r>
        <w:rPr>
          <w:color w:val="000000"/>
          <w:spacing w:val="180"/>
        </w:rPr>
        <w:t> </w:t>
      </w:r>
      <w:r>
        <w:rPr>
          <w:rFonts w:ascii="Times New Roman" w:hAnsi="Times New Roman"/>
          <w:b/>
          <w:sz w:val="20"/>
          <w:u w:val="single"/>
        </w:rPr>
        <w:t>Modification of Lease</w:t>
      </w:r>
      <w:r>
        <w:rPr>
          <w:rFonts w:ascii="Times New Roman" w:hAnsi="Times New Roman"/>
          <w:sz w:val="20"/>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29.5</w:t>
      </w:r>
      <w:bookmarkStart w:id="1932" w:name="TAB2198"/>
      <w:bookmarkEnd w:id="1932"/>
      <w:r>
        <w:rPr>
          <w:color w:val="000000"/>
          <w:spacing w:val="180"/>
        </w:rPr>
        <w:t> </w:t>
      </w:r>
      <w:r>
        <w:rPr>
          <w:rFonts w:ascii="Times New Roman" w:hAnsi="Times New Roman"/>
          <w:b/>
          <w:sz w:val="20"/>
          <w:u w:val="single"/>
        </w:rPr>
        <w:t>Transfer of Landlord's Interest</w:t>
      </w:r>
      <w:r>
        <w:rPr>
          <w:rFonts w:ascii="Times New Roman" w:hAnsi="Times New Roman"/>
          <w:sz w:val="20"/>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933" w:name="PGBRK170"/>
      <w:bookmarkStart w:id="1934" w:name="PGBRK170"/>
      <w:bookmarkEnd w:id="19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35" w:name="FTR170"/>
      <w:bookmarkStart w:id="1936" w:name="FTR170"/>
      <w:bookmarkEnd w:id="19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7" w:name="GLFTR170"/>
      <w:bookmarkEnd w:id="19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38" w:name="PN170"/>
      <w:bookmarkEnd w:id="1938"/>
      <w:r>
        <w:rPr>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39" w:name="HDR170"/>
      <w:bookmarkStart w:id="1940" w:name="HDR170"/>
      <w:bookmarkEnd w:id="1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41" w:name="GLHDR170"/>
      <w:bookmarkEnd w:id="19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pPr>
      <w:r>
        <w:rPr>
          <w:rFonts w:ascii="Times New Roman" w:hAnsi="Times New Roman"/>
          <w:b/>
          <w:sz w:val="20"/>
        </w:rPr>
        <w:t>29.6</w:t>
      </w:r>
      <w:bookmarkStart w:id="1942" w:name="TAB2199"/>
      <w:bookmarkEnd w:id="1942"/>
      <w:r>
        <w:rPr>
          <w:color w:val="000000"/>
          <w:spacing w:val="180"/>
        </w:rPr>
        <w:t> </w:t>
      </w:r>
      <w:r>
        <w:rPr>
          <w:rFonts w:ascii="Times New Roman" w:hAnsi="Times New Roman"/>
          <w:b/>
          <w:sz w:val="20"/>
          <w:u w:val="single"/>
        </w:rPr>
        <w:t>Prohibition Against Recording</w:t>
      </w:r>
      <w:r>
        <w:rPr>
          <w:rFonts w:ascii="Times New Roman" w:hAnsi="Times New Roman"/>
          <w:sz w:val="20"/>
        </w:rPr>
        <w:t xml:space="preserve">.  Except as provided in </w:t>
      </w:r>
      <w:r>
        <w:rPr>
          <w:rFonts w:ascii="Times New Roman" w:hAnsi="Times New Roman"/>
          <w:sz w:val="20"/>
          <w:u w:val="single"/>
        </w:rPr>
        <w:t>Section 29.4</w:t>
      </w:r>
      <w:r>
        <w:rPr>
          <w:rFonts w:ascii="Times New Roman" w:hAnsi="Times New Roman"/>
          <w:sz w:val="20"/>
        </w:rPr>
        <w:t xml:space="preserve"> of this Lease, neither this Lease, nor any memorandum, affidavit or other writing with respect thereto, shall be recorded by Tenant or by anyone acting through, under or on behalf of Tenant.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29.7</w:t>
      </w:r>
      <w:bookmarkStart w:id="1943" w:name="TAB2200"/>
      <w:bookmarkEnd w:id="1943"/>
      <w:r>
        <w:rPr>
          <w:color w:val="000000"/>
          <w:spacing w:val="180"/>
        </w:rPr>
        <w:t> </w:t>
      </w:r>
      <w:r>
        <w:rPr>
          <w:rFonts w:ascii="Times New Roman" w:hAnsi="Times New Roman"/>
          <w:b/>
          <w:sz w:val="20"/>
          <w:u w:val="single"/>
        </w:rPr>
        <w:t>Landlord's Title</w:t>
      </w:r>
      <w:r>
        <w:rPr>
          <w:rFonts w:ascii="Times New Roman" w:hAnsi="Times New Roman"/>
          <w:sz w:val="20"/>
        </w:rPr>
        <w:t>.  Landlord's title is and always shall be paramount to the title of Tenant.  Nothing herein contained shall empower Tenant to do any act which can, shall or may encumber the title of Landlord.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29.8</w:t>
      </w:r>
      <w:bookmarkStart w:id="1944" w:name="TAB2201"/>
      <w:bookmarkEnd w:id="1944"/>
      <w:r>
        <w:rPr>
          <w:color w:val="000000"/>
          <w:spacing w:val="180"/>
        </w:rPr>
        <w:t> </w:t>
      </w:r>
      <w:r>
        <w:rPr>
          <w:rFonts w:ascii="Times New Roman" w:hAnsi="Times New Roman"/>
          <w:b/>
          <w:sz w:val="20"/>
          <w:u w:val="single"/>
        </w:rPr>
        <w:t>Relationship of Parties</w:t>
      </w:r>
      <w:r>
        <w:rPr>
          <w:rFonts w:ascii="Times New Roman" w:hAnsi="Times New Roman"/>
          <w:sz w:val="20"/>
        </w:rPr>
        <w:t>.  Nothing contained in this Lease shall be deemed or construed by the parties hereto or by any third party to create the relationship of principal and agent, partnership, joint venturer or any association between Landlord and Tenant.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29.9</w:t>
      </w:r>
      <w:bookmarkStart w:id="1945" w:name="TAB2202"/>
      <w:bookmarkEnd w:id="1945"/>
      <w:r>
        <w:rPr>
          <w:color w:val="000000"/>
          <w:spacing w:val="180"/>
        </w:rPr>
        <w:t> </w:t>
      </w:r>
      <w:r>
        <w:rPr>
          <w:rFonts w:ascii="Times New Roman" w:hAnsi="Times New Roman"/>
          <w:b/>
          <w:sz w:val="20"/>
          <w:u w:val="single"/>
        </w:rPr>
        <w:t>Application of Payments</w:t>
      </w:r>
      <w:r>
        <w:rPr>
          <w:rFonts w:ascii="Times New Roman" w:hAnsi="Times New Roman"/>
          <w:sz w:val="20"/>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29.10</w:t>
      </w:r>
      <w:bookmarkStart w:id="1946" w:name="TAB2203"/>
      <w:bookmarkEnd w:id="1946"/>
      <w:r>
        <w:rPr>
          <w:color w:val="000000"/>
          <w:spacing w:val="180"/>
        </w:rPr>
        <w:t> </w:t>
      </w:r>
      <w:r>
        <w:rPr>
          <w:rFonts w:ascii="Times New Roman" w:hAnsi="Times New Roman"/>
          <w:b/>
          <w:sz w:val="20"/>
          <w:u w:val="single"/>
        </w:rPr>
        <w:t>Time of Essence</w:t>
      </w:r>
      <w:r>
        <w:rPr>
          <w:rFonts w:ascii="Times New Roman" w:hAnsi="Times New Roman"/>
          <w:sz w:val="20"/>
        </w:rPr>
        <w:t>.  Time is of the essence with respect to the performance of every provision of this Lease in which time of performance is a factor.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29.11</w:t>
      </w:r>
      <w:bookmarkStart w:id="1947" w:name="TAB2204"/>
      <w:bookmarkEnd w:id="1947"/>
      <w:r>
        <w:rPr>
          <w:color w:val="000000"/>
          <w:spacing w:val="180"/>
        </w:rPr>
        <w:t> </w:t>
      </w:r>
      <w:r>
        <w:rPr>
          <w:rFonts w:ascii="Times New Roman" w:hAnsi="Times New Roman"/>
          <w:b/>
          <w:sz w:val="20"/>
          <w:u w:val="single"/>
        </w:rPr>
        <w:t>Partial Invalidity</w:t>
      </w:r>
      <w:r>
        <w:rPr>
          <w:rFonts w:ascii="Times New Roman" w:hAnsi="Times New Roman"/>
          <w:sz w:val="20"/>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29.12</w:t>
      </w:r>
      <w:bookmarkStart w:id="1948" w:name="TAB2205"/>
      <w:bookmarkEnd w:id="1948"/>
      <w:r>
        <w:rPr>
          <w:color w:val="000000"/>
          <w:spacing w:val="180"/>
        </w:rPr>
        <w:t> </w:t>
      </w:r>
      <w:r>
        <w:rPr>
          <w:rFonts w:ascii="Times New Roman" w:hAnsi="Times New Roman"/>
          <w:b/>
          <w:sz w:val="20"/>
          <w:u w:val="single"/>
        </w:rPr>
        <w:t>No Warranty</w:t>
      </w:r>
      <w:r>
        <w:rPr>
          <w:rFonts w:ascii="Times New Roman" w:hAnsi="Times New Roman"/>
          <w:sz w:val="20"/>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29.13</w:t>
      </w:r>
      <w:bookmarkStart w:id="1949" w:name="TAB2206"/>
      <w:bookmarkEnd w:id="1949"/>
      <w:r>
        <w:rPr>
          <w:color w:val="000000"/>
          <w:spacing w:val="180"/>
        </w:rPr>
        <w:t> </w:t>
      </w:r>
      <w:r>
        <w:rPr>
          <w:rFonts w:ascii="Times New Roman" w:hAnsi="Times New Roman"/>
          <w:b/>
          <w:sz w:val="20"/>
          <w:u w:val="single"/>
        </w:rPr>
        <w:t>Landlord Exculpation</w:t>
      </w:r>
      <w:r>
        <w:rPr>
          <w:rFonts w:ascii="Times New Roman" w:hAnsi="Times New Roman"/>
          <w:sz w:val="20"/>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Building or (b) the equity interest Landlord would have in the Building if the Building were encumbered by third-party debt in an amount equal to eighty percent (80%) of the value of the Building (as such value is determined by Landlord), provided that in no event shall such liability extend to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hAnsi="Times New Roman"/>
          <w:sz w:val="20"/>
          <w:u w:val="single"/>
        </w:rPr>
        <w:t>Section 29.13</w:t>
      </w:r>
      <w:r>
        <w:rPr>
          <w:rFonts w:ascii="Times New Roman" w:hAnsi="Times New Roman"/>
          <w:sz w:val="20"/>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950" w:name="PGBRK171"/>
      <w:bookmarkStart w:id="1951" w:name="PGBRK171"/>
      <w:bookmarkEnd w:id="1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52" w:name="FTR171"/>
      <w:bookmarkStart w:id="1953" w:name="FTR171"/>
      <w:bookmarkEnd w:id="19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54" w:name="GLFTR171"/>
      <w:bookmarkEnd w:id="19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55" w:name="PN171"/>
      <w:bookmarkEnd w:id="1955"/>
      <w:r>
        <w:rPr>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56" w:name="HDR171"/>
      <w:bookmarkStart w:id="1957" w:name="HDR171"/>
      <w:bookmarkEnd w:id="1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58" w:name="GLHDR171"/>
      <w:bookmarkEnd w:id="19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29.14</w:t>
      </w:r>
      <w:bookmarkStart w:id="1959" w:name="TAB2207"/>
      <w:bookmarkEnd w:id="1959"/>
      <w:r>
        <w:rPr>
          <w:color w:val="000000"/>
          <w:spacing w:val="180"/>
        </w:rPr>
        <w:t> </w:t>
      </w:r>
      <w:r>
        <w:rPr>
          <w:rFonts w:ascii="Times New Roman" w:hAnsi="Times New Roman"/>
          <w:b/>
          <w:sz w:val="20"/>
          <w:u w:val="single"/>
        </w:rPr>
        <w:t>Entire Agreement</w:t>
      </w:r>
      <w:r>
        <w:rPr>
          <w:rFonts w:ascii="Times New Roman" w:hAnsi="Times New Roman"/>
          <w:sz w:val="20"/>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29.15</w:t>
      </w:r>
      <w:bookmarkStart w:id="1960" w:name="TAB2208"/>
      <w:bookmarkEnd w:id="1960"/>
      <w:r>
        <w:rPr>
          <w:color w:val="000000"/>
          <w:spacing w:val="180"/>
        </w:rPr>
        <w:t> </w:t>
      </w:r>
      <w:r>
        <w:rPr>
          <w:rFonts w:ascii="Times New Roman" w:hAnsi="Times New Roman"/>
          <w:b/>
          <w:sz w:val="20"/>
          <w:u w:val="single"/>
        </w:rPr>
        <w:t>Right to Lease</w:t>
      </w:r>
      <w:r>
        <w:rPr>
          <w:rFonts w:ascii="Times New Roman" w:hAnsi="Times New Roman"/>
          <w:sz w:val="20"/>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29.16</w:t>
      </w:r>
      <w:bookmarkStart w:id="1961" w:name="TAB2209"/>
      <w:bookmarkEnd w:id="1961"/>
      <w:r>
        <w:rPr>
          <w:color w:val="000000"/>
          <w:spacing w:val="180"/>
        </w:rPr>
        <w:t> </w:t>
      </w:r>
      <w:r>
        <w:rPr>
          <w:rFonts w:ascii="Times New Roman" w:hAnsi="Times New Roman"/>
          <w:b/>
          <w:sz w:val="20"/>
          <w:u w:val="single"/>
        </w:rPr>
        <w:t>Force Majeure</w:t>
      </w:r>
      <w:r>
        <w:rPr>
          <w:rFonts w:ascii="Times New Roman" w:hAnsi="Times New Roman"/>
          <w:sz w:val="20"/>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Times New Roman" w:hAnsi="Times New Roman"/>
          <w:b/>
          <w:sz w:val="20"/>
        </w:rPr>
        <w:t>Force Majeure</w:t>
      </w:r>
      <w:r>
        <w:rPr>
          <w:rFonts w:ascii="Times New Roman" w:hAnsi="Times New Roman"/>
          <w:sz w:val="20"/>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29.17</w:t>
      </w:r>
      <w:bookmarkStart w:id="1962" w:name="TAB2210"/>
      <w:bookmarkEnd w:id="1962"/>
      <w:r>
        <w:rPr>
          <w:color w:val="000000"/>
          <w:spacing w:val="180"/>
        </w:rPr>
        <w:t> </w:t>
      </w:r>
      <w:r>
        <w:rPr>
          <w:rFonts w:ascii="Times New Roman" w:hAnsi="Times New Roman"/>
          <w:b/>
          <w:sz w:val="20"/>
          <w:u w:val="single"/>
        </w:rPr>
        <w:t>Waiver of Redemption by Tenant</w:t>
      </w:r>
      <w:r>
        <w:rPr>
          <w:rFonts w:ascii="Times New Roman" w:hAnsi="Times New Roman"/>
          <w:sz w:val="20"/>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29.18</w:t>
      </w:r>
      <w:bookmarkStart w:id="1963" w:name="TAB2211"/>
      <w:bookmarkEnd w:id="1963"/>
      <w:r>
        <w:rPr>
          <w:color w:val="000000"/>
          <w:spacing w:val="180"/>
        </w:rPr>
        <w:t> </w:t>
      </w:r>
      <w:r>
        <w:rPr>
          <w:rFonts w:ascii="Times New Roman" w:hAnsi="Times New Roman"/>
          <w:b/>
          <w:sz w:val="20"/>
          <w:u w:val="single"/>
        </w:rPr>
        <w:t>Notices</w:t>
      </w:r>
      <w:r>
        <w:rPr>
          <w:rFonts w:ascii="Times New Roman" w:hAnsi="Times New Roman"/>
          <w:sz w:val="20"/>
        </w:rPr>
        <w:t>.  All notices, demands, statements, designations, approvals  or other communications (collectively, "</w:t>
      </w:r>
      <w:r>
        <w:rPr>
          <w:rFonts w:ascii="Times New Roman" w:hAnsi="Times New Roman"/>
          <w:b/>
          <w:sz w:val="20"/>
        </w:rPr>
        <w:t>Notices</w:t>
      </w:r>
      <w:r>
        <w:rPr>
          <w:rFonts w:ascii="Times New Roman" w:hAnsi="Times New Roman"/>
          <w:sz w:val="20"/>
        </w:rPr>
        <w:t>") given or required to be given by either party to the other hereunder or by law shall be in writing, shall be (A) sent by United States certified or registered mail, postage prepaid, return receipt requested ("</w:t>
      </w:r>
      <w:r>
        <w:rPr>
          <w:rFonts w:ascii="Times New Roman" w:hAnsi="Times New Roman"/>
          <w:b/>
          <w:sz w:val="20"/>
        </w:rPr>
        <w:t>Mail</w:t>
      </w:r>
      <w:r>
        <w:rPr>
          <w:rFonts w:ascii="Times New Roman" w:hAnsi="Times New Roman"/>
          <w:sz w:val="20"/>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Times New Roman" w:hAnsi="Times New Roman"/>
          <w:sz w:val="20"/>
          <w:u w:val="single"/>
        </w:rPr>
        <w:t>Section 10</w:t>
      </w:r>
      <w:r>
        <w:rPr>
          <w:rFonts w:ascii="Times New Roman" w:hAnsi="Times New Roman"/>
          <w:sz w:val="20"/>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telecopy is transmitted, (iii) the date the overnight courier delivery is made, or (iv) the date personal delivery is made.  As of the date of this Lease, any Notices to Landlord must be sent, transmitted, or delivered, as the case may be, to the following addresses:</w:t>
      </w:r>
    </w:p>
    <w:p>
      <w:pPr>
        <w:pStyle w:val="TextBody"/>
        <w:spacing w:before="0" w:after="0"/>
        <w:ind w:left="0" w:right="0" w:hanging="0"/>
        <w:jc w:val="both"/>
        <w:rPr/>
      </w:pPr>
      <w:r>
        <w:rPr/>
        <w:t> </w:t>
      </w:r>
    </w:p>
    <w:p>
      <w:pPr>
        <w:pStyle w:val="TextBody"/>
        <w:spacing w:before="0" w:after="0"/>
        <w:ind w:left="2880" w:right="0" w:hanging="0"/>
        <w:jc w:val="left"/>
        <w:rPr>
          <w:rFonts w:ascii="Times New Roman" w:hAnsi="Times New Roman"/>
          <w:sz w:val="20"/>
        </w:rPr>
      </w:pPr>
      <w:r>
        <w:rPr>
          <w:rFonts w:ascii="Times New Roman" w:hAnsi="Times New Roman"/>
          <w:sz w:val="20"/>
        </w:rPr>
        <w:t>Bayside Area Development, LLC</w:t>
      </w:r>
    </w:p>
    <w:p>
      <w:pPr>
        <w:pStyle w:val="TextBody"/>
        <w:spacing w:before="0" w:after="0"/>
        <w:ind w:left="2880" w:right="0" w:hanging="0"/>
        <w:jc w:val="left"/>
        <w:rPr>
          <w:rFonts w:ascii="Times New Roman" w:hAnsi="Times New Roman"/>
          <w:sz w:val="20"/>
        </w:rPr>
      </w:pPr>
      <w:r>
        <w:rPr>
          <w:rFonts w:ascii="Times New Roman" w:hAnsi="Times New Roman"/>
          <w:sz w:val="20"/>
        </w:rPr>
        <w:t>c/o HCP, Inc.</w:t>
      </w:r>
    </w:p>
    <w:p>
      <w:pPr>
        <w:pStyle w:val="TextBody"/>
        <w:spacing w:before="0" w:after="0"/>
        <w:ind w:left="2880" w:right="0" w:hanging="0"/>
        <w:jc w:val="left"/>
        <w:rPr>
          <w:rFonts w:ascii="Times New Roman" w:hAnsi="Times New Roman"/>
          <w:sz w:val="20"/>
        </w:rPr>
      </w:pPr>
      <w:r>
        <w:rPr>
          <w:rFonts w:ascii="Times New Roman" w:hAnsi="Times New Roman"/>
          <w:sz w:val="20"/>
        </w:rPr>
        <w:t>3760 Kilroy Airport Way, Suite 300</w:t>
      </w:r>
    </w:p>
    <w:p>
      <w:pPr>
        <w:pStyle w:val="TextBody"/>
        <w:spacing w:before="0" w:after="0"/>
        <w:ind w:left="2880" w:right="0" w:hanging="0"/>
        <w:jc w:val="left"/>
        <w:rPr>
          <w:rFonts w:ascii="Times New Roman" w:hAnsi="Times New Roman"/>
          <w:sz w:val="20"/>
        </w:rPr>
      </w:pPr>
      <w:r>
        <w:rPr>
          <w:rFonts w:ascii="Times New Roman" w:hAnsi="Times New Roman"/>
          <w:sz w:val="20"/>
        </w:rPr>
        <w:t>Long Beach, CA  90806</w:t>
      </w:r>
    </w:p>
    <w:p>
      <w:pPr>
        <w:pStyle w:val="TextBody"/>
        <w:spacing w:before="0" w:after="0"/>
        <w:ind w:left="2880" w:right="0" w:hanging="0"/>
        <w:jc w:val="left"/>
        <w:rPr>
          <w:rFonts w:ascii="Times New Roman" w:hAnsi="Times New Roman"/>
          <w:sz w:val="20"/>
        </w:rPr>
      </w:pPr>
      <w:r>
        <w:rPr>
          <w:rFonts w:ascii="Times New Roman" w:hAnsi="Times New Roman"/>
          <w:sz w:val="20"/>
        </w:rPr>
        <w:t>Attention:  Legal Department</w:t>
      </w:r>
    </w:p>
    <w:p>
      <w:pPr>
        <w:pStyle w:val="TextBody"/>
        <w:spacing w:before="0" w:after="0"/>
        <w:ind w:left="0" w:right="0" w:hanging="0"/>
        <w:jc w:val="both"/>
        <w:rPr/>
      </w:pPr>
      <w:r>
        <w:rPr/>
        <w:t> </w:t>
      </w:r>
    </w:p>
    <w:p>
      <w:pPr>
        <w:pStyle w:val="TextBody"/>
        <w:spacing w:before="0" w:after="0"/>
        <w:ind w:left="2880" w:right="0" w:hanging="0"/>
        <w:jc w:val="left"/>
        <w:rPr>
          <w:rFonts w:ascii="Times New Roman" w:hAnsi="Times New Roman"/>
          <w:sz w:val="20"/>
        </w:rPr>
      </w:pPr>
      <w:r>
        <w:rPr>
          <w:rFonts w:ascii="Times New Roman" w:hAnsi="Times New Roman"/>
          <w:sz w:val="20"/>
        </w:rPr>
        <w:t>and:</w:t>
      </w:r>
    </w:p>
    <w:p>
      <w:pPr>
        <w:pStyle w:val="TextBody"/>
        <w:spacing w:before="0" w:after="0"/>
        <w:ind w:left="0" w:right="0" w:hanging="0"/>
        <w:jc w:val="both"/>
        <w:rPr/>
      </w:pPr>
      <w:r>
        <w:rPr/>
        <w:t> </w:t>
      </w:r>
    </w:p>
    <w:p>
      <w:pPr>
        <w:pStyle w:val="TextBody"/>
        <w:spacing w:before="0" w:after="0"/>
        <w:ind w:left="2880" w:right="0" w:hanging="0"/>
        <w:jc w:val="left"/>
        <w:rPr>
          <w:rFonts w:ascii="Times New Roman" w:hAnsi="Times New Roman"/>
          <w:sz w:val="20"/>
        </w:rPr>
      </w:pPr>
      <w:r>
        <w:rPr>
          <w:rFonts w:ascii="Times New Roman" w:hAnsi="Times New Roman"/>
          <w:sz w:val="20"/>
        </w:rPr>
        <w:t>HCP Life Science Estates</w:t>
      </w:r>
    </w:p>
    <w:p>
      <w:pPr>
        <w:pStyle w:val="TextBody"/>
        <w:spacing w:before="0" w:after="0"/>
        <w:ind w:left="2880" w:right="0" w:hanging="0"/>
        <w:jc w:val="left"/>
        <w:rPr>
          <w:rFonts w:ascii="Times New Roman" w:hAnsi="Times New Roman"/>
          <w:sz w:val="20"/>
        </w:rPr>
      </w:pPr>
      <w:r>
        <w:rPr>
          <w:rFonts w:ascii="Times New Roman" w:hAnsi="Times New Roman"/>
          <w:sz w:val="20"/>
        </w:rPr>
        <w:t>400 Oyster Point Boulevard, Suite 409</w:t>
      </w:r>
    </w:p>
    <w:p>
      <w:pPr>
        <w:pStyle w:val="TextBody"/>
        <w:spacing w:before="0" w:after="0"/>
        <w:ind w:left="2880" w:right="0" w:hanging="0"/>
        <w:jc w:val="left"/>
        <w:rPr>
          <w:rFonts w:ascii="Times New Roman" w:hAnsi="Times New Roman"/>
          <w:sz w:val="20"/>
        </w:rPr>
      </w:pPr>
      <w:r>
        <w:rPr>
          <w:rFonts w:ascii="Times New Roman" w:hAnsi="Times New Roman"/>
          <w:sz w:val="20"/>
        </w:rPr>
        <w:t>South San Francisco, CA 94080</w:t>
      </w:r>
    </w:p>
    <w:p>
      <w:pPr>
        <w:pStyle w:val="TextBody"/>
        <w:spacing w:before="0" w:after="0"/>
        <w:ind w:left="2880" w:right="0" w:hanging="0"/>
        <w:jc w:val="left"/>
        <w:rPr>
          <w:rFonts w:ascii="Times New Roman" w:hAnsi="Times New Roman"/>
          <w:sz w:val="20"/>
        </w:rPr>
      </w:pPr>
      <w:r>
        <w:rPr>
          <w:rFonts w:ascii="Times New Roman" w:hAnsi="Times New Roman"/>
          <w:sz w:val="20"/>
        </w:rPr>
        <w:t>Attention:  Jon Bergschneider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4" w:name="PGBRK172"/>
      <w:bookmarkStart w:id="1965" w:name="PGBRK172"/>
      <w:bookmarkEnd w:id="19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6" w:name="FTR172"/>
      <w:bookmarkStart w:id="1967" w:name="FTR172"/>
      <w:bookmarkEnd w:id="1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68" w:name="GLFTR172"/>
      <w:bookmarkEnd w:id="19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69" w:name="PN172"/>
      <w:bookmarkEnd w:id="1969"/>
      <w:r>
        <w:rPr>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0" w:name="HDR172"/>
      <w:bookmarkStart w:id="1971" w:name="HDR172"/>
      <w:bookmarkEnd w:id="19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2" w:name="GLHDR172"/>
      <w:bookmarkEnd w:id="19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2880" w:right="0" w:hanging="0"/>
        <w:jc w:val="left"/>
        <w:rPr>
          <w:rFonts w:ascii="Times New Roman" w:hAnsi="Times New Roman"/>
          <w:sz w:val="20"/>
        </w:rPr>
      </w:pPr>
      <w:r>
        <w:rPr>
          <w:rFonts w:ascii="Times New Roman" w:hAnsi="Times New Roman"/>
          <w:sz w:val="20"/>
        </w:rPr>
        <w:t>with a copy to:</w:t>
      </w:r>
    </w:p>
    <w:p>
      <w:pPr>
        <w:pStyle w:val="TextBody"/>
        <w:spacing w:before="0" w:after="0"/>
        <w:ind w:left="0" w:right="0" w:hanging="0"/>
        <w:jc w:val="both"/>
        <w:rPr/>
      </w:pPr>
      <w:r>
        <w:rPr/>
        <w:t> </w:t>
      </w:r>
    </w:p>
    <w:p>
      <w:pPr>
        <w:pStyle w:val="TextBody"/>
        <w:spacing w:before="0" w:after="0"/>
        <w:ind w:left="2880" w:right="0" w:hanging="0"/>
        <w:jc w:val="left"/>
        <w:rPr>
          <w:rFonts w:ascii="Times New Roman" w:hAnsi="Times New Roman"/>
          <w:sz w:val="20"/>
        </w:rPr>
      </w:pPr>
      <w:r>
        <w:rPr>
          <w:rFonts w:ascii="Times New Roman" w:hAnsi="Times New Roman"/>
          <w:sz w:val="20"/>
        </w:rPr>
        <w:t>Allen Matkins Leck Gamble Mallory &amp; Natsis LLP</w:t>
      </w:r>
    </w:p>
    <w:p>
      <w:pPr>
        <w:pStyle w:val="TextBody"/>
        <w:spacing w:before="0" w:after="0"/>
        <w:ind w:left="2880" w:right="0" w:hanging="0"/>
        <w:jc w:val="left"/>
        <w:rPr>
          <w:rFonts w:ascii="Times New Roman" w:hAnsi="Times New Roman"/>
          <w:sz w:val="20"/>
        </w:rPr>
      </w:pPr>
      <w:r>
        <w:rPr>
          <w:rFonts w:ascii="Times New Roman" w:hAnsi="Times New Roman"/>
          <w:sz w:val="20"/>
        </w:rPr>
        <w:t>1901 Avenue of the Stars, Suite 1800</w:t>
      </w:r>
    </w:p>
    <w:p>
      <w:pPr>
        <w:pStyle w:val="TextBody"/>
        <w:spacing w:before="0" w:after="0"/>
        <w:ind w:left="2880" w:right="0" w:hanging="0"/>
        <w:jc w:val="left"/>
        <w:rPr>
          <w:rFonts w:ascii="Times New Roman" w:hAnsi="Times New Roman"/>
          <w:sz w:val="20"/>
        </w:rPr>
      </w:pPr>
      <w:r>
        <w:rPr>
          <w:rFonts w:ascii="Times New Roman" w:hAnsi="Times New Roman"/>
          <w:sz w:val="20"/>
        </w:rPr>
        <w:t>Los Angeles, California 90067</w:t>
      </w:r>
    </w:p>
    <w:p>
      <w:pPr>
        <w:pStyle w:val="TextBody"/>
        <w:spacing w:before="0" w:after="0"/>
        <w:ind w:left="2880" w:right="0" w:hanging="0"/>
        <w:jc w:val="left"/>
        <w:rPr>
          <w:rFonts w:ascii="Times New Roman" w:hAnsi="Times New Roman"/>
          <w:sz w:val="20"/>
        </w:rPr>
      </w:pPr>
      <w:r>
        <w:rPr>
          <w:rFonts w:ascii="Times New Roman" w:hAnsi="Times New Roman"/>
          <w:sz w:val="20"/>
        </w:rPr>
        <w:t>Attention:  Anton N. Natsis, Esq.</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29.19</w:t>
      </w:r>
      <w:bookmarkStart w:id="1973" w:name="TAB2212"/>
      <w:bookmarkEnd w:id="1973"/>
      <w:r>
        <w:rPr>
          <w:color w:val="000000"/>
          <w:spacing w:val="180"/>
        </w:rPr>
        <w:t> </w:t>
      </w:r>
      <w:r>
        <w:rPr>
          <w:rFonts w:ascii="Times New Roman" w:hAnsi="Times New Roman"/>
          <w:b/>
          <w:sz w:val="20"/>
          <w:u w:val="single"/>
        </w:rPr>
        <w:t>Joint and Several</w:t>
      </w:r>
      <w:r>
        <w:rPr>
          <w:rFonts w:ascii="Times New Roman" w:hAnsi="Times New Roman"/>
          <w:sz w:val="20"/>
        </w:rPr>
        <w:t>.  If there is more than one tenant, the obligations imposed upon Tenant under this Lease shall be joint and several.</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29.20</w:t>
      </w:r>
      <w:bookmarkStart w:id="1974" w:name="TAB2213"/>
      <w:bookmarkEnd w:id="1974"/>
      <w:r>
        <w:rPr>
          <w:color w:val="000000"/>
          <w:spacing w:val="180"/>
        </w:rPr>
        <w:t> </w:t>
      </w:r>
      <w:r>
        <w:rPr>
          <w:rFonts w:ascii="Times New Roman" w:hAnsi="Times New Roman"/>
          <w:b/>
          <w:sz w:val="20"/>
          <w:u w:val="single"/>
        </w:rPr>
        <w:t>Authority</w:t>
      </w:r>
      <w:r>
        <w:rPr>
          <w:rFonts w:ascii="Times New Roman" w:hAnsi="Times New Roman"/>
          <w:sz w:val="20"/>
        </w:rPr>
        <w:t>.  If Tenant is a corporation, trust or partnership, each individual executing this Lease on behalf of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the State of California.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29.21</w:t>
      </w:r>
      <w:bookmarkStart w:id="1975" w:name="TAB2214"/>
      <w:bookmarkEnd w:id="1975"/>
      <w:r>
        <w:rPr>
          <w:color w:val="000000"/>
          <w:spacing w:val="180"/>
        </w:rPr>
        <w:t> </w:t>
      </w:r>
      <w:r>
        <w:rPr>
          <w:rFonts w:ascii="Times New Roman" w:hAnsi="Times New Roman"/>
          <w:b/>
          <w:sz w:val="20"/>
          <w:u w:val="single"/>
        </w:rPr>
        <w:t>Attorneys' Fees</w:t>
      </w:r>
      <w:r>
        <w:rPr>
          <w:rFonts w:ascii="Times New Roman" w:hAnsi="Times New Roman"/>
          <w:sz w:val="20"/>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29.22</w:t>
      </w:r>
      <w:bookmarkStart w:id="1976" w:name="TAB2215"/>
      <w:bookmarkEnd w:id="1976"/>
      <w:r>
        <w:rPr>
          <w:color w:val="000000"/>
          <w:spacing w:val="180"/>
        </w:rPr>
        <w:t> </w:t>
      </w:r>
      <w:r>
        <w:rPr>
          <w:rFonts w:ascii="Times New Roman" w:hAnsi="Times New Roman"/>
          <w:b/>
          <w:sz w:val="20"/>
          <w:u w:val="single"/>
        </w:rPr>
        <w:t>Governing Law; WAIVER OF TRIAL BY JURY</w:t>
      </w:r>
      <w:r>
        <w:rPr>
          <w:rFonts w:ascii="Times New Roman" w:hAnsi="Times New Roman"/>
          <w:sz w:val="20"/>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29.23</w:t>
      </w:r>
      <w:bookmarkStart w:id="1977" w:name="TAB2216"/>
      <w:bookmarkEnd w:id="1977"/>
      <w:r>
        <w:rPr>
          <w:color w:val="000000"/>
          <w:spacing w:val="180"/>
        </w:rPr>
        <w:t> </w:t>
      </w:r>
      <w:r>
        <w:rPr>
          <w:rFonts w:ascii="Times New Roman" w:hAnsi="Times New Roman"/>
          <w:b/>
          <w:sz w:val="20"/>
          <w:u w:val="single"/>
        </w:rPr>
        <w:t>Submission of Lease</w:t>
      </w:r>
      <w:r>
        <w:rPr>
          <w:rFonts w:ascii="Times New Roman" w:hAnsi="Times New Roman"/>
          <w:sz w:val="20"/>
        </w:rPr>
        <w:t>.  Submission of this instrument for examination or signature by Tenant does not constitute a reservation of, option for or option to lease, and it is not effective as a lease or otherwise until execution and delivery by both Landlord and Tenant.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29.24</w:t>
      </w:r>
      <w:bookmarkStart w:id="1978" w:name="TAB2217"/>
      <w:bookmarkEnd w:id="1978"/>
      <w:r>
        <w:rPr>
          <w:color w:val="000000"/>
          <w:spacing w:val="180"/>
        </w:rPr>
        <w:t> </w:t>
      </w:r>
      <w:r>
        <w:rPr>
          <w:rFonts w:ascii="Times New Roman" w:hAnsi="Times New Roman"/>
          <w:b/>
          <w:sz w:val="20"/>
          <w:u w:val="single"/>
        </w:rPr>
        <w:t>Brokers</w:t>
      </w:r>
      <w:r>
        <w:rPr>
          <w:rFonts w:ascii="Times New Roman" w:hAnsi="Times New Roman"/>
          <w:sz w:val="20"/>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hAnsi="Times New Roman"/>
          <w:sz w:val="20"/>
          <w:u w:val="single"/>
        </w:rPr>
        <w:t>Section 12</w:t>
      </w:r>
      <w:r>
        <w:rPr>
          <w:rFonts w:ascii="Times New Roman" w:hAnsi="Times New Roman"/>
          <w:sz w:val="20"/>
        </w:rPr>
        <w:t xml:space="preserve"> of the Summary (the "</w:t>
      </w:r>
      <w:r>
        <w:rPr>
          <w:rFonts w:ascii="Times New Roman" w:hAnsi="Times New Roman"/>
          <w:b/>
          <w:sz w:val="20"/>
        </w:rPr>
        <w:t>Brokers</w:t>
      </w:r>
      <w:r>
        <w:rPr>
          <w:rFonts w:ascii="Times New Roman" w:hAnsi="Times New Roman"/>
          <w:sz w:val="20"/>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hAnsi="Times New Roman"/>
          <w:sz w:val="20"/>
          <w:u w:val="single"/>
        </w:rPr>
        <w:t>Section 29.24</w:t>
      </w:r>
      <w:r>
        <w:rPr>
          <w:rFonts w:ascii="Times New Roman" w:hAnsi="Times New Roman"/>
          <w:sz w:val="20"/>
        </w:rPr>
        <w:t xml:space="preserve"> shall survive the expiration or earlier termination of the Lease Term.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979" w:name="PGBRK173"/>
      <w:bookmarkStart w:id="1980" w:name="PGBRK173"/>
      <w:bookmarkEnd w:id="1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81" w:name="FTR173"/>
      <w:bookmarkStart w:id="1982" w:name="FTR173"/>
      <w:bookmarkEnd w:id="1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83" w:name="GLFTR173"/>
      <w:bookmarkEnd w:id="19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84" w:name="PN173"/>
      <w:bookmarkEnd w:id="1984"/>
      <w:r>
        <w:rPr>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85" w:name="HDR173"/>
      <w:bookmarkStart w:id="1986" w:name="HDR173"/>
      <w:bookmarkEnd w:id="19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87" w:name="GLHDR173"/>
      <w:bookmarkEnd w:id="19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29.25</w:t>
      </w:r>
      <w:bookmarkStart w:id="1988" w:name="TAB2218"/>
      <w:bookmarkEnd w:id="1988"/>
      <w:r>
        <w:rPr>
          <w:color w:val="000000"/>
          <w:spacing w:val="180"/>
        </w:rPr>
        <w:t> </w:t>
      </w:r>
      <w:r>
        <w:rPr>
          <w:rFonts w:ascii="Times New Roman" w:hAnsi="Times New Roman"/>
          <w:b/>
          <w:sz w:val="20"/>
          <w:u w:val="single"/>
        </w:rPr>
        <w:t>Independent Covenants</w:t>
      </w:r>
      <w:r>
        <w:rPr>
          <w:rFonts w:ascii="Times New Roman" w:hAnsi="Times New Roman"/>
          <w:sz w:val="20"/>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29.26</w:t>
      </w:r>
      <w:bookmarkStart w:id="1989" w:name="TAB2219"/>
      <w:bookmarkEnd w:id="1989"/>
      <w:r>
        <w:rPr>
          <w:color w:val="000000"/>
          <w:spacing w:val="180"/>
        </w:rPr>
        <w:t> </w:t>
      </w:r>
      <w:r>
        <w:rPr>
          <w:rFonts w:ascii="Times New Roman" w:hAnsi="Times New Roman"/>
          <w:b/>
          <w:sz w:val="20"/>
          <w:u w:val="single"/>
        </w:rPr>
        <w:t>Project or Building Name, Address and Signage</w:t>
      </w:r>
      <w:r>
        <w:rPr>
          <w:rFonts w:ascii="Times New Roman" w:hAnsi="Times New Roman"/>
          <w:sz w:val="20"/>
        </w:rPr>
        <w:t>.  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29.27</w:t>
      </w:r>
      <w:bookmarkStart w:id="1990" w:name="TAB2220"/>
      <w:bookmarkEnd w:id="1990"/>
      <w:r>
        <w:rPr>
          <w:color w:val="000000"/>
          <w:spacing w:val="180"/>
        </w:rPr>
        <w:t> </w:t>
      </w:r>
      <w:r>
        <w:rPr>
          <w:rFonts w:ascii="Times New Roman" w:hAnsi="Times New Roman"/>
          <w:b/>
          <w:sz w:val="20"/>
          <w:u w:val="single"/>
        </w:rPr>
        <w:t>Counterparts</w:t>
      </w:r>
      <w:r>
        <w:rPr>
          <w:rFonts w:ascii="Times New Roman" w:hAnsi="Times New Roman"/>
          <w:sz w:val="20"/>
        </w:rPr>
        <w:t>.  This Lease may be executed in counterparts with the same effect as if both parties hereto had executed the same document.  Both counterparts shall be construed together and shall constitute a single lease.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29.28</w:t>
      </w:r>
      <w:bookmarkStart w:id="1991" w:name="TAB2221"/>
      <w:bookmarkEnd w:id="1991"/>
      <w:r>
        <w:rPr>
          <w:color w:val="000000"/>
          <w:spacing w:val="180"/>
        </w:rPr>
        <w:t> </w:t>
      </w:r>
      <w:r>
        <w:rPr>
          <w:rFonts w:ascii="Times New Roman" w:hAnsi="Times New Roman"/>
          <w:b/>
          <w:sz w:val="20"/>
          <w:u w:val="single"/>
        </w:rPr>
        <w:t>Confidentiality</w:t>
      </w:r>
      <w:r>
        <w:rPr>
          <w:rFonts w:ascii="Times New Roman" w:hAnsi="Times New Roman"/>
          <w:sz w:val="20"/>
        </w:rPr>
        <w:t>.  Tenant acknowledges that the content of this Lease and any related documents are confidential information.  Tenant shall keep such confidential information strictly confidential and shall not disclose such confidential information to any person or entity other than (a) Tenant's financial, legal, and space planning consultants or (b) as otherwise required of Tenant to comply with federal securities law and the rules and regulations of the United States Securities and Exchange Commission.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29.29</w:t>
      </w:r>
      <w:bookmarkStart w:id="1992" w:name="TAB2222"/>
      <w:bookmarkEnd w:id="1992"/>
      <w:r>
        <w:rPr>
          <w:color w:val="000000"/>
          <w:spacing w:val="180"/>
        </w:rPr>
        <w:t> </w:t>
      </w:r>
      <w:r>
        <w:rPr>
          <w:rFonts w:ascii="Times New Roman" w:hAnsi="Times New Roman"/>
          <w:b/>
          <w:sz w:val="20"/>
          <w:u w:val="single"/>
        </w:rPr>
        <w:t>Development of the Project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29.29.1</w:t>
      </w:r>
      <w:bookmarkStart w:id="1993" w:name="TAB2223"/>
      <w:bookmarkEnd w:id="1993"/>
      <w:r>
        <w:rPr>
          <w:color w:val="000000"/>
          <w:spacing w:val="180"/>
        </w:rPr>
        <w:t> </w:t>
      </w:r>
      <w:r>
        <w:rPr>
          <w:rFonts w:ascii="Times New Roman" w:hAnsi="Times New Roman"/>
          <w:b/>
          <w:sz w:val="20"/>
          <w:u w:val="single"/>
        </w:rPr>
        <w:t>Subdivision</w:t>
      </w:r>
      <w:r>
        <w:rPr>
          <w:rFonts w:ascii="Times New Roman" w:hAnsi="Times New Roman"/>
          <w:sz w:val="20"/>
        </w:rPr>
        <w:t>.  Landlord reserves the right to subdivide all or a portion of the buildings and Common Areas.  Tenant agrees to execute and deliver, upon demand by Landlord and in the form requested by Landlord, any additional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b/>
          <w:sz w:val="20"/>
        </w:rPr>
        <w:t>29.29.2</w:t>
      </w:r>
      <w:bookmarkStart w:id="1994" w:name="TAB2224"/>
      <w:bookmarkEnd w:id="1994"/>
      <w:r>
        <w:rPr>
          <w:color w:val="000000"/>
          <w:spacing w:val="180"/>
        </w:rPr>
        <w:t> </w:t>
      </w:r>
      <w:r>
        <w:rPr>
          <w:rFonts w:ascii="Times New Roman" w:hAnsi="Times New Roman"/>
          <w:b/>
          <w:sz w:val="20"/>
          <w:u w:val="single"/>
        </w:rPr>
        <w:t>Construction of Property and Other Improvements</w:t>
      </w:r>
      <w:r>
        <w:rPr>
          <w:rFonts w:ascii="Times New Roman" w:hAnsi="Times New Roman"/>
          <w:sz w:val="20"/>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29.30</w:t>
      </w:r>
      <w:bookmarkStart w:id="1995" w:name="TAB2225"/>
      <w:bookmarkEnd w:id="1995"/>
      <w:r>
        <w:rPr>
          <w:color w:val="000000"/>
          <w:spacing w:val="180"/>
        </w:rPr>
        <w:t> </w:t>
      </w:r>
      <w:r>
        <w:rPr>
          <w:rFonts w:ascii="Times New Roman" w:hAnsi="Times New Roman"/>
          <w:b/>
          <w:sz w:val="20"/>
          <w:u w:val="single"/>
        </w:rPr>
        <w:t>No Violation</w:t>
      </w:r>
      <w:r>
        <w:rPr>
          <w:rFonts w:ascii="Times New Roman" w:hAnsi="Times New Roman"/>
          <w:sz w:val="20"/>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29.31</w:t>
      </w:r>
      <w:bookmarkStart w:id="1996" w:name="TAB2226"/>
      <w:bookmarkEnd w:id="1996"/>
      <w:r>
        <w:rPr>
          <w:color w:val="000000"/>
          <w:spacing w:val="180"/>
        </w:rPr>
        <w:t> </w:t>
      </w:r>
      <w:r>
        <w:rPr>
          <w:rFonts w:ascii="Times New Roman" w:hAnsi="Times New Roman"/>
          <w:b/>
          <w:sz w:val="20"/>
          <w:u w:val="single"/>
        </w:rPr>
        <w:t>Transportation Management</w:t>
      </w:r>
      <w:r>
        <w:rPr>
          <w:rFonts w:ascii="Times New Roman" w:hAnsi="Times New Roman"/>
          <w:sz w:val="20"/>
        </w:rPr>
        <w:t>.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7" w:name="PGBRK174"/>
      <w:bookmarkStart w:id="1998" w:name="PGBRK174"/>
      <w:bookmarkEnd w:id="19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9" w:name="FTR174"/>
      <w:bookmarkStart w:id="2000" w:name="FTR174"/>
      <w:bookmarkEnd w:id="2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01" w:name="GLFTR174"/>
      <w:bookmarkEnd w:id="2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002" w:name="PN174"/>
      <w:bookmarkEnd w:id="2002"/>
      <w:r>
        <w:rPr>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3" w:name="HDR174"/>
      <w:bookmarkStart w:id="2004" w:name="HDR174"/>
      <w:bookmarkEnd w:id="20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05" w:name="GLHDR174"/>
      <w:bookmarkEnd w:id="20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Landlord and Tenant have caused this Lease to be executed the day and date first above written.</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4796"/>
        <w:gridCol w:w="5409"/>
      </w:tblGrid>
      <w:tr>
        <w:trPr/>
        <w:tc>
          <w:tcPr>
            <w:tcW w:w="47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LANDLORD:</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BAYSIDE AREA DEVELOPMENT, LLC,</w:t>
            </w:r>
          </w:p>
          <w:p>
            <w:pPr>
              <w:pStyle w:val="TableContents"/>
              <w:spacing w:before="0" w:after="0"/>
              <w:ind w:left="0" w:right="0" w:hanging="0"/>
              <w:jc w:val="both"/>
              <w:rPr>
                <w:rFonts w:ascii="times new roman" w:hAnsi="times new roman"/>
                <w:sz w:val="20"/>
              </w:rPr>
            </w:pPr>
            <w:r>
              <w:rPr>
                <w:rFonts w:ascii="times new roman" w:hAnsi="times new roman"/>
                <w:sz w:val="20"/>
              </w:rPr>
              <w:t>a Delaware limited liability company</w:t>
            </w:r>
          </w:p>
          <w:p>
            <w:pPr>
              <w:pStyle w:val="TableContents"/>
              <w:spacing w:before="0" w:after="0"/>
              <w:ind w:left="0" w:right="0" w:hanging="0"/>
              <w:jc w:val="left"/>
              <w:rPr>
                <w:rFonts w:ascii="times new roman" w:hAnsi="times new roman"/>
                <w:sz w:val="20"/>
              </w:rPr>
            </w:pPr>
            <w:r>
              <w:rPr>
                <w:rFonts w:ascii="times new roman" w:hAnsi="times new roman"/>
                <w:sz w:val="20"/>
              </w:rPr>
              <w:t>By:  /s/ Jon M. Bergschneider</w:t>
            </w:r>
          </w:p>
          <w:p>
            <w:pPr>
              <w:pStyle w:val="TableContents"/>
              <w:spacing w:before="0" w:after="0"/>
              <w:ind w:left="0" w:right="0" w:hanging="0"/>
              <w:jc w:val="left"/>
              <w:rPr>
                <w:rFonts w:ascii="times new roman" w:hAnsi="times new roman"/>
                <w:sz w:val="20"/>
              </w:rPr>
            </w:pPr>
            <w:r>
              <w:rPr>
                <w:rFonts w:ascii="times new roman" w:hAnsi="times new roman"/>
                <w:sz w:val="20"/>
              </w:rPr>
              <w:t>Jon M. Bergschneider</w:t>
            </w:r>
          </w:p>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w:t>
            </w:r>
          </w:p>
        </w:tc>
        <w:tc>
          <w:tcPr>
            <w:tcW w:w="54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TENANT:</w:t>
            </w:r>
          </w:p>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VISTAGEN THERAPEUTICS, INC.,</w:t>
            </w:r>
          </w:p>
          <w:p>
            <w:pPr>
              <w:pStyle w:val="TableContents"/>
              <w:spacing w:before="0" w:after="0"/>
              <w:ind w:left="0" w:right="0" w:hanging="0"/>
              <w:jc w:val="both"/>
              <w:rPr>
                <w:rFonts w:ascii="times new roman" w:hAnsi="times new roman"/>
                <w:sz w:val="20"/>
              </w:rPr>
            </w:pPr>
            <w:r>
              <w:rPr>
                <w:rFonts w:ascii="times new roman" w:hAnsi="times new roman"/>
                <w:sz w:val="20"/>
              </w:rPr>
              <w:t>a California corporation</w:t>
            </w:r>
          </w:p>
          <w:p>
            <w:pPr>
              <w:pStyle w:val="TableContents"/>
              <w:spacing w:before="0" w:after="0"/>
              <w:ind w:left="0" w:right="0" w:hanging="0"/>
              <w:jc w:val="both"/>
              <w:rPr>
                <w:rFonts w:ascii="times new roman" w:hAnsi="times new roman"/>
                <w:sz w:val="20"/>
              </w:rPr>
            </w:pPr>
            <w:r>
              <w:rPr>
                <w:rFonts w:ascii="times new roman" w:hAnsi="times new roman"/>
                <w:sz w:val="20"/>
              </w:rPr>
              <w:t>By:  /s/ Shawn K. Singh</w:t>
            </w:r>
          </w:p>
          <w:p>
            <w:pPr>
              <w:pStyle w:val="TableContents"/>
              <w:spacing w:before="0" w:after="0"/>
              <w:ind w:left="0" w:right="0" w:hanging="0"/>
              <w:jc w:val="both"/>
              <w:rPr>
                <w:rFonts w:ascii="times new roman" w:hAnsi="times new roman"/>
                <w:sz w:val="20"/>
              </w:rPr>
            </w:pPr>
            <w:r>
              <w:rPr>
                <w:rFonts w:ascii="times new roman" w:hAnsi="times new roman"/>
                <w:sz w:val="20"/>
              </w:rPr>
              <w:t>Shawn K. Singh</w:t>
            </w:r>
          </w:p>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w:t>
            </w:r>
          </w:p>
        </w:tc>
      </w:tr>
      <w:tr>
        <w:trPr/>
        <w:tc>
          <w:tcPr>
            <w:tcW w:w="4796" w:type="dxa"/>
            <w:tcBorders/>
            <w:shd w:fill="auto" w:val="clear"/>
          </w:tcPr>
          <w:p>
            <w:pPr>
              <w:pStyle w:val="TableContents"/>
              <w:spacing w:before="0" w:after="283"/>
              <w:rPr/>
            </w:pPr>
            <w:r>
              <w:rPr/>
              <w:t xml:space="preserve">  </w:t>
            </w:r>
          </w:p>
        </w:tc>
        <w:tc>
          <w:tcPr>
            <w:tcW w:w="5409"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jc w:val="center"/>
        <w:rPr>
          <w:sz w:val="20"/>
        </w:rPr>
      </w:pPr>
      <w:r>
        <w:rPr>
          <w:sz w:val="20"/>
        </w:rPr>
        <w:t>-39-</w:t>
      </w:r>
      <w:r>
        <w:br w:type="page"/>
      </w:r>
    </w:p>
    <w:p>
      <w:pPr>
        <w:pStyle w:val="TextBody"/>
        <w:spacing w:before="0" w:after="0"/>
        <w:ind w:left="0" w:right="0" w:hanging="0"/>
        <w:jc w:val="right"/>
        <w:rPr>
          <w:b/>
        </w:rPr>
      </w:pPr>
      <w:bookmarkStart w:id="2006" w:name="saxeindemnification.htm"/>
      <w:bookmarkStart w:id="2007" w:name="kssaxeindemnification"/>
      <w:bookmarkEnd w:id="2006"/>
      <w:bookmarkEnd w:id="2007"/>
      <w:r>
        <w:rPr>
          <w:b/>
        </w:rPr>
        <w:t>Exhibit 10.84</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INDEMNIFICATION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is entered into, effective as of May 20, 2013 between VistaGen Therapeutics, Inc., a Nevada corporation (the "Company"), and Jon S. Saxe (“Indemnitee”).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it is essential to the Company to retain and attract as directors and officers the most capable persons available;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Indemnitee is a director of the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both the Company and Indemnitee recognize the increased risk of litigation and other claims currently being asserted against directors and officers of corporations; 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 recognition of lndemnitee's need for substantial protection against personal liability in order to enhance Indemnitee's continued and effective service to the Company, and in order to induce Indemnitee to provide services to the Company as a director</w:t>
      </w:r>
      <w:r>
        <w:rPr>
          <w:rFonts w:ascii="Times New Roman" w:hAnsi="Times New Roman"/>
          <w:b/>
          <w:sz w:val="20"/>
        </w:rPr>
        <w:t>,</w:t>
      </w:r>
      <w:r>
        <w:rPr>
          <w:rFonts w:ascii="Times New Roman" w:hAnsi="Times New Roman"/>
          <w:sz w:val="20"/>
        </w:rPr>
        <w:t xml:space="preserve">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NOW, THEREFORE, in consideration of the above premises and of lndemnitee's continuing to serve the Company directly or, at its request, with another enterprise, and intending to be legally bound hereby, the parties agree as follows: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  Certain Definitions:</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the Board of Directors of the Company.</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Change in Control</w:t>
      </w:r>
      <w:r>
        <w:rPr>
          <w:rFonts w:ascii="Times New Roman" w:hAnsi="Times New Roman"/>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Expenses</w:t>
      </w:r>
      <w:r>
        <w:rPr>
          <w:rFonts w:ascii="Times New Roman" w:hAnsi="Times New Roman"/>
          <w:sz w:val="20"/>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08" w:name="PGBRK175"/>
      <w:bookmarkStart w:id="2009" w:name="PGBRK175"/>
      <w:bookmarkEnd w:id="20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0" w:name="FTR175"/>
      <w:bookmarkStart w:id="2011" w:name="FTR175"/>
      <w:bookmarkEnd w:id="20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12" w:name="GLFTR175"/>
      <w:bookmarkEnd w:id="20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13" w:name="PN175"/>
      <w:bookmarkEnd w:id="201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4" w:name="HDR175"/>
      <w:bookmarkStart w:id="2015" w:name="HDR175"/>
      <w:bookmarkEnd w:id="20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16" w:name="GLHDR175"/>
      <w:bookmarkEnd w:id="20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Jon S. Saxe</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Indemnifiable Event</w:t>
      </w:r>
      <w:r>
        <w:rPr>
          <w:rFonts w:ascii="Times New Roman" w:hAnsi="Times New Roman"/>
          <w:sz w:val="20"/>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Independent Counsel</w:t>
      </w:r>
      <w:r>
        <w:rPr>
          <w:rFonts w:ascii="Times New Roman" w:hAnsi="Times New Roman"/>
          <w:sz w:val="20"/>
        </w:rPr>
        <w:t>:  the person or body appointed in connection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Proceeding</w:t>
      </w:r>
      <w:r>
        <w:rPr>
          <w:rFonts w:ascii="Times New Roman" w:hAnsi="Times New Roman"/>
          <w:sz w:val="20"/>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(g)  </w:t>
      </w:r>
      <w:r>
        <w:rPr>
          <w:rFonts w:ascii="Times New Roman" w:hAnsi="Times New Roman"/>
          <w:sz w:val="20"/>
          <w:u w:val="single"/>
        </w:rPr>
        <w:t>Reviewing Party</w:t>
      </w:r>
      <w:r>
        <w:rPr>
          <w:rFonts w:ascii="Times New Roman" w:hAnsi="Times New Roman"/>
          <w:sz w:val="20"/>
        </w:rPr>
        <w:t>:  the person or body appointed in accordance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Voting Securities</w:t>
      </w:r>
      <w:r>
        <w:rPr>
          <w:rFonts w:ascii="Times New Roman" w:hAnsi="Times New Roman"/>
          <w:sz w:val="20"/>
        </w:rPr>
        <w:t>:  any securities of the Company that vote generally in the election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Agreement to Indemnify</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General Agreement</w:t>
      </w:r>
      <w:r>
        <w:rPr>
          <w:rFonts w:ascii="Times New Roman" w:hAnsi="Times New Roman"/>
          <w:sz w:val="20"/>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Initiation of Proceeding</w:t>
      </w:r>
      <w:r>
        <w:rPr>
          <w:rFonts w:ascii="Times New Roman" w:hAnsi="Times New Roman"/>
          <w:sz w:val="20"/>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 Advances</w:t>
      </w:r>
      <w:r>
        <w:rPr>
          <w:rFonts w:ascii="Times New Roman" w:hAnsi="Times New Roman"/>
          <w:sz w:val="20"/>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17" w:name="PGBRK176"/>
      <w:bookmarkStart w:id="2018" w:name="PGBRK176"/>
      <w:bookmarkEnd w:id="20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9" w:name="FTR176"/>
      <w:bookmarkStart w:id="2020" w:name="FTR176"/>
      <w:bookmarkEnd w:id="20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21" w:name="GLFTR176"/>
      <w:bookmarkEnd w:id="20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22" w:name="PN176"/>
      <w:bookmarkEnd w:id="202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3" w:name="HDR176"/>
      <w:bookmarkStart w:id="2024" w:name="HDR176"/>
      <w:bookmarkEnd w:id="2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25" w:name="GLHDR176"/>
      <w:bookmarkEnd w:id="20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Jon S. Saxe</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Mandatory Indemnification</w:t>
      </w:r>
      <w:r>
        <w:rPr>
          <w:rFonts w:ascii="Times New Roman" w:hAnsi="Times New Roman"/>
          <w:sz w:val="20"/>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(e)  </w:t>
      </w:r>
      <w:r>
        <w:rPr>
          <w:rFonts w:ascii="Times New Roman" w:hAnsi="Times New Roman"/>
          <w:sz w:val="20"/>
          <w:u w:val="single"/>
        </w:rPr>
        <w:t>Partial Indemnification</w:t>
      </w:r>
      <w:r>
        <w:rPr>
          <w:rFonts w:ascii="Times New Roman" w:hAnsi="Times New Roman"/>
          <w:sz w:val="20"/>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Prohibited Indemnification</w:t>
      </w:r>
      <w:r>
        <w:rPr>
          <w:rFonts w:ascii="Times New Roman" w:hAnsi="Times New Roman"/>
          <w:sz w:val="20"/>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Reviewing Party</w:t>
      </w:r>
      <w:r>
        <w:rPr>
          <w:rFonts w:ascii="Times New Roman" w:hAnsi="Times New Roman"/>
          <w:sz w:val="20"/>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4.  </w:t>
      </w:r>
      <w:r>
        <w:rPr>
          <w:rFonts w:ascii="Times New Roman" w:hAnsi="Times New Roman"/>
          <w:sz w:val="20"/>
          <w:u w:val="single"/>
        </w:rPr>
        <w:t>Indemnification Process and Appeal</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Indemnification Payment</w:t>
      </w:r>
      <w:r>
        <w:rPr>
          <w:rFonts w:ascii="Times New Roman" w:hAnsi="Times New Roman"/>
          <w:sz w:val="20"/>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Suit to Enforce Rights</w:t>
      </w:r>
      <w:r>
        <w:rPr>
          <w:rFonts w:ascii="Times New Roman" w:hAnsi="Times New Roman"/>
          <w:sz w:val="20"/>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26" w:name="PGBRK177"/>
      <w:bookmarkStart w:id="2027" w:name="PGBRK177"/>
      <w:bookmarkEnd w:id="20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8" w:name="FTR177"/>
      <w:bookmarkStart w:id="2029" w:name="FTR177"/>
      <w:bookmarkEnd w:id="20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30" w:name="GLFTR177"/>
      <w:bookmarkEnd w:id="20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31" w:name="PN177"/>
      <w:bookmarkEnd w:id="203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2" w:name="HDR177"/>
      <w:bookmarkStart w:id="2033" w:name="HDR177"/>
      <w:bookmarkEnd w:id="20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34" w:name="GLHDR177"/>
      <w:bookmarkEnd w:id="20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Jon S. Saxe</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Defense to Indemnification, Burden of Proof, and Presumptions</w:t>
      </w:r>
      <w:r>
        <w:rPr>
          <w:rFonts w:ascii="Times New Roman" w:hAnsi="Times New Roman"/>
          <w:sz w:val="20"/>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Indemnification for Expenses Incurred in Enforcing Rights</w:t>
      </w:r>
      <w:r>
        <w:rPr>
          <w:rFonts w:ascii="Times New Roman" w:hAnsi="Times New Roman"/>
          <w:sz w:val="20"/>
        </w:rPr>
        <w:t>.  The Company shall indemnify Indemnitee against any and all Expenses that are incurred by Indemnitee in connection with any action brought by Indemnitee for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  indemnification of Expenses by the Company under this Agreement or any other agreement or under applicable law or the Company's Articles of Incorporation or Bylaws now or hereafter in effect relating to indemnification for Indemnifiable Events; and/or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6.  </w:t>
      </w:r>
      <w:r>
        <w:rPr>
          <w:rFonts w:ascii="Times New Roman" w:hAnsi="Times New Roman"/>
          <w:sz w:val="20"/>
          <w:u w:val="single"/>
        </w:rPr>
        <w:t>Notification and Defense of Proceeding</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Notice</w:t>
      </w:r>
      <w:r>
        <w:rPr>
          <w:rFonts w:ascii="Times New Roman" w:hAnsi="Times New Roman"/>
          <w:sz w:val="20"/>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Defense</w:t>
      </w:r>
      <w:r>
        <w:rPr>
          <w:rFonts w:ascii="Times New Roman" w:hAnsi="Times New Roman"/>
          <w:sz w:val="20"/>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5" w:name="PGBRK178"/>
      <w:bookmarkStart w:id="2036" w:name="PGBRK178"/>
      <w:bookmarkEnd w:id="20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7" w:name="FTR178"/>
      <w:bookmarkStart w:id="2038" w:name="FTR178"/>
      <w:bookmarkEnd w:id="20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39" w:name="GLFTR178"/>
      <w:bookmarkEnd w:id="20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40" w:name="PN178"/>
      <w:bookmarkEnd w:id="204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1" w:name="HDR178"/>
      <w:bookmarkStart w:id="2042" w:name="HDR178"/>
      <w:bookmarkEnd w:id="2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43" w:name="GLHDR178"/>
      <w:bookmarkEnd w:id="20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Jon S. Saxe</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Settlement of Claims</w:t>
      </w:r>
      <w:r>
        <w:rPr>
          <w:rFonts w:ascii="Times New Roman" w:hAnsi="Times New Roman"/>
          <w:sz w:val="20"/>
        </w:rPr>
        <w:t>.  The Company shall not be liable to indemnify Indemnitee under this Agreement or otherwise for any amounts paid in settlement of any Proceeding effected without the Company's written consent, provided, however, that if a Change in Control has occured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Establishment of Trust</w:t>
      </w:r>
      <w:r>
        <w:rPr>
          <w:rFonts w:ascii="Times New Roman" w:hAnsi="Times New Roman"/>
          <w:sz w:val="20"/>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8.  </w:t>
      </w:r>
      <w:r>
        <w:rPr>
          <w:rFonts w:ascii="Times New Roman" w:hAnsi="Times New Roman"/>
          <w:sz w:val="20"/>
          <w:u w:val="single"/>
        </w:rPr>
        <w:t>Non-Exclusivity</w:t>
      </w:r>
      <w:r>
        <w:rPr>
          <w:rFonts w:ascii="Times New Roman" w:hAnsi="Times New Roman"/>
          <w:sz w:val="20"/>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9.  </w:t>
      </w:r>
      <w:r>
        <w:rPr>
          <w:rFonts w:ascii="Times New Roman" w:hAnsi="Times New Roman"/>
          <w:sz w:val="20"/>
          <w:u w:val="single"/>
        </w:rPr>
        <w:t>Liability Insurance</w:t>
      </w:r>
      <w:r>
        <w:rPr>
          <w:rFonts w:ascii="Times New Roman" w:hAnsi="Times New Roman"/>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10.  </w:t>
      </w:r>
      <w:r>
        <w:rPr>
          <w:rFonts w:ascii="Times New Roman" w:hAnsi="Times New Roman"/>
          <w:sz w:val="20"/>
          <w:u w:val="single"/>
        </w:rPr>
        <w:t>Period of Limitations</w:t>
      </w:r>
      <w:r>
        <w:rPr>
          <w:rFonts w:ascii="Times New Roman" w:hAnsi="Times New Roman"/>
          <w:sz w:val="20"/>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4" w:name="PGBRK179"/>
      <w:bookmarkStart w:id="2045" w:name="PGBRK179"/>
      <w:bookmarkEnd w:id="20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6" w:name="FTR179"/>
      <w:bookmarkStart w:id="2047" w:name="FTR179"/>
      <w:bookmarkEnd w:id="2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48" w:name="GLFTR179"/>
      <w:bookmarkEnd w:id="20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49" w:name="PN179"/>
      <w:bookmarkEnd w:id="204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0" w:name="HDR179"/>
      <w:bookmarkStart w:id="2051" w:name="HDR179"/>
      <w:bookmarkEnd w:id="20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52" w:name="GLHDR179"/>
      <w:bookmarkEnd w:id="20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Jon S. Saxe</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Amendment of this Agreement</w:t>
      </w:r>
      <w:r>
        <w:rPr>
          <w:rFonts w:ascii="Times New Roman" w:hAnsi="Times New Roman"/>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12.  </w:t>
      </w:r>
      <w:r>
        <w:rPr>
          <w:rFonts w:ascii="Times New Roman" w:hAnsi="Times New Roman"/>
          <w:sz w:val="20"/>
          <w:u w:val="single"/>
        </w:rPr>
        <w:t>Subrogation</w:t>
      </w:r>
      <w:r>
        <w:rPr>
          <w:rFonts w:ascii="Times New Roman" w:hAnsi="Times New Roman"/>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13.  </w:t>
      </w:r>
      <w:r>
        <w:rPr>
          <w:rFonts w:ascii="Times New Roman" w:hAnsi="Times New Roman"/>
          <w:sz w:val="20"/>
          <w:u w:val="single"/>
        </w:rPr>
        <w:t>No Duplication of Payments</w:t>
      </w:r>
      <w:r>
        <w:rPr>
          <w:rFonts w:ascii="Times New Roman" w:hAnsi="Times New Roman"/>
          <w:sz w:val="20"/>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14.  </w:t>
      </w:r>
      <w:r>
        <w:rPr>
          <w:rFonts w:ascii="Times New Roman" w:hAnsi="Times New Roman"/>
          <w:sz w:val="20"/>
          <w:u w:val="single"/>
        </w:rPr>
        <w:t>Binding Effect</w:t>
      </w:r>
      <w:r>
        <w:rPr>
          <w:rFonts w:ascii="Times New Roman" w:hAnsi="Times New Roman"/>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15.  </w:t>
      </w:r>
      <w:r>
        <w:rPr>
          <w:rFonts w:ascii="Times New Roman" w:hAnsi="Times New Roman"/>
          <w:sz w:val="20"/>
          <w:u w:val="single"/>
        </w:rPr>
        <w:t>Severability</w:t>
      </w:r>
      <w:r>
        <w:rPr>
          <w:rFonts w:ascii="Times New Roman" w:hAnsi="Times New Roman"/>
          <w:sz w:val="20"/>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16.  </w:t>
      </w:r>
      <w:r>
        <w:rPr>
          <w:rFonts w:ascii="Times New Roman" w:hAnsi="Times New Roman"/>
          <w:sz w:val="20"/>
          <w:u w:val="single"/>
        </w:rPr>
        <w:t>Governing Law</w:t>
      </w:r>
      <w:r>
        <w:rPr>
          <w:rFonts w:ascii="Times New Roman" w:hAnsi="Times New Roman"/>
          <w:sz w:val="20"/>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17.  </w:t>
      </w:r>
      <w:r>
        <w:rPr>
          <w:rFonts w:ascii="Times New Roman" w:hAnsi="Times New Roman"/>
          <w:sz w:val="20"/>
          <w:u w:val="single"/>
        </w:rPr>
        <w:t>Notices</w:t>
      </w:r>
      <w:r>
        <w:rPr>
          <w:rFonts w:ascii="Times New Roman" w:hAnsi="Times New Roman"/>
          <w:sz w:val="20"/>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VistaGen Therapeutics, Inc.</w:t>
      </w:r>
    </w:p>
    <w:p>
      <w:pPr>
        <w:pStyle w:val="TextBody"/>
        <w:spacing w:before="0" w:after="0"/>
        <w:ind w:left="1440" w:right="0" w:firstLine="720"/>
        <w:jc w:val="both"/>
        <w:rPr>
          <w:rFonts w:ascii="Times New Roman" w:hAnsi="Times New Roman"/>
          <w:sz w:val="20"/>
        </w:rPr>
      </w:pPr>
      <w:r>
        <w:rPr>
          <w:rFonts w:ascii="Times New Roman" w:hAnsi="Times New Roman"/>
          <w:sz w:val="20"/>
        </w:rPr>
        <w:t>384 Oyster Point Boulevard, No.8</w:t>
      </w:r>
    </w:p>
    <w:p>
      <w:pPr>
        <w:pStyle w:val="TextBody"/>
        <w:spacing w:before="0" w:after="0"/>
        <w:ind w:left="1440" w:right="0" w:firstLine="720"/>
        <w:jc w:val="both"/>
        <w:rPr>
          <w:rFonts w:ascii="Times New Roman" w:hAnsi="Times New Roman"/>
          <w:sz w:val="20"/>
        </w:rPr>
      </w:pPr>
      <w:r>
        <w:rPr>
          <w:rFonts w:ascii="Times New Roman" w:hAnsi="Times New Roman"/>
          <w:sz w:val="20"/>
        </w:rPr>
        <w:t>South San Francisco, CA 94080</w:t>
      </w:r>
    </w:p>
    <w:p>
      <w:pPr>
        <w:pStyle w:val="TextBody"/>
        <w:spacing w:before="0" w:after="0"/>
        <w:ind w:left="1440" w:right="0" w:firstLine="720"/>
        <w:jc w:val="both"/>
        <w:rPr>
          <w:rFonts w:ascii="Times New Roman" w:hAnsi="Times New Roman"/>
          <w:sz w:val="20"/>
        </w:rPr>
      </w:pPr>
      <w:r>
        <w:rPr>
          <w:rFonts w:ascii="Times New Roman" w:hAnsi="Times New Roman"/>
          <w:sz w:val="20"/>
        </w:rPr>
        <w:t>Attention: President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and to Indemnitee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Jon S. Saxe</w:t>
      </w:r>
    </w:p>
    <w:p>
      <w:pPr>
        <w:pStyle w:val="TextBody"/>
        <w:spacing w:before="0" w:after="0"/>
        <w:ind w:left="1440" w:right="0" w:firstLine="720"/>
        <w:jc w:val="both"/>
        <w:rPr>
          <w:rFonts w:ascii="Times New Roman" w:hAnsi="Times New Roman"/>
          <w:sz w:val="20"/>
        </w:rPr>
      </w:pPr>
      <w:r>
        <w:rPr>
          <w:rFonts w:ascii="Times New Roman" w:hAnsi="Times New Roman"/>
          <w:sz w:val="20"/>
        </w:rPr>
        <w:t>435 Old Oak Court</w:t>
      </w:r>
    </w:p>
    <w:p>
      <w:pPr>
        <w:pStyle w:val="TextBody"/>
        <w:spacing w:before="0" w:after="0"/>
        <w:ind w:left="1440" w:right="0" w:firstLine="720"/>
        <w:jc w:val="both"/>
        <w:rPr>
          <w:rFonts w:ascii="Times New Roman" w:hAnsi="Times New Roman"/>
          <w:sz w:val="20"/>
        </w:rPr>
      </w:pPr>
      <w:r>
        <w:rPr>
          <w:rFonts w:ascii="Times New Roman" w:hAnsi="Times New Roman"/>
          <w:sz w:val="20"/>
        </w:rPr>
        <w:t>Los Altos, CA 94022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53" w:name="PGBRK180"/>
      <w:bookmarkStart w:id="2054" w:name="PGBRK180"/>
      <w:bookmarkEnd w:id="20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5" w:name="FTR180"/>
      <w:bookmarkStart w:id="2056" w:name="FTR180"/>
      <w:bookmarkEnd w:id="20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57" w:name="GLFTR180"/>
      <w:bookmarkEnd w:id="20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58" w:name="PN180"/>
      <w:bookmarkEnd w:id="205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9" w:name="HDR180"/>
      <w:bookmarkStart w:id="2060" w:name="HDR180"/>
      <w:bookmarkEnd w:id="2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61" w:name="GLHDR180"/>
      <w:bookmarkEnd w:id="20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Jon S. Saxe</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hereto have duly executed and delivered this Agreement as of the day specified above.</w:t>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Singh</w:t>
      </w:r>
    </w:p>
    <w:p>
      <w:pPr>
        <w:pStyle w:val="TextBody"/>
        <w:spacing w:before="0" w:after="0"/>
        <w:ind w:left="3600" w:right="0" w:firstLine="720"/>
        <w:jc w:val="left"/>
        <w:rPr>
          <w:rFonts w:ascii="Times New Roman" w:hAnsi="Times New Roman"/>
          <w:sz w:val="20"/>
        </w:rPr>
      </w:pPr>
      <w:r>
        <w:rPr>
          <w:rFonts w:ascii="Times New Roman" w:hAnsi="Times New Roman"/>
          <w:sz w:val="20"/>
        </w:rPr>
        <w:t>Name: Shawn Singh</w:t>
      </w:r>
    </w:p>
    <w:p>
      <w:pPr>
        <w:pStyle w:val="TextBody"/>
        <w:spacing w:before="0" w:after="0"/>
        <w:ind w:left="3600" w:right="0" w:firstLine="720"/>
        <w:jc w:val="left"/>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JON S. SAXE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u w:val="single"/>
        </w:rPr>
      </w:pPr>
      <w:r>
        <w:rPr>
          <w:rFonts w:ascii="times new roman" w:hAnsi="times new roman"/>
          <w:sz w:val="20"/>
          <w:u w:val="single"/>
        </w:rPr>
        <w:t>/s/ Jon S. Saxe</w:t>
      </w:r>
    </w:p>
    <w:p>
      <w:pPr>
        <w:pStyle w:val="TextBody"/>
        <w:spacing w:before="0" w:after="0"/>
        <w:ind w:left="3600" w:right="0" w:firstLine="720"/>
        <w:jc w:val="left"/>
        <w:rPr>
          <w:rFonts w:ascii="Times New Roman" w:hAnsi="Times New Roman"/>
          <w:sz w:val="20"/>
        </w:rPr>
      </w:pPr>
      <w:r>
        <w:rPr>
          <w:rFonts w:ascii="Times New Roman" w:hAnsi="Times New Roman"/>
          <w:sz w:val="20"/>
        </w:rPr>
        <w:t>Indemnitee</w:t>
      </w:r>
    </w:p>
    <w:p>
      <w:pPr>
        <w:pStyle w:val="TextBody"/>
        <w:rPr/>
      </w:pPr>
      <w:r>
        <w:rPr/>
      </w:r>
      <w:r>
        <w:br w:type="page"/>
      </w:r>
    </w:p>
    <w:p>
      <w:pPr>
        <w:pStyle w:val="TextBody"/>
        <w:spacing w:before="0" w:after="0"/>
        <w:jc w:val="right"/>
        <w:rPr>
          <w:b/>
        </w:rPr>
      </w:pPr>
      <w:bookmarkStart w:id="2062" w:name="singhindemnification.htm"/>
      <w:bookmarkStart w:id="2063" w:name="kssinghindemnification"/>
      <w:bookmarkEnd w:id="2062"/>
      <w:bookmarkEnd w:id="2063"/>
      <w:r>
        <w:rPr>
          <w:b/>
        </w:rPr>
        <w:t>Exhibit 10.85</w:t>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INDEMNIFICATION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is entered into, effective as of May 20, 2013 between VistaGen Therapeutics, Inc., a Nevada corporation (the "Company"), and Shawn K. Singh (“Indemnitee”).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it is essential to the Company to retain and attract as directors and officers the most capable persons available;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Indemnitee is a director of the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both the Company and Indemnitee recognize the increased risk of litigation and other claims currently being asserted against directors and officers of corporations; 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 recognition of lndemnitee's need for substantial protection against personal liability in order to enhance Indemnitee's continued and effective service to the Company, and in order to induce Indemnitee to provide services to the Company as a director</w:t>
      </w:r>
      <w:r>
        <w:rPr>
          <w:rFonts w:ascii="Times New Roman" w:hAnsi="Times New Roman"/>
          <w:b/>
          <w:sz w:val="20"/>
        </w:rPr>
        <w:t>,</w:t>
      </w:r>
      <w:r>
        <w:rPr>
          <w:rFonts w:ascii="Times New Roman" w:hAnsi="Times New Roman"/>
          <w:sz w:val="20"/>
        </w:rPr>
        <w:t xml:space="preserve">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NOW, THEREFORE, in consideration of the above premises and of lndemnitee's continuing to serve the Company directly or, at its request, with another enterprise, and intending to be legally bound hereby, the parties agree as follows: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  Certain Definitions:</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the Board of Directors of the Company.</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Change in Control</w:t>
      </w:r>
      <w:r>
        <w:rPr>
          <w:rFonts w:ascii="Times New Roman" w:hAnsi="Times New Roman"/>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Expenses</w:t>
      </w:r>
      <w:r>
        <w:rPr>
          <w:rFonts w:ascii="Times New Roman" w:hAnsi="Times New Roman"/>
          <w:sz w:val="20"/>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64" w:name="PGBRK181"/>
      <w:bookmarkStart w:id="2065" w:name="PGBRK181"/>
      <w:bookmarkEnd w:id="20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6" w:name="FTR181"/>
      <w:bookmarkStart w:id="2067" w:name="FTR181"/>
      <w:bookmarkEnd w:id="2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68" w:name="GLFTR181"/>
      <w:bookmarkEnd w:id="20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69" w:name="PN181"/>
      <w:bookmarkEnd w:id="206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0" w:name="HDR181"/>
      <w:bookmarkStart w:id="2071" w:name="HDR181"/>
      <w:bookmarkEnd w:id="2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72" w:name="GLHDR181"/>
      <w:bookmarkEnd w:id="20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Shawn K. Singh</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Indemnifiable Event</w:t>
      </w:r>
      <w:r>
        <w:rPr>
          <w:rFonts w:ascii="Times New Roman" w:hAnsi="Times New Roman"/>
          <w:sz w:val="20"/>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Independent Counsel</w:t>
      </w:r>
      <w:r>
        <w:rPr>
          <w:rFonts w:ascii="Times New Roman" w:hAnsi="Times New Roman"/>
          <w:sz w:val="20"/>
        </w:rPr>
        <w:t>:  the person or body appointed in connection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Proceeding</w:t>
      </w:r>
      <w:r>
        <w:rPr>
          <w:rFonts w:ascii="Times New Roman" w:hAnsi="Times New Roman"/>
          <w:sz w:val="20"/>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(g)  </w:t>
      </w:r>
      <w:r>
        <w:rPr>
          <w:rFonts w:ascii="Times New Roman" w:hAnsi="Times New Roman"/>
          <w:sz w:val="20"/>
          <w:u w:val="single"/>
        </w:rPr>
        <w:t>Reviewing Party</w:t>
      </w:r>
      <w:r>
        <w:rPr>
          <w:rFonts w:ascii="Times New Roman" w:hAnsi="Times New Roman"/>
          <w:sz w:val="20"/>
        </w:rPr>
        <w:t>:  the person or body appointed in accordance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Voting Securities</w:t>
      </w:r>
      <w:r>
        <w:rPr>
          <w:rFonts w:ascii="Times New Roman" w:hAnsi="Times New Roman"/>
          <w:sz w:val="20"/>
        </w:rPr>
        <w:t>:  any securities of the Company that vote generally in the election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Agreement to Indemnify</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General Agreement</w:t>
      </w:r>
      <w:r>
        <w:rPr>
          <w:rFonts w:ascii="Times New Roman" w:hAnsi="Times New Roman"/>
          <w:sz w:val="20"/>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Initiation of Proceeding</w:t>
      </w:r>
      <w:r>
        <w:rPr>
          <w:rFonts w:ascii="Times New Roman" w:hAnsi="Times New Roman"/>
          <w:sz w:val="20"/>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 Advances</w:t>
      </w:r>
      <w:r>
        <w:rPr>
          <w:rFonts w:ascii="Times New Roman" w:hAnsi="Times New Roman"/>
          <w:sz w:val="20"/>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3" w:name="PGBRK182"/>
      <w:bookmarkStart w:id="2074" w:name="PGBRK182"/>
      <w:bookmarkEnd w:id="20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5" w:name="FTR182"/>
      <w:bookmarkStart w:id="2076" w:name="FTR182"/>
      <w:bookmarkEnd w:id="2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77" w:name="GLFTR182"/>
      <w:bookmarkEnd w:id="20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78" w:name="PN182"/>
      <w:bookmarkEnd w:id="207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9" w:name="HDR182"/>
      <w:bookmarkStart w:id="2080" w:name="HDR182"/>
      <w:bookmarkEnd w:id="2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81" w:name="GLHDR182"/>
      <w:bookmarkEnd w:id="20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Shawn K. Singh</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Mandatory Indemnification</w:t>
      </w:r>
      <w:r>
        <w:rPr>
          <w:rFonts w:ascii="Times New Roman" w:hAnsi="Times New Roman"/>
          <w:sz w:val="20"/>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(e)  </w:t>
      </w:r>
      <w:r>
        <w:rPr>
          <w:rFonts w:ascii="Times New Roman" w:hAnsi="Times New Roman"/>
          <w:sz w:val="20"/>
          <w:u w:val="single"/>
        </w:rPr>
        <w:t>Partial Indemnification</w:t>
      </w:r>
      <w:r>
        <w:rPr>
          <w:rFonts w:ascii="Times New Roman" w:hAnsi="Times New Roman"/>
          <w:sz w:val="20"/>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Prohibited Indemnification</w:t>
      </w:r>
      <w:r>
        <w:rPr>
          <w:rFonts w:ascii="Times New Roman" w:hAnsi="Times New Roman"/>
          <w:sz w:val="20"/>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Reviewing Party</w:t>
      </w:r>
      <w:r>
        <w:rPr>
          <w:rFonts w:ascii="Times New Roman" w:hAnsi="Times New Roman"/>
          <w:sz w:val="20"/>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4.  </w:t>
      </w:r>
      <w:r>
        <w:rPr>
          <w:rFonts w:ascii="Times New Roman" w:hAnsi="Times New Roman"/>
          <w:sz w:val="20"/>
          <w:u w:val="single"/>
        </w:rPr>
        <w:t>Indemnification Process and Appeal</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Indemnification Payment</w:t>
      </w:r>
      <w:r>
        <w:rPr>
          <w:rFonts w:ascii="Times New Roman" w:hAnsi="Times New Roman"/>
          <w:sz w:val="20"/>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Suit to Enforce Rights</w:t>
      </w:r>
      <w:r>
        <w:rPr>
          <w:rFonts w:ascii="Times New Roman" w:hAnsi="Times New Roman"/>
          <w:sz w:val="20"/>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2" w:name="PGBRK183"/>
      <w:bookmarkStart w:id="2083" w:name="PGBRK183"/>
      <w:bookmarkEnd w:id="20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4" w:name="FTR183"/>
      <w:bookmarkStart w:id="2085" w:name="FTR183"/>
      <w:bookmarkEnd w:id="20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86" w:name="GLFTR183"/>
      <w:bookmarkEnd w:id="20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87" w:name="PN183"/>
      <w:bookmarkEnd w:id="208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8" w:name="HDR183"/>
      <w:bookmarkStart w:id="2089" w:name="HDR183"/>
      <w:bookmarkEnd w:id="20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90" w:name="GLHDR183"/>
      <w:bookmarkEnd w:id="20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Shawn K. Singh</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Defense to Indemnification, Burden of Proof, and Presumptions</w:t>
      </w:r>
      <w:r>
        <w:rPr>
          <w:rFonts w:ascii="Times New Roman" w:hAnsi="Times New Roman"/>
          <w:sz w:val="20"/>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Indemnification for Expenses Incurred in Enforcing Rights</w:t>
      </w:r>
      <w:r>
        <w:rPr>
          <w:rFonts w:ascii="Times New Roman" w:hAnsi="Times New Roman"/>
          <w:sz w:val="20"/>
        </w:rPr>
        <w:t>.  The Company shall indemnify Indemnitee against any and all Expenses that are incurred by Indemnitee in connection with any action brought by Indemnitee for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  indemnification of Expenses by the Company under this Agreement or any other agreement or under applicable law or the Company's Articles of Incorporation or Bylaws now or hereafter in effect relating to indemnification for Indemnifiable Events; and/or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6.  </w:t>
      </w:r>
      <w:r>
        <w:rPr>
          <w:rFonts w:ascii="Times New Roman" w:hAnsi="Times New Roman"/>
          <w:sz w:val="20"/>
          <w:u w:val="single"/>
        </w:rPr>
        <w:t>Notification and Defense of Proceeding</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Notice</w:t>
      </w:r>
      <w:r>
        <w:rPr>
          <w:rFonts w:ascii="Times New Roman" w:hAnsi="Times New Roman"/>
          <w:sz w:val="20"/>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Defense</w:t>
      </w:r>
      <w:r>
        <w:rPr>
          <w:rFonts w:ascii="Times New Roman" w:hAnsi="Times New Roman"/>
          <w:sz w:val="20"/>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91" w:name="PGBRK184"/>
      <w:bookmarkStart w:id="2092" w:name="PGBRK184"/>
      <w:bookmarkEnd w:id="2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3" w:name="FTR184"/>
      <w:bookmarkStart w:id="2094" w:name="FTR184"/>
      <w:bookmarkEnd w:id="20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95" w:name="GLFTR184"/>
      <w:bookmarkEnd w:id="20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96" w:name="PN184"/>
      <w:bookmarkEnd w:id="209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7" w:name="HDR184"/>
      <w:bookmarkStart w:id="2098" w:name="HDR184"/>
      <w:bookmarkEnd w:id="20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99" w:name="GLHDR184"/>
      <w:bookmarkEnd w:id="20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Shawn K. Singh</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Settlement of Claims</w:t>
      </w:r>
      <w:r>
        <w:rPr>
          <w:rFonts w:ascii="Times New Roman" w:hAnsi="Times New Roman"/>
          <w:sz w:val="20"/>
        </w:rPr>
        <w:t>.  The Company shall not be liable to indemnify Indemnitee under this Agreement or otherwise for any amounts paid in settlement of any Proceeding effected without the Company's written consent, provided, however, that if a Change in Control has occured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Establishment of Trust</w:t>
      </w:r>
      <w:r>
        <w:rPr>
          <w:rFonts w:ascii="Times New Roman" w:hAnsi="Times New Roman"/>
          <w:sz w:val="20"/>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8.  </w:t>
      </w:r>
      <w:r>
        <w:rPr>
          <w:rFonts w:ascii="Times New Roman" w:hAnsi="Times New Roman"/>
          <w:sz w:val="20"/>
          <w:u w:val="single"/>
        </w:rPr>
        <w:t>Non-Exclusivity</w:t>
      </w:r>
      <w:r>
        <w:rPr>
          <w:rFonts w:ascii="Times New Roman" w:hAnsi="Times New Roman"/>
          <w:sz w:val="20"/>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9.  </w:t>
      </w:r>
      <w:r>
        <w:rPr>
          <w:rFonts w:ascii="Times New Roman" w:hAnsi="Times New Roman"/>
          <w:sz w:val="20"/>
          <w:u w:val="single"/>
        </w:rPr>
        <w:t>Liability Insurance</w:t>
      </w:r>
      <w:r>
        <w:rPr>
          <w:rFonts w:ascii="Times New Roman" w:hAnsi="Times New Roman"/>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10.  </w:t>
      </w:r>
      <w:r>
        <w:rPr>
          <w:rFonts w:ascii="Times New Roman" w:hAnsi="Times New Roman"/>
          <w:sz w:val="20"/>
          <w:u w:val="single"/>
        </w:rPr>
        <w:t>Period of Limitations</w:t>
      </w:r>
      <w:r>
        <w:rPr>
          <w:rFonts w:ascii="Times New Roman" w:hAnsi="Times New Roman"/>
          <w:sz w:val="20"/>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0" w:name="PGBRK185"/>
      <w:bookmarkStart w:id="2101" w:name="PGBRK185"/>
      <w:bookmarkEnd w:id="2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2" w:name="FTR185"/>
      <w:bookmarkStart w:id="2103" w:name="FTR185"/>
      <w:bookmarkEnd w:id="2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04" w:name="GLFTR185"/>
      <w:bookmarkEnd w:id="2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05" w:name="PN185"/>
      <w:bookmarkEnd w:id="210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6" w:name="HDR185"/>
      <w:bookmarkStart w:id="2107" w:name="HDR185"/>
      <w:bookmarkEnd w:id="2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08" w:name="GLHDR185"/>
      <w:bookmarkEnd w:id="2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Shawn K. Singh</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Amendment of this Agreement</w:t>
      </w:r>
      <w:r>
        <w:rPr>
          <w:rFonts w:ascii="Times New Roman" w:hAnsi="Times New Roman"/>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12.  </w:t>
      </w:r>
      <w:r>
        <w:rPr>
          <w:rFonts w:ascii="Times New Roman" w:hAnsi="Times New Roman"/>
          <w:sz w:val="20"/>
          <w:u w:val="single"/>
        </w:rPr>
        <w:t>Subrogation</w:t>
      </w:r>
      <w:r>
        <w:rPr>
          <w:rFonts w:ascii="Times New Roman" w:hAnsi="Times New Roman"/>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13.  </w:t>
      </w:r>
      <w:r>
        <w:rPr>
          <w:rFonts w:ascii="Times New Roman" w:hAnsi="Times New Roman"/>
          <w:sz w:val="20"/>
          <w:u w:val="single"/>
        </w:rPr>
        <w:t>No Duplication of Payments</w:t>
      </w:r>
      <w:r>
        <w:rPr>
          <w:rFonts w:ascii="Times New Roman" w:hAnsi="Times New Roman"/>
          <w:sz w:val="20"/>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14.  </w:t>
      </w:r>
      <w:r>
        <w:rPr>
          <w:rFonts w:ascii="Times New Roman" w:hAnsi="Times New Roman"/>
          <w:sz w:val="20"/>
          <w:u w:val="single"/>
        </w:rPr>
        <w:t>Binding Effect</w:t>
      </w:r>
      <w:r>
        <w:rPr>
          <w:rFonts w:ascii="Times New Roman" w:hAnsi="Times New Roman"/>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15.  </w:t>
      </w:r>
      <w:r>
        <w:rPr>
          <w:rFonts w:ascii="Times New Roman" w:hAnsi="Times New Roman"/>
          <w:sz w:val="20"/>
          <w:u w:val="single"/>
        </w:rPr>
        <w:t>Severability</w:t>
      </w:r>
      <w:r>
        <w:rPr>
          <w:rFonts w:ascii="Times New Roman" w:hAnsi="Times New Roman"/>
          <w:sz w:val="20"/>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16.  </w:t>
      </w:r>
      <w:r>
        <w:rPr>
          <w:rFonts w:ascii="Times New Roman" w:hAnsi="Times New Roman"/>
          <w:sz w:val="20"/>
          <w:u w:val="single"/>
        </w:rPr>
        <w:t>Governing Law</w:t>
      </w:r>
      <w:r>
        <w:rPr>
          <w:rFonts w:ascii="Times New Roman" w:hAnsi="Times New Roman"/>
          <w:sz w:val="20"/>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17.  </w:t>
      </w:r>
      <w:r>
        <w:rPr>
          <w:rFonts w:ascii="Times New Roman" w:hAnsi="Times New Roman"/>
          <w:sz w:val="20"/>
          <w:u w:val="single"/>
        </w:rPr>
        <w:t>Notices</w:t>
      </w:r>
      <w:r>
        <w:rPr>
          <w:rFonts w:ascii="Times New Roman" w:hAnsi="Times New Roman"/>
          <w:sz w:val="20"/>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VistaGen Therapeutics, Inc.</w:t>
      </w:r>
    </w:p>
    <w:p>
      <w:pPr>
        <w:pStyle w:val="TextBody"/>
        <w:spacing w:before="0" w:after="0"/>
        <w:ind w:left="1440" w:right="0" w:firstLine="720"/>
        <w:jc w:val="both"/>
        <w:rPr>
          <w:rFonts w:ascii="Times New Roman" w:hAnsi="Times New Roman"/>
          <w:sz w:val="20"/>
        </w:rPr>
      </w:pPr>
      <w:r>
        <w:rPr>
          <w:rFonts w:ascii="Times New Roman" w:hAnsi="Times New Roman"/>
          <w:sz w:val="20"/>
        </w:rPr>
        <w:t>384 Oyster Point Boulevard, No.8</w:t>
      </w:r>
    </w:p>
    <w:p>
      <w:pPr>
        <w:pStyle w:val="TextBody"/>
        <w:spacing w:before="0" w:after="0"/>
        <w:ind w:left="1440" w:right="0" w:firstLine="720"/>
        <w:jc w:val="both"/>
        <w:rPr>
          <w:rFonts w:ascii="Times New Roman" w:hAnsi="Times New Roman"/>
          <w:sz w:val="20"/>
        </w:rPr>
      </w:pPr>
      <w:r>
        <w:rPr>
          <w:rFonts w:ascii="Times New Roman" w:hAnsi="Times New Roman"/>
          <w:sz w:val="20"/>
        </w:rPr>
        <w:t>South San Francisco, CA 94080</w:t>
      </w:r>
    </w:p>
    <w:p>
      <w:pPr>
        <w:pStyle w:val="TextBody"/>
        <w:spacing w:before="0" w:after="0"/>
        <w:ind w:left="1440" w:right="0" w:firstLine="720"/>
        <w:jc w:val="both"/>
        <w:rPr>
          <w:rFonts w:ascii="Times New Roman" w:hAnsi="Times New Roman"/>
          <w:sz w:val="20"/>
        </w:rPr>
      </w:pPr>
      <w:r>
        <w:rPr>
          <w:rFonts w:ascii="Times New Roman" w:hAnsi="Times New Roman"/>
          <w:sz w:val="20"/>
        </w:rPr>
        <w:t>Attention: President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and to Indemnitee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Shawn K. Singh</w:t>
      </w:r>
    </w:p>
    <w:p>
      <w:pPr>
        <w:pStyle w:val="TextBody"/>
        <w:spacing w:before="0" w:after="0"/>
        <w:ind w:left="1440" w:right="0" w:firstLine="720"/>
        <w:jc w:val="both"/>
        <w:rPr>
          <w:rFonts w:ascii="Times New Roman" w:hAnsi="Times New Roman"/>
          <w:sz w:val="20"/>
        </w:rPr>
      </w:pPr>
      <w:r>
        <w:rPr>
          <w:rFonts w:ascii="Times New Roman" w:hAnsi="Times New Roman"/>
          <w:sz w:val="20"/>
        </w:rPr>
        <w:t>1737 Elizabeth Street</w:t>
      </w:r>
    </w:p>
    <w:p>
      <w:pPr>
        <w:pStyle w:val="TextBody"/>
        <w:spacing w:before="0" w:after="0"/>
        <w:ind w:left="1440" w:right="0" w:firstLine="720"/>
        <w:jc w:val="both"/>
        <w:rPr>
          <w:rFonts w:ascii="Times New Roman" w:hAnsi="Times New Roman"/>
          <w:sz w:val="20"/>
        </w:rPr>
      </w:pPr>
      <w:r>
        <w:rPr>
          <w:rFonts w:ascii="Times New Roman" w:hAnsi="Times New Roman"/>
          <w:sz w:val="20"/>
        </w:rPr>
        <w:t>San Carlos, CA 94070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9" w:name="PGBRK186"/>
      <w:bookmarkStart w:id="2110" w:name="PGBRK186"/>
      <w:bookmarkEnd w:id="2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1" w:name="FTR186"/>
      <w:bookmarkStart w:id="2112" w:name="FTR186"/>
      <w:bookmarkEnd w:id="2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3" w:name="GLFTR186"/>
      <w:bookmarkEnd w:id="2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14" w:name="PN186"/>
      <w:bookmarkEnd w:id="211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5" w:name="HDR186"/>
      <w:bookmarkStart w:id="2116" w:name="HDR186"/>
      <w:bookmarkEnd w:id="2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17" w:name="GLHDR186"/>
      <w:bookmarkEnd w:id="2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Shawn K. Singh</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hereto have duly executed and delivered this Agreement as of the day specified above.</w:t>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By:  </w:t>
      </w:r>
      <w:r>
        <w:rPr>
          <w:rFonts w:ascii="Times New Roman" w:hAnsi="Times New Roman"/>
          <w:sz w:val="20"/>
          <w:u w:val="single"/>
        </w:rPr>
        <w:t>/s/ H. Ralph Snodgrass</w:t>
      </w:r>
    </w:p>
    <w:p>
      <w:pPr>
        <w:pStyle w:val="TextBody"/>
        <w:spacing w:before="0" w:after="0"/>
        <w:ind w:left="3600" w:right="0" w:firstLine="720"/>
        <w:jc w:val="left"/>
        <w:rPr>
          <w:rFonts w:ascii="Times New Roman" w:hAnsi="Times New Roman"/>
          <w:sz w:val="20"/>
        </w:rPr>
      </w:pPr>
      <w:r>
        <w:rPr>
          <w:rFonts w:ascii="Times New Roman" w:hAnsi="Times New Roman"/>
          <w:sz w:val="20"/>
        </w:rPr>
        <w:t>Name: H. Ralph Snodgrass</w:t>
      </w:r>
    </w:p>
    <w:p>
      <w:pPr>
        <w:pStyle w:val="TextBody"/>
        <w:spacing w:before="0" w:after="0"/>
        <w:ind w:left="3600" w:right="0" w:firstLine="720"/>
        <w:jc w:val="left"/>
        <w:rPr>
          <w:rFonts w:ascii="Times New Roman" w:hAnsi="Times New Roman"/>
          <w:sz w:val="20"/>
        </w:rPr>
      </w:pPr>
      <w:r>
        <w:rPr>
          <w:rFonts w:ascii="Times New Roman" w:hAnsi="Times New Roman"/>
          <w:sz w:val="20"/>
        </w:rPr>
        <w:t>Title: President and Chief Scientific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SHAWN K. SINGH</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3600" w:right="0" w:firstLine="720"/>
        <w:jc w:val="left"/>
        <w:rPr>
          <w:rFonts w:ascii="Times New Roman" w:hAnsi="Times New Roman"/>
          <w:sz w:val="20"/>
        </w:rPr>
      </w:pPr>
      <w:r>
        <w:rPr>
          <w:rFonts w:ascii="Times New Roman" w:hAnsi="Times New Roman"/>
          <w:sz w:val="20"/>
        </w:rPr>
        <w:t>Indemnitee</w:t>
      </w:r>
    </w:p>
    <w:p>
      <w:pPr>
        <w:pStyle w:val="TextBody"/>
        <w:rPr/>
      </w:pPr>
      <w:r>
        <w:rPr/>
      </w:r>
      <w:r>
        <w:br w:type="page"/>
      </w:r>
    </w:p>
    <w:p>
      <w:pPr>
        <w:pStyle w:val="TextBody"/>
        <w:spacing w:before="0" w:after="0"/>
        <w:jc w:val="right"/>
        <w:rPr>
          <w:b/>
        </w:rPr>
      </w:pPr>
      <w:bookmarkStart w:id="2118" w:name="snodgrassindemnification.htm"/>
      <w:bookmarkStart w:id="2119" w:name="kssnodgrassindemnification"/>
      <w:bookmarkEnd w:id="2118"/>
      <w:bookmarkEnd w:id="2119"/>
      <w:r>
        <w:rPr>
          <w:b/>
        </w:rPr>
        <w:t>Exhibit 10.86</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INDEMNIFICATION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is entered into, effective as of May 20, 2013 between VistaGen Therapeutics, Inc., a Nevada corporation (the "Company"), and H. Ralph Snodgrass, Ph. D. (“Indemnitee”).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it is essential to the Company to retain and attract as directors and officers the most capable persons available;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Indemnitee is a director of the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both the Company and Indemnitee recognize the increased risk of litigation and other claims currently being asserted against directors and officers of corporations; 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 recognition of lndemnitee's need for substantial protection against personal liability in order to enhance Indemnitee's continued and effective service to the Company, and in order to induce Indemnitee to provide services to the Company as a director</w:t>
      </w:r>
      <w:r>
        <w:rPr>
          <w:rFonts w:ascii="Times New Roman" w:hAnsi="Times New Roman"/>
          <w:b/>
          <w:sz w:val="20"/>
        </w:rPr>
        <w:t>,</w:t>
      </w:r>
      <w:r>
        <w:rPr>
          <w:rFonts w:ascii="Times New Roman" w:hAnsi="Times New Roman"/>
          <w:sz w:val="20"/>
        </w:rPr>
        <w:t xml:space="preserve">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NOW, THEREFORE, in consideration of the above premises and of lndemnitee's continuing to serve the Company directly or, at its request, with another enterprise, and intending to be legally bound hereby, the parties agree as follows: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  Certain Definitions:</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the Board of Directors of the Company.</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Change in Control</w:t>
      </w:r>
      <w:r>
        <w:rPr>
          <w:rFonts w:ascii="Times New Roman" w:hAnsi="Times New Roman"/>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Expenses</w:t>
      </w:r>
      <w:r>
        <w:rPr>
          <w:rFonts w:ascii="Times New Roman" w:hAnsi="Times New Roman"/>
          <w:sz w:val="20"/>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0" w:name="PGBRK187"/>
      <w:bookmarkStart w:id="2121" w:name="PGBRK187"/>
      <w:bookmarkEnd w:id="2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2" w:name="FTR187"/>
      <w:bookmarkStart w:id="2123" w:name="FTR187"/>
      <w:bookmarkEnd w:id="2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24" w:name="GLFTR187"/>
      <w:bookmarkEnd w:id="2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25" w:name="PN187"/>
      <w:bookmarkEnd w:id="212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6" w:name="HDR187"/>
      <w:bookmarkStart w:id="2127" w:name="HDR187"/>
      <w:bookmarkEnd w:id="2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28" w:name="GLHDR187"/>
      <w:bookmarkEnd w:id="2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H. Ralph Snodgrass,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Indemnifiable Event</w:t>
      </w:r>
      <w:r>
        <w:rPr>
          <w:rFonts w:ascii="Times New Roman" w:hAnsi="Times New Roman"/>
          <w:sz w:val="20"/>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Independent Counsel</w:t>
      </w:r>
      <w:r>
        <w:rPr>
          <w:rFonts w:ascii="Times New Roman" w:hAnsi="Times New Roman"/>
          <w:sz w:val="20"/>
        </w:rPr>
        <w:t>:  the person or body appointed in connection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Proceeding</w:t>
      </w:r>
      <w:r>
        <w:rPr>
          <w:rFonts w:ascii="Times New Roman" w:hAnsi="Times New Roman"/>
          <w:sz w:val="20"/>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(g)  </w:t>
      </w:r>
      <w:r>
        <w:rPr>
          <w:rFonts w:ascii="Times New Roman" w:hAnsi="Times New Roman"/>
          <w:sz w:val="20"/>
          <w:u w:val="single"/>
        </w:rPr>
        <w:t>Reviewing Party</w:t>
      </w:r>
      <w:r>
        <w:rPr>
          <w:rFonts w:ascii="Times New Roman" w:hAnsi="Times New Roman"/>
          <w:sz w:val="20"/>
        </w:rPr>
        <w:t>:  the person or body appointed in accordance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Voting Securities</w:t>
      </w:r>
      <w:r>
        <w:rPr>
          <w:rFonts w:ascii="Times New Roman" w:hAnsi="Times New Roman"/>
          <w:sz w:val="20"/>
        </w:rPr>
        <w:t>:  any securities of the Company that vote generally in the election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Agreement to Indemnify</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General Agreement</w:t>
      </w:r>
      <w:r>
        <w:rPr>
          <w:rFonts w:ascii="Times New Roman" w:hAnsi="Times New Roman"/>
          <w:sz w:val="20"/>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Initiation of Proceeding</w:t>
      </w:r>
      <w:r>
        <w:rPr>
          <w:rFonts w:ascii="Times New Roman" w:hAnsi="Times New Roman"/>
          <w:sz w:val="20"/>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 Advances</w:t>
      </w:r>
      <w:r>
        <w:rPr>
          <w:rFonts w:ascii="Times New Roman" w:hAnsi="Times New Roman"/>
          <w:sz w:val="20"/>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9" w:name="PGBRK188"/>
      <w:bookmarkStart w:id="2130" w:name="PGBRK188"/>
      <w:bookmarkEnd w:id="2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1" w:name="FTR188"/>
      <w:bookmarkStart w:id="2132" w:name="FTR188"/>
      <w:bookmarkEnd w:id="2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33" w:name="GLFTR188"/>
      <w:bookmarkEnd w:id="2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34" w:name="PN188"/>
      <w:bookmarkEnd w:id="213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5" w:name="HDR188"/>
      <w:bookmarkStart w:id="2136" w:name="HDR188"/>
      <w:bookmarkEnd w:id="2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37" w:name="GLHDR188"/>
      <w:bookmarkEnd w:id="2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H. Ralph Snodgrass,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Mandatory Indemnification</w:t>
      </w:r>
      <w:r>
        <w:rPr>
          <w:rFonts w:ascii="Times New Roman" w:hAnsi="Times New Roman"/>
          <w:sz w:val="20"/>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(e)  </w:t>
      </w:r>
      <w:r>
        <w:rPr>
          <w:rFonts w:ascii="Times New Roman" w:hAnsi="Times New Roman"/>
          <w:sz w:val="20"/>
          <w:u w:val="single"/>
        </w:rPr>
        <w:t>Partial Indemnification</w:t>
      </w:r>
      <w:r>
        <w:rPr>
          <w:rFonts w:ascii="Times New Roman" w:hAnsi="Times New Roman"/>
          <w:sz w:val="20"/>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Prohibited Indemnification</w:t>
      </w:r>
      <w:r>
        <w:rPr>
          <w:rFonts w:ascii="Times New Roman" w:hAnsi="Times New Roman"/>
          <w:sz w:val="20"/>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Reviewing Party</w:t>
      </w:r>
      <w:r>
        <w:rPr>
          <w:rFonts w:ascii="Times New Roman" w:hAnsi="Times New Roman"/>
          <w:sz w:val="20"/>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4.  </w:t>
      </w:r>
      <w:r>
        <w:rPr>
          <w:rFonts w:ascii="Times New Roman" w:hAnsi="Times New Roman"/>
          <w:sz w:val="20"/>
          <w:u w:val="single"/>
        </w:rPr>
        <w:t>Indemnification Process and Appeal</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Indemnification Payment</w:t>
      </w:r>
      <w:r>
        <w:rPr>
          <w:rFonts w:ascii="Times New Roman" w:hAnsi="Times New Roman"/>
          <w:sz w:val="20"/>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Suit to Enforce Rights</w:t>
      </w:r>
      <w:r>
        <w:rPr>
          <w:rFonts w:ascii="Times New Roman" w:hAnsi="Times New Roman"/>
          <w:sz w:val="20"/>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8" w:name="PGBRK189"/>
      <w:bookmarkStart w:id="2139" w:name="PGBRK189"/>
      <w:bookmarkEnd w:id="2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0" w:name="FTR189"/>
      <w:bookmarkStart w:id="2141" w:name="FTR189"/>
      <w:bookmarkEnd w:id="2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42" w:name="GLFTR189"/>
      <w:bookmarkEnd w:id="2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43" w:name="PN189"/>
      <w:bookmarkEnd w:id="214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4" w:name="HDR189"/>
      <w:bookmarkStart w:id="2145" w:name="HDR189"/>
      <w:bookmarkEnd w:id="2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46" w:name="GLHDR189"/>
      <w:bookmarkEnd w:id="2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H. Ralph Snodgrass,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Defense to Indemnification, Burden of Proof, and Presumptions</w:t>
      </w:r>
      <w:r>
        <w:rPr>
          <w:rFonts w:ascii="Times New Roman" w:hAnsi="Times New Roman"/>
          <w:sz w:val="20"/>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Indemnification for Expenses Incurred in Enforcing Rights</w:t>
      </w:r>
      <w:r>
        <w:rPr>
          <w:rFonts w:ascii="Times New Roman" w:hAnsi="Times New Roman"/>
          <w:sz w:val="20"/>
        </w:rPr>
        <w:t>.  The Company shall indemnify Indemnitee against any and all Expenses that are incurred by Indemnitee in connection with any action brought by Indemnitee for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  indemnification of Expenses by the Company under this Agreement or any other agreement or under applicable law or the Company's Articles of Incorporation or Bylaws now or hereafter in effect relating to indemnification for Indemnifiable Events; and/or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6.  </w:t>
      </w:r>
      <w:r>
        <w:rPr>
          <w:rFonts w:ascii="Times New Roman" w:hAnsi="Times New Roman"/>
          <w:sz w:val="20"/>
          <w:u w:val="single"/>
        </w:rPr>
        <w:t>Notification and Defense of Proceeding</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Notice</w:t>
      </w:r>
      <w:r>
        <w:rPr>
          <w:rFonts w:ascii="Times New Roman" w:hAnsi="Times New Roman"/>
          <w:sz w:val="20"/>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Defense</w:t>
      </w:r>
      <w:r>
        <w:rPr>
          <w:rFonts w:ascii="Times New Roman" w:hAnsi="Times New Roman"/>
          <w:sz w:val="20"/>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47" w:name="PGBRK190"/>
      <w:bookmarkStart w:id="2148" w:name="PGBRK190"/>
      <w:bookmarkEnd w:id="2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9" w:name="FTR190"/>
      <w:bookmarkStart w:id="2150" w:name="FTR190"/>
      <w:bookmarkEnd w:id="2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51" w:name="GLFTR190"/>
      <w:bookmarkEnd w:id="2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52" w:name="PN190"/>
      <w:bookmarkEnd w:id="215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3" w:name="HDR190"/>
      <w:bookmarkStart w:id="2154" w:name="HDR190"/>
      <w:bookmarkEnd w:id="2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5" w:name="GLHDR190"/>
      <w:bookmarkEnd w:id="2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H. Ralph Snodgrass,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Settlement of Claims</w:t>
      </w:r>
      <w:r>
        <w:rPr>
          <w:rFonts w:ascii="Times New Roman" w:hAnsi="Times New Roman"/>
          <w:sz w:val="20"/>
        </w:rPr>
        <w:t>.  The Company shall not be liable to indemnify Indemnitee under this Agreement or otherwise for any amounts paid in settlement of any Proceeding effected without the Company's written consent, provided, however, that if a Change in Control has occured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Establishment of Trust</w:t>
      </w:r>
      <w:r>
        <w:rPr>
          <w:rFonts w:ascii="Times New Roman" w:hAnsi="Times New Roman"/>
          <w:sz w:val="20"/>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8.  </w:t>
      </w:r>
      <w:r>
        <w:rPr>
          <w:rFonts w:ascii="Times New Roman" w:hAnsi="Times New Roman"/>
          <w:sz w:val="20"/>
          <w:u w:val="single"/>
        </w:rPr>
        <w:t>Non-Exclusivity</w:t>
      </w:r>
      <w:r>
        <w:rPr>
          <w:rFonts w:ascii="Times New Roman" w:hAnsi="Times New Roman"/>
          <w:sz w:val="20"/>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9.  </w:t>
      </w:r>
      <w:r>
        <w:rPr>
          <w:rFonts w:ascii="Times New Roman" w:hAnsi="Times New Roman"/>
          <w:sz w:val="20"/>
          <w:u w:val="single"/>
        </w:rPr>
        <w:t>Liability Insurance</w:t>
      </w:r>
      <w:r>
        <w:rPr>
          <w:rFonts w:ascii="Times New Roman" w:hAnsi="Times New Roman"/>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10.  </w:t>
      </w:r>
      <w:r>
        <w:rPr>
          <w:rFonts w:ascii="Times New Roman" w:hAnsi="Times New Roman"/>
          <w:sz w:val="20"/>
          <w:u w:val="single"/>
        </w:rPr>
        <w:t>Period of Limitations</w:t>
      </w:r>
      <w:r>
        <w:rPr>
          <w:rFonts w:ascii="Times New Roman" w:hAnsi="Times New Roman"/>
          <w:sz w:val="20"/>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6" w:name="PGBRK191"/>
      <w:bookmarkStart w:id="2157" w:name="PGBRK191"/>
      <w:bookmarkEnd w:id="2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8" w:name="FTR191"/>
      <w:bookmarkStart w:id="2159" w:name="FTR191"/>
      <w:bookmarkEnd w:id="2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0" w:name="GLFTR191"/>
      <w:bookmarkEnd w:id="2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61" w:name="PN191"/>
      <w:bookmarkEnd w:id="216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2" w:name="HDR191"/>
      <w:bookmarkStart w:id="2163" w:name="HDR191"/>
      <w:bookmarkEnd w:id="2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64" w:name="GLHDR191"/>
      <w:bookmarkEnd w:id="21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H. Ralph Snodgrass,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Amendment of this Agreement</w:t>
      </w:r>
      <w:r>
        <w:rPr>
          <w:rFonts w:ascii="Times New Roman" w:hAnsi="Times New Roman"/>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12.  </w:t>
      </w:r>
      <w:r>
        <w:rPr>
          <w:rFonts w:ascii="Times New Roman" w:hAnsi="Times New Roman"/>
          <w:sz w:val="20"/>
          <w:u w:val="single"/>
        </w:rPr>
        <w:t>Subrogation</w:t>
      </w:r>
      <w:r>
        <w:rPr>
          <w:rFonts w:ascii="Times New Roman" w:hAnsi="Times New Roman"/>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13.  </w:t>
      </w:r>
      <w:r>
        <w:rPr>
          <w:rFonts w:ascii="Times New Roman" w:hAnsi="Times New Roman"/>
          <w:sz w:val="20"/>
          <w:u w:val="single"/>
        </w:rPr>
        <w:t>No Duplication of Payments</w:t>
      </w:r>
      <w:r>
        <w:rPr>
          <w:rFonts w:ascii="Times New Roman" w:hAnsi="Times New Roman"/>
          <w:sz w:val="20"/>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14.  </w:t>
      </w:r>
      <w:r>
        <w:rPr>
          <w:rFonts w:ascii="Times New Roman" w:hAnsi="Times New Roman"/>
          <w:sz w:val="20"/>
          <w:u w:val="single"/>
        </w:rPr>
        <w:t>Binding Effect</w:t>
      </w:r>
      <w:r>
        <w:rPr>
          <w:rFonts w:ascii="Times New Roman" w:hAnsi="Times New Roman"/>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15.  </w:t>
      </w:r>
      <w:r>
        <w:rPr>
          <w:rFonts w:ascii="Times New Roman" w:hAnsi="Times New Roman"/>
          <w:sz w:val="20"/>
          <w:u w:val="single"/>
        </w:rPr>
        <w:t>Severability</w:t>
      </w:r>
      <w:r>
        <w:rPr>
          <w:rFonts w:ascii="Times New Roman" w:hAnsi="Times New Roman"/>
          <w:sz w:val="20"/>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16.  </w:t>
      </w:r>
      <w:r>
        <w:rPr>
          <w:rFonts w:ascii="Times New Roman" w:hAnsi="Times New Roman"/>
          <w:sz w:val="20"/>
          <w:u w:val="single"/>
        </w:rPr>
        <w:t>Governing Law</w:t>
      </w:r>
      <w:r>
        <w:rPr>
          <w:rFonts w:ascii="Times New Roman" w:hAnsi="Times New Roman"/>
          <w:sz w:val="20"/>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17.  </w:t>
      </w:r>
      <w:r>
        <w:rPr>
          <w:rFonts w:ascii="Times New Roman" w:hAnsi="Times New Roman"/>
          <w:sz w:val="20"/>
          <w:u w:val="single"/>
        </w:rPr>
        <w:t>Notices</w:t>
      </w:r>
      <w:r>
        <w:rPr>
          <w:rFonts w:ascii="Times New Roman" w:hAnsi="Times New Roman"/>
          <w:sz w:val="20"/>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VistaGen Therapeutics, Inc.</w:t>
      </w:r>
    </w:p>
    <w:p>
      <w:pPr>
        <w:pStyle w:val="TextBody"/>
        <w:spacing w:before="0" w:after="0"/>
        <w:ind w:left="1440" w:right="0" w:firstLine="720"/>
        <w:jc w:val="both"/>
        <w:rPr>
          <w:rFonts w:ascii="Times New Roman" w:hAnsi="Times New Roman"/>
          <w:sz w:val="20"/>
        </w:rPr>
      </w:pPr>
      <w:r>
        <w:rPr>
          <w:rFonts w:ascii="Times New Roman" w:hAnsi="Times New Roman"/>
          <w:sz w:val="20"/>
        </w:rPr>
        <w:t>384 Oyster Point Boulevard, No.8</w:t>
      </w:r>
    </w:p>
    <w:p>
      <w:pPr>
        <w:pStyle w:val="TextBody"/>
        <w:spacing w:before="0" w:after="0"/>
        <w:ind w:left="1440" w:right="0" w:firstLine="720"/>
        <w:jc w:val="both"/>
        <w:rPr>
          <w:rFonts w:ascii="Times New Roman" w:hAnsi="Times New Roman"/>
          <w:sz w:val="20"/>
        </w:rPr>
      </w:pPr>
      <w:r>
        <w:rPr>
          <w:rFonts w:ascii="Times New Roman" w:hAnsi="Times New Roman"/>
          <w:sz w:val="20"/>
        </w:rPr>
        <w:t>South San Francisco, CA 94080</w:t>
      </w:r>
    </w:p>
    <w:p>
      <w:pPr>
        <w:pStyle w:val="TextBody"/>
        <w:spacing w:before="0" w:after="0"/>
        <w:ind w:left="1440" w:right="0" w:firstLine="720"/>
        <w:jc w:val="both"/>
        <w:rPr>
          <w:rFonts w:ascii="Times New Roman" w:hAnsi="Times New Roman"/>
          <w:sz w:val="20"/>
        </w:rPr>
      </w:pPr>
      <w:r>
        <w:rPr>
          <w:rFonts w:ascii="Times New Roman" w:hAnsi="Times New Roman"/>
          <w:sz w:val="20"/>
        </w:rPr>
        <w:t>Attention: President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and to Indemnitee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H. Ralph Snodgrass, Ph. D</w:t>
      </w:r>
    </w:p>
    <w:p>
      <w:pPr>
        <w:pStyle w:val="TextBody"/>
        <w:spacing w:before="0" w:after="0"/>
        <w:ind w:left="1440" w:right="0" w:firstLine="720"/>
        <w:jc w:val="both"/>
        <w:rPr>
          <w:rFonts w:ascii="Times New Roman" w:hAnsi="Times New Roman"/>
          <w:sz w:val="20"/>
        </w:rPr>
      </w:pPr>
      <w:r>
        <w:rPr>
          <w:rFonts w:ascii="Times New Roman" w:hAnsi="Times New Roman"/>
          <w:sz w:val="20"/>
        </w:rPr>
        <w:t>20781 Via Corta</w:t>
      </w:r>
    </w:p>
    <w:p>
      <w:pPr>
        <w:pStyle w:val="TextBody"/>
        <w:spacing w:before="0" w:after="0"/>
        <w:ind w:left="1440" w:right="0" w:firstLine="720"/>
        <w:jc w:val="both"/>
        <w:rPr>
          <w:rFonts w:ascii="Times New Roman" w:hAnsi="Times New Roman"/>
          <w:sz w:val="20"/>
        </w:rPr>
      </w:pPr>
      <w:r>
        <w:rPr>
          <w:rFonts w:ascii="Times New Roman" w:hAnsi="Times New Roman"/>
          <w:sz w:val="20"/>
        </w:rPr>
        <w:t>San Jose, CA 95120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5" w:name="PGBRK192"/>
      <w:bookmarkStart w:id="2166" w:name="PGBRK192"/>
      <w:bookmarkEnd w:id="2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7" w:name="FTR192"/>
      <w:bookmarkStart w:id="2168" w:name="FTR192"/>
      <w:bookmarkEnd w:id="2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9" w:name="GLFTR192"/>
      <w:bookmarkEnd w:id="2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70" w:name="PN192"/>
      <w:bookmarkEnd w:id="217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1" w:name="HDR192"/>
      <w:bookmarkStart w:id="2172" w:name="HDR192"/>
      <w:bookmarkEnd w:id="2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73" w:name="GLHDR192"/>
      <w:bookmarkEnd w:id="2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H. Ralph Snodgrass,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hereto have duly executed and delivered this Agreement as of the day specified above.</w:t>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Singh</w:t>
      </w:r>
    </w:p>
    <w:p>
      <w:pPr>
        <w:pStyle w:val="TextBody"/>
        <w:spacing w:before="0" w:after="0"/>
        <w:ind w:left="3600" w:right="0" w:firstLine="720"/>
        <w:jc w:val="left"/>
        <w:rPr>
          <w:rFonts w:ascii="Times New Roman" w:hAnsi="Times New Roman"/>
          <w:sz w:val="20"/>
        </w:rPr>
      </w:pPr>
      <w:r>
        <w:rPr>
          <w:rFonts w:ascii="Times New Roman" w:hAnsi="Times New Roman"/>
          <w:sz w:val="20"/>
        </w:rPr>
        <w:t>Name: Shawn Singh</w:t>
      </w:r>
    </w:p>
    <w:p>
      <w:pPr>
        <w:pStyle w:val="TextBody"/>
        <w:spacing w:before="0" w:after="0"/>
        <w:ind w:left="3600" w:right="0" w:firstLine="720"/>
        <w:jc w:val="left"/>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H. RALPH SNODGRASS, Ph. 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u w:val="single"/>
        </w:rPr>
      </w:pPr>
      <w:r>
        <w:rPr>
          <w:rFonts w:ascii="times new roman" w:hAnsi="times new roman"/>
          <w:sz w:val="20"/>
          <w:u w:val="single"/>
        </w:rPr>
        <w:t>/s/ H. Ralph Snodgrass, Ph. D</w:t>
      </w:r>
    </w:p>
    <w:p>
      <w:pPr>
        <w:pStyle w:val="TextBody"/>
        <w:spacing w:before="0" w:after="0"/>
        <w:ind w:left="3600" w:right="0" w:firstLine="720"/>
        <w:jc w:val="left"/>
        <w:rPr>
          <w:rFonts w:ascii="Times New Roman" w:hAnsi="Times New Roman"/>
          <w:sz w:val="20"/>
        </w:rPr>
      </w:pPr>
      <w:r>
        <w:rPr>
          <w:rFonts w:ascii="Times New Roman" w:hAnsi="Times New Roman"/>
          <w:sz w:val="20"/>
        </w:rPr>
        <w:t>Indemnitee</w:t>
      </w:r>
    </w:p>
    <w:p>
      <w:pPr>
        <w:pStyle w:val="TextBody"/>
        <w:spacing w:before="0" w:after="0"/>
        <w:rPr/>
      </w:pPr>
      <w:r>
        <w:rPr/>
        <w:t> </w:t>
      </w:r>
    </w:p>
    <w:p>
      <w:pPr>
        <w:pStyle w:val="TextBody"/>
        <w:rPr/>
      </w:pPr>
      <w:r>
        <w:rPr/>
        <w:br/>
        <w:t> </w:t>
      </w:r>
      <w:r>
        <w:br w:type="page"/>
      </w:r>
    </w:p>
    <w:p>
      <w:pPr>
        <w:pStyle w:val="TextBody"/>
        <w:spacing w:before="0" w:after="0"/>
        <w:jc w:val="right"/>
        <w:rPr>
          <w:b/>
        </w:rPr>
      </w:pPr>
      <w:bookmarkStart w:id="2174" w:name="underdownindemnification.htm"/>
      <w:bookmarkStart w:id="2175" w:name="ksunderdownindemnification"/>
      <w:bookmarkEnd w:id="2174"/>
      <w:bookmarkEnd w:id="2175"/>
      <w:r>
        <w:rPr>
          <w:b/>
        </w:rPr>
        <w:t>Exhibit 10.87</w:t>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INDEMNIFICATION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is entered into, effective as of May 20, 2013 between VistaGen Therapeutics, Inc., a Nevada corporation (the "Company"), and Brian J. Underdown, Ph. D. (“Indemnitee”).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it is essential to the Company to retain and attract as directors and officers the most capable persons available;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Indemnitee is a director of the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both the Company and Indemnitee recognize the increased risk of litigation and other claims currently being asserted against directors and officers of corporations; 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 recognition of lndemnitee's need for substantial protection against personal liability in order to enhance Indemnitee's continued and effective service to the Company, and in order to induce Indemnitee to provide services to the Company as a director</w:t>
      </w:r>
      <w:r>
        <w:rPr>
          <w:rFonts w:ascii="Times New Roman" w:hAnsi="Times New Roman"/>
          <w:b/>
          <w:sz w:val="20"/>
        </w:rPr>
        <w:t>,</w:t>
      </w:r>
      <w:r>
        <w:rPr>
          <w:rFonts w:ascii="Times New Roman" w:hAnsi="Times New Roman"/>
          <w:sz w:val="20"/>
        </w:rPr>
        <w:t xml:space="preserve">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NOW, THEREFORE, in consideration of the above premises and of lndemnitee's continuing to serve the Company directly or, at its request, with another enterprise, and intending to be legally bound hereby, the parties agree as follows: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  Certain Definitions:</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the Board of Directors of the Company.</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Change in Control</w:t>
      </w:r>
      <w:r>
        <w:rPr>
          <w:rFonts w:ascii="Times New Roman" w:hAnsi="Times New Roman"/>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Expenses</w:t>
      </w:r>
      <w:r>
        <w:rPr>
          <w:rFonts w:ascii="Times New Roman" w:hAnsi="Times New Roman"/>
          <w:sz w:val="20"/>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6" w:name="PGBRK193"/>
      <w:bookmarkStart w:id="2177" w:name="PGBRK193"/>
      <w:bookmarkEnd w:id="2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8" w:name="FTR193"/>
      <w:bookmarkStart w:id="2179" w:name="FTR193"/>
      <w:bookmarkEnd w:id="2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80" w:name="GLFTR193"/>
      <w:bookmarkEnd w:id="2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81" w:name="PN193"/>
      <w:bookmarkEnd w:id="218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2" w:name="HDR193"/>
      <w:bookmarkStart w:id="2183" w:name="HDR193"/>
      <w:bookmarkEnd w:id="2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84" w:name="GLHDR193"/>
      <w:bookmarkEnd w:id="2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Brian J. Underdown,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Indemnifiable Event</w:t>
      </w:r>
      <w:r>
        <w:rPr>
          <w:rFonts w:ascii="Times New Roman" w:hAnsi="Times New Roman"/>
          <w:sz w:val="20"/>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Independent Counsel</w:t>
      </w:r>
      <w:r>
        <w:rPr>
          <w:rFonts w:ascii="Times New Roman" w:hAnsi="Times New Roman"/>
          <w:sz w:val="20"/>
        </w:rPr>
        <w:t>:  the person or body appointed in connection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Proceeding</w:t>
      </w:r>
      <w:r>
        <w:rPr>
          <w:rFonts w:ascii="Times New Roman" w:hAnsi="Times New Roman"/>
          <w:sz w:val="20"/>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(g)  </w:t>
      </w:r>
      <w:r>
        <w:rPr>
          <w:rFonts w:ascii="Times New Roman" w:hAnsi="Times New Roman"/>
          <w:sz w:val="20"/>
          <w:u w:val="single"/>
        </w:rPr>
        <w:t>Reviewing Party</w:t>
      </w:r>
      <w:r>
        <w:rPr>
          <w:rFonts w:ascii="Times New Roman" w:hAnsi="Times New Roman"/>
          <w:sz w:val="20"/>
        </w:rPr>
        <w:t>:  the person or body appointed in accordance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Voting Securities</w:t>
      </w:r>
      <w:r>
        <w:rPr>
          <w:rFonts w:ascii="Times New Roman" w:hAnsi="Times New Roman"/>
          <w:sz w:val="20"/>
        </w:rPr>
        <w:t>:  any securities of the Company that vote generally in the election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Agreement to Indemnify</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General Agreement</w:t>
      </w:r>
      <w:r>
        <w:rPr>
          <w:rFonts w:ascii="Times New Roman" w:hAnsi="Times New Roman"/>
          <w:sz w:val="20"/>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Initiation of Proceeding</w:t>
      </w:r>
      <w:r>
        <w:rPr>
          <w:rFonts w:ascii="Times New Roman" w:hAnsi="Times New Roman"/>
          <w:sz w:val="20"/>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 Advances</w:t>
      </w:r>
      <w:r>
        <w:rPr>
          <w:rFonts w:ascii="Times New Roman" w:hAnsi="Times New Roman"/>
          <w:sz w:val="20"/>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85" w:name="PGBRK194"/>
      <w:bookmarkStart w:id="2186" w:name="PGBRK194"/>
      <w:bookmarkEnd w:id="2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7" w:name="FTR194"/>
      <w:bookmarkStart w:id="2188" w:name="FTR194"/>
      <w:bookmarkEnd w:id="2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89" w:name="GLFTR194"/>
      <w:bookmarkEnd w:id="2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90" w:name="PN194"/>
      <w:bookmarkEnd w:id="219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1" w:name="HDR194"/>
      <w:bookmarkStart w:id="2192" w:name="HDR194"/>
      <w:bookmarkEnd w:id="2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93" w:name="GLHDR194"/>
      <w:bookmarkEnd w:id="2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Brian J. Underdown,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Mandatory Indemnification</w:t>
      </w:r>
      <w:r>
        <w:rPr>
          <w:rFonts w:ascii="Times New Roman" w:hAnsi="Times New Roman"/>
          <w:sz w:val="20"/>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(e)  </w:t>
      </w:r>
      <w:r>
        <w:rPr>
          <w:rFonts w:ascii="Times New Roman" w:hAnsi="Times New Roman"/>
          <w:sz w:val="20"/>
          <w:u w:val="single"/>
        </w:rPr>
        <w:t>Partial Indemnification</w:t>
      </w:r>
      <w:r>
        <w:rPr>
          <w:rFonts w:ascii="Times New Roman" w:hAnsi="Times New Roman"/>
          <w:sz w:val="20"/>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Prohibited Indemnification</w:t>
      </w:r>
      <w:r>
        <w:rPr>
          <w:rFonts w:ascii="Times New Roman" w:hAnsi="Times New Roman"/>
          <w:sz w:val="20"/>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Reviewing Party</w:t>
      </w:r>
      <w:r>
        <w:rPr>
          <w:rFonts w:ascii="Times New Roman" w:hAnsi="Times New Roman"/>
          <w:sz w:val="20"/>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4.  </w:t>
      </w:r>
      <w:r>
        <w:rPr>
          <w:rFonts w:ascii="Times New Roman" w:hAnsi="Times New Roman"/>
          <w:sz w:val="20"/>
          <w:u w:val="single"/>
        </w:rPr>
        <w:t>Indemnification Process and Appeal</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Indemnification Payment</w:t>
      </w:r>
      <w:r>
        <w:rPr>
          <w:rFonts w:ascii="Times New Roman" w:hAnsi="Times New Roman"/>
          <w:sz w:val="20"/>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Suit to Enforce Rights</w:t>
      </w:r>
      <w:r>
        <w:rPr>
          <w:rFonts w:ascii="Times New Roman" w:hAnsi="Times New Roman"/>
          <w:sz w:val="20"/>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4" w:name="PGBRK195"/>
      <w:bookmarkStart w:id="2195" w:name="PGBRK195"/>
      <w:bookmarkEnd w:id="2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6" w:name="FTR195"/>
      <w:bookmarkStart w:id="2197" w:name="FTR195"/>
      <w:bookmarkEnd w:id="2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98" w:name="GLFTR195"/>
      <w:bookmarkEnd w:id="2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99" w:name="PN195"/>
      <w:bookmarkEnd w:id="219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0" w:name="HDR195"/>
      <w:bookmarkStart w:id="2201" w:name="HDR195"/>
      <w:bookmarkEnd w:id="2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02" w:name="GLHDR195"/>
      <w:bookmarkEnd w:id="2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Brian J. Underdown,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Defense to Indemnification, Burden of Proof, and Presumptions</w:t>
      </w:r>
      <w:r>
        <w:rPr>
          <w:rFonts w:ascii="Times New Roman" w:hAnsi="Times New Roman"/>
          <w:sz w:val="20"/>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Indemnification for Expenses Incurred in Enforcing Rights</w:t>
      </w:r>
      <w:r>
        <w:rPr>
          <w:rFonts w:ascii="Times New Roman" w:hAnsi="Times New Roman"/>
          <w:sz w:val="20"/>
        </w:rPr>
        <w:t>.  The Company shall indemnify Indemnitee against any and all Expenses that are incurred by Indemnitee in connection with any action brought by Indemnitee for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  indemnification of Expenses by the Company under this Agreement or any other agreement or under applicable law or the Company's Articles of Incorporation or Bylaws now or hereafter in effect relating to indemnification for Indemnifiable Events; and/or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6.  </w:t>
      </w:r>
      <w:r>
        <w:rPr>
          <w:rFonts w:ascii="Times New Roman" w:hAnsi="Times New Roman"/>
          <w:sz w:val="20"/>
          <w:u w:val="single"/>
        </w:rPr>
        <w:t>Notification and Defense of Proceeding</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Notice</w:t>
      </w:r>
      <w:r>
        <w:rPr>
          <w:rFonts w:ascii="Times New Roman" w:hAnsi="Times New Roman"/>
          <w:sz w:val="20"/>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Defense</w:t>
      </w:r>
      <w:r>
        <w:rPr>
          <w:rFonts w:ascii="Times New Roman" w:hAnsi="Times New Roman"/>
          <w:sz w:val="20"/>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03" w:name="PGBRK196"/>
      <w:bookmarkStart w:id="2204" w:name="PGBRK196"/>
      <w:bookmarkEnd w:id="2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5" w:name="FTR196"/>
      <w:bookmarkStart w:id="2206" w:name="FTR196"/>
      <w:bookmarkEnd w:id="2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07" w:name="GLFTR196"/>
      <w:bookmarkEnd w:id="2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08" w:name="PN196"/>
      <w:bookmarkEnd w:id="220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9" w:name="HDR196"/>
      <w:bookmarkStart w:id="2210" w:name="HDR196"/>
      <w:bookmarkEnd w:id="2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11" w:name="GLHDR196"/>
      <w:bookmarkEnd w:id="2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Brian J. Underdown,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Settlement of Claims</w:t>
      </w:r>
      <w:r>
        <w:rPr>
          <w:rFonts w:ascii="Times New Roman" w:hAnsi="Times New Roman"/>
          <w:sz w:val="20"/>
        </w:rPr>
        <w:t>.  The Company shall not be liable to indemnify Indemnitee under this Agreement or otherwise for any amounts paid in settlement of any Proceeding effected without the Company's written consent, provided, however, that if a Change in Control has occured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Establishment of Trust</w:t>
      </w:r>
      <w:r>
        <w:rPr>
          <w:rFonts w:ascii="Times New Roman" w:hAnsi="Times New Roman"/>
          <w:sz w:val="20"/>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8.  </w:t>
      </w:r>
      <w:r>
        <w:rPr>
          <w:rFonts w:ascii="Times New Roman" w:hAnsi="Times New Roman"/>
          <w:sz w:val="20"/>
          <w:u w:val="single"/>
        </w:rPr>
        <w:t>Non-Exclusivity</w:t>
      </w:r>
      <w:r>
        <w:rPr>
          <w:rFonts w:ascii="Times New Roman" w:hAnsi="Times New Roman"/>
          <w:sz w:val="20"/>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9.  </w:t>
      </w:r>
      <w:r>
        <w:rPr>
          <w:rFonts w:ascii="Times New Roman" w:hAnsi="Times New Roman"/>
          <w:sz w:val="20"/>
          <w:u w:val="single"/>
        </w:rPr>
        <w:t>Liability Insurance</w:t>
      </w:r>
      <w:r>
        <w:rPr>
          <w:rFonts w:ascii="Times New Roman" w:hAnsi="Times New Roman"/>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10.  </w:t>
      </w:r>
      <w:r>
        <w:rPr>
          <w:rFonts w:ascii="Times New Roman" w:hAnsi="Times New Roman"/>
          <w:sz w:val="20"/>
          <w:u w:val="single"/>
        </w:rPr>
        <w:t>Period of Limitations</w:t>
      </w:r>
      <w:r>
        <w:rPr>
          <w:rFonts w:ascii="Times New Roman" w:hAnsi="Times New Roman"/>
          <w:sz w:val="20"/>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2" w:name="PGBRK197"/>
      <w:bookmarkStart w:id="2213" w:name="PGBRK197"/>
      <w:bookmarkEnd w:id="2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4" w:name="FTR197"/>
      <w:bookmarkStart w:id="2215" w:name="FTR197"/>
      <w:bookmarkEnd w:id="2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16" w:name="GLFTR197"/>
      <w:bookmarkEnd w:id="2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17" w:name="PN197"/>
      <w:bookmarkEnd w:id="221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8" w:name="HDR197"/>
      <w:bookmarkStart w:id="2219" w:name="HDR197"/>
      <w:bookmarkEnd w:id="2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20" w:name="GLHDR197"/>
      <w:bookmarkEnd w:id="2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Brian J. Underdown,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Amendment of this Agreement</w:t>
      </w:r>
      <w:r>
        <w:rPr>
          <w:rFonts w:ascii="Times New Roman" w:hAnsi="Times New Roman"/>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12.  </w:t>
      </w:r>
      <w:r>
        <w:rPr>
          <w:rFonts w:ascii="Times New Roman" w:hAnsi="Times New Roman"/>
          <w:sz w:val="20"/>
          <w:u w:val="single"/>
        </w:rPr>
        <w:t>Subrogation</w:t>
      </w:r>
      <w:r>
        <w:rPr>
          <w:rFonts w:ascii="Times New Roman" w:hAnsi="Times New Roman"/>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13.  </w:t>
      </w:r>
      <w:r>
        <w:rPr>
          <w:rFonts w:ascii="Times New Roman" w:hAnsi="Times New Roman"/>
          <w:sz w:val="20"/>
          <w:u w:val="single"/>
        </w:rPr>
        <w:t>No Duplication of Payments</w:t>
      </w:r>
      <w:r>
        <w:rPr>
          <w:rFonts w:ascii="Times New Roman" w:hAnsi="Times New Roman"/>
          <w:sz w:val="20"/>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14.  </w:t>
      </w:r>
      <w:r>
        <w:rPr>
          <w:rFonts w:ascii="Times New Roman" w:hAnsi="Times New Roman"/>
          <w:sz w:val="20"/>
          <w:u w:val="single"/>
        </w:rPr>
        <w:t>Binding Effect</w:t>
      </w:r>
      <w:r>
        <w:rPr>
          <w:rFonts w:ascii="Times New Roman" w:hAnsi="Times New Roman"/>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15.  </w:t>
      </w:r>
      <w:r>
        <w:rPr>
          <w:rFonts w:ascii="Times New Roman" w:hAnsi="Times New Roman"/>
          <w:sz w:val="20"/>
          <w:u w:val="single"/>
        </w:rPr>
        <w:t>Severability</w:t>
      </w:r>
      <w:r>
        <w:rPr>
          <w:rFonts w:ascii="Times New Roman" w:hAnsi="Times New Roman"/>
          <w:sz w:val="20"/>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16.  </w:t>
      </w:r>
      <w:r>
        <w:rPr>
          <w:rFonts w:ascii="Times New Roman" w:hAnsi="Times New Roman"/>
          <w:sz w:val="20"/>
          <w:u w:val="single"/>
        </w:rPr>
        <w:t>Governing Law</w:t>
      </w:r>
      <w:r>
        <w:rPr>
          <w:rFonts w:ascii="Times New Roman" w:hAnsi="Times New Roman"/>
          <w:sz w:val="20"/>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17.  </w:t>
      </w:r>
      <w:r>
        <w:rPr>
          <w:rFonts w:ascii="Times New Roman" w:hAnsi="Times New Roman"/>
          <w:sz w:val="20"/>
          <w:u w:val="single"/>
        </w:rPr>
        <w:t>Notices</w:t>
      </w:r>
      <w:r>
        <w:rPr>
          <w:rFonts w:ascii="Times New Roman" w:hAnsi="Times New Roman"/>
          <w:sz w:val="20"/>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VistaGen Therapeutics, Inc.</w:t>
      </w:r>
    </w:p>
    <w:p>
      <w:pPr>
        <w:pStyle w:val="TextBody"/>
        <w:spacing w:before="0" w:after="0"/>
        <w:ind w:left="1440" w:right="0" w:firstLine="720"/>
        <w:jc w:val="both"/>
        <w:rPr>
          <w:rFonts w:ascii="Times New Roman" w:hAnsi="Times New Roman"/>
          <w:sz w:val="20"/>
        </w:rPr>
      </w:pPr>
      <w:r>
        <w:rPr>
          <w:rFonts w:ascii="Times New Roman" w:hAnsi="Times New Roman"/>
          <w:sz w:val="20"/>
        </w:rPr>
        <w:t>384 Oyster Point Boulevard, No.8</w:t>
      </w:r>
    </w:p>
    <w:p>
      <w:pPr>
        <w:pStyle w:val="TextBody"/>
        <w:spacing w:before="0" w:after="0"/>
        <w:ind w:left="1440" w:right="0" w:firstLine="720"/>
        <w:jc w:val="both"/>
        <w:rPr>
          <w:rFonts w:ascii="Times New Roman" w:hAnsi="Times New Roman"/>
          <w:sz w:val="20"/>
        </w:rPr>
      </w:pPr>
      <w:r>
        <w:rPr>
          <w:rFonts w:ascii="Times New Roman" w:hAnsi="Times New Roman"/>
          <w:sz w:val="20"/>
        </w:rPr>
        <w:t>South San Francisco, CA 94080</w:t>
      </w:r>
    </w:p>
    <w:p>
      <w:pPr>
        <w:pStyle w:val="TextBody"/>
        <w:spacing w:before="0" w:after="0"/>
        <w:ind w:left="1440" w:right="0" w:firstLine="720"/>
        <w:jc w:val="both"/>
        <w:rPr>
          <w:rFonts w:ascii="Times New Roman" w:hAnsi="Times New Roman"/>
          <w:sz w:val="20"/>
        </w:rPr>
      </w:pPr>
      <w:r>
        <w:rPr>
          <w:rFonts w:ascii="Times New Roman" w:hAnsi="Times New Roman"/>
          <w:sz w:val="20"/>
        </w:rPr>
        <w:t>Attention: President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and to Indemnitee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Brian J. Underdown, Ph. D</w:t>
      </w:r>
    </w:p>
    <w:p>
      <w:pPr>
        <w:pStyle w:val="TextBody"/>
        <w:spacing w:before="0" w:after="0"/>
        <w:ind w:left="1440" w:right="0" w:firstLine="720"/>
        <w:jc w:val="both"/>
        <w:rPr>
          <w:rFonts w:ascii="Times New Roman" w:hAnsi="Times New Roman"/>
          <w:sz w:val="20"/>
        </w:rPr>
      </w:pPr>
      <w:r>
        <w:rPr>
          <w:rFonts w:ascii="Times New Roman" w:hAnsi="Times New Roman"/>
          <w:sz w:val="20"/>
        </w:rPr>
        <w:t>3-33 Duke Street</w:t>
      </w:r>
    </w:p>
    <w:p>
      <w:pPr>
        <w:pStyle w:val="TextBody"/>
        <w:spacing w:before="0" w:after="0"/>
        <w:ind w:left="1440" w:right="0" w:firstLine="720"/>
        <w:jc w:val="both"/>
        <w:rPr>
          <w:rFonts w:ascii="Times New Roman" w:hAnsi="Times New Roman"/>
          <w:sz w:val="20"/>
        </w:rPr>
      </w:pPr>
      <w:r>
        <w:rPr>
          <w:rFonts w:ascii="Times New Roman" w:hAnsi="Times New Roman"/>
          <w:sz w:val="20"/>
        </w:rPr>
        <w:t>Hamilton, ON, Canada</w:t>
      </w:r>
    </w:p>
    <w:p>
      <w:pPr>
        <w:pStyle w:val="TextBody"/>
        <w:spacing w:before="0" w:after="0"/>
        <w:ind w:left="1440" w:right="0" w:firstLine="720"/>
        <w:jc w:val="both"/>
        <w:rPr>
          <w:rFonts w:ascii="Times New Roman" w:hAnsi="Times New Roman"/>
          <w:sz w:val="20"/>
        </w:rPr>
      </w:pPr>
      <w:r>
        <w:rPr>
          <w:rFonts w:ascii="Times New Roman" w:hAnsi="Times New Roman"/>
          <w:sz w:val="20"/>
        </w:rPr>
        <w:t>L8P 1X2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21" w:name="PGBRK198"/>
      <w:bookmarkStart w:id="2222" w:name="PGBRK198"/>
      <w:bookmarkEnd w:id="2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3" w:name="FTR198"/>
      <w:bookmarkStart w:id="2224" w:name="FTR198"/>
      <w:bookmarkEnd w:id="2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25" w:name="GLFTR198"/>
      <w:bookmarkEnd w:id="2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26" w:name="PN198"/>
      <w:bookmarkEnd w:id="222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7" w:name="HDR198"/>
      <w:bookmarkStart w:id="2228" w:name="HDR198"/>
      <w:bookmarkEnd w:id="2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29" w:name="GLHDR198"/>
      <w:bookmarkEnd w:id="22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Brian J. Underdown, Ph. D.</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hereto have duly executed and delivered this Agreement as of the day specified above.</w:t>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Singh</w:t>
      </w:r>
    </w:p>
    <w:p>
      <w:pPr>
        <w:pStyle w:val="TextBody"/>
        <w:spacing w:before="0" w:after="0"/>
        <w:ind w:left="3600" w:right="0" w:firstLine="720"/>
        <w:jc w:val="left"/>
        <w:rPr>
          <w:rFonts w:ascii="Times New Roman" w:hAnsi="Times New Roman"/>
          <w:sz w:val="20"/>
        </w:rPr>
      </w:pPr>
      <w:r>
        <w:rPr>
          <w:rFonts w:ascii="Times New Roman" w:hAnsi="Times New Roman"/>
          <w:sz w:val="20"/>
        </w:rPr>
        <w:t>Name: Shawn Singh</w:t>
      </w:r>
    </w:p>
    <w:p>
      <w:pPr>
        <w:pStyle w:val="TextBody"/>
        <w:spacing w:before="0" w:after="0"/>
        <w:ind w:left="3600" w:right="0" w:firstLine="720"/>
        <w:jc w:val="left"/>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BRIAN J. UNDERDOWN, Ph. 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_________________</w:t>
      </w:r>
    </w:p>
    <w:p>
      <w:pPr>
        <w:pStyle w:val="TextBody"/>
        <w:spacing w:before="0" w:after="0"/>
        <w:ind w:left="3600" w:right="0" w:firstLine="720"/>
        <w:jc w:val="left"/>
        <w:rPr>
          <w:rFonts w:ascii="Times New Roman" w:hAnsi="Times New Roman"/>
          <w:sz w:val="20"/>
        </w:rPr>
      </w:pPr>
      <w:r>
        <w:rPr>
          <w:rFonts w:ascii="Times New Roman" w:hAnsi="Times New Roman"/>
          <w:sz w:val="20"/>
        </w:rPr>
        <w:t>Indemnitee</w:t>
      </w:r>
    </w:p>
    <w:p>
      <w:pPr>
        <w:pStyle w:val="TextBody"/>
        <w:rPr/>
      </w:pPr>
      <w:r>
        <w:rPr/>
      </w:r>
      <w:r>
        <w:br w:type="page"/>
      </w:r>
    </w:p>
    <w:p>
      <w:pPr>
        <w:pStyle w:val="TextBody"/>
        <w:spacing w:before="0" w:after="0"/>
        <w:jc w:val="right"/>
        <w:rPr>
          <w:b/>
        </w:rPr>
      </w:pPr>
      <w:bookmarkStart w:id="2230" w:name="dotsonindemnification.htm"/>
      <w:bookmarkStart w:id="2231" w:name="ksdotsonindemnification"/>
      <w:bookmarkEnd w:id="2230"/>
      <w:bookmarkEnd w:id="2231"/>
      <w:r>
        <w:rPr>
          <w:b/>
        </w:rPr>
        <w:t>Exhibit 10.88</w:t>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INDEMNIFICATION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is entered into, effective as of May 20, 2013 between VistaGen Therapeutics, Inc., a Nevada corporation (the "Company"), and Jerrold D. Dotson (“Indemnitee”).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it is essential to the Company to retain and attract as directors and officers the most capable persons available;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Indemnitee is an officer of the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both the Company and Indemnitee recognize the increased risk of litigation and other claims currently being asserted against directors and officers of corporations; 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WHEREAS, in recognition of lndemnitee's need for substantial protection against personal liability in order to enhance Indemnitee's continued and effective service to the Company, and in order to induce Indemnitee to provide services to the Company as an officer</w:t>
      </w:r>
      <w:r>
        <w:rPr>
          <w:rFonts w:ascii="Times New Roman" w:hAnsi="Times New Roman"/>
          <w:b/>
          <w:sz w:val="20"/>
        </w:rPr>
        <w:t>,</w:t>
      </w:r>
      <w:r>
        <w:rPr>
          <w:rFonts w:ascii="Times New Roman" w:hAnsi="Times New Roman"/>
          <w:sz w:val="20"/>
        </w:rPr>
        <w:t xml:space="preserve">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NOW, THEREFORE, in consideration of the above premises and of lndemnitee's continuing to serve the Company directly or, at its request, with another enterprise, and intending to be legally bound hereby, the parties agree as follows: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  Certain Definitions:</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the Board of Directors of the Company.</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Change in Control</w:t>
      </w:r>
      <w:r>
        <w:rPr>
          <w:rFonts w:ascii="Times New Roman" w:hAnsi="Times New Roman"/>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Expenses</w:t>
      </w:r>
      <w:r>
        <w:rPr>
          <w:rFonts w:ascii="Times New Roman" w:hAnsi="Times New Roman"/>
          <w:sz w:val="20"/>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32" w:name="PGBRK199"/>
      <w:bookmarkStart w:id="2233" w:name="PGBRK199"/>
      <w:bookmarkEnd w:id="2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4" w:name="FTR199"/>
      <w:bookmarkStart w:id="2235" w:name="FTR199"/>
      <w:bookmarkEnd w:id="2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36" w:name="GLFTR199"/>
      <w:bookmarkEnd w:id="2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37" w:name="PN199"/>
      <w:bookmarkEnd w:id="223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8" w:name="HDR199"/>
      <w:bookmarkStart w:id="2239" w:name="HDR199"/>
      <w:bookmarkEnd w:id="2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0" w:name="GLHDR199"/>
      <w:bookmarkEnd w:id="2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Indemnifiable Event</w:t>
      </w:r>
      <w:r>
        <w:rPr>
          <w:rFonts w:ascii="Times New Roman" w:hAnsi="Times New Roman"/>
          <w:sz w:val="20"/>
        </w:rPr>
        <w:t>:  any event or occurrence that takes place either prior to or after the execution of this Agreement, related to the fact that Indemnitee is or was an officer of the Company, or while an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Independent Counsel</w:t>
      </w:r>
      <w:r>
        <w:rPr>
          <w:rFonts w:ascii="Times New Roman" w:hAnsi="Times New Roman"/>
          <w:sz w:val="20"/>
        </w:rPr>
        <w:t>:  the person or body appointed in connection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Proceeding</w:t>
      </w:r>
      <w:r>
        <w:rPr>
          <w:rFonts w:ascii="Times New Roman" w:hAnsi="Times New Roman"/>
          <w:sz w:val="20"/>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(g)  </w:t>
      </w:r>
      <w:r>
        <w:rPr>
          <w:rFonts w:ascii="Times New Roman" w:hAnsi="Times New Roman"/>
          <w:sz w:val="20"/>
          <w:u w:val="single"/>
        </w:rPr>
        <w:t>Reviewing Party</w:t>
      </w:r>
      <w:r>
        <w:rPr>
          <w:rFonts w:ascii="Times New Roman" w:hAnsi="Times New Roman"/>
          <w:sz w:val="20"/>
        </w:rPr>
        <w:t>:  the person or body appointed in accordance with Section 3.</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Voting Securities</w:t>
      </w:r>
      <w:r>
        <w:rPr>
          <w:rFonts w:ascii="Times New Roman" w:hAnsi="Times New Roman"/>
          <w:sz w:val="20"/>
        </w:rPr>
        <w:t>:  any securities of the Company that vote generally in the election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2.  </w:t>
      </w:r>
      <w:r>
        <w:rPr>
          <w:rFonts w:ascii="Times New Roman" w:hAnsi="Times New Roman"/>
          <w:sz w:val="20"/>
          <w:u w:val="single"/>
        </w:rPr>
        <w:t>Agreement to Indemnify</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General Agreement</w:t>
      </w:r>
      <w:r>
        <w:rPr>
          <w:rFonts w:ascii="Times New Roman" w:hAnsi="Times New Roman"/>
          <w:sz w:val="20"/>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Initiation of Proceeding</w:t>
      </w:r>
      <w:r>
        <w:rPr>
          <w:rFonts w:ascii="Times New Roman" w:hAnsi="Times New Roman"/>
          <w:sz w:val="20"/>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Expense Advances</w:t>
      </w:r>
      <w:r>
        <w:rPr>
          <w:rFonts w:ascii="Times New Roman" w:hAnsi="Times New Roman"/>
          <w:sz w:val="20"/>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1" w:name="PGBRK200"/>
      <w:bookmarkStart w:id="2242" w:name="PGBRK200"/>
      <w:bookmarkEnd w:id="2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3" w:name="FTR200"/>
      <w:bookmarkStart w:id="2244" w:name="FTR200"/>
      <w:bookmarkEnd w:id="2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45" w:name="GLFTR200"/>
      <w:bookmarkEnd w:id="2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46" w:name="PN200"/>
      <w:bookmarkEnd w:id="224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7" w:name="HDR200"/>
      <w:bookmarkStart w:id="2248" w:name="HDR200"/>
      <w:bookmarkEnd w:id="2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9" w:name="GLHDR200"/>
      <w:bookmarkEnd w:id="2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(d)  </w:t>
      </w:r>
      <w:r>
        <w:rPr>
          <w:rFonts w:ascii="Times New Roman" w:hAnsi="Times New Roman"/>
          <w:sz w:val="20"/>
          <w:u w:val="single"/>
        </w:rPr>
        <w:t>Mandatory Indemnification</w:t>
      </w:r>
      <w:r>
        <w:rPr>
          <w:rFonts w:ascii="Times New Roman" w:hAnsi="Times New Roman"/>
          <w:sz w:val="20"/>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(e)  </w:t>
      </w:r>
      <w:r>
        <w:rPr>
          <w:rFonts w:ascii="Times New Roman" w:hAnsi="Times New Roman"/>
          <w:sz w:val="20"/>
          <w:u w:val="single"/>
        </w:rPr>
        <w:t>Partial Indemnification</w:t>
      </w:r>
      <w:r>
        <w:rPr>
          <w:rFonts w:ascii="Times New Roman" w:hAnsi="Times New Roman"/>
          <w:sz w:val="20"/>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(f)  </w:t>
      </w:r>
      <w:r>
        <w:rPr>
          <w:rFonts w:ascii="Times New Roman" w:hAnsi="Times New Roman"/>
          <w:sz w:val="20"/>
          <w:u w:val="single"/>
        </w:rPr>
        <w:t>Prohibited Indemnification</w:t>
      </w:r>
      <w:r>
        <w:rPr>
          <w:rFonts w:ascii="Times New Roman" w:hAnsi="Times New Roman"/>
          <w:sz w:val="20"/>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3.  </w:t>
      </w:r>
      <w:r>
        <w:rPr>
          <w:rFonts w:ascii="Times New Roman" w:hAnsi="Times New Roman"/>
          <w:sz w:val="20"/>
          <w:u w:val="single"/>
        </w:rPr>
        <w:t>Reviewing Party</w:t>
      </w:r>
      <w:r>
        <w:rPr>
          <w:rFonts w:ascii="Times New Roman" w:hAnsi="Times New Roman"/>
          <w:sz w:val="20"/>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4.  </w:t>
      </w:r>
      <w:r>
        <w:rPr>
          <w:rFonts w:ascii="Times New Roman" w:hAnsi="Times New Roman"/>
          <w:sz w:val="20"/>
          <w:u w:val="single"/>
        </w:rPr>
        <w:t>Indemnification Process and Appeal</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Indemnification Payment</w:t>
      </w:r>
      <w:r>
        <w:rPr>
          <w:rFonts w:ascii="Times New Roman" w:hAnsi="Times New Roman"/>
          <w:sz w:val="20"/>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Suit to Enforce Rights</w:t>
      </w:r>
      <w:r>
        <w:rPr>
          <w:rFonts w:ascii="Times New Roman" w:hAnsi="Times New Roman"/>
          <w:sz w:val="20"/>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spacing w:before="0" w:after="0"/>
        <w:ind w:left="0" w:right="0" w:hanging="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50" w:name="PGBRK201"/>
      <w:bookmarkStart w:id="2251" w:name="PGBRK201"/>
      <w:bookmarkEnd w:id="2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2" w:name="FTR201"/>
      <w:bookmarkStart w:id="2253" w:name="FTR201"/>
      <w:bookmarkEnd w:id="2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54" w:name="GLFTR201"/>
      <w:bookmarkEnd w:id="2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55" w:name="PN201"/>
      <w:bookmarkEnd w:id="225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6" w:name="HDR201"/>
      <w:bookmarkStart w:id="2257" w:name="HDR201"/>
      <w:bookmarkEnd w:id="2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58" w:name="GLHDR201"/>
      <w:bookmarkEnd w:id="2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Defense to Indemnification, Burden of Proof, and Presumptions</w:t>
      </w:r>
      <w:r>
        <w:rPr>
          <w:rFonts w:ascii="Times New Roman" w:hAnsi="Times New Roman"/>
          <w:sz w:val="20"/>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sz w:val="20"/>
          <w:u w:val="single"/>
        </w:rPr>
        <w:t>Indemnification for Expenses Incurred in Enforcing Rights</w:t>
      </w:r>
      <w:r>
        <w:rPr>
          <w:rFonts w:ascii="Times New Roman" w:hAnsi="Times New Roman"/>
          <w:sz w:val="20"/>
        </w:rPr>
        <w:t>.  The Company shall indemnify Indemnitee against any and all Expenses that are incurred by Indemnitee in connection with any action brought by Indemnitee for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  indemnification of Expenses by the Company under this Agreement or any other agreement or under applicable law or the Company's Articles of Incorporation or Bylaws now or hereafter in effect relating to indemnification for Indemnifiable Events; and/or</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6.  </w:t>
      </w:r>
      <w:r>
        <w:rPr>
          <w:rFonts w:ascii="Times New Roman" w:hAnsi="Times New Roman"/>
          <w:sz w:val="20"/>
          <w:u w:val="single"/>
        </w:rPr>
        <w:t>Notification and Defense of Proceeding</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(a)  </w:t>
      </w:r>
      <w:r>
        <w:rPr>
          <w:rFonts w:ascii="Times New Roman" w:hAnsi="Times New Roman"/>
          <w:sz w:val="20"/>
          <w:u w:val="single"/>
        </w:rPr>
        <w:t>Notice</w:t>
      </w:r>
      <w:r>
        <w:rPr>
          <w:rFonts w:ascii="Times New Roman" w:hAnsi="Times New Roman"/>
          <w:sz w:val="20"/>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spacing w:before="0" w:after="0"/>
        <w:ind w:left="0" w:right="0" w:hanging="0"/>
        <w:rPr/>
      </w:pPr>
      <w:r>
        <w:rPr/>
      </w:r>
    </w:p>
    <w:p>
      <w:pPr>
        <w:pStyle w:val="TextBody"/>
        <w:spacing w:before="0" w:after="0"/>
        <w:ind w:left="0" w:right="0" w:firstLine="1440"/>
        <w:jc w:val="both"/>
        <w:rPr>
          <w:rFonts w:ascii="Times New Roman" w:hAnsi="Times New Roman"/>
          <w:sz w:val="20"/>
        </w:rPr>
      </w:pPr>
      <w:r>
        <w:rPr>
          <w:rFonts w:ascii="Times New Roman" w:hAnsi="Times New Roman"/>
          <w:sz w:val="20"/>
        </w:rPr>
        <w:t>(b)  </w:t>
      </w:r>
      <w:r>
        <w:rPr>
          <w:rFonts w:ascii="Times New Roman" w:hAnsi="Times New Roman"/>
          <w:sz w:val="20"/>
          <w:u w:val="single"/>
        </w:rPr>
        <w:t>Defense</w:t>
      </w:r>
      <w:r>
        <w:rPr>
          <w:rFonts w:ascii="Times New Roman" w:hAnsi="Times New Roman"/>
          <w:sz w:val="20"/>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59" w:name="PGBRK202"/>
      <w:bookmarkStart w:id="2260" w:name="PGBRK202"/>
      <w:bookmarkEnd w:id="2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1" w:name="FTR202"/>
      <w:bookmarkStart w:id="2262" w:name="FTR202"/>
      <w:bookmarkEnd w:id="2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63" w:name="GLFTR202"/>
      <w:bookmarkEnd w:id="22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64" w:name="PN202"/>
      <w:bookmarkEnd w:id="226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5" w:name="HDR202"/>
      <w:bookmarkStart w:id="2266" w:name="HDR202"/>
      <w:bookmarkEnd w:id="2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67" w:name="GLHDR202"/>
      <w:bookmarkEnd w:id="22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t>
      </w:r>
      <w:r>
        <w:rPr>
          <w:rFonts w:ascii="Times New Roman" w:hAnsi="Times New Roman"/>
          <w:sz w:val="20"/>
          <w:u w:val="single"/>
        </w:rPr>
        <w:t>Settlement of Claims</w:t>
      </w:r>
      <w:r>
        <w:rPr>
          <w:rFonts w:ascii="Times New Roman" w:hAnsi="Times New Roman"/>
          <w:sz w:val="20"/>
        </w:rPr>
        <w:t>.  The Company shall not be liable to indemnify Indemnitee under this Agreement or otherwise for any amounts paid in settlement of any Proceeding effected without the Company's written consent, provided, however, that if a Change in Control has occured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7.  </w:t>
      </w:r>
      <w:r>
        <w:rPr>
          <w:rFonts w:ascii="Times New Roman" w:hAnsi="Times New Roman"/>
          <w:sz w:val="20"/>
          <w:u w:val="single"/>
        </w:rPr>
        <w:t>Establishment of Trust</w:t>
      </w:r>
      <w:r>
        <w:rPr>
          <w:rFonts w:ascii="Times New Roman" w:hAnsi="Times New Roman"/>
          <w:sz w:val="20"/>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8.  </w:t>
      </w:r>
      <w:r>
        <w:rPr>
          <w:rFonts w:ascii="Times New Roman" w:hAnsi="Times New Roman"/>
          <w:sz w:val="20"/>
          <w:u w:val="single"/>
        </w:rPr>
        <w:t>Non-Exclusivity</w:t>
      </w:r>
      <w:r>
        <w:rPr>
          <w:rFonts w:ascii="Times New Roman" w:hAnsi="Times New Roman"/>
          <w:sz w:val="20"/>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9.  </w:t>
      </w:r>
      <w:r>
        <w:rPr>
          <w:rFonts w:ascii="Times New Roman" w:hAnsi="Times New Roman"/>
          <w:sz w:val="20"/>
          <w:u w:val="single"/>
        </w:rPr>
        <w:t>Liability Insurance</w:t>
      </w:r>
      <w:r>
        <w:rPr>
          <w:rFonts w:ascii="Times New Roman" w:hAnsi="Times New Roman"/>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10.  </w:t>
      </w:r>
      <w:r>
        <w:rPr>
          <w:rFonts w:ascii="Times New Roman" w:hAnsi="Times New Roman"/>
          <w:sz w:val="20"/>
          <w:u w:val="single"/>
        </w:rPr>
        <w:t>Period of Limitations</w:t>
      </w:r>
      <w:r>
        <w:rPr>
          <w:rFonts w:ascii="Times New Roman" w:hAnsi="Times New Roman"/>
          <w:sz w:val="20"/>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8" w:name="PGBRK203"/>
      <w:bookmarkStart w:id="2269" w:name="PGBRK203"/>
      <w:bookmarkEnd w:id="2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0" w:name="FTR203"/>
      <w:bookmarkStart w:id="2271" w:name="FTR203"/>
      <w:bookmarkEnd w:id="2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72" w:name="GLFTR203"/>
      <w:bookmarkEnd w:id="22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73" w:name="PN203"/>
      <w:bookmarkEnd w:id="227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4" w:name="HDR203"/>
      <w:bookmarkStart w:id="2275" w:name="HDR203"/>
      <w:bookmarkEnd w:id="2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76" w:name="GLHDR203"/>
      <w:bookmarkEnd w:id="22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Amendment of this Agreement</w:t>
      </w:r>
      <w:r>
        <w:rPr>
          <w:rFonts w:ascii="Times New Roman" w:hAnsi="Times New Roman"/>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12.  </w:t>
      </w:r>
      <w:r>
        <w:rPr>
          <w:rFonts w:ascii="Times New Roman" w:hAnsi="Times New Roman"/>
          <w:sz w:val="20"/>
          <w:u w:val="single"/>
        </w:rPr>
        <w:t>Subrogation</w:t>
      </w:r>
      <w:r>
        <w:rPr>
          <w:rFonts w:ascii="Times New Roman" w:hAnsi="Times New Roman"/>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13.  </w:t>
      </w:r>
      <w:r>
        <w:rPr>
          <w:rFonts w:ascii="Times New Roman" w:hAnsi="Times New Roman"/>
          <w:sz w:val="20"/>
          <w:u w:val="single"/>
        </w:rPr>
        <w:t>No Duplication of Payments</w:t>
      </w:r>
      <w:r>
        <w:rPr>
          <w:rFonts w:ascii="Times New Roman" w:hAnsi="Times New Roman"/>
          <w:sz w:val="20"/>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14.  </w:t>
      </w:r>
      <w:r>
        <w:rPr>
          <w:rFonts w:ascii="Times New Roman" w:hAnsi="Times New Roman"/>
          <w:sz w:val="20"/>
          <w:u w:val="single"/>
        </w:rPr>
        <w:t>Binding Effect</w:t>
      </w:r>
      <w:r>
        <w:rPr>
          <w:rFonts w:ascii="Times New Roman" w:hAnsi="Times New Roman"/>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15.  </w:t>
      </w:r>
      <w:r>
        <w:rPr>
          <w:rFonts w:ascii="Times New Roman" w:hAnsi="Times New Roman"/>
          <w:sz w:val="20"/>
          <w:u w:val="single"/>
        </w:rPr>
        <w:t>Severability</w:t>
      </w:r>
      <w:r>
        <w:rPr>
          <w:rFonts w:ascii="Times New Roman" w:hAnsi="Times New Roman"/>
          <w:sz w:val="20"/>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16.  </w:t>
      </w:r>
      <w:r>
        <w:rPr>
          <w:rFonts w:ascii="Times New Roman" w:hAnsi="Times New Roman"/>
          <w:sz w:val="20"/>
          <w:u w:val="single"/>
        </w:rPr>
        <w:t>Governing Law</w:t>
      </w:r>
      <w:r>
        <w:rPr>
          <w:rFonts w:ascii="Times New Roman" w:hAnsi="Times New Roman"/>
          <w:sz w:val="20"/>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17.  </w:t>
      </w:r>
      <w:r>
        <w:rPr>
          <w:rFonts w:ascii="Times New Roman" w:hAnsi="Times New Roman"/>
          <w:sz w:val="20"/>
          <w:u w:val="single"/>
        </w:rPr>
        <w:t>Notices</w:t>
      </w:r>
      <w:r>
        <w:rPr>
          <w:rFonts w:ascii="Times New Roman" w:hAnsi="Times New Roman"/>
          <w:sz w:val="20"/>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VistaGen Therapeutics, Inc.</w:t>
      </w:r>
    </w:p>
    <w:p>
      <w:pPr>
        <w:pStyle w:val="TextBody"/>
        <w:spacing w:before="0" w:after="0"/>
        <w:ind w:left="1440" w:right="0" w:firstLine="720"/>
        <w:jc w:val="both"/>
        <w:rPr>
          <w:rFonts w:ascii="Times New Roman" w:hAnsi="Times New Roman"/>
          <w:sz w:val="20"/>
        </w:rPr>
      </w:pPr>
      <w:r>
        <w:rPr>
          <w:rFonts w:ascii="Times New Roman" w:hAnsi="Times New Roman"/>
          <w:sz w:val="20"/>
        </w:rPr>
        <w:t>384 Oyster Point Boulevard, No.8</w:t>
      </w:r>
    </w:p>
    <w:p>
      <w:pPr>
        <w:pStyle w:val="TextBody"/>
        <w:spacing w:before="0" w:after="0"/>
        <w:ind w:left="1440" w:right="0" w:firstLine="720"/>
        <w:jc w:val="both"/>
        <w:rPr>
          <w:rFonts w:ascii="Times New Roman" w:hAnsi="Times New Roman"/>
          <w:sz w:val="20"/>
        </w:rPr>
      </w:pPr>
      <w:r>
        <w:rPr>
          <w:rFonts w:ascii="Times New Roman" w:hAnsi="Times New Roman"/>
          <w:sz w:val="20"/>
        </w:rPr>
        <w:t>South San Francisco, CA 94080</w:t>
      </w:r>
    </w:p>
    <w:p>
      <w:pPr>
        <w:pStyle w:val="TextBody"/>
        <w:spacing w:before="0" w:after="0"/>
        <w:ind w:left="1440" w:right="0" w:firstLine="720"/>
        <w:jc w:val="both"/>
        <w:rPr>
          <w:rFonts w:ascii="Times New Roman" w:hAnsi="Times New Roman"/>
          <w:sz w:val="20"/>
        </w:rPr>
      </w:pPr>
      <w:r>
        <w:rPr>
          <w:rFonts w:ascii="Times New Roman" w:hAnsi="Times New Roman"/>
          <w:sz w:val="20"/>
        </w:rPr>
        <w:t>Attention: President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and to Indemnitee at:</w:t>
      </w:r>
    </w:p>
    <w:p>
      <w:pPr>
        <w:pStyle w:val="TextBody"/>
        <w:spacing w:before="0" w:after="0"/>
        <w:ind w:left="0" w:right="0" w:hanging="0"/>
        <w:rPr/>
      </w:pPr>
      <w:r>
        <w:rPr/>
      </w:r>
    </w:p>
    <w:p>
      <w:pPr>
        <w:pStyle w:val="TextBody"/>
        <w:spacing w:before="0" w:after="0"/>
        <w:ind w:left="1440" w:right="0" w:firstLine="720"/>
        <w:jc w:val="both"/>
        <w:rPr>
          <w:rFonts w:ascii="Times New Roman" w:hAnsi="Times New Roman"/>
          <w:sz w:val="20"/>
        </w:rPr>
      </w:pPr>
      <w:r>
        <w:rPr>
          <w:rFonts w:ascii="Times New Roman" w:hAnsi="Times New Roman"/>
          <w:sz w:val="20"/>
        </w:rPr>
        <w:t>Jerrold D. Dotson</w:t>
      </w:r>
    </w:p>
    <w:p>
      <w:pPr>
        <w:pStyle w:val="TextBody"/>
        <w:spacing w:before="0" w:after="0"/>
        <w:ind w:left="1440" w:right="0" w:firstLine="720"/>
        <w:jc w:val="both"/>
        <w:rPr>
          <w:rFonts w:ascii="Times New Roman" w:hAnsi="Times New Roman"/>
          <w:sz w:val="20"/>
        </w:rPr>
      </w:pPr>
      <w:r>
        <w:rPr>
          <w:rFonts w:ascii="Times New Roman" w:hAnsi="Times New Roman"/>
          <w:sz w:val="20"/>
        </w:rPr>
        <w:t>3030 Oberon Drive</w:t>
      </w:r>
    </w:p>
    <w:p>
      <w:pPr>
        <w:pStyle w:val="TextBody"/>
        <w:spacing w:before="0" w:after="0"/>
        <w:ind w:left="1440" w:right="0" w:firstLine="720"/>
        <w:jc w:val="both"/>
        <w:rPr>
          <w:rFonts w:ascii="Times New Roman" w:hAnsi="Times New Roman"/>
          <w:sz w:val="20"/>
        </w:rPr>
      </w:pPr>
      <w:r>
        <w:rPr>
          <w:rFonts w:ascii="Times New Roman" w:hAnsi="Times New Roman"/>
          <w:sz w:val="20"/>
        </w:rPr>
        <w:t>Walnut Creek, CA 94597</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77" w:name="PGBRK204"/>
      <w:bookmarkStart w:id="2278" w:name="PGBRK204"/>
      <w:bookmarkEnd w:id="2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9" w:name="FTR204"/>
      <w:bookmarkStart w:id="2280" w:name="FTR204"/>
      <w:bookmarkEnd w:id="2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81" w:name="GLFTR204"/>
      <w:bookmarkEnd w:id="22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82" w:name="PN204"/>
      <w:bookmarkEnd w:id="228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3" w:name="HDR204"/>
      <w:bookmarkStart w:id="2284" w:name="HDR204"/>
      <w:bookmarkEnd w:id="2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85" w:name="GLHDR204"/>
      <w:bookmarkEnd w:id="22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 a 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Indemnification Agreement with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May 20, 2013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hereto have duly executed and delivered this Agreement as of the day specified above.</w:t>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K. Singh</w:t>
      </w:r>
    </w:p>
    <w:p>
      <w:pPr>
        <w:pStyle w:val="TextBody"/>
        <w:spacing w:before="0" w:after="0"/>
        <w:ind w:left="3600" w:right="0" w:firstLine="720"/>
        <w:jc w:val="left"/>
        <w:rPr>
          <w:rFonts w:ascii="Times New Roman" w:hAnsi="Times New Roman"/>
          <w:sz w:val="20"/>
        </w:rPr>
      </w:pPr>
      <w:r>
        <w:rPr>
          <w:rFonts w:ascii="Times New Roman" w:hAnsi="Times New Roman"/>
          <w:sz w:val="20"/>
        </w:rPr>
        <w:t>Name: Shawn K. Singh</w:t>
      </w:r>
    </w:p>
    <w:p>
      <w:pPr>
        <w:pStyle w:val="TextBody"/>
        <w:spacing w:before="0" w:after="0"/>
        <w:ind w:left="3600" w:right="0" w:firstLine="720"/>
        <w:jc w:val="left"/>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JERROLD D. DOTSON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3600" w:right="0" w:firstLine="720"/>
        <w:jc w:val="left"/>
        <w:rPr>
          <w:rFonts w:ascii="Times New Roman" w:hAnsi="Times New Roman"/>
          <w:sz w:val="20"/>
        </w:rPr>
      </w:pPr>
      <w:r>
        <w:rPr>
          <w:rFonts w:ascii="Times New Roman" w:hAnsi="Times New Roman"/>
          <w:sz w:val="20"/>
        </w:rPr>
        <w:t>Indemnitee</w:t>
      </w:r>
    </w:p>
    <w:p>
      <w:pPr>
        <w:pStyle w:val="TextBody"/>
        <w:rPr/>
      </w:pPr>
      <w:r>
        <w:rPr/>
      </w:r>
      <w:r>
        <w:br w:type="page"/>
      </w:r>
    </w:p>
    <w:p>
      <w:pPr>
        <w:pStyle w:val="TextBody"/>
        <w:spacing w:before="0" w:after="0"/>
        <w:ind w:left="0" w:right="0" w:hanging="0"/>
        <w:jc w:val="right"/>
        <w:rPr>
          <w:rFonts w:ascii="Times New Roman" w:hAnsi="Times New Roman"/>
          <w:b/>
          <w:sz w:val="20"/>
        </w:rPr>
      </w:pPr>
      <w:bookmarkStart w:id="2286" w:name="ex31-1.htm"/>
      <w:bookmarkStart w:id="2287" w:name="ksex311"/>
      <w:bookmarkEnd w:id="2286"/>
      <w:bookmarkEnd w:id="2287"/>
      <w:r>
        <w:rPr>
          <w:rFonts w:ascii="Times New Roman" w:hAnsi="Times New Roman"/>
          <w:b/>
          <w:sz w:val="20"/>
        </w:rPr>
        <w:t>EXHIBIT 31.1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Annual Report on Form 10-K of VistaGen Therapeutics, Inc., a Nevada corporation;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0"/>
              <w:ind w:left="0" w:right="16" w:hanging="0"/>
              <w:jc w:val="left"/>
              <w:rPr>
                <w:rFonts w:ascii="times new roman" w:hAnsi="times new roman"/>
                <w:sz w:val="20"/>
              </w:rPr>
            </w:pPr>
            <w:r>
              <w:rPr>
                <w:rFonts w:ascii="times new roman" w:hAnsi="times new roman"/>
                <w:sz w:val="20"/>
              </w:rPr>
              <w:t>July 18, 2013</w:t>
            </w:r>
          </w:p>
          <w:p>
            <w:pPr>
              <w:pStyle w:val="TableContents"/>
              <w:spacing w:before="0" w:after="0"/>
              <w:rPr/>
            </w:pPr>
            <w:r>
              <w:rPr/>
              <w:t> </w:t>
            </w:r>
          </w:p>
          <w:p>
            <w:pPr>
              <w:pStyle w:val="TableContents"/>
              <w:spacing w:before="0" w:after="0"/>
              <w:rPr/>
            </w:pPr>
            <w:r>
              <w:rPr/>
              <w:t> </w:t>
            </w:r>
          </w:p>
        </w:tc>
        <w:tc>
          <w:tcPr>
            <w:tcW w:w="5103" w:type="dxa"/>
            <w:tcBorders/>
            <w:shd w:fill="FFFFFF"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/s/ Shawn K. Singh</w:t>
            </w:r>
          </w:p>
          <w:p>
            <w:pPr>
              <w:pStyle w:val="TableContents"/>
              <w:spacing w:before="0" w:after="0"/>
              <w:rPr>
                <w:rFonts w:ascii="times new roman" w:hAnsi="times new roman"/>
                <w:sz w:val="20"/>
              </w:rPr>
            </w:pPr>
            <w:r>
              <w:rPr>
                <w:rFonts w:ascii="times new roman" w:hAnsi="times new roman"/>
                <w:sz w:val="20"/>
              </w:rPr>
              <w:t>Shawn K. Singh, JD</w:t>
            </w:r>
          </w:p>
          <w:p>
            <w:pPr>
              <w:pStyle w:val="TableContents"/>
              <w:spacing w:before="0" w:after="0"/>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jc w:val="right"/>
        <w:rPr>
          <w:rFonts w:ascii="Times New Roman" w:hAnsi="Times New Roman"/>
          <w:b/>
          <w:sz w:val="20"/>
        </w:rPr>
      </w:pPr>
      <w:r>
        <w:br w:type="page"/>
      </w:r>
      <w:bookmarkStart w:id="2288" w:name="ex31-2.htm"/>
      <w:bookmarkStart w:id="2289" w:name="ksex312"/>
      <w:bookmarkEnd w:id="2288"/>
      <w:bookmarkEnd w:id="2289"/>
      <w:r>
        <w:rPr>
          <w:rFonts w:ascii="Times New Roman" w:hAnsi="Times New Roman"/>
          <w:b/>
          <w:sz w:val="20"/>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Annual Report on Form 10-K of VistaGen Therapeutics, Inc., a Nevada corporation;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July 18, 2013</w:t>
            </w:r>
          </w:p>
          <w:p>
            <w:pPr>
              <w:pStyle w:val="TableContents"/>
              <w:spacing w:before="0" w:after="0"/>
              <w:rPr/>
            </w:pPr>
            <w:r>
              <w:rPr/>
              <w:t> </w:t>
            </w:r>
          </w:p>
        </w:tc>
        <w:tc>
          <w:tcPr>
            <w:tcW w:w="5103" w:type="dxa"/>
            <w:tcBorders/>
            <w:shd w:fill="FFFFFF"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/s/ Jerrold D. Dotson</w:t>
            </w:r>
          </w:p>
          <w:p>
            <w:pPr>
              <w:pStyle w:val="TableContents"/>
              <w:spacing w:before="0" w:after="0"/>
              <w:rPr>
                <w:rFonts w:ascii="times new roman" w:hAnsi="times new roman"/>
                <w:sz w:val="20"/>
              </w:rPr>
            </w:pPr>
            <w:r>
              <w:rPr>
                <w:rFonts w:ascii="times new roman" w:hAnsi="times new roman"/>
                <w:sz w:val="20"/>
              </w:rPr>
              <w:t>Jerrold D. Dotson</w:t>
            </w:r>
          </w:p>
          <w:p>
            <w:pPr>
              <w:pStyle w:val="TableContents"/>
              <w:spacing w:before="0" w:after="0"/>
              <w:rPr>
                <w:rFonts w:ascii="times new roman" w:hAnsi="times new roman"/>
                <w:sz w:val="20"/>
              </w:rPr>
            </w:pPr>
            <w:r>
              <w:rPr>
                <w:rFonts w:ascii="times new roman" w:hAnsi="times new roman"/>
                <w:sz w:val="20"/>
              </w:rPr>
              <w:t xml:space="preserve">Principal Financial Officer </w:t>
            </w:r>
          </w:p>
        </w:tc>
      </w:tr>
    </w:tbl>
    <w:p>
      <w:pPr>
        <w:pStyle w:val="TextBody"/>
        <w:spacing w:before="0" w:after="0"/>
        <w:ind w:left="0" w:right="0" w:hanging="0"/>
        <w:jc w:val="right"/>
        <w:rPr>
          <w:rFonts w:ascii="Times New Roman" w:hAnsi="Times New Roman"/>
          <w:b/>
          <w:sz w:val="20"/>
        </w:rPr>
      </w:pPr>
      <w:r>
        <w:br w:type="page"/>
      </w:r>
      <w:bookmarkStart w:id="2290" w:name="ex32.htm"/>
      <w:bookmarkStart w:id="2291" w:name="ksex32"/>
      <w:bookmarkEnd w:id="2290"/>
      <w:bookmarkEnd w:id="2291"/>
      <w:r>
        <w:rPr>
          <w:rFonts w:ascii="Times New Roman" w:hAnsi="Times New Roman"/>
          <w:b/>
          <w:sz w:val="20"/>
        </w:rPr>
        <w:t>EXHIBIT 32</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bookmarkStart w:id="2292" w:name="TAB2227"/>
      <w:bookmarkEnd w:id="2292"/>
      <w:r>
        <w:rPr>
          <w:spacing w:val="180"/>
        </w:rPr>
        <w:t>   </w:t>
      </w:r>
      <w:r>
        <w:rPr/>
        <w:t> </w:t>
      </w:r>
      <w:r>
        <w:rPr>
          <w:rFonts w:ascii="Times New Roman" w:hAnsi="Times New Roman"/>
          <w:sz w:val="20"/>
        </w:rPr>
        <w:t xml:space="preserve">Pursuant to 18 U.S.C. § 1350, as created by Section 906 of the Sarbanes-Oxley Act of 2002, the undersigned officer of VistaGen Therapeutics, Inc. (the “ </w:t>
      </w:r>
      <w:r>
        <w:rPr>
          <w:rFonts w:ascii="Times New Roman" w:hAnsi="Times New Roman"/>
          <w:sz w:val="20"/>
          <w:u w:val="single"/>
        </w:rPr>
        <w:t>Company</w:t>
      </w:r>
      <w:r>
        <w:rPr>
          <w:rFonts w:ascii="Times New Roman" w:hAnsi="Times New Roman"/>
          <w:sz w:val="20"/>
        </w:rPr>
        <w:t xml:space="preserve"> ”) hereby certifies, to such officer’s knowledge, that:</w:t>
      </w:r>
    </w:p>
    <w:p>
      <w:pPr>
        <w:pStyle w:val="TextBody"/>
        <w:spacing w:before="0" w:after="0"/>
        <w:ind w:left="0" w:right="0" w:hanging="0"/>
        <w:jc w:val="both"/>
        <w:rPr/>
      </w:pPr>
      <w:r>
        <w:rPr/>
        <w:t> </w:t>
      </w:r>
    </w:p>
    <w:p>
      <w:pPr>
        <w:pStyle w:val="TextBody"/>
        <w:spacing w:before="0" w:after="0"/>
        <w:ind w:left="0" w:right="0" w:hanging="0"/>
        <w:jc w:val="both"/>
        <w:rPr/>
      </w:pPr>
      <w:bookmarkStart w:id="2293" w:name="TAB2228"/>
      <w:bookmarkEnd w:id="2293"/>
      <w:r>
        <w:rPr>
          <w:spacing w:val="180"/>
        </w:rPr>
        <w:t>   </w:t>
      </w:r>
      <w:r>
        <w:rPr/>
        <w:t> </w:t>
      </w:r>
      <w:r>
        <w:rPr>
          <w:rFonts w:ascii="Times New Roman" w:hAnsi="Times New Roman"/>
          <w:sz w:val="20"/>
        </w:rPr>
        <w:t xml:space="preserve">(i) the accompanying Annual Report on Form 10-K of the Company for the annual period ended March 31, 2013 (the “ </w:t>
      </w:r>
      <w:r>
        <w:rPr>
          <w:rFonts w:ascii="Times New Roman" w:hAnsi="Times New Roman"/>
          <w:sz w:val="20"/>
          <w:u w:val="single"/>
        </w:rPr>
        <w:t>Report</w:t>
      </w:r>
      <w:r>
        <w:rPr>
          <w:rFonts w:ascii="Times New Roman" w:hAnsi="Times New Roman"/>
          <w:sz w:val="20"/>
        </w:rPr>
        <w:t xml:space="preserve"> ”) fully complies with the requirements of Section 13(a) or Section 15(d), as applicable, of the Securities Exchange Act of 1934, as amended; and</w:t>
      </w:r>
    </w:p>
    <w:p>
      <w:pPr>
        <w:pStyle w:val="TextBody"/>
        <w:spacing w:before="0" w:after="0"/>
        <w:ind w:left="0" w:right="0" w:hanging="0"/>
        <w:jc w:val="both"/>
        <w:rPr/>
      </w:pPr>
      <w:r>
        <w:rPr/>
        <w:t> </w:t>
      </w:r>
    </w:p>
    <w:p>
      <w:pPr>
        <w:pStyle w:val="TextBody"/>
        <w:spacing w:before="0" w:after="0"/>
        <w:ind w:left="0" w:right="0" w:hanging="0"/>
        <w:jc w:val="both"/>
        <w:rPr/>
      </w:pPr>
      <w:bookmarkStart w:id="2294" w:name="TAB2229"/>
      <w:bookmarkEnd w:id="2294"/>
      <w:r>
        <w:rPr>
          <w:spacing w:val="180"/>
        </w:rPr>
        <w:t>   </w:t>
      </w:r>
      <w:r>
        <w:rPr/>
        <w:t> </w:t>
      </w:r>
      <w:r>
        <w:rPr>
          <w:rFonts w:ascii="Times New Roman" w:hAnsi="Times New Roman"/>
          <w:sz w:val="20"/>
        </w:rPr>
        <w:t>(ii) the information contained in the Report fairly presents, in all material respects, the financial condition and results of operations of the Company.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16" w:hanging="0"/>
        <w:jc w:val="left"/>
        <w:rPr>
          <w:rFonts w:ascii="times new roman" w:hAnsi="times new roman"/>
          <w:sz w:val="20"/>
        </w:rPr>
      </w:pPr>
      <w:r>
        <w:rPr>
          <w:rFonts w:ascii="times new roman" w:hAnsi="times new roman"/>
          <w:sz w:val="20"/>
        </w:rPr>
        <w:t>July 18, 2013</w:t>
      </w:r>
    </w:p>
    <w:p>
      <w:pPr>
        <w:pStyle w:val="TextBody"/>
        <w:spacing w:before="0" w:after="0"/>
        <w:jc w:val="left"/>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143122</Words>
  <CharactersWithSpaces>923499</CharactersWithSpaces>
  <Paragraphs>23487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