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2016</w:t>
      </w:r>
    </w:p>
    <w:p>
      <w:pPr>
        <w:spacing w:after="0" w:line="21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020"/>
          </w:cols>
          <w:pgMar w:left="240" w:top="704" w:right="639" w:bottom="1440" w:gutter="0" w:footer="0" w:header="0"/>
        </w:sectPr>
      </w:pPr>
    </w:p>
    <w:p>
      <w:pPr>
        <w:spacing w:after="0" w:line="20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2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704" w:right="63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020"/>
          </w:cols>
          <w:pgMar w:left="240" w:top="704" w:right="639" w:bottom="1440" w:gutter="0" w:footer="0" w:header="0"/>
          <w:type w:val="continuous"/>
        </w:sectPr>
      </w:pPr>
    </w:p>
    <w:p>
      <w:pPr>
        <w:spacing w:after="0" w:line="23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04"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8"/>
          <w:szCs w:val="18"/>
          <w:color w:val="auto"/>
        </w:rPr>
        <w:t>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will begin using the corporate presentation materials, attached hereto as Exhibit 99.1, as early as October 24, 2016. The Company may continue to use these materials from time to time in conversations with investors and analysts.</w:t>
      </w:r>
    </w:p>
    <w:p>
      <w:pPr>
        <w:spacing w:after="0" w:line="1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for Form 8-K, the information in this Form 8-K, including Exhibit 99.1,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 w:name="page3"/>
    <w:bookmarkEnd w:id="2"/>
    <w:p>
      <w:pPr>
        <w:ind w:left="5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900" w:firstLine="48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394"/>
        </w:trPr>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October 21, 2016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/s/ Shawn K. Singh</w:t>
            </w:r>
          </w:p>
        </w:tc>
        <w:tc>
          <w:tcPr>
            <w:tcW w:w="38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K. Singh</w:t>
            </w:r>
          </w:p>
        </w:tc>
      </w:tr>
      <w:tr>
        <w:trPr>
          <w:trHeight w:val="228"/>
        </w:trPr>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1"/>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presentation materials, dated October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4" w:name="page5"/>
    <w:bookmarkEnd w:id="4"/>
    <w:p>
      <w:pPr>
        <w:ind w:left="91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20955</wp:posOffset>
            </wp:positionV>
            <wp:extent cx="7246620" cy="9991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99109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3321685</wp:posOffset>
            </wp:positionV>
            <wp:extent cx="7246620" cy="6723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2020-01-21T15:44:18Z</dcterms:created>
  <dcterms:modified xsi:type="dcterms:W3CDTF">2020-01-21T15:44:18Z</dcterms:modified>
</cp:coreProperties>
</file>