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March 7, 2023</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Vistagen Therapeutics, Inc.</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40"/>
          </w:cols>
          <w:pgMar w:left="320" w:top="445" w:right="339" w:bottom="1440" w:gutter="0" w:footer="0" w:header="0"/>
        </w:sectPr>
      </w:pPr>
    </w:p>
    <w:p>
      <w:pPr>
        <w:spacing w:after="0" w:line="205"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NEVADA</w:t>
      </w:r>
    </w:p>
    <w:p>
      <w:pPr>
        <w:spacing w:after="0" w:line="27" w:lineRule="exact"/>
        <w:rPr>
          <w:sz w:val="24"/>
          <w:szCs w:val="24"/>
          <w:color w:val="auto"/>
        </w:rPr>
      </w:pPr>
    </w:p>
    <w:p>
      <w:pPr>
        <w:ind w:left="800"/>
        <w:spacing w:after="0"/>
        <w:rPr>
          <w:sz w:val="20"/>
          <w:szCs w:val="20"/>
          <w:color w:val="auto"/>
        </w:rPr>
      </w:pPr>
      <w:r>
        <w:rPr>
          <w:rFonts w:ascii="Arial" w:cs="Arial" w:eastAsia="Arial" w:hAnsi="Arial"/>
          <w:sz w:val="16"/>
          <w:szCs w:val="16"/>
          <w:i w:val="1"/>
          <w:iCs w:val="1"/>
          <w:color w:val="auto"/>
        </w:rPr>
        <w:t>(State or other jurisdiction of</w:t>
      </w:r>
    </w:p>
    <w:p>
      <w:pPr>
        <w:spacing w:after="0" w:line="32" w:lineRule="exact"/>
        <w:rPr>
          <w:sz w:val="24"/>
          <w:szCs w:val="24"/>
          <w:color w:val="auto"/>
        </w:rPr>
      </w:pPr>
    </w:p>
    <w:p>
      <w:pPr>
        <w:ind w:left="1340"/>
        <w:spacing w:after="0"/>
        <w:rPr>
          <w:sz w:val="20"/>
          <w:szCs w:val="20"/>
          <w:color w:val="auto"/>
        </w:rPr>
      </w:pPr>
      <w:r>
        <w:rPr>
          <w:rFonts w:ascii="Arial" w:cs="Arial" w:eastAsia="Arial" w:hAnsi="Arial"/>
          <w:sz w:val="18"/>
          <w:szCs w:val="18"/>
          <w:i w:val="1"/>
          <w:iCs w:val="1"/>
          <w:color w:val="auto"/>
        </w:rPr>
        <w:t>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000-54014</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ind w:left="380"/>
        <w:spacing w:after="0"/>
        <w:rPr>
          <w:sz w:val="20"/>
          <w:szCs w:val="20"/>
          <w:color w:val="auto"/>
        </w:rPr>
      </w:pPr>
      <w:r>
        <w:rPr>
          <w:rFonts w:ascii="Arial" w:cs="Arial" w:eastAsia="Arial" w:hAnsi="Arial"/>
          <w:sz w:val="18"/>
          <w:szCs w:val="18"/>
          <w:b w:val="1"/>
          <w:bCs w:val="1"/>
          <w:color w:val="auto"/>
        </w:rPr>
        <w:t>20-5093315</w:t>
      </w:r>
    </w:p>
    <w:p>
      <w:pPr>
        <w:spacing w:after="0" w:line="27" w:lineRule="exact"/>
        <w:rPr>
          <w:sz w:val="24"/>
          <w:szCs w:val="24"/>
          <w:color w:val="auto"/>
        </w:rPr>
      </w:pPr>
    </w:p>
    <w:p>
      <w:pPr>
        <w:ind w:left="260"/>
        <w:spacing w:after="0"/>
        <w:rPr>
          <w:sz w:val="20"/>
          <w:szCs w:val="20"/>
          <w:color w:val="auto"/>
        </w:rPr>
      </w:pPr>
      <w:r>
        <w:rPr>
          <w:rFonts w:ascii="Arial" w:cs="Arial" w:eastAsia="Arial" w:hAnsi="Arial"/>
          <w:sz w:val="18"/>
          <w:szCs w:val="18"/>
          <w:i w:val="1"/>
          <w:iCs w:val="1"/>
          <w:color w:val="auto"/>
        </w:rPr>
        <w:t>(IRS Employer</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i w:val="1"/>
          <w:iCs w:val="1"/>
          <w:color w:val="auto"/>
        </w:rPr>
        <w:t>Identification Number)</w:t>
      </w:r>
    </w:p>
    <w:p>
      <w:pPr>
        <w:spacing w:after="0" w:line="222" w:lineRule="exact"/>
        <w:rPr>
          <w:sz w:val="24"/>
          <w:szCs w:val="24"/>
          <w:color w:val="auto"/>
        </w:rPr>
      </w:pPr>
    </w:p>
    <w:p>
      <w:pPr>
        <w:sectPr>
          <w:pgSz w:w="11900" w:h="16838" w:orient="portrait"/>
          <w:cols w:equalWidth="0" w:num="3">
            <w:col w:w="3920" w:space="720"/>
            <w:col w:w="3180" w:space="720"/>
            <w:col w:w="2700"/>
          </w:cols>
          <w:pgMar w:left="320" w:top="445" w:right="339" w:bottom="1440" w:gutter="0" w:footer="0" w:header="0"/>
          <w:type w:val="continuous"/>
        </w:sectPr>
      </w:pPr>
    </w:p>
    <w:p>
      <w:pPr>
        <w:spacing w:after="0" w:line="7" w:lineRule="exact"/>
        <w:rPr>
          <w:sz w:val="24"/>
          <w:szCs w:val="24"/>
          <w:color w:val="auto"/>
        </w:rPr>
      </w:pPr>
    </w:p>
    <w:p>
      <w:pPr>
        <w:ind w:left="4960"/>
        <w:spacing w:after="0"/>
        <w:rPr>
          <w:sz w:val="20"/>
          <w:szCs w:val="20"/>
          <w:color w:val="auto"/>
        </w:rPr>
      </w:pPr>
      <w:r>
        <w:rPr>
          <w:rFonts w:ascii="Arial" w:cs="Arial" w:eastAsia="Arial" w:hAnsi="Arial"/>
          <w:sz w:val="18"/>
          <w:szCs w:val="18"/>
          <w:b w:val="1"/>
          <w:bCs w:val="1"/>
          <w:color w:val="auto"/>
        </w:rPr>
        <w:t>343 Allerton Ave.</w:t>
      </w:r>
    </w:p>
    <w:p>
      <w:pPr>
        <w:spacing w:after="0" w:line="27" w:lineRule="exact"/>
        <w:rPr>
          <w:sz w:val="24"/>
          <w:szCs w:val="24"/>
          <w:color w:val="auto"/>
        </w:rPr>
      </w:pPr>
    </w:p>
    <w:p>
      <w:pPr>
        <w:ind w:left="4140"/>
        <w:spacing w:after="0"/>
        <w:rPr>
          <w:sz w:val="20"/>
          <w:szCs w:val="20"/>
          <w:color w:val="auto"/>
        </w:rPr>
      </w:pPr>
      <w:r>
        <w:rPr>
          <w:rFonts w:ascii="Arial" w:cs="Arial" w:eastAsia="Arial" w:hAnsi="Arial"/>
          <w:sz w:val="18"/>
          <w:szCs w:val="18"/>
          <w:b w:val="1"/>
          <w:bCs w:val="1"/>
          <w:color w:val="auto"/>
        </w:rPr>
        <w:t>South San Francisco, California 94090</w:t>
      </w:r>
    </w:p>
    <w:p>
      <w:pPr>
        <w:spacing w:after="0" w:line="9" w:lineRule="exact"/>
        <w:rPr>
          <w:sz w:val="24"/>
          <w:szCs w:val="24"/>
          <w:color w:val="auto"/>
        </w:rPr>
      </w:pPr>
    </w:p>
    <w:p>
      <w:pPr>
        <w:ind w:left="4220"/>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(650) 577-3600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(Registrant</w:t>
      </w:r>
      <w:r>
        <w:rPr>
          <w:rFonts w:ascii="Arial" w:cs="Arial" w:eastAsia="Arial" w:hAnsi="Arial"/>
          <w:sz w:val="18"/>
          <w:szCs w:val="18"/>
          <w:color w:val="auto"/>
        </w:rPr>
        <w:t>’</w:t>
      </w:r>
      <w:r>
        <w:rPr>
          <w:rFonts w:ascii="Arial" w:cs="Arial" w:eastAsia="Arial" w:hAnsi="Arial"/>
          <w:sz w:val="18"/>
          <w:szCs w:val="18"/>
          <w:i w:val="1"/>
          <w:iCs w:val="1"/>
          <w:color w:val="auto"/>
        </w:rPr>
        <w: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i w:val="1"/>
          <w:iCs w:val="1"/>
          <w:color w:val="auto"/>
        </w:rPr>
        <w:t>(Former name or former address, if changed since last report)</w:t>
      </w:r>
    </w:p>
    <w:p>
      <w:pPr>
        <w:sectPr>
          <w:pgSz w:w="11900" w:h="16838" w:orient="portrait"/>
          <w:cols w:equalWidth="0" w:num="1">
            <w:col w:w="11240"/>
          </w:cols>
          <w:pgMar w:left="320" w:top="445" w:right="339" w:bottom="1440" w:gutter="0" w:footer="0" w:header="0"/>
          <w:type w:val="continuous"/>
        </w:sectPr>
      </w:pPr>
    </w:p>
    <w:p>
      <w:pPr>
        <w:spacing w:after="0" w:line="23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225" w:lineRule="exact"/>
        <w:rPr>
          <w:rFonts w:ascii="MS PGothic" w:cs="MS PGothic" w:eastAsia="MS PGothic" w:hAnsi="MS PGothic"/>
          <w:sz w:val="18"/>
          <w:szCs w:val="18"/>
          <w:color w:val="auto"/>
        </w:rPr>
      </w:pPr>
    </w:p>
    <w:p>
      <w:pPr>
        <w:ind w:right="2940" w:firstLine="8"/>
        <w:spacing w:after="0" w:line="500" w:lineRule="auto"/>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4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2"/>
              </w:rPr>
              <w:t>Trading Symbol(s)</w:t>
            </w:r>
          </w:p>
        </w:tc>
        <w:tc>
          <w:tcPr>
            <w:tcW w:w="48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3940" w:type="dxa"/>
            <w:vAlign w:val="bottom"/>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480" w:type="dxa"/>
            <w:vAlign w:val="bottom"/>
          </w:tcPr>
          <w:p>
            <w:pPr>
              <w:jc w:val="center"/>
              <w:ind w:right="210"/>
              <w:spacing w:after="0"/>
              <w:rPr>
                <w:sz w:val="20"/>
                <w:szCs w:val="20"/>
                <w:color w:val="auto"/>
              </w:rPr>
            </w:pPr>
            <w:r>
              <w:rPr>
                <w:rFonts w:ascii="Arial" w:cs="Arial" w:eastAsia="Arial" w:hAnsi="Arial"/>
                <w:sz w:val="18"/>
                <w:szCs w:val="18"/>
                <w:color w:val="auto"/>
                <w:w w:val="99"/>
              </w:rPr>
              <w:t>VTGN</w:t>
            </w:r>
          </w:p>
        </w:tc>
        <w:tc>
          <w:tcPr>
            <w:tcW w:w="4820" w:type="dxa"/>
            <w:vAlign w:val="bottom"/>
          </w:tcPr>
          <w:p>
            <w:pPr>
              <w:jc w:val="center"/>
              <w:ind w:right="150"/>
              <w:spacing w:after="0"/>
              <w:rPr>
                <w:sz w:val="20"/>
                <w:szCs w:val="20"/>
                <w:color w:val="auto"/>
              </w:rPr>
            </w:pPr>
            <w:r>
              <w:rPr>
                <w:rFonts w:ascii="Arial" w:cs="Arial" w:eastAsia="Arial" w:hAnsi="Arial"/>
                <w:sz w:val="18"/>
                <w:szCs w:val="18"/>
                <w:color w:val="auto"/>
                <w:w w:val="90"/>
              </w:rPr>
              <w:t>Nasdaq Capital Market</w:t>
            </w: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ind w:left="8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3.01 Notice of Delisting or Failure to Satisfy a Continued Listing Rule or Standard; Transfer of Listing.</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March 7, 2023,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received a letter (the “</w:t>
      </w:r>
      <w:r>
        <w:rPr>
          <w:rFonts w:ascii="Arial" w:cs="Arial" w:eastAsia="Arial" w:hAnsi="Arial"/>
          <w:sz w:val="18"/>
          <w:szCs w:val="18"/>
          <w:i w:val="1"/>
          <w:iCs w:val="1"/>
          <w:color w:val="auto"/>
        </w:rPr>
        <w:t>Extension Notice</w:t>
      </w:r>
      <w:r>
        <w:rPr>
          <w:rFonts w:ascii="Arial" w:cs="Arial" w:eastAsia="Arial" w:hAnsi="Arial"/>
          <w:sz w:val="18"/>
          <w:szCs w:val="18"/>
          <w:color w:val="auto"/>
        </w:rPr>
        <w:t>”) from the Listing Qualifications Staff of The Nasdaq Stock Market, LLC (“</w:t>
      </w:r>
      <w:r>
        <w:rPr>
          <w:rFonts w:ascii="Arial" w:cs="Arial" w:eastAsia="Arial" w:hAnsi="Arial"/>
          <w:sz w:val="18"/>
          <w:szCs w:val="18"/>
          <w:i w:val="1"/>
          <w:iCs w:val="1"/>
          <w:color w:val="auto"/>
        </w:rPr>
        <w:t>Nasdaq</w:t>
      </w:r>
      <w:r>
        <w:rPr>
          <w:rFonts w:ascii="Arial" w:cs="Arial" w:eastAsia="Arial" w:hAnsi="Arial"/>
          <w:sz w:val="18"/>
          <w:szCs w:val="18"/>
          <w:color w:val="auto"/>
        </w:rPr>
        <w:t>”) notifying the Company that Nasdaq has granted the Company a 180-day extension, until September 5, 2023 (the “</w:t>
      </w:r>
      <w:r>
        <w:rPr>
          <w:rFonts w:ascii="Arial" w:cs="Arial" w:eastAsia="Arial" w:hAnsi="Arial"/>
          <w:sz w:val="18"/>
          <w:szCs w:val="18"/>
          <w:i w:val="1"/>
          <w:iCs w:val="1"/>
          <w:color w:val="auto"/>
        </w:rPr>
        <w:t>Extension Period</w:t>
      </w:r>
      <w:r>
        <w:rPr>
          <w:rFonts w:ascii="Arial" w:cs="Arial" w:eastAsia="Arial" w:hAnsi="Arial"/>
          <w:sz w:val="18"/>
          <w:szCs w:val="18"/>
          <w:color w:val="auto"/>
        </w:rPr>
        <w:t>”), to regain compliance with the requirement for the Company’s common stock, par value $0.001 per share (“</w:t>
      </w:r>
      <w:r>
        <w:rPr>
          <w:rFonts w:ascii="Arial" w:cs="Arial" w:eastAsia="Arial" w:hAnsi="Arial"/>
          <w:sz w:val="18"/>
          <w:szCs w:val="18"/>
          <w:i w:val="1"/>
          <w:iCs w:val="1"/>
          <w:color w:val="auto"/>
        </w:rPr>
        <w:t>Common Stock</w:t>
      </w:r>
      <w:r>
        <w:rPr>
          <w:rFonts w:ascii="Arial" w:cs="Arial" w:eastAsia="Arial" w:hAnsi="Arial"/>
          <w:sz w:val="18"/>
          <w:szCs w:val="18"/>
          <w:color w:val="auto"/>
        </w:rPr>
        <w:t>”), to maintain a minimum bid price of $1.00 per share for continued listing on the Nasdaq Capital Market, as set forth in Nasdaq Listing Rule 5550(a)(2) (the “</w:t>
      </w:r>
      <w:r>
        <w:rPr>
          <w:rFonts w:ascii="Arial" w:cs="Arial" w:eastAsia="Arial" w:hAnsi="Arial"/>
          <w:sz w:val="18"/>
          <w:szCs w:val="18"/>
          <w:i w:val="1"/>
          <w:iCs w:val="1"/>
          <w:color w:val="auto"/>
        </w:rPr>
        <w:t>Minimum Bid Price Requirement</w:t>
      </w:r>
      <w:r>
        <w:rPr>
          <w:rFonts w:ascii="Arial" w:cs="Arial" w:eastAsia="Arial" w:hAnsi="Arial"/>
          <w:sz w:val="18"/>
          <w:szCs w:val="18"/>
          <w:color w:val="auto"/>
        </w:rPr>
        <w:t>”).</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Extension Notice has no immediate effect on the continued listing status of the Company's Common Stock on the Nasdaq Capital Market. The Company's listing on the Nasdaq Capital Market remains fully effective.</w:t>
      </w:r>
    </w:p>
    <w:p>
      <w:pPr>
        <w:spacing w:after="0" w:line="170" w:lineRule="exact"/>
        <w:rPr>
          <w:sz w:val="20"/>
          <w:szCs w:val="20"/>
          <w:color w:val="auto"/>
        </w:rPr>
      </w:pPr>
    </w:p>
    <w:p>
      <w:pPr>
        <w:jc w:val="both"/>
        <w:ind w:firstLine="648"/>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As previously disclosed in the Company’s Current Report on Form 8-K, filed on </w:t>
      </w:r>
      <w:hyperlink r:id="rId9">
        <w:r>
          <w:rPr>
            <w:rFonts w:ascii="Arial" w:cs="Arial" w:eastAsia="Arial" w:hAnsi="Arial"/>
            <w:sz w:val="18"/>
            <w:szCs w:val="18"/>
            <w:u w:val="single" w:color="auto"/>
            <w:color w:val="0000EE"/>
          </w:rPr>
          <w:t>September 7, 2022</w:t>
        </w:r>
      </w:hyperlink>
      <w:r>
        <w:rPr>
          <w:rFonts w:ascii="Arial" w:cs="Arial" w:eastAsia="Arial" w:hAnsi="Arial"/>
          <w:sz w:val="18"/>
          <w:szCs w:val="18"/>
          <w:color w:val="auto"/>
        </w:rPr>
        <w:t>, the Company received notice from Nasdaq that the Company was not in compliance with the Minimum Bid Price Requirement for a period of 30 consecutive business days (the “</w:t>
      </w:r>
      <w:r>
        <w:rPr>
          <w:rFonts w:ascii="Arial" w:cs="Arial" w:eastAsia="Arial" w:hAnsi="Arial"/>
          <w:sz w:val="18"/>
          <w:szCs w:val="18"/>
          <w:i w:val="1"/>
          <w:iCs w:val="1"/>
          <w:color w:val="auto"/>
        </w:rPr>
        <w:t>Initial Notice</w:t>
      </w:r>
      <w:r>
        <w:rPr>
          <w:rFonts w:ascii="Arial" w:cs="Arial" w:eastAsia="Arial" w:hAnsi="Arial"/>
          <w:sz w:val="18"/>
          <w:szCs w:val="18"/>
          <w:color w:val="auto"/>
        </w:rPr>
        <w:t>”). As provided in the Initial Notice, the Company had a 180-day period, until March 6, 2023, to regain compliance with the Minimum Bid Price Requirement. As of the date of this Report, the Company has not yet regained compliance with the Minimum Bid Price Requirement, and instead advised Nasdaq of its intent to cure the deficiency within the Extension Period.</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will continue to monitor the closing bid price of its Common Stock and seek to regain compliance with the Minimum Bid Price Requirement within the Extension Period. If the Company does not regain compliance with the Minimum Bid Price Requirement within the Extension Period, Nasdaq will provide written notification to the Company that its Common Stock will be subject to delisting, at which time the Company may appeal Nasdaq’s delisting determination to a Nasdaq Hearing Panel (the “</w:t>
      </w:r>
      <w:r>
        <w:rPr>
          <w:rFonts w:ascii="Arial" w:cs="Arial" w:eastAsia="Arial" w:hAnsi="Arial"/>
          <w:sz w:val="18"/>
          <w:szCs w:val="18"/>
          <w:i w:val="1"/>
          <w:iCs w:val="1"/>
          <w:color w:val="auto"/>
        </w:rPr>
        <w:t>Panel</w:t>
      </w:r>
      <w:r>
        <w:rPr>
          <w:rFonts w:ascii="Arial" w:cs="Arial" w:eastAsia="Arial" w:hAnsi="Arial"/>
          <w:sz w:val="18"/>
          <w:szCs w:val="18"/>
          <w:color w:val="auto"/>
        </w:rPr>
        <w:t>”). There can be no assurance that, if the Company does need to appeal a Nasdaq delisting determination to the Panel, that such appeal would be successful.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Exhibit No.</w:t>
            </w:r>
          </w:p>
        </w:tc>
        <w:tc>
          <w:tcPr>
            <w:tcW w:w="220" w:type="dxa"/>
            <w:vAlign w:val="bottom"/>
          </w:tcPr>
          <w:p>
            <w:pPr>
              <w:spacing w:after="0"/>
              <w:rPr>
                <w:sz w:val="20"/>
                <w:szCs w:val="20"/>
                <w:color w:val="auto"/>
              </w:rPr>
            </w:pPr>
          </w:p>
        </w:tc>
        <w:tc>
          <w:tcPr>
            <w:tcW w:w="9780" w:type="dxa"/>
            <w:vAlign w:val="bottom"/>
            <w:tcBorders>
              <w:bottom w:val="single" w:sz="8" w:color="auto"/>
            </w:tcBorders>
          </w:tcPr>
          <w:p>
            <w:pPr>
              <w:ind w:left="4440"/>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1240" w:type="dxa"/>
            <w:vAlign w:val="bottom"/>
          </w:tcPr>
          <w:p>
            <w:pPr>
              <w:jc w:val="right"/>
              <w:ind w:right="390"/>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560"/>
        </w:trPr>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p>
        </w:tc>
        <w:tc>
          <w:tcPr>
            <w:tcW w:w="7560" w:type="dxa"/>
            <w:vAlign w:val="bottom"/>
            <w:gridSpan w:val="2"/>
          </w:tcPr>
          <w:p>
            <w:pPr>
              <w:ind w:left="2180"/>
              <w:spacing w:after="0"/>
              <w:rPr>
                <w:sz w:val="20"/>
                <w:szCs w:val="20"/>
                <w:color w:val="auto"/>
              </w:rPr>
            </w:pPr>
            <w:r>
              <w:rPr>
                <w:rFonts w:ascii="Arial" w:cs="Arial" w:eastAsia="Arial" w:hAnsi="Arial"/>
                <w:sz w:val="18"/>
                <w:szCs w:val="18"/>
                <w:color w:val="auto"/>
              </w:rPr>
              <w:t>Vistagen Therapeutics, Inc.</w:t>
            </w:r>
          </w:p>
        </w:tc>
      </w:tr>
      <w:tr>
        <w:trPr>
          <w:trHeight w:val="432"/>
        </w:trPr>
        <w:tc>
          <w:tcPr>
            <w:tcW w:w="3680" w:type="dxa"/>
            <w:vAlign w:val="bottom"/>
          </w:tcPr>
          <w:p>
            <w:pPr>
              <w:spacing w:after="0"/>
              <w:rPr>
                <w:sz w:val="20"/>
                <w:szCs w:val="20"/>
                <w:color w:val="auto"/>
              </w:rPr>
            </w:pPr>
            <w:r>
              <w:rPr>
                <w:rFonts w:ascii="Arial" w:cs="Arial" w:eastAsia="Arial" w:hAnsi="Arial"/>
                <w:sz w:val="18"/>
                <w:szCs w:val="18"/>
                <w:color w:val="auto"/>
              </w:rPr>
              <w:t>Date: March 7, 2023</w:t>
            </w:r>
          </w:p>
        </w:tc>
        <w:tc>
          <w:tcPr>
            <w:tcW w:w="7560" w:type="dxa"/>
            <w:vAlign w:val="bottom"/>
            <w:gridSpan w:val="2"/>
          </w:tcPr>
          <w:p>
            <w:pPr>
              <w:ind w:left="21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Shawn K. Singh</w:t>
            </w:r>
          </w:p>
        </w:tc>
      </w:tr>
      <w:tr>
        <w:trPr>
          <w:trHeight w:val="195"/>
        </w:trPr>
        <w:tc>
          <w:tcPr>
            <w:tcW w:w="36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Shawn K. Singh</w:t>
            </w:r>
          </w:p>
        </w:tc>
      </w:tr>
      <w:tr>
        <w:trPr>
          <w:trHeight w:val="230"/>
        </w:trPr>
        <w:tc>
          <w:tcPr>
            <w:tcW w:w="36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1" w:lineRule="exact"/>
        <w:rPr>
          <w:sz w:val="20"/>
          <w:szCs w:val="20"/>
          <w:color w:val="auto"/>
        </w:rPr>
      </w:pP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hyperlink" Target="http://www.sec.gov/ix?doc=/Archives/edgar/data/1411685/000185173422000545/vtgn20220906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2023-03-07T18:02:15Z</dcterms:created>
  <dcterms:modified xsi:type="dcterms:W3CDTF">2023-03-07T18:02:15Z</dcterms:modified>
</cp:coreProperties>
</file>