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November 12, 2018</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020"/>
          </w:cols>
          <w:pgMar w:left="240" w:top="922" w:right="639" w:bottom="1440" w:gutter="0" w:footer="0" w:header="0"/>
        </w:sectPr>
      </w:pPr>
    </w:p>
    <w:p>
      <w:pPr>
        <w:spacing w:after="0" w:line="213"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001-37761</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1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2840"/>
          </w:cols>
          <w:pgMar w:left="240" w:top="922" w:right="6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020"/>
          </w:cols>
          <w:pgMar w:left="240" w:top="922" w:right="639" w:bottom="1440" w:gutter="0" w:footer="0" w:header="0"/>
          <w:type w:val="continuous"/>
        </w:sectPr>
      </w:pPr>
    </w:p>
    <w:p>
      <w:pPr>
        <w:spacing w:after="0" w:line="24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43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00" w:lineRule="exact"/>
        <w:rPr>
          <w:sz w:val="24"/>
          <w:szCs w:val="24"/>
          <w:color w:val="auto"/>
        </w:rPr>
      </w:pPr>
    </w:p>
    <w:p>
      <w:pPr>
        <w:spacing w:after="0" w:line="23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490855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922"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November 12, 2018,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announced that the Company received Notices of Allowance from IP Australia and the Japan Patent Office related to methods of treating depression with AV-101, the Company’s oral NMDA (N-methyl-D-aspartate) receptor glycine B antagonist in Phase 2 development for adjunctive treatment of major depressive disorder. A copy of the Company's press release is attached to this Current Report on Form 8-K as Exhibit 99.1 and is incorporated by reference herein. The information in this Item 8.01 and the press release attached hereto as Exhibit 99.1 shall not be deemed “filed” for purposes of Section 18 of the Exchange Act, nor shall such information be deemed incorporated by reference in any filing under the Securities Act of 1933, as amended, or the Securities Exchange Act of 1934, as amended.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5"/>
              </w:rPr>
              <w:t>(d) Exhibits Index</w:t>
            </w:r>
          </w:p>
        </w:tc>
        <w:tc>
          <w:tcPr>
            <w:tcW w:w="240" w:type="dxa"/>
            <w:vAlign w:val="bottom"/>
          </w:tcPr>
          <w:p>
            <w:pPr>
              <w:spacing w:after="0"/>
              <w:rPr>
                <w:sz w:val="19"/>
                <w:szCs w:val="19"/>
                <w:color w:val="auto"/>
              </w:rPr>
            </w:pPr>
          </w:p>
        </w:tc>
        <w:tc>
          <w:tcPr>
            <w:tcW w:w="9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9720" w:type="dxa"/>
            <w:vAlign w:val="bottom"/>
          </w:tcPr>
          <w:p>
            <w:pPr>
              <w:ind w:left="44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1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7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Press release issued by VistaGen Therapeutics Inc. dated November 12, 2018.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7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Current Report on Form 8-K may contain, among other things, certain forward-looking statements within the meaning of the Private Securities Litigation Reform Act of 1995, including, without limitation, (i) statements with respect to the Company's plans, objectives, expectations and intentions; and (ii) other statements identified by words such as "may", "could", "would", should", "believes", "expects", "anticipates", "estimates", "intends", "plans" or similar expressions. These statements are based upon the current beliefs and expectations of the Company's management and are subject to significant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2" w:name="page3"/>
    <w:bookmarkEnd w:id="2"/>
    <w:p>
      <w:pPr>
        <w:ind w:left="56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740"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60" w:type="dxa"/>
            <w:vAlign w:val="bottom"/>
          </w:tcPr>
          <w:p>
            <w:pPr>
              <w:spacing w:after="0"/>
              <w:rPr>
                <w:sz w:val="19"/>
                <w:szCs w:val="19"/>
                <w:color w:val="auto"/>
              </w:rPr>
            </w:pPr>
          </w:p>
        </w:tc>
        <w:tc>
          <w:tcPr>
            <w:tcW w:w="7660" w:type="dxa"/>
            <w:vAlign w:val="bottom"/>
            <w:gridSpan w:val="3"/>
          </w:tcPr>
          <w:p>
            <w:pPr>
              <w:ind w:left="1900"/>
              <w:spacing w:after="0"/>
              <w:rPr>
                <w:sz w:val="20"/>
                <w:szCs w:val="20"/>
                <w:color w:val="auto"/>
              </w:rPr>
            </w:pPr>
            <w:r>
              <w:rPr>
                <w:rFonts w:ascii="Arial" w:cs="Arial" w:eastAsia="Arial" w:hAnsi="Arial"/>
                <w:sz w:val="18"/>
                <w:szCs w:val="18"/>
                <w:color w:val="auto"/>
              </w:rPr>
              <w:t>VistaGen Therapeutics, Inc.</w:t>
            </w:r>
          </w:p>
        </w:tc>
      </w:tr>
      <w:tr>
        <w:trPr>
          <w:trHeight w:val="394"/>
        </w:trPr>
        <w:tc>
          <w:tcPr>
            <w:tcW w:w="3760" w:type="dxa"/>
            <w:vAlign w:val="bottom"/>
          </w:tcPr>
          <w:p>
            <w:pPr>
              <w:ind w:left="60"/>
              <w:spacing w:after="0"/>
              <w:rPr>
                <w:sz w:val="20"/>
                <w:szCs w:val="20"/>
                <w:color w:val="auto"/>
              </w:rPr>
            </w:pPr>
            <w:r>
              <w:rPr>
                <w:rFonts w:ascii="Arial" w:cs="Arial" w:eastAsia="Arial" w:hAnsi="Arial"/>
                <w:sz w:val="18"/>
                <w:szCs w:val="18"/>
                <w:color w:val="auto"/>
              </w:rPr>
              <w:t>Date: November 13, 2018</w:t>
            </w:r>
          </w:p>
        </w:tc>
        <w:tc>
          <w:tcPr>
            <w:tcW w:w="2560" w:type="dxa"/>
            <w:vAlign w:val="bottom"/>
          </w:tcPr>
          <w:p>
            <w:pPr>
              <w:ind w:left="1900"/>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spacing w:after="0"/>
              <w:rPr>
                <w:sz w:val="20"/>
                <w:szCs w:val="20"/>
                <w:color w:val="auto"/>
              </w:rPr>
            </w:pPr>
            <w:r>
              <w:rPr>
                <w:rFonts w:ascii="Arial" w:cs="Arial" w:eastAsia="Arial" w:hAnsi="Arial"/>
                <w:sz w:val="18"/>
                <w:szCs w:val="18"/>
                <w:i w:val="1"/>
                <w:iCs w:val="1"/>
                <w:color w:val="auto"/>
              </w:rPr>
              <w:t>/s/ Shawn K. Singh</w:t>
            </w:r>
          </w:p>
        </w:tc>
      </w:tr>
      <w:tr>
        <w:trPr>
          <w:trHeight w:val="228"/>
        </w:trPr>
        <w:tc>
          <w:tcPr>
            <w:tcW w:w="37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Shawn K. Singh</w:t>
            </w:r>
          </w:p>
        </w:tc>
        <w:tc>
          <w:tcPr>
            <w:tcW w:w="3780" w:type="dxa"/>
            <w:vAlign w:val="bottom"/>
          </w:tcPr>
          <w:p>
            <w:pPr>
              <w:spacing w:after="0"/>
              <w:rPr>
                <w:sz w:val="19"/>
                <w:szCs w:val="19"/>
                <w:color w:val="auto"/>
              </w:rPr>
            </w:pPr>
          </w:p>
        </w:tc>
      </w:tr>
      <w:tr>
        <w:trPr>
          <w:trHeight w:val="222"/>
        </w:trPr>
        <w:tc>
          <w:tcPr>
            <w:tcW w:w="37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819"/>
        </w:trPr>
        <w:tc>
          <w:tcPr>
            <w:tcW w:w="37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19"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33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57"/>
        </w:trPr>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9720" w:type="dxa"/>
            <w:vAlign w:val="bottom"/>
          </w:tcPr>
          <w:p>
            <w:pPr>
              <w:ind w:left="44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7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Press release issued by VistaGen Therapeutics Inc. dated November 12, 2018.</w:t>
            </w:r>
          </w:p>
        </w:tc>
        <w:tc>
          <w:tcPr>
            <w:tcW w:w="0" w:type="dxa"/>
            <w:vAlign w:val="bottom"/>
          </w:tcPr>
          <w:p>
            <w:pPr>
              <w:spacing w:after="0"/>
              <w:rPr>
                <w:sz w:val="1"/>
                <w:szCs w:val="1"/>
                <w:color w:val="auto"/>
              </w:rPr>
            </w:pPr>
          </w:p>
        </w:tc>
      </w:tr>
      <w:tr>
        <w:trPr>
          <w:trHeight w:val="1736"/>
        </w:trPr>
        <w:tc>
          <w:tcPr>
            <w:tcW w:w="20" w:type="dxa"/>
            <w:vAlign w:val="bottom"/>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7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9"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174750" cy="909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475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VistaGen Therapeutics Receives Notices of Allowance in Australia and Japan for AV-101 Patents Covering Treatment of Depression</w:t>
      </w:r>
    </w:p>
    <w:p>
      <w:pPr>
        <w:spacing w:after="0" w:line="17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color w:val="auto"/>
        </w:rPr>
        <w:t xml:space="preserve">SOUTH SAN FRANCISCO, Calif., Nov. 12, 2018 – </w:t>
      </w:r>
      <w:r>
        <w:rPr>
          <w:rFonts w:ascii="Arial" w:cs="Arial" w:eastAsia="Arial" w:hAnsi="Arial"/>
          <w:sz w:val="16"/>
          <w:szCs w:val="16"/>
          <w:color w:val="auto"/>
        </w:rPr>
        <w:t>VistaGen Therapeutics (NASDAQ: VTGN), a clinical-stage biopharmaceutical company developing new</w:t>
      </w:r>
      <w:r>
        <w:rPr>
          <w:rFonts w:ascii="Arial" w:cs="Arial" w:eastAsia="Arial" w:hAnsi="Arial"/>
          <w:sz w:val="16"/>
          <w:szCs w:val="16"/>
          <w:b w:val="1"/>
          <w:bCs w:val="1"/>
          <w:color w:val="auto"/>
        </w:rPr>
        <w:t xml:space="preserve"> </w:t>
      </w:r>
      <w:r>
        <w:rPr>
          <w:rFonts w:ascii="Arial" w:cs="Arial" w:eastAsia="Arial" w:hAnsi="Arial"/>
          <w:sz w:val="16"/>
          <w:szCs w:val="16"/>
          <w:color w:val="auto"/>
        </w:rPr>
        <w:t>generation medicines for central nervous system (CNS) diseases and disorders with high unmet need, today announced receiving Notices of Allowance from IP Australia and the Japan Patent Office (JPO) related to methods of treating depression with AV-101, VistaGen’s oral NMDA (N-methyl-D-aspartate) receptor glycine B antagonist in Phase 2 development for adjunctive treatment of major depressive disorder (MDD).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“These patents, when issued, will extend our commercial protection of AV-101 into Australia and Japan, two additional major pharmaceutical markets,”</w:t>
      </w:r>
    </w:p>
    <w:p>
      <w:pPr>
        <w:spacing w:after="0" w:line="3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stated </w:t>
      </w:r>
      <w:r>
        <w:rPr>
          <w:rFonts w:ascii="Arial" w:cs="Arial" w:eastAsia="Arial" w:hAnsi="Arial"/>
          <w:sz w:val="16"/>
          <w:szCs w:val="16"/>
          <w:u w:val="single" w:color="auto"/>
          <w:color w:val="0095DA"/>
        </w:rPr>
        <w:t>Shawn Singh, Chief Executive Officer of VistaGen</w:t>
      </w:r>
      <w:r>
        <w:rPr>
          <w:rFonts w:ascii="Arial" w:cs="Arial" w:eastAsia="Arial" w:hAnsi="Arial"/>
          <w:sz w:val="16"/>
          <w:szCs w:val="16"/>
          <w:color w:val="auto"/>
          <w:highlight w:val="white"/>
        </w:rPr>
        <w:t>.</w:t>
      </w:r>
      <w:r>
        <w:rPr>
          <w:rFonts w:ascii="Arial" w:cs="Arial" w:eastAsia="Arial" w:hAnsi="Arial"/>
          <w:sz w:val="16"/>
          <w:szCs w:val="16"/>
          <w:color w:val="auto"/>
        </w:rPr>
        <w:t xml:space="preserve"> “As we continue to move forward with our clinical development of AV-101 for adjunctive treatment of MDD, having important AV-101 intellectual property outside of the U.S. and Europe is essential for potential strategic partnering opportunities in selected regional markets and to support our mission to bring new treatment alternatives for CNS conditions with unmet need to individuals around the world."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 xml:space="preserve">VistaGen Therapeutics, Inc. is a clinical-stage biopharmaceutical company developing new generation medicines for multiple CNS diseases and disorders with high unmet need. For more information, please visit </w:t>
      </w:r>
      <w:r>
        <w:rPr>
          <w:rFonts w:ascii="Arial" w:cs="Arial" w:eastAsia="Arial" w:hAnsi="Arial"/>
          <w:sz w:val="16"/>
          <w:szCs w:val="16"/>
          <w:u w:val="single" w:color="auto"/>
          <w:color w:val="0095DA"/>
        </w:rPr>
        <w:t>www.vistagen.com</w:t>
      </w:r>
      <w:r>
        <w:rPr>
          <w:rFonts w:ascii="Arial" w:cs="Arial" w:eastAsia="Arial" w:hAnsi="Arial"/>
          <w:sz w:val="16"/>
          <w:szCs w:val="16"/>
          <w:color w:val="auto"/>
        </w:rPr>
        <w:t xml:space="preserve"> and connect with VistaGen on </w:t>
      </w:r>
      <w:r>
        <w:rPr>
          <w:rFonts w:ascii="Arial" w:cs="Arial" w:eastAsia="Arial" w:hAnsi="Arial"/>
          <w:sz w:val="16"/>
          <w:szCs w:val="16"/>
          <w:u w:val="single" w:color="auto"/>
          <w:color w:val="0095DA"/>
        </w:rPr>
        <w:t>Twitter</w:t>
      </w:r>
      <w:r>
        <w:rPr>
          <w:rFonts w:ascii="Arial" w:cs="Arial" w:eastAsia="Arial" w:hAnsi="Arial"/>
          <w:sz w:val="16"/>
          <w:szCs w:val="16"/>
          <w:color w:val="333333"/>
        </w:rPr>
        <w:t>,</w:t>
      </w:r>
      <w:r>
        <w:rPr>
          <w:rFonts w:ascii="Arial" w:cs="Arial" w:eastAsia="Arial" w:hAnsi="Arial"/>
          <w:sz w:val="16"/>
          <w:szCs w:val="16"/>
          <w:color w:val="auto"/>
        </w:rPr>
        <w:t xml:space="preserve"> </w:t>
      </w:r>
      <w:r>
        <w:rPr>
          <w:rFonts w:ascii="Arial" w:cs="Arial" w:eastAsia="Arial" w:hAnsi="Arial"/>
          <w:sz w:val="16"/>
          <w:szCs w:val="16"/>
          <w:u w:val="single" w:color="auto"/>
          <w:color w:val="0095DA"/>
        </w:rPr>
        <w:t>LinkedIn</w:t>
      </w:r>
      <w:r>
        <w:rPr>
          <w:rFonts w:ascii="Arial" w:cs="Arial" w:eastAsia="Arial" w:hAnsi="Arial"/>
          <w:sz w:val="16"/>
          <w:szCs w:val="16"/>
          <w:color w:val="auto"/>
        </w:rPr>
        <w:t xml:space="preserve"> and </w:t>
      </w:r>
      <w:r>
        <w:rPr>
          <w:rFonts w:ascii="Arial" w:cs="Arial" w:eastAsia="Arial" w:hAnsi="Arial"/>
          <w:sz w:val="16"/>
          <w:szCs w:val="16"/>
          <w:u w:val="single" w:color="auto"/>
          <w:color w:val="0095DA"/>
        </w:rPr>
        <w:t>Facebook</w:t>
      </w:r>
      <w:r>
        <w:rPr>
          <w:rFonts w:ascii="Arial" w:cs="Arial" w:eastAsia="Arial" w:hAnsi="Arial"/>
          <w:sz w:val="16"/>
          <w:szCs w:val="16"/>
          <w:color w:val="333333"/>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AV-101</w:t>
      </w:r>
    </w:p>
    <w:p>
      <w:pPr>
        <w:spacing w:after="0" w:line="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AV-101 is an investigational, orally bioavailable, small molecule NMDA (N-methyl-D-aspartate) receptor glycine B antagonist with the potential to be a treatment for multiple CNS indications with high unmet need. AV-101 is currently in Phase 2 clinical development in the United States for adjunctive treatment of MDD. The FDA has </w:t>
      </w:r>
      <w:r>
        <w:rPr>
          <w:rFonts w:ascii="Arial" w:cs="Arial" w:eastAsia="Arial" w:hAnsi="Arial"/>
          <w:sz w:val="18"/>
          <w:szCs w:val="18"/>
          <w:u w:val="single" w:color="auto"/>
          <w:color w:val="0095DA"/>
        </w:rPr>
        <w:t>granted Fast Track designation</w:t>
      </w:r>
      <w:r>
        <w:rPr>
          <w:rFonts w:ascii="Arial" w:cs="Arial" w:eastAsia="Arial" w:hAnsi="Arial"/>
          <w:sz w:val="18"/>
          <w:szCs w:val="18"/>
          <w:color w:val="auto"/>
        </w:rPr>
        <w:t xml:space="preserve"> for development of AV-101 as both a potential adjunctive treatment of MDD and as a non-opioid treatment for neuropathic 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-280035</wp:posOffset>
            </wp:positionV>
            <wp:extent cx="48025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02505" cy="12890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This release contains various statements concerning VistaGen's future expectations, plans and prospects, including without limitation, our expectations regarding development and commercialization of our drug candidates, including AV-101 for adjunctive treatment of MDD and as a non-opioid treatment for neuropathic pain, as well as our intellectual property and commercial protection of AV-101, all of which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Among these risks is the possibility that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trials may not be repeated or observed in ongoing or future studies, and ongoing or future preclinical and clinical results may not support further development of, or be sufficient to gain regulatory approval to market our drug candidates,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0095DA"/>
        </w:rPr>
        <w:t>www.sec.gov</w:t>
      </w:r>
      <w:r>
        <w:rPr>
          <w:rFonts w:ascii="Arial" w:cs="Arial" w:eastAsia="Arial" w:hAnsi="Arial"/>
          <w:sz w:val="16"/>
          <w:szCs w:val="16"/>
          <w:color w:val="333333"/>
        </w:rPr>
        <w:t>.</w:t>
      </w:r>
      <w:r>
        <w:rPr>
          <w:rFonts w:ascii="Arial" w:cs="Arial" w:eastAsia="Arial" w:hAnsi="Arial"/>
          <w:sz w:val="16"/>
          <w:szCs w:val="16"/>
          <w:color w:val="auto"/>
        </w:rPr>
        <w:t xml:space="preserve">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323"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2020-01-10T23:29:49Z</dcterms:created>
  <dcterms:modified xsi:type="dcterms:W3CDTF">2020-01-10T23:29:49Z</dcterms:modified>
</cp:coreProperties>
</file>