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333-215671</w:t>
      </w:r>
    </w:p>
    <w:p>
      <w:pPr>
        <w:spacing w:after="0" w:line="30" w:lineRule="exact"/>
        <w:rPr>
          <w:sz w:val="24"/>
          <w:szCs w:val="24"/>
          <w:color w:val="auto"/>
        </w:rPr>
      </w:pPr>
    </w:p>
    <w:p>
      <w:pPr>
        <w:ind w:left="60"/>
        <w:spacing w:after="0"/>
        <w:rPr>
          <w:sz w:val="20"/>
          <w:szCs w:val="20"/>
          <w:color w:val="auto"/>
        </w:rPr>
      </w:pPr>
      <w:r>
        <w:rPr>
          <w:rFonts w:ascii="Arial" w:cs="Arial" w:eastAsia="Arial" w:hAnsi="Arial"/>
          <w:sz w:val="18"/>
          <w:szCs w:val="18"/>
          <w:color w:val="auto"/>
        </w:rPr>
        <w:t>Prospectus Supplement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July 27,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418465</wp:posOffset>
            </wp:positionV>
            <wp:extent cx="1311910" cy="8489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910" cy="8489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1,371,430 Shares Common Stock</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Series A1 Warrants to Purchase up to 1,388,931 Shares of Common Stock</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Series A2 Warrants to Purchase up to 503,641 Shares of Common Stock</w:t>
      </w:r>
    </w:p>
    <w:p>
      <w:pPr>
        <w:spacing w:after="0" w:line="164" w:lineRule="exact"/>
        <w:rPr>
          <w:sz w:val="24"/>
          <w:szCs w:val="24"/>
          <w:color w:val="auto"/>
        </w:rPr>
      </w:pPr>
    </w:p>
    <w:p>
      <w:pPr>
        <w:ind w:right="20"/>
        <w:spacing w:after="0" w:line="289" w:lineRule="auto"/>
        <w:rPr>
          <w:sz w:val="20"/>
          <w:szCs w:val="20"/>
          <w:color w:val="auto"/>
        </w:rPr>
      </w:pPr>
      <w:r>
        <w:rPr>
          <w:rFonts w:ascii="Arial" w:cs="Arial" w:eastAsia="Arial" w:hAnsi="Arial"/>
          <w:sz w:val="16"/>
          <w:szCs w:val="16"/>
          <w:color w:val="auto"/>
        </w:rPr>
        <w:t>We are offering 1,371,430 shares of our common stock and warrants to purchase up to 1,892,572 shares of our common stock. Each share of our common stock is being sold together with 1.0128 Series A1 Warrants (</w:t>
      </w:r>
      <w:r>
        <w:rPr>
          <w:rFonts w:ascii="Arial" w:cs="Arial" w:eastAsia="Arial" w:hAnsi="Arial"/>
          <w:sz w:val="16"/>
          <w:szCs w:val="16"/>
          <w:i w:val="1"/>
          <w:iCs w:val="1"/>
          <w:color w:val="auto"/>
        </w:rPr>
        <w:t>Series A1 Warrants</w:t>
      </w:r>
      <w:r>
        <w:rPr>
          <w:rFonts w:ascii="Arial" w:cs="Arial" w:eastAsia="Arial" w:hAnsi="Arial"/>
          <w:sz w:val="16"/>
          <w:szCs w:val="16"/>
          <w:color w:val="auto"/>
        </w:rPr>
        <w:t>), each whole Series A1 Warrant to purchase one share of our common stock, and 0.3672 of a Series A2 Warrant (</w:t>
      </w:r>
      <w:r>
        <w:rPr>
          <w:rFonts w:ascii="Arial" w:cs="Arial" w:eastAsia="Arial" w:hAnsi="Arial"/>
          <w:sz w:val="16"/>
          <w:szCs w:val="16"/>
          <w:i w:val="1"/>
          <w:iCs w:val="1"/>
          <w:color w:val="auto"/>
        </w:rPr>
        <w:t>Series A2 Warrants</w:t>
      </w:r>
      <w:r>
        <w:rPr>
          <w:rFonts w:ascii="Arial" w:cs="Arial" w:eastAsia="Arial" w:hAnsi="Arial"/>
          <w:sz w:val="16"/>
          <w:szCs w:val="16"/>
          <w:color w:val="auto"/>
        </w:rPr>
        <w:t xml:space="preserve">), each whole Series A2 Warrant to purchase one share of our common stock. The Series A1 Warrants and the Series A2 Warrants are collectively referred to herein as the </w:t>
      </w:r>
      <w:r>
        <w:rPr>
          <w:rFonts w:ascii="Arial" w:cs="Arial" w:eastAsia="Arial" w:hAnsi="Arial"/>
          <w:sz w:val="16"/>
          <w:szCs w:val="16"/>
          <w:i w:val="1"/>
          <w:iCs w:val="1"/>
          <w:color w:val="auto"/>
        </w:rPr>
        <w:t>Warrants</w:t>
      </w:r>
      <w:r>
        <w:rPr>
          <w:rFonts w:ascii="Arial" w:cs="Arial" w:eastAsia="Arial" w:hAnsi="Arial"/>
          <w:sz w:val="16"/>
          <w:szCs w:val="16"/>
          <w:color w:val="auto"/>
        </w:rPr>
        <w:t>). Both Warrants will have an exercise price of $1.82 per share. Each Series A1 Warrant will be exercisable for a five-year period commencing on March 7, 2018. Each Series A2 Warrant will be exercisable for a five-year period commencing on the date of issuance. The shares of our common stock and Warrants are immediately separable and will be issued separately, but will be purchased together in this offering. The shares of our common stock issuable from time to time upon exercise of the Warrants are also being offered pursuant to this prospectus supplement and the accompanying prospectus.</w:t>
      </w:r>
    </w:p>
    <w:p>
      <w:pPr>
        <w:spacing w:after="0" w:line="105" w:lineRule="exact"/>
        <w:rPr>
          <w:sz w:val="24"/>
          <w:szCs w:val="24"/>
          <w:color w:val="auto"/>
        </w:rPr>
      </w:pPr>
    </w:p>
    <w:p>
      <w:pPr>
        <w:ind w:right="240"/>
        <w:spacing w:after="0" w:line="256" w:lineRule="auto"/>
        <w:rPr>
          <w:sz w:val="20"/>
          <w:szCs w:val="20"/>
          <w:color w:val="auto"/>
        </w:rPr>
      </w:pPr>
      <w:r>
        <w:rPr>
          <w:rFonts w:ascii="Arial" w:cs="Arial" w:eastAsia="Arial" w:hAnsi="Arial"/>
          <w:sz w:val="18"/>
          <w:szCs w:val="18"/>
          <w:color w:val="auto"/>
        </w:rPr>
        <w:t>Our common stock is presently traded on the NASDAQ Capital Market under the symbol “VTGN.” On August 30, 2017, the last reported sale price of our common stock was $1.82 per share. There is no established trading market for the Warrants and we do not expect a market to develop. In addition, we do not intend to apply for the listing of the Warrants on any national securities exchange or other trading market. Without an active trading market, the liquidity of the Warrants will be limited.</w:t>
      </w:r>
    </w:p>
    <w:p>
      <w:pPr>
        <w:spacing w:after="0" w:line="197" w:lineRule="exact"/>
        <w:rPr>
          <w:sz w:val="24"/>
          <w:szCs w:val="24"/>
          <w:color w:val="auto"/>
        </w:rPr>
      </w:pPr>
    </w:p>
    <w:p>
      <w:pPr>
        <w:ind w:right="20"/>
        <w:spacing w:after="0" w:line="291" w:lineRule="auto"/>
        <w:rPr>
          <w:sz w:val="20"/>
          <w:szCs w:val="20"/>
          <w:color w:val="auto"/>
        </w:rPr>
      </w:pPr>
      <w:r>
        <w:rPr>
          <w:rFonts w:ascii="Arial" w:cs="Arial" w:eastAsia="Arial" w:hAnsi="Arial"/>
          <w:sz w:val="16"/>
          <w:szCs w:val="16"/>
          <w:color w:val="auto"/>
        </w:rPr>
        <w:t>As of August 31, 2017, the aggregate market value of our voting and non-voting common stock held by non-affiliates pursuant to General Instruction I.B.6. of Form S-3 was $18,843,006 which was calculated based on 9,191,710 outstanding shares of our voting and non-voting common stock held by non-affiliates and at a price of $2.05 per share, the closing sale price of our common stock reported on The NASDAQ Capital Market on July 31, 2017. As a result, we are eligible to offer and sell up to an aggregate of $6,280,374 of shares of our common stock pursuant to General Instruction I.B.6. of Form S-3. Following this offering, we will have sold securities with an aggregate market value of $6,279,776 pursuant to General Instruction I.B.6. of Form S-3 during the prior 12 calendar month period that ends on, and includes, the date of this prospectus supplement.</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Investing in the common stock involves risks. See “Risk Factors” beginning on page S-6 of this prospectus supplement.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2400" w:type="dxa"/>
            <w:vAlign w:val="bottom"/>
            <w:gridSpan w:val="2"/>
          </w:tcPr>
          <w:p>
            <w:pPr>
              <w:ind w:left="1180"/>
              <w:spacing w:after="0"/>
              <w:rPr>
                <w:sz w:val="20"/>
                <w:szCs w:val="20"/>
                <w:color w:val="auto"/>
              </w:rPr>
            </w:pPr>
            <w:r>
              <w:rPr>
                <w:rFonts w:ascii="Arial" w:cs="Arial" w:eastAsia="Arial" w:hAnsi="Arial"/>
                <w:sz w:val="18"/>
                <w:szCs w:val="18"/>
                <w:b w:val="1"/>
                <w:bCs w:val="1"/>
                <w:color w:val="auto"/>
                <w:w w:val="99"/>
              </w:rPr>
              <w:t>Per Share and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jc w:val="right"/>
              <w:ind w:right="312"/>
              <w:spacing w:after="0"/>
              <w:rPr>
                <w:sz w:val="20"/>
                <w:szCs w:val="20"/>
                <w:color w:val="auto"/>
              </w:rPr>
            </w:pPr>
            <w:r>
              <w:rPr>
                <w:rFonts w:ascii="Arial" w:cs="Arial" w:eastAsia="Arial" w:hAnsi="Arial"/>
                <w:sz w:val="18"/>
                <w:szCs w:val="18"/>
                <w:b w:val="1"/>
                <w:bCs w:val="1"/>
                <w:color w:val="auto"/>
              </w:rPr>
              <w:t>Related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8"/>
        </w:trPr>
        <w:tc>
          <w:tcPr>
            <w:tcW w:w="7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b w:val="1"/>
                <w:bCs w:val="1"/>
                <w:color w:val="auto"/>
                <w:w w:val="97"/>
              </w:rPr>
              <w:t>Warrants</w:t>
            </w:r>
          </w:p>
        </w:tc>
        <w:tc>
          <w:tcPr>
            <w:tcW w:w="340" w:type="dxa"/>
            <w:vAlign w:val="bottom"/>
          </w:tcPr>
          <w:p>
            <w:pPr>
              <w:spacing w:after="0"/>
              <w:rPr>
                <w:sz w:val="19"/>
                <w:szCs w:val="19"/>
                <w:color w:val="auto"/>
              </w:rPr>
            </w:pPr>
          </w:p>
        </w:tc>
        <w:tc>
          <w:tcPr>
            <w:tcW w:w="1020" w:type="dxa"/>
            <w:vAlign w:val="bottom"/>
          </w:tcPr>
          <w:p>
            <w:pPr>
              <w:jc w:val="right"/>
              <w:ind w:right="412"/>
              <w:spacing w:after="0"/>
              <w:rPr>
                <w:sz w:val="20"/>
                <w:szCs w:val="20"/>
                <w:color w:val="auto"/>
              </w:rPr>
            </w:pPr>
            <w:r>
              <w:rPr>
                <w:rFonts w:ascii="Arial" w:cs="Arial" w:eastAsia="Arial" w:hAnsi="Arial"/>
                <w:sz w:val="18"/>
                <w:szCs w:val="18"/>
                <w:b w:val="1"/>
                <w:bCs w:val="1"/>
                <w:color w:val="auto"/>
              </w:rPr>
              <w:t>Total</w:t>
            </w:r>
          </w:p>
        </w:tc>
      </w:tr>
      <w:tr>
        <w:trPr>
          <w:trHeight w:val="218"/>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3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1.75</w:t>
            </w: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2,400,003</w:t>
            </w:r>
          </w:p>
        </w:tc>
      </w:tr>
      <w:tr>
        <w:trPr>
          <w:trHeight w:val="216"/>
        </w:trPr>
        <w:tc>
          <w:tcPr>
            <w:tcW w:w="7660" w:type="dxa"/>
            <w:vAlign w:val="bottom"/>
          </w:tcPr>
          <w:p>
            <w:pPr>
              <w:spacing w:after="0" w:line="216" w:lineRule="exact"/>
              <w:rPr>
                <w:sz w:val="20"/>
                <w:szCs w:val="20"/>
                <w:color w:val="auto"/>
              </w:rPr>
            </w:pPr>
            <w:r>
              <w:rPr>
                <w:rFonts w:ascii="Arial" w:cs="Arial" w:eastAsia="Arial" w:hAnsi="Arial"/>
                <w:sz w:val="18"/>
                <w:szCs w:val="18"/>
                <w:color w:val="auto"/>
              </w:rPr>
              <w:t>Underwriting discount</w:t>
            </w:r>
            <w:r>
              <w:rPr>
                <w:rFonts w:ascii="Arial" w:cs="Arial" w:eastAsia="Arial" w:hAnsi="Arial"/>
                <w:sz w:val="24"/>
                <w:szCs w:val="24"/>
                <w:color w:val="auto"/>
                <w:vertAlign w:val="superscript"/>
              </w:rPr>
              <w:t>(1)</w:t>
            </w:r>
          </w:p>
        </w:tc>
        <w:tc>
          <w:tcPr>
            <w:tcW w:w="1300" w:type="dxa"/>
            <w:vAlign w:val="bottom"/>
          </w:tcPr>
          <w:p>
            <w:pPr>
              <w:ind w:left="1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0.1225</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168,000</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3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1.6275</w:t>
            </w: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2,232,003</w:t>
            </w:r>
          </w:p>
        </w:tc>
      </w:tr>
      <w:tr>
        <w:trPr>
          <w:trHeight w:val="208"/>
        </w:trPr>
        <w:tc>
          <w:tcPr>
            <w:tcW w:w="7660" w:type="dxa"/>
            <w:vAlign w:val="bottom"/>
          </w:tcPr>
          <w:p>
            <w:pPr>
              <w:spacing w:after="0"/>
              <w:rPr>
                <w:sz w:val="20"/>
                <w:szCs w:val="20"/>
                <w:color w:val="auto"/>
              </w:rPr>
            </w:pPr>
            <w:r>
              <w:rPr>
                <w:rFonts w:ascii="Arial" w:cs="Arial" w:eastAsia="Arial" w:hAnsi="Arial"/>
                <w:sz w:val="18"/>
                <w:szCs w:val="18"/>
                <w:color w:val="auto"/>
              </w:rPr>
              <w:t>____________</w:t>
            </w: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(1) We have agreed to reimburse the underwriters for certain expenses. See “</w:t>
            </w:r>
            <w:r>
              <w:rPr>
                <w:rFonts w:ascii="Arial" w:cs="Arial" w:eastAsia="Arial" w:hAnsi="Arial"/>
                <w:sz w:val="18"/>
                <w:szCs w:val="18"/>
                <w:i w:val="1"/>
                <w:iCs w:val="1"/>
                <w:color w:val="auto"/>
              </w:rPr>
              <w:t>Underwriting</w:t>
            </w:r>
            <w:r>
              <w:rPr>
                <w:rFonts w:ascii="Arial" w:cs="Arial" w:eastAsia="Arial" w:hAnsi="Arial"/>
                <w:sz w:val="18"/>
                <w:szCs w:val="18"/>
                <w:color w:val="auto"/>
              </w:rPr>
              <w:t>.”</w:t>
            </w:r>
          </w:p>
        </w:tc>
        <w:tc>
          <w:tcPr>
            <w:tcW w:w="1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pacing w:after="0" w:line="142"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18" w:lineRule="exact"/>
        <w:rPr>
          <w:sz w:val="24"/>
          <w:szCs w:val="24"/>
          <w:color w:val="auto"/>
        </w:rPr>
      </w:pPr>
    </w:p>
    <w:p>
      <w:pPr>
        <w:spacing w:after="0"/>
        <w:rPr>
          <w:sz w:val="20"/>
          <w:szCs w:val="20"/>
          <w:color w:val="auto"/>
        </w:rPr>
      </w:pPr>
      <w:r>
        <w:rPr>
          <w:rFonts w:ascii="Arial" w:cs="Arial" w:eastAsia="Arial" w:hAnsi="Arial"/>
          <w:sz w:val="18"/>
          <w:szCs w:val="18"/>
          <w:color w:val="auto"/>
        </w:rPr>
        <w:t>The underwriter expects to deliver the shares and related Warrants against payment on or about September 6, 2017.</w:t>
      </w:r>
    </w:p>
    <w:p>
      <w:pPr>
        <w:spacing w:after="0" w:line="152"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___________________________</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Oppenheimer &amp; Co.</w:t>
      </w: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August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40" w:type="dxa"/>
            <w:vAlign w:val="bottom"/>
            <w:gridSpan w:val="2"/>
          </w:tcPr>
          <w:p>
            <w:pPr>
              <w:ind w:left="940"/>
              <w:spacing w:after="0"/>
              <w:rPr>
                <w:sz w:val="20"/>
                <w:szCs w:val="20"/>
                <w:color w:val="auto"/>
              </w:rPr>
            </w:pPr>
            <w:r>
              <w:rPr>
                <w:rFonts w:ascii="Arial" w:cs="Arial" w:eastAsia="Arial" w:hAnsi="Arial"/>
                <w:sz w:val="18"/>
                <w:szCs w:val="18"/>
                <w:b w:val="1"/>
                <w:bCs w:val="1"/>
                <w:color w:val="auto"/>
              </w:rPr>
              <w:t>Table of Contents</w:t>
            </w: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40" w:type="dxa"/>
            <w:vAlign w:val="bottom"/>
            <w:gridSpan w:val="2"/>
            <w:vMerge w:val="restart"/>
          </w:tcPr>
          <w:p>
            <w:pPr>
              <w:jc w:val="center"/>
              <w:ind w:right="1760"/>
              <w:spacing w:after="0"/>
              <w:rPr>
                <w:sz w:val="20"/>
                <w:szCs w:val="20"/>
                <w:color w:val="auto"/>
              </w:rPr>
            </w:pPr>
            <w:r>
              <w:rPr>
                <w:rFonts w:ascii="Arial" w:cs="Arial" w:eastAsia="Arial" w:hAnsi="Arial"/>
                <w:sz w:val="18"/>
                <w:szCs w:val="18"/>
                <w:b w:val="1"/>
                <w:bCs w:val="1"/>
                <w:color w:val="auto"/>
                <w:w w:val="85"/>
              </w:rPr>
              <w:t>Prospectus Supplement</w:t>
            </w:r>
          </w:p>
        </w:tc>
        <w:tc>
          <w:tcPr>
            <w:tcW w:w="2660" w:type="dxa"/>
            <w:vAlign w:val="bottom"/>
          </w:tcPr>
          <w:p>
            <w:pPr>
              <w:jc w:val="center"/>
              <w:ind w:left="1672"/>
              <w:spacing w:after="0"/>
              <w:rPr>
                <w:sz w:val="20"/>
                <w:szCs w:val="20"/>
                <w:color w:val="auto"/>
              </w:rPr>
            </w:pPr>
            <w:r>
              <w:rPr>
                <w:rFonts w:ascii="Arial" w:cs="Arial" w:eastAsia="Arial" w:hAnsi="Arial"/>
                <w:sz w:val="18"/>
                <w:szCs w:val="18"/>
                <w:b w:val="1"/>
                <w:bCs w:val="1"/>
                <w:color w:val="auto"/>
                <w:w w:val="79"/>
              </w:rPr>
              <w:t>Pages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40" w:type="dxa"/>
            <w:vAlign w:val="bottom"/>
            <w:gridSpan w:val="2"/>
            <w:vMerge w:val="continue"/>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42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About this Prospectus Supplement</w:t>
              </w:r>
            </w:hyperlink>
          </w:p>
        </w:tc>
        <w:tc>
          <w:tcPr>
            <w:tcW w:w="6320" w:type="dxa"/>
            <w:vAlign w:val="bottom"/>
            <w:tcBorders>
              <w:bottom w:val="single" w:sz="8" w:color="CCEEFF"/>
            </w:tcBorders>
            <w:gridSpan w:val="8"/>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52"/>
              <w:spacing w:after="0" w:line="176" w:lineRule="exact"/>
              <w:rPr>
                <w:sz w:val="20"/>
                <w:szCs w:val="20"/>
                <w:color w:val="auto"/>
              </w:rPr>
            </w:pPr>
            <w:r>
              <w:rPr>
                <w:rFonts w:ascii="Arial" w:cs="Arial" w:eastAsia="Arial" w:hAnsi="Arial"/>
                <w:sz w:val="18"/>
                <w:szCs w:val="18"/>
                <w:color w:val="auto"/>
                <w:w w:val="85"/>
              </w:rPr>
              <w:t>S-1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4"/>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Prospectus Supplement Summary</w:t>
              </w:r>
            </w:hyperlink>
          </w:p>
        </w:tc>
        <w:tc>
          <w:tcPr>
            <w:tcW w:w="2660" w:type="dxa"/>
            <w:vAlign w:val="bottom"/>
          </w:tcPr>
          <w:p>
            <w:pPr>
              <w:jc w:val="center"/>
              <w:ind w:left="1652"/>
              <w:spacing w:after="0" w:line="176" w:lineRule="exact"/>
              <w:rPr>
                <w:sz w:val="20"/>
                <w:szCs w:val="20"/>
                <w:color w:val="auto"/>
              </w:rPr>
            </w:pPr>
            <w:r>
              <w:rPr>
                <w:rFonts w:ascii="Arial" w:cs="Arial" w:eastAsia="Arial" w:hAnsi="Arial"/>
                <w:sz w:val="18"/>
                <w:szCs w:val="18"/>
                <w:color w:val="auto"/>
                <w:w w:val="85"/>
              </w:rPr>
              <w:t>S-2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The Offering</w:t>
              </w:r>
            </w:hyperlink>
          </w:p>
        </w:tc>
        <w:tc>
          <w:tcPr>
            <w:tcW w:w="2660" w:type="dxa"/>
            <w:vAlign w:val="bottom"/>
            <w:shd w:val="clear" w:color="auto" w:fill="CCEEFF"/>
          </w:tcPr>
          <w:p>
            <w:pPr>
              <w:jc w:val="center"/>
              <w:ind w:left="1652"/>
              <w:spacing w:after="0" w:line="176" w:lineRule="exact"/>
              <w:rPr>
                <w:sz w:val="20"/>
                <w:szCs w:val="20"/>
                <w:color w:val="auto"/>
              </w:rPr>
            </w:pPr>
            <w:r>
              <w:rPr>
                <w:rFonts w:ascii="Arial" w:cs="Arial" w:eastAsia="Arial" w:hAnsi="Arial"/>
                <w:sz w:val="18"/>
                <w:szCs w:val="18"/>
                <w:color w:val="auto"/>
                <w:w w:val="85"/>
              </w:rPr>
              <w:t>S-5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0000EE"/>
            </w:tcBorders>
            <w:gridSpan w:val="4"/>
          </w:tcPr>
          <w:p>
            <w:pPr>
              <w:spacing w:after="0" w:line="17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Risk Factors</w:t>
              </w:r>
            </w:hyperlink>
          </w:p>
        </w:tc>
        <w:tc>
          <w:tcPr>
            <w:tcW w:w="7840" w:type="dxa"/>
            <w:vAlign w:val="bottom"/>
            <w:tcBorders>
              <w:top w:val="single" w:sz="8" w:color="CCEEFF"/>
            </w:tcBorders>
            <w:gridSpan w:val="20"/>
          </w:tcPr>
          <w:p>
            <w:pPr>
              <w:spacing w:after="0"/>
              <w:rPr>
                <w:sz w:val="15"/>
                <w:szCs w:val="15"/>
                <w:color w:val="auto"/>
              </w:rPr>
            </w:pPr>
          </w:p>
        </w:tc>
        <w:tc>
          <w:tcPr>
            <w:tcW w:w="2660" w:type="dxa"/>
            <w:vAlign w:val="bottom"/>
            <w:tcBorders>
              <w:top w:val="single" w:sz="8" w:color="CCEEFF"/>
            </w:tcBorders>
          </w:tcPr>
          <w:p>
            <w:pPr>
              <w:jc w:val="center"/>
              <w:ind w:left="1652"/>
              <w:spacing w:after="0" w:line="176" w:lineRule="exact"/>
              <w:rPr>
                <w:sz w:val="20"/>
                <w:szCs w:val="20"/>
                <w:color w:val="auto"/>
              </w:rPr>
            </w:pPr>
            <w:r>
              <w:rPr>
                <w:rFonts w:ascii="Arial" w:cs="Arial" w:eastAsia="Arial" w:hAnsi="Arial"/>
                <w:sz w:val="18"/>
                <w:szCs w:val="18"/>
                <w:color w:val="auto"/>
                <w:w w:val="85"/>
              </w:rPr>
              <w:t>S-6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8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Special Note Regarding Forward-Looking Statements</w:t>
              </w:r>
            </w:hyperlink>
          </w:p>
        </w:tc>
        <w:tc>
          <w:tcPr>
            <w:tcW w:w="4960" w:type="dxa"/>
            <w:vAlign w:val="bottom"/>
            <w:tcBorders>
              <w:bottom w:val="single" w:sz="8" w:color="CCEEFF"/>
            </w:tcBorders>
            <w:gridSpan w:val="3"/>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S-41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4"/>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Use of Proceeds</w:t>
              </w:r>
            </w:hyperlink>
          </w:p>
        </w:tc>
        <w:tc>
          <w:tcPr>
            <w:tcW w:w="2660" w:type="dxa"/>
            <w:vAlign w:val="bottom"/>
          </w:tcPr>
          <w:p>
            <w:pPr>
              <w:jc w:val="center"/>
              <w:ind w:left="1672"/>
              <w:spacing w:after="0" w:line="176" w:lineRule="exact"/>
              <w:rPr>
                <w:sz w:val="20"/>
                <w:szCs w:val="20"/>
                <w:color w:val="auto"/>
              </w:rPr>
            </w:pPr>
            <w:r>
              <w:rPr>
                <w:rFonts w:ascii="Arial" w:cs="Arial" w:eastAsia="Arial" w:hAnsi="Arial"/>
                <w:sz w:val="18"/>
                <w:szCs w:val="18"/>
                <w:color w:val="auto"/>
                <w:w w:val="89"/>
              </w:rPr>
              <w:t>S-42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3"/>
              </w:rPr>
            </w:pPr>
            <w:hyperlink w:anchor="page45">
              <w:r>
                <w:rPr>
                  <w:rFonts w:ascii="Arial" w:cs="Arial" w:eastAsia="Arial" w:hAnsi="Arial"/>
                  <w:sz w:val="18"/>
                  <w:szCs w:val="18"/>
                  <w:color w:val="0000EE"/>
                  <w:w w:val="93"/>
                </w:rPr>
                <w:t>Dilution</w:t>
              </w:r>
            </w:hyperlink>
          </w:p>
        </w:tc>
        <w:tc>
          <w:tcPr>
            <w:tcW w:w="8160" w:type="dxa"/>
            <w:vAlign w:val="bottom"/>
            <w:tcBorders>
              <w:bottom w:val="single" w:sz="8" w:color="CCEEFF"/>
            </w:tcBorders>
            <w:gridSpan w:val="22"/>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S-43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4"/>
          </w:tcPr>
          <w:p>
            <w:pPr>
              <w:spacing w:after="0" w:line="176" w:lineRule="exact"/>
              <w:rPr>
                <w:sz w:val="20"/>
                <w:szCs w:val="20"/>
                <w:color w:val="auto"/>
              </w:rPr>
            </w:pPr>
            <w:r>
              <w:rPr>
                <w:rFonts w:ascii="Arial" w:cs="Arial" w:eastAsia="Arial" w:hAnsi="Arial"/>
                <w:sz w:val="18"/>
                <w:szCs w:val="18"/>
                <w:color w:val="0000EE"/>
              </w:rPr>
              <w:t>Description of Securities we are Offering</w:t>
            </w:r>
          </w:p>
        </w:tc>
        <w:tc>
          <w:tcPr>
            <w:tcW w:w="2660" w:type="dxa"/>
            <w:vAlign w:val="bottom"/>
          </w:tcPr>
          <w:p>
            <w:pPr>
              <w:jc w:val="center"/>
              <w:ind w:left="1672"/>
              <w:spacing w:after="0" w:line="176" w:lineRule="exact"/>
              <w:rPr>
                <w:sz w:val="20"/>
                <w:szCs w:val="20"/>
                <w:color w:val="auto"/>
              </w:rPr>
            </w:pPr>
            <w:r>
              <w:rPr>
                <w:rFonts w:ascii="Arial" w:cs="Arial" w:eastAsia="Arial" w:hAnsi="Arial"/>
                <w:sz w:val="18"/>
                <w:szCs w:val="18"/>
                <w:color w:val="auto"/>
                <w:w w:val="89"/>
              </w:rPr>
              <w:t>S-44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Underwriting</w:t>
              </w:r>
            </w:hyperlink>
          </w:p>
        </w:tc>
        <w:tc>
          <w:tcPr>
            <w:tcW w:w="7800" w:type="dxa"/>
            <w:vAlign w:val="bottom"/>
            <w:tcBorders>
              <w:bottom w:val="single" w:sz="8" w:color="CCEEFF"/>
            </w:tcBorders>
            <w:gridSpan w:val="19"/>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S-45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4"/>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Notice to Investors</w:t>
              </w:r>
            </w:hyperlink>
          </w:p>
        </w:tc>
        <w:tc>
          <w:tcPr>
            <w:tcW w:w="2660" w:type="dxa"/>
            <w:vAlign w:val="bottom"/>
          </w:tcPr>
          <w:p>
            <w:pPr>
              <w:jc w:val="center"/>
              <w:ind w:left="1672"/>
              <w:spacing w:after="0" w:line="176" w:lineRule="exact"/>
              <w:rPr>
                <w:sz w:val="20"/>
                <w:szCs w:val="20"/>
                <w:color w:val="auto"/>
              </w:rPr>
            </w:pPr>
            <w:r>
              <w:rPr>
                <w:rFonts w:ascii="Arial" w:cs="Arial" w:eastAsia="Arial" w:hAnsi="Arial"/>
                <w:sz w:val="18"/>
                <w:szCs w:val="18"/>
                <w:color w:val="auto"/>
                <w:w w:val="89"/>
              </w:rPr>
              <w:t>S-46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Legal Matters</w:t>
              </w:r>
            </w:hyperlink>
          </w:p>
        </w:tc>
        <w:tc>
          <w:tcPr>
            <w:tcW w:w="2660" w:type="dxa"/>
            <w:vAlign w:val="bottom"/>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S-48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Experts</w:t>
              </w:r>
            </w:hyperlink>
          </w:p>
        </w:tc>
        <w:tc>
          <w:tcPr>
            <w:tcW w:w="7780" w:type="dxa"/>
            <w:vAlign w:val="bottom"/>
            <w:tcBorders>
              <w:top w:val="single" w:sz="8" w:color="CCEEFF"/>
            </w:tcBorders>
            <w:gridSpan w:val="18"/>
          </w:tcPr>
          <w:p>
            <w:pPr>
              <w:spacing w:after="0"/>
              <w:rPr>
                <w:sz w:val="15"/>
                <w:szCs w:val="15"/>
                <w:color w:val="auto"/>
              </w:rPr>
            </w:pPr>
          </w:p>
        </w:tc>
        <w:tc>
          <w:tcPr>
            <w:tcW w:w="2660" w:type="dxa"/>
            <w:vAlign w:val="bottom"/>
            <w:tcBorders>
              <w:top w:val="single" w:sz="8" w:color="CCEEFF"/>
            </w:tcBorders>
          </w:tcPr>
          <w:p>
            <w:pPr>
              <w:jc w:val="center"/>
              <w:ind w:left="1672"/>
              <w:spacing w:after="0" w:line="176" w:lineRule="exact"/>
              <w:rPr>
                <w:sz w:val="20"/>
                <w:szCs w:val="20"/>
                <w:color w:val="auto"/>
              </w:rPr>
            </w:pPr>
            <w:r>
              <w:rPr>
                <w:rFonts w:ascii="Arial" w:cs="Arial" w:eastAsia="Arial" w:hAnsi="Arial"/>
                <w:sz w:val="18"/>
                <w:szCs w:val="18"/>
                <w:color w:val="auto"/>
                <w:w w:val="89"/>
              </w:rPr>
              <w:t>S-48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Where You Can Find More Information</w:t>
              </w:r>
            </w:hyperlink>
          </w:p>
        </w:tc>
        <w:tc>
          <w:tcPr>
            <w:tcW w:w="2660" w:type="dxa"/>
            <w:vAlign w:val="bottom"/>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S-48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4"/>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Incorporation of Certain Information by Reference</w:t>
              </w:r>
            </w:hyperlink>
          </w:p>
        </w:tc>
        <w:tc>
          <w:tcPr>
            <w:tcW w:w="2660" w:type="dxa"/>
            <w:vAlign w:val="bottom"/>
          </w:tcPr>
          <w:p>
            <w:pPr>
              <w:jc w:val="center"/>
              <w:ind w:left="1652"/>
              <w:spacing w:after="0" w:line="176" w:lineRule="exact"/>
              <w:rPr>
                <w:sz w:val="20"/>
                <w:szCs w:val="20"/>
                <w:color w:val="auto"/>
              </w:rPr>
            </w:pPr>
            <w:r>
              <w:rPr>
                <w:rFonts w:ascii="Arial" w:cs="Arial" w:eastAsia="Arial" w:hAnsi="Arial"/>
                <w:sz w:val="18"/>
                <w:szCs w:val="18"/>
                <w:color w:val="auto"/>
                <w:w w:val="88"/>
              </w:rPr>
              <w:t>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40" w:type="dxa"/>
            <w:vAlign w:val="bottom"/>
            <w:gridSpan w:val="2"/>
          </w:tcPr>
          <w:p>
            <w:pPr>
              <w:jc w:val="center"/>
              <w:ind w:right="1780"/>
              <w:spacing w:after="0"/>
              <w:rPr>
                <w:sz w:val="20"/>
                <w:szCs w:val="20"/>
                <w:color w:val="auto"/>
              </w:rPr>
            </w:pPr>
            <w:r>
              <w:rPr>
                <w:rFonts w:ascii="Arial" w:cs="Arial" w:eastAsia="Arial" w:hAnsi="Arial"/>
                <w:sz w:val="18"/>
                <w:szCs w:val="18"/>
                <w:b w:val="1"/>
                <w:bCs w:val="1"/>
                <w:color w:val="auto"/>
                <w:w w:val="83"/>
              </w:rPr>
              <w:t>Prospectus</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4"/>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About this Prospectus</w:t>
              </w:r>
            </w:hyperlink>
          </w:p>
        </w:tc>
        <w:tc>
          <w:tcPr>
            <w:tcW w:w="2660" w:type="dxa"/>
            <w:vAlign w:val="bottom"/>
          </w:tcPr>
          <w:p>
            <w:pPr>
              <w:jc w:val="center"/>
              <w:ind w:left="1672"/>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4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Company Overview</w:t>
            </w:r>
          </w:p>
        </w:tc>
        <w:tc>
          <w:tcPr>
            <w:tcW w:w="2660" w:type="dxa"/>
            <w:vAlign w:val="bottom"/>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Risk Factors</w:t>
              </w:r>
            </w:hyperlink>
          </w:p>
        </w:tc>
        <w:tc>
          <w:tcPr>
            <w:tcW w:w="7340" w:type="dxa"/>
            <w:vAlign w:val="bottom"/>
            <w:tcBorders>
              <w:top w:val="single" w:sz="8" w:color="CCEEFF"/>
            </w:tcBorders>
            <w:gridSpan w:val="14"/>
          </w:tcPr>
          <w:p>
            <w:pPr>
              <w:spacing w:after="0"/>
              <w:rPr>
                <w:sz w:val="15"/>
                <w:szCs w:val="15"/>
                <w:color w:val="auto"/>
              </w:rPr>
            </w:pPr>
          </w:p>
        </w:tc>
        <w:tc>
          <w:tcPr>
            <w:tcW w:w="2660" w:type="dxa"/>
            <w:vAlign w:val="bottom"/>
            <w:tcBorders>
              <w:top w:val="single" w:sz="8" w:color="CCEEFF"/>
            </w:tcBorders>
          </w:tcPr>
          <w:p>
            <w:pPr>
              <w:jc w:val="center"/>
              <w:ind w:left="1672"/>
              <w:spacing w:after="0" w:line="17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Cautionary Notes Regarding Forward-Looking Statements</w:t>
              </w:r>
            </w:hyperlink>
          </w:p>
        </w:tc>
        <w:tc>
          <w:tcPr>
            <w:tcW w:w="2660" w:type="dxa"/>
            <w:vAlign w:val="bottom"/>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Borders>
              <w:top w:val="single" w:sz="8" w:color="0000EE"/>
            </w:tcBorders>
            <w:gridSpan w:val="22"/>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Ratio of Earnings to Fixed Charges</w:t>
              </w:r>
            </w:hyperlink>
          </w:p>
        </w:tc>
        <w:tc>
          <w:tcPr>
            <w:tcW w:w="4640" w:type="dxa"/>
            <w:vAlign w:val="bottom"/>
            <w:tcBorders>
              <w:top w:val="single" w:sz="8" w:color="CCEEFF"/>
            </w:tcBorders>
            <w:gridSpan w:val="2"/>
          </w:tcPr>
          <w:p>
            <w:pPr>
              <w:spacing w:after="0"/>
              <w:rPr>
                <w:sz w:val="15"/>
                <w:szCs w:val="15"/>
                <w:color w:val="auto"/>
              </w:rPr>
            </w:pPr>
          </w:p>
        </w:tc>
        <w:tc>
          <w:tcPr>
            <w:tcW w:w="2660" w:type="dxa"/>
            <w:vAlign w:val="bottom"/>
            <w:tcBorders>
              <w:top w:val="single" w:sz="8" w:color="CCEEFF"/>
            </w:tcBorders>
          </w:tcPr>
          <w:p>
            <w:pPr>
              <w:jc w:val="center"/>
              <w:ind w:left="1672"/>
              <w:spacing w:after="0" w:line="176"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Use of Proceeds</w:t>
              </w:r>
            </w:hyperlink>
          </w:p>
        </w:tc>
        <w:tc>
          <w:tcPr>
            <w:tcW w:w="2660" w:type="dxa"/>
            <w:vAlign w:val="bottom"/>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4"/>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Description of our Capital Stock</w:t>
              </w:r>
            </w:hyperlink>
          </w:p>
        </w:tc>
        <w:tc>
          <w:tcPr>
            <w:tcW w:w="2660" w:type="dxa"/>
            <w:vAlign w:val="bottom"/>
          </w:tcPr>
          <w:p>
            <w:pPr>
              <w:jc w:val="center"/>
              <w:ind w:left="1672"/>
              <w:spacing w:after="0" w:line="176" w:lineRule="exact"/>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Description of our Warrants</w:t>
              </w:r>
            </w:hyperlink>
          </w:p>
        </w:tc>
        <w:tc>
          <w:tcPr>
            <w:tcW w:w="2660" w:type="dxa"/>
            <w:vAlign w:val="bottom"/>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Description of our Units</w:t>
              </w:r>
            </w:hyperlink>
          </w:p>
        </w:tc>
        <w:tc>
          <w:tcPr>
            <w:tcW w:w="6800" w:type="dxa"/>
            <w:vAlign w:val="bottom"/>
            <w:tcBorders>
              <w:top w:val="single" w:sz="8" w:color="CCEEFF"/>
            </w:tcBorders>
            <w:gridSpan w:val="11"/>
          </w:tcPr>
          <w:p>
            <w:pPr>
              <w:spacing w:after="0"/>
              <w:rPr>
                <w:sz w:val="15"/>
                <w:szCs w:val="15"/>
                <w:color w:val="auto"/>
              </w:rPr>
            </w:pPr>
          </w:p>
        </w:tc>
        <w:tc>
          <w:tcPr>
            <w:tcW w:w="2660" w:type="dxa"/>
            <w:vAlign w:val="bottom"/>
            <w:tcBorders>
              <w:top w:val="single" w:sz="8" w:color="CCEEFF"/>
            </w:tcBorders>
          </w:tcPr>
          <w:p>
            <w:pPr>
              <w:jc w:val="center"/>
              <w:ind w:left="1672"/>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Description of Certain Provisions of Nevada Law and Our Articles of Incorporation and Bylaws</w:t>
              </w:r>
            </w:hyperlink>
          </w:p>
        </w:tc>
        <w:tc>
          <w:tcPr>
            <w:tcW w:w="2660" w:type="dxa"/>
            <w:vAlign w:val="bottom"/>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tcBorders>
              <w:top w:val="single" w:sz="8" w:color="0000EE"/>
            </w:tcBorders>
            <w:gridSpan w:val="23"/>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Plan of Distribution</w:t>
              </w:r>
            </w:hyperlink>
          </w:p>
        </w:tc>
        <w:tc>
          <w:tcPr>
            <w:tcW w:w="2000" w:type="dxa"/>
            <w:vAlign w:val="bottom"/>
            <w:tcBorders>
              <w:top w:val="single" w:sz="8" w:color="CCEEFF"/>
            </w:tcBorders>
          </w:tcPr>
          <w:p>
            <w:pPr>
              <w:spacing w:after="0"/>
              <w:rPr>
                <w:sz w:val="15"/>
                <w:szCs w:val="15"/>
                <w:color w:val="auto"/>
              </w:rPr>
            </w:pPr>
          </w:p>
        </w:tc>
        <w:tc>
          <w:tcPr>
            <w:tcW w:w="2660" w:type="dxa"/>
            <w:vAlign w:val="bottom"/>
            <w:tcBorders>
              <w:top w:val="single" w:sz="8" w:color="CCEEFF"/>
            </w:tcBorders>
          </w:tcPr>
          <w:p>
            <w:pPr>
              <w:jc w:val="center"/>
              <w:ind w:left="1672"/>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Legal Matters</w:t>
              </w:r>
            </w:hyperlink>
          </w:p>
        </w:tc>
        <w:tc>
          <w:tcPr>
            <w:tcW w:w="2660" w:type="dxa"/>
            <w:vAlign w:val="bottom"/>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Experts</w:t>
              </w:r>
            </w:hyperlink>
          </w:p>
        </w:tc>
        <w:tc>
          <w:tcPr>
            <w:tcW w:w="7780" w:type="dxa"/>
            <w:vAlign w:val="bottom"/>
            <w:tcBorders>
              <w:top w:val="single" w:sz="8" w:color="CCEEFF"/>
            </w:tcBorders>
            <w:gridSpan w:val="18"/>
          </w:tcPr>
          <w:p>
            <w:pPr>
              <w:spacing w:after="0"/>
              <w:rPr>
                <w:sz w:val="15"/>
                <w:szCs w:val="15"/>
                <w:color w:val="auto"/>
              </w:rPr>
            </w:pPr>
          </w:p>
        </w:tc>
        <w:tc>
          <w:tcPr>
            <w:tcW w:w="2660" w:type="dxa"/>
            <w:vAlign w:val="bottom"/>
            <w:tcBorders>
              <w:top w:val="single" w:sz="8" w:color="CCEEFF"/>
            </w:tcBorders>
          </w:tcPr>
          <w:p>
            <w:pPr>
              <w:jc w:val="center"/>
              <w:ind w:left="1672"/>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Where You Can Find More Information</w:t>
              </w:r>
            </w:hyperlink>
          </w:p>
        </w:tc>
        <w:tc>
          <w:tcPr>
            <w:tcW w:w="2660" w:type="dxa"/>
            <w:vAlign w:val="bottom"/>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0000EE"/>
            </w:tcBorders>
            <w:vMerge w:val="continue"/>
          </w:tcPr>
          <w:p>
            <w:pPr>
              <w:spacing w:after="0"/>
              <w:rPr>
                <w:sz w:val="15"/>
                <w:szCs w:val="15"/>
                <w:color w:val="auto"/>
              </w:rPr>
            </w:pPr>
          </w:p>
        </w:tc>
        <w:tc>
          <w:tcPr>
            <w:tcW w:w="3560" w:type="dxa"/>
            <w:vAlign w:val="bottom"/>
            <w:tcBorders>
              <w:bottom w:val="single" w:sz="8" w:color="0000EE"/>
            </w:tcBorders>
            <w:gridSpan w:val="20"/>
          </w:tcPr>
          <w:p>
            <w:pPr>
              <w:spacing w:after="0" w:line="17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Incorporation of Certain Information by Reference</w:t>
              </w:r>
            </w:hyperlink>
          </w:p>
        </w:tc>
        <w:tc>
          <w:tcPr>
            <w:tcW w:w="5180" w:type="dxa"/>
            <w:vAlign w:val="bottom"/>
            <w:gridSpan w:val="4"/>
          </w:tcPr>
          <w:p>
            <w:pPr>
              <w:spacing w:after="0"/>
              <w:rPr>
                <w:sz w:val="15"/>
                <w:szCs w:val="15"/>
                <w:color w:val="auto"/>
              </w:rPr>
            </w:pPr>
          </w:p>
        </w:tc>
        <w:tc>
          <w:tcPr>
            <w:tcW w:w="2660" w:type="dxa"/>
            <w:vAlign w:val="bottom"/>
          </w:tcPr>
          <w:p>
            <w:pPr>
              <w:jc w:val="center"/>
              <w:ind w:left="1672"/>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 w:name="page3"/>
    <w:bookmarkEnd w:id="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164"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 xml:space="preserve">This prospectus supplement and the accompanying prospectus form a part of a registration statement on Form S-3 that we filed with the Securities and Exchange Commission (the </w:t>
      </w:r>
      <w:r>
        <w:rPr>
          <w:rFonts w:ascii="Arial" w:cs="Arial" w:eastAsia="Arial" w:hAnsi="Arial"/>
          <w:sz w:val="15"/>
          <w:szCs w:val="15"/>
          <w:i w:val="1"/>
          <w:iCs w:val="1"/>
          <w:color w:val="auto"/>
        </w:rPr>
        <w:t>SEC</w:t>
      </w:r>
      <w:r>
        <w:rPr>
          <w:rFonts w:ascii="Arial" w:cs="Arial" w:eastAsia="Arial" w:hAnsi="Arial"/>
          <w:sz w:val="15"/>
          <w:szCs w:val="15"/>
          <w:color w:val="auto"/>
        </w:rPr>
        <w:t>) utilizing a “shelf” registration process. This document is in two parts. The first part is the prospectus supplement, which describes the specific terms of this offering. The second part, the accompanying prospectus, provides more general information about the securities we may offer from time to time, some of which may not apply to the securities offered by this prospectus supplement. Generally, when we refer to this prospectus, we are referring to both parts of this document combined. Before you invest, you should carefully read this prospectus supplement, the accompanying prospectus, all information incorporated by reference herein and therein, and the additional information described under “</w:t>
      </w:r>
      <w:r>
        <w:rPr>
          <w:rFonts w:ascii="Arial" w:cs="Arial" w:eastAsia="Arial" w:hAnsi="Arial"/>
          <w:sz w:val="15"/>
          <w:szCs w:val="15"/>
          <w:i w:val="1"/>
          <w:iCs w:val="1"/>
          <w:color w:val="auto"/>
        </w:rPr>
        <w:t>Where You Can Find More Information</w:t>
      </w:r>
      <w:r>
        <w:rPr>
          <w:rFonts w:ascii="Arial" w:cs="Arial" w:eastAsia="Arial" w:hAnsi="Arial"/>
          <w:sz w:val="15"/>
          <w:szCs w:val="15"/>
          <w:color w:val="auto"/>
        </w:rPr>
        <w:t>” on page S-48 of this prospectus supplement. These documents contain information you should consider when making your investment decision. This prospectus supplement may add, update or change information contained in the accompanying prospectus. To the extent that any statement that we make in this prospectus supplement is inconsistent with statements made in the accompanying prospectus or any documents incorporated by reference therein, the statements made in this prospectus supplement will be deemed to modify or supersede those made in the accompanying prospectus and such documents incorporated by reference therein.</w:t>
      </w:r>
    </w:p>
    <w:p>
      <w:pPr>
        <w:spacing w:after="0" w:line="9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Neither we nor the underwriters have authorized any other person to provide you with any information that is different. We are offering to sell, and seeking offers to buy, our securities only in jurisdictions where offers and sales are permitted. The distribution of this prospectus supplement and the accompanying prospectus and the offering of the securities in certain jurisdictions may be restricted by law. Persons outside the United States who come into possession of this prospectus supplement and/or the accompanying prospectus must inform themselves about, and observe any restrictions relating to, the offering of the securities and the distribution of this prospectus supplement and/or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references in this prospectus supplement to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refer to VistaGen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 SUMMARY</w:t>
      </w:r>
    </w:p>
    <w:p>
      <w:pPr>
        <w:spacing w:after="0" w:line="16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This summary highlights selected information about our company, this offering and information appearing elsewhere in this prospectus supplement, in the accompanying prospectus, in the documents we incorporate by reference and in any free writing prospectus that we have authorized for use in connection with this offering. This summary is not complete and does not contain all the information that you should consider before investing in our securities. You should read this entire prospectus supplement and the accompanying prospectus carefully, including the “Risk Factors” contained in this prospectus supplement, the accompanying prospectus and the financial statements and the notes thereto incorporated by reference in this prospectus supplement and the accompanying prospectus and any free writing prospectus that we have authorized for use in connection with this offering, before making an investment decision. This prospectus supplement may add to, update or change information in the accompanying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clinical-stage biopharmaceutical company focused on developing new generation medicines for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 Unless the context otherwise requires, the words “</w:t>
      </w:r>
      <w:r>
        <w:rPr>
          <w:rFonts w:ascii="Arial" w:cs="Arial" w:eastAsia="Arial" w:hAnsi="Arial"/>
          <w:sz w:val="18"/>
          <w:szCs w:val="18"/>
          <w:i w:val="1"/>
          <w:iCs w:val="1"/>
          <w:color w:val="auto"/>
        </w:rPr>
        <w:t>VistaGen Therapeutics, Inc.</w:t>
      </w:r>
      <w:r>
        <w:rPr>
          <w:rFonts w:ascii="Arial" w:cs="Arial" w:eastAsia="Arial" w:hAnsi="Arial"/>
          <w:sz w:val="18"/>
          <w:szCs w:val="18"/>
          <w:color w:val="auto"/>
        </w:rPr>
        <w:t>” “</w:t>
      </w:r>
      <w:r>
        <w:rPr>
          <w:rFonts w:ascii="Arial" w:cs="Arial" w:eastAsia="Arial" w:hAnsi="Arial"/>
          <w:sz w:val="18"/>
          <w:szCs w:val="18"/>
          <w:i w:val="1"/>
          <w:iCs w:val="1"/>
          <w:color w:val="auto"/>
        </w:rPr>
        <w:t>VistaGen</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the Company</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refer to VistaGen Therapeutics, Inc., a Nevada corporation. All references to future quarters and years in this prospectus supplement refer to calendar quarters and calendar years, unless reference is made otherwise.</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AV-101 is our oral CNS product candidate in Phase 2 clinical development in the United States, initially as a new generation adjunctive treatment for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in patients with an inadequate response to standard antidepressants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AV-101’s mechanism of action (</w:t>
      </w:r>
      <w:r>
        <w:rPr>
          <w:rFonts w:ascii="Arial" w:cs="Arial" w:eastAsia="Arial" w:hAnsi="Arial"/>
          <w:sz w:val="16"/>
          <w:szCs w:val="16"/>
          <w:i w:val="1"/>
          <w:iCs w:val="1"/>
          <w:color w:val="auto"/>
        </w:rPr>
        <w:t>MOA</w:t>
      </w:r>
      <w:r>
        <w:rPr>
          <w:rFonts w:ascii="Arial" w:cs="Arial" w:eastAsia="Arial" w:hAnsi="Arial"/>
          <w:sz w:val="16"/>
          <w:szCs w:val="16"/>
          <w:color w:val="auto"/>
        </w:rPr>
        <w:t xml:space="preserve">) involves both NMDA (N-methyl-D-aspartate) and AMPA (alpha-amino-3-hydroxy-5-methyl-4-isoxazolepropionic acid) receptors in the brain responsible for fast excitatory synaptic activity throughout the CNS. AV-101’s MOA is fundamentally differentiated from all FDA-approved antidepressants, as well as all atypical antipsychotics such as aripiprazole often used adjunctively to augment them. We believe AV-101 also has potential as a new treatment alternative for several additional CNS indications, including epilepsy, Huntington’s disease, levadopa </w:t>
      </w:r>
      <w:r>
        <w:rPr>
          <w:rFonts w:ascii="Arial" w:cs="Arial" w:eastAsia="Arial" w:hAnsi="Arial"/>
          <w:sz w:val="16"/>
          <w:szCs w:val="16"/>
          <w:i w:val="1"/>
          <w:iCs w:val="1"/>
          <w:color w:val="auto"/>
        </w:rPr>
        <w:t>(L-DOPA</w:t>
      </w:r>
      <w:r>
        <w:rPr>
          <w:rFonts w:ascii="Arial" w:cs="Arial" w:eastAsia="Arial" w:hAnsi="Arial"/>
          <w:sz w:val="16"/>
          <w:szCs w:val="16"/>
          <w:color w:val="auto"/>
        </w:rPr>
        <w:t>)-induced dyskinesia associated with Parkinson’s disease, and as a potential non-opioid treatment for neuropathic pain.</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Clinical studies conducted at the U.S. National Institute of Mental Health (</w:t>
      </w:r>
      <w:r>
        <w:rPr>
          <w:rFonts w:ascii="Arial" w:cs="Arial" w:eastAsia="Arial" w:hAnsi="Arial"/>
          <w:sz w:val="16"/>
          <w:szCs w:val="16"/>
          <w:i w:val="1"/>
          <w:iCs w:val="1"/>
          <w:color w:val="auto"/>
        </w:rPr>
        <w:t>NIMH</w:t>
      </w:r>
      <w:r>
        <w:rPr>
          <w:rFonts w:ascii="Arial" w:cs="Arial" w:eastAsia="Arial" w:hAnsi="Arial"/>
          <w:sz w:val="16"/>
          <w:szCs w:val="16"/>
          <w:color w:val="auto"/>
        </w:rPr>
        <w:t>), part of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by Dr. Carlos Zarate, Jr., Chief of the NIMH’s Experimental Therapeutics &amp; Pathophysiology Branch and its Section on Neurobiology and Treatment of Mood and Anxiety Disorders, have focused on the antidepressant effects of low dose ketamine hydrochloride injection (</w:t>
      </w:r>
      <w:r>
        <w:rPr>
          <w:rFonts w:ascii="Arial" w:cs="Arial" w:eastAsia="Arial" w:hAnsi="Arial"/>
          <w:sz w:val="16"/>
          <w:szCs w:val="16"/>
          <w:i w:val="1"/>
          <w:iCs w:val="1"/>
          <w:color w:val="auto"/>
        </w:rPr>
        <w:t>ketamine</w:t>
      </w:r>
      <w:r>
        <w:rPr>
          <w:rFonts w:ascii="Arial" w:cs="Arial" w:eastAsia="Arial" w:hAnsi="Arial"/>
          <w:sz w:val="16"/>
          <w:szCs w:val="16"/>
          <w:color w:val="auto"/>
        </w:rPr>
        <w:t>), an ion-channel blocking NMDA receptor antagonist, in MDD patients with inadequate responses to multiple standard antidepressants. These NIMH studies, as well as clinical research at Yale University and other academic institutions, have demonstrated robust antidepressant effects in treatment-resistant MDD patients within twenty-four hours of a single sub-anesthetic dose of ketamine administered by intravenous (</w:t>
      </w:r>
      <w:r>
        <w:rPr>
          <w:rFonts w:ascii="Arial" w:cs="Arial" w:eastAsia="Arial" w:hAnsi="Arial"/>
          <w:sz w:val="16"/>
          <w:szCs w:val="16"/>
          <w:i w:val="1"/>
          <w:iCs w:val="1"/>
          <w:color w:val="auto"/>
        </w:rPr>
        <w:t>IV</w:t>
      </w:r>
      <w:r>
        <w:rPr>
          <w:rFonts w:ascii="Arial" w:cs="Arial" w:eastAsia="Arial" w:hAnsi="Arial"/>
          <w:sz w:val="16"/>
          <w:szCs w:val="16"/>
          <w:color w:val="auto"/>
        </w:rPr>
        <w:t>) injection.</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believe orally-administered AV-101 may have potential to deliver ketamine-like antidepressant effects without ketamine’s psychological and other negative side effects. As published in the October 2015 issue of the peer-reviewed, </w:t>
      </w:r>
      <w:r>
        <w:rPr>
          <w:rFonts w:ascii="Arial" w:cs="Arial" w:eastAsia="Arial" w:hAnsi="Arial"/>
          <w:sz w:val="16"/>
          <w:szCs w:val="16"/>
          <w:i w:val="1"/>
          <w:iCs w:val="1"/>
          <w:color w:val="auto"/>
        </w:rPr>
        <w:t>Journal of Pharmacology and Experimental Therapeutics,</w:t>
      </w:r>
      <w:r>
        <w:rPr>
          <w:rFonts w:ascii="Arial" w:cs="Arial" w:eastAsia="Arial" w:hAnsi="Arial"/>
          <w:sz w:val="16"/>
          <w:szCs w:val="16"/>
          <w:color w:val="auto"/>
        </w:rPr>
        <w:t xml:space="preserve"> in an article titled,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prodrug 4-chlorokynurenine causes ketamine-like antidepressant effects, but not side effects, by NMDA/glycineB-site inhibition, </w:t>
      </w:r>
      <w:r>
        <w:rPr>
          <w:rFonts w:ascii="Arial" w:cs="Arial" w:eastAsia="Arial" w:hAnsi="Arial"/>
          <w:sz w:val="16"/>
          <w:szCs w:val="16"/>
          <w:color w:val="auto"/>
        </w:rPr>
        <w:t>using well-established preclinical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models of depression, AV-101 was shown to induce fast-acting, dose-dependent, persistent and 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both inhibiting the GlyB site of the NMDA receptor and activating the AMPA receptor pathway in the brain.</w:t>
      </w:r>
    </w:p>
    <w:p>
      <w:pPr>
        <w:spacing w:after="0" w:line="17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our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NIMH, the NIMH is funding, and Dr. Zarate, as Principal Investigator, and his team are conducting, a small Phase 2 clinical study of AV-101 monotherapy in subjects with treatment-resistant MDD (the </w:t>
      </w:r>
      <w:r>
        <w:rPr>
          <w:rFonts w:ascii="Arial" w:cs="Arial" w:eastAsia="Arial" w:hAnsi="Arial"/>
          <w:sz w:val="16"/>
          <w:szCs w:val="16"/>
          <w:i w:val="1"/>
          <w:iCs w:val="1"/>
          <w:color w:val="auto"/>
        </w:rPr>
        <w:t>NIMH AV-101 MDD Phase 2</w:t>
      </w:r>
      <w:r>
        <w:rPr>
          <w:rFonts w:ascii="Arial" w:cs="Arial" w:eastAsia="Arial" w:hAnsi="Arial"/>
          <w:sz w:val="16"/>
          <w:szCs w:val="16"/>
          <w:color w:val="auto"/>
        </w:rPr>
        <w:t xml:space="preserve"> </w:t>
      </w:r>
      <w:r>
        <w:rPr>
          <w:rFonts w:ascii="Arial" w:cs="Arial" w:eastAsia="Arial" w:hAnsi="Arial"/>
          <w:sz w:val="16"/>
          <w:szCs w:val="16"/>
          <w:i w:val="1"/>
          <w:iCs w:val="1"/>
          <w:color w:val="auto"/>
        </w:rPr>
        <w:t>Monotherapy Study</w:t>
      </w:r>
      <w:r>
        <w:rPr>
          <w:rFonts w:ascii="Arial" w:cs="Arial" w:eastAsia="Arial" w:hAnsi="Arial"/>
          <w:sz w:val="16"/>
          <w:szCs w:val="16"/>
          <w:color w:val="auto"/>
        </w:rPr>
        <w:t>). Subject to the satisfaction of certain requirements described more fully below, we intend to launch in the first quarter of 2018 a 180-patient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Phase 2 multi-center, multi-dose, double blind, placebo-controlled efficacy and safety study of AV-101 as a new generation adjunctive treatment of MDD in adult patients with an inadequate response to standard, FDA-approved antidepressants (the </w:t>
      </w:r>
      <w:r>
        <w:rPr>
          <w:rFonts w:ascii="Arial" w:cs="Arial" w:eastAsia="Arial" w:hAnsi="Arial"/>
          <w:sz w:val="16"/>
          <w:szCs w:val="16"/>
          <w:i w:val="1"/>
          <w:iCs w:val="1"/>
          <w:color w:val="auto"/>
        </w:rPr>
        <w:t>AV-101 MDD Phase 2 Adjunctive Treatment Study</w:t>
      </w:r>
      <w:r>
        <w:rPr>
          <w:rFonts w:ascii="Arial" w:cs="Arial" w:eastAsia="Arial" w:hAnsi="Arial"/>
          <w:sz w:val="16"/>
          <w:szCs w:val="16"/>
          <w:color w:val="auto"/>
        </w:rPr>
        <w:t>). Dr. Maurizio Fava, Professor of Psychiatry at Harvard Medical School and Director, Division of Clinical Research,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Research Institute, will be the Principal Investigator of our AV-101 MDD Phase 2 Adjunctive Treatment Study. Dr. Fava was the co-Principal Investigator with Dr. A. John Rush of the STAR*D study, the largest clinical trial conducted in depression to date, whose findings were published in journals such as the New England Journal of Medicine (</w:t>
      </w:r>
      <w:r>
        <w:rPr>
          <w:rFonts w:ascii="Arial" w:cs="Arial" w:eastAsia="Arial" w:hAnsi="Arial"/>
          <w:sz w:val="16"/>
          <w:szCs w:val="16"/>
          <w:i w:val="1"/>
          <w:iCs w:val="1"/>
          <w:color w:val="auto"/>
        </w:rPr>
        <w:t>NEJM</w:t>
      </w:r>
      <w:r>
        <w:rPr>
          <w:rFonts w:ascii="Arial" w:cs="Arial" w:eastAsia="Arial" w:hAnsi="Arial"/>
          <w:sz w:val="16"/>
          <w:szCs w:val="16"/>
          <w:color w:val="auto"/>
        </w:rPr>
        <w:t>) and the Journal of the American Medical Association (</w:t>
      </w:r>
      <w:r>
        <w:rPr>
          <w:rFonts w:ascii="Arial" w:cs="Arial" w:eastAsia="Arial" w:hAnsi="Arial"/>
          <w:sz w:val="16"/>
          <w:szCs w:val="16"/>
          <w:i w:val="1"/>
          <w:iCs w:val="1"/>
          <w:color w:val="auto"/>
        </w:rPr>
        <w:t>JAMA</w:t>
      </w:r>
      <w:r>
        <w:rPr>
          <w:rFonts w:ascii="Arial" w:cs="Arial" w:eastAsia="Arial" w:hAnsi="Arial"/>
          <w:sz w:val="16"/>
          <w:szCs w:val="16"/>
          <w:color w:val="auto"/>
        </w:rPr>
        <w:t>). We expect to complete this study by the end of 2018, with top line results available in the first quarter of 2019.</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 owned subsidiary focused on applying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internally and with collaborators, to discover,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CNS and other diseases and (ii)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involving hPSC-derived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xml:space="preserve">, our customized cardiac bioassay system, to develop small molecule NCEs for our pipeline. To advance potential RM applications of its cardiac stem cell technology, in December 2016, VistaStem exclusively sublicensed to BlueRock Therapeutics LP, a next generation RM company established by Bayer AG and Versant Ventures, rights to certain proprietary technologies relating to the production of cardiac stem cells for the treatment of heart disease (the </w:t>
      </w:r>
      <w:r>
        <w:rPr>
          <w:rFonts w:ascii="Arial" w:cs="Arial" w:eastAsia="Arial" w:hAnsi="Arial"/>
          <w:sz w:val="16"/>
          <w:szCs w:val="16"/>
          <w:i w:val="1"/>
          <w:iCs w:val="1"/>
          <w:color w:val="auto"/>
        </w:rPr>
        <w:t>BlueRock Agreement</w:t>
      </w:r>
      <w:r>
        <w:rPr>
          <w:rFonts w:ascii="Arial" w:cs="Arial" w:eastAsia="Arial" w:hAnsi="Arial"/>
          <w:sz w:val="16"/>
          <w:szCs w:val="16"/>
          <w:color w:val="auto"/>
        </w:rPr>
        <w:t>). In a manner similar to its exclusive sublicense agreement with BlueRock Therapeutics, VistaStem may pursue additional RM collaborations or licensing transactions involving blood, cartilage, and/or liver cells derived from hPSCs for (A) cell-based therapy, (B) cell repair therapy, and/or (C) tissue engineering.</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Spring 2017 Private Placement</w:t>
      </w:r>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Between late-March 2017 and August 2017, we sold to accredited investors, in a self-placed private placement, units consisting of an aggregate of 523,572 unregistered shares of our common stock and warrants to purchase up to an aggregate of 276,071 unregistered shares of our common stock pursuant to which we received proceeds of approximately $1.04 million (the </w:t>
      </w:r>
      <w:r>
        <w:rPr>
          <w:rFonts w:ascii="Arial" w:cs="Arial" w:eastAsia="Arial" w:hAnsi="Arial"/>
          <w:sz w:val="16"/>
          <w:szCs w:val="16"/>
          <w:i w:val="1"/>
          <w:iCs w:val="1"/>
          <w:color w:val="auto"/>
        </w:rPr>
        <w:t>Spring 2017 Private Placement</w:t>
      </w:r>
      <w:r>
        <w:rPr>
          <w:rFonts w:ascii="Arial" w:cs="Arial" w:eastAsia="Arial" w:hAnsi="Arial"/>
          <w:sz w:val="16"/>
          <w:szCs w:val="16"/>
          <w:color w:val="auto"/>
        </w:rPr>
        <w:t>). Included with the accredited investors that participated in the Spring 2017 Private Placement was Dr. Jerry Gin, a member of our Board of Directors, and his spouse, who together purchased an aggregate total of 100,000 shares of unregistered common stock and warrants to purchase up to 50,000 shares of common stock for an aggregate purchase price of $200,000.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and Major Depressive Disorder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World Health Organization (</w:t>
      </w:r>
      <w:r>
        <w:rPr>
          <w:rFonts w:ascii="Arial" w:cs="Arial" w:eastAsia="Arial" w:hAnsi="Arial"/>
          <w:sz w:val="18"/>
          <w:szCs w:val="18"/>
          <w:i w:val="1"/>
          <w:iCs w:val="1"/>
          <w:color w:val="auto"/>
        </w:rPr>
        <w:t>WHO</w:t>
      </w:r>
      <w:r>
        <w:rPr>
          <w:rFonts w:ascii="Arial" w:cs="Arial" w:eastAsia="Arial" w:hAnsi="Arial"/>
          <w:sz w:val="18"/>
          <w:szCs w:val="18"/>
          <w:color w:val="auto"/>
        </w:rPr>
        <w:t>) estimates that 300 million people worldwide are affected by depression. According to the NIH, major depression is one of the most common mental disorders in the U.S. The NIMH reports that, in 2014, approximately 16 million adults in the U.S. had at least one major depressive episode in the past year. According to the U.S. Centers for Disease Control and Prevention (</w:t>
      </w:r>
      <w:r>
        <w:rPr>
          <w:rFonts w:ascii="Arial" w:cs="Arial" w:eastAsia="Arial" w:hAnsi="Arial"/>
          <w:sz w:val="18"/>
          <w:szCs w:val="18"/>
          <w:i w:val="1"/>
          <w:iCs w:val="1"/>
          <w:color w:val="auto"/>
        </w:rPr>
        <w:t>CDC</w:t>
      </w:r>
      <w:r>
        <w:rPr>
          <w:rFonts w:ascii="Arial" w:cs="Arial" w:eastAsia="Arial" w:hAnsi="Arial"/>
          <w:sz w:val="18"/>
          <w:szCs w:val="18"/>
          <w:color w:val="auto"/>
        </w:rPr>
        <w:t>) one in 10 Americans over the age of 12 takes a standard, FDA-approved antidepressant.</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Most standard antidepressants target neurotransmitter reuptake inhibition – either serotonin (antidepressants known as </w:t>
      </w:r>
      <w:r>
        <w:rPr>
          <w:rFonts w:ascii="Arial" w:cs="Arial" w:eastAsia="Arial" w:hAnsi="Arial"/>
          <w:sz w:val="18"/>
          <w:szCs w:val="18"/>
          <w:i w:val="1"/>
          <w:iCs w:val="1"/>
          <w:color w:val="auto"/>
        </w:rPr>
        <w:t>SSRIs</w:t>
      </w:r>
      <w:r>
        <w:rPr>
          <w:rFonts w:ascii="Arial" w:cs="Arial" w:eastAsia="Arial" w:hAnsi="Arial"/>
          <w:sz w:val="18"/>
          <w:szCs w:val="18"/>
          <w:color w:val="auto"/>
        </w:rPr>
        <w:t xml:space="preserve">) or serotonin/norepinephrine (antidepressants known as </w:t>
      </w:r>
      <w:r>
        <w:rPr>
          <w:rFonts w:ascii="Arial" w:cs="Arial" w:eastAsia="Arial" w:hAnsi="Arial"/>
          <w:sz w:val="18"/>
          <w:szCs w:val="18"/>
          <w:i w:val="1"/>
          <w:iCs w:val="1"/>
          <w:color w:val="auto"/>
        </w:rPr>
        <w:t>SNRIs</w:t>
      </w:r>
      <w:r>
        <w:rPr>
          <w:rFonts w:ascii="Arial" w:cs="Arial" w:eastAsia="Arial" w:hAnsi="Arial"/>
          <w:sz w:val="18"/>
          <w:szCs w:val="18"/>
          <w:color w:val="auto"/>
        </w:rPr>
        <w:t>). Even when effective, these standard depression medications take many weeks to achieve adequate antidepressant effects. Nearly two out of every three drug-treated depression patients do not obtain adequate therapeutic benefit from initial treatment with a standard antidepressant. Even after treatment with many different standard antidepressants, nearly one out of every three drug-treated depression patients still do not achieve adequate therapeutic benefits from their antidepressant medication. Such patients with an inadequate response to standard antidepressants often seek to augment their treatment regimen by adding an atypical antipsychotic (drugs such as aripiprazole), despite only modest potential therapeutic benefit and the significant risk of additional side effects.</w:t>
      </w:r>
    </w:p>
    <w:p>
      <w:pPr>
        <w:spacing w:after="0" w:line="20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All standard antidepressants have risks of side effects, including, among others, anxiety, metabolic syndrome, sleep disturbance and sexual dysfunction. Adjunctive use of atypical antipsychotics to augment inadequately performing standard antidepressants may increase the risk of significant side effects, including, tardive dyskinesia, substantial weight gain, diabetes and heart disease, while offering only a modest potential increase in therapeutic benefit.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w:t>
      </w: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AV-101 is our oral CNS product candidate in Phase 2 development in the United States, initially focused as a new generation antidepressant for the adjunctive treatment of MDD patients with an inadequate response to standard, FDA-approved antidepressants. As published in the October 2015 issue of the peer-reviewed, </w:t>
      </w:r>
      <w:r>
        <w:rPr>
          <w:rFonts w:ascii="Arial" w:cs="Arial" w:eastAsia="Arial" w:hAnsi="Arial"/>
          <w:sz w:val="16"/>
          <w:szCs w:val="16"/>
          <w:i w:val="1"/>
          <w:iCs w:val="1"/>
          <w:color w:val="auto"/>
        </w:rPr>
        <w:t>Journal of Pharmacology and Experimental Therapeutics,</w:t>
      </w:r>
      <w:r>
        <w:rPr>
          <w:rFonts w:ascii="Arial" w:cs="Arial" w:eastAsia="Arial" w:hAnsi="Arial"/>
          <w:sz w:val="16"/>
          <w:szCs w:val="16"/>
          <w:color w:val="auto"/>
        </w:rPr>
        <w:t xml:space="preserve"> in an article titled, </w:t>
      </w:r>
      <w:r>
        <w:rPr>
          <w:rFonts w:ascii="Arial" w:cs="Arial" w:eastAsia="Arial" w:hAnsi="Arial"/>
          <w:sz w:val="16"/>
          <w:szCs w:val="16"/>
          <w:i w:val="1"/>
          <w:iCs w:val="1"/>
          <w:color w:val="auto"/>
        </w:rPr>
        <w:t>The prodrug 4-chlorokynurenine causes ketamine-like antidepressant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effects, but not side effects, by NMDA/glycineB-site inhibition, </w:t>
      </w:r>
      <w:r>
        <w:rPr>
          <w:rFonts w:ascii="Arial" w:cs="Arial" w:eastAsia="Arial" w:hAnsi="Arial"/>
          <w:sz w:val="16"/>
          <w:szCs w:val="16"/>
          <w:color w:val="auto"/>
        </w:rPr>
        <w:t>using well-established preclinical models of depression, AV-101 was shown to induce fast-acting,</w:t>
      </w:r>
      <w:r>
        <w:rPr>
          <w:rFonts w:ascii="Arial" w:cs="Arial" w:eastAsia="Arial" w:hAnsi="Arial"/>
          <w:sz w:val="16"/>
          <w:szCs w:val="16"/>
          <w:i w:val="1"/>
          <w:iCs w:val="1"/>
          <w:color w:val="auto"/>
        </w:rPr>
        <w:t xml:space="preserve"> </w:t>
      </w:r>
      <w:r>
        <w:rPr>
          <w:rFonts w:ascii="Arial" w:cs="Arial" w:eastAsia="Arial" w:hAnsi="Arial"/>
          <w:sz w:val="16"/>
          <w:szCs w:val="16"/>
          <w:color w:val="auto"/>
        </w:rPr>
        <w:t>dose-dependent, persistent and statistically significant ketamine-like antidepressant effects following a single treatment, responses equivalent to those seen with a single sub-anesthetic control dose of ketamine, without the negative side effects seen with ketamine. In addition, these studies confirmed that the antidepressant effects of AV-101 were mediated through both inhibition of the GlyB site of NMDA receptors and activation of the AMPA receptor pathway in the brain, a key final common pathway feature of certain new generation antidepressants such as ketamine and AV-101, each with a MOA that is fundamentally different from all standard antidepressants and atypical antipsychotics used adjunctively to augment them.</w:t>
      </w:r>
    </w:p>
    <w:p>
      <w:pPr>
        <w:spacing w:after="0" w:line="1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have completed two NIH-funded, randomized, double blind, placebo-controlled AV-101 Phase 1 safety studies. Currently, pursuant to our CRADA with the NIMH and Dr. Carlos Zarate, Jr., the NIMH is funding, and Dr. Zarate, as Principal Investigator, and his team are conducting, a small NIMH AV-101 MDD Phase 2 Monotherapy Study. Although we are not involved in conducting this study, we currently anticipate that the NIMH will complete the NIMH AV-101 MDD Phase 2 Monotherapy Study during the first half of 2018.</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 w:name="page6"/>
    <w:bookmarkEnd w:id="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We intend to launch a 180-patient AV-101 MDD Phase 2 Study in the first quarter of 2018, focused on using AV-101 as an adjunctive treatment of MDD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patients with an inadequate response to standard, FDA-approved antidepressants. In connection with our preparation to commence this study and to improve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efficiency of our existing method of manufacturing AV-101 drug substance for this and later studies, we, together with our contract manufacturing organization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CMO</w:t>
      </w:r>
      <w:r>
        <w:rPr>
          <w:rFonts w:ascii="Arial" w:cs="Arial" w:eastAsia="Arial" w:hAnsi="Arial"/>
          <w:sz w:val="16"/>
          <w:szCs w:val="16"/>
          <w:color w:val="auto"/>
        </w:rPr>
        <w:t>), developed a novel process for the chemical synthesis of the AV-101 drug substance which we believe will significantly reduce the current and future cost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manufacturing AV-101 drug substance and improve the yield of AV-101 drug substance manufactured. While developing this new manufacturing process,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CMO produced a batch of AV-101 drug substance that contained impurities in excess of regulatory guidelines which, although technically applicable only to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Drug Applications, are applied as common practice and industry standard to development stage programs. Consequently, the FDA placed a clinical hold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launch of our AV-101 MDD Phase 2 Adjunctive Treatment Study until such time as we are able to demonstrate that impurities in the AV-101 drug substance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manufactured with our new manufacturing process are within applicable regulatory guidelines. As a result of further refinement of our new manufacturing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process, we have and are able to produce AV-101 drug substance that meets the applicable regulatory specifications. Accordingly, we believe our current AV-101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drug substance, produced using our new manufacturing method, meets all applicable regulatory guidelines.</w:t>
      </w:r>
    </w:p>
    <w:p>
      <w:pPr>
        <w:spacing w:after="0" w:line="21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FDA also requested reproductive toxicology studies that are routinely conducted later in stages of clinical development. Available toxicology studies for AV-101 do not suggest any reproductive organ involvement, however we have implemented additional contraceptive measures in the revised study protocol that will remain in effect until reproductive toxicology studies are completed. Although not a basis for the current clinical hold, we plan to confirm with FDA that the recently implemented contraceptive measures address concerns for the current stage of development. We believe the data from our new manufacturing process, together with other requested revisions to our IND application, will satisfy the FDA’s concerns and we expect to receive FDA approval in the fourth quarter of 2017 to proceed with the AV-101 MDD Phase 2 Adjunctive Treatment Study. However, no assurance can be given that the FDA will lift the clinical hold and permit us to proceed with the AV-101 MDD Phase 2 Adjunctive Treatment Study or as to the timing of any such action.</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believe preclinical studies and Phase 1 safety studies support our hypothesis that AV-101 may also have potential to treat multiple additional CNS disorders and diseases beyond MDD, including epilepsy, neuropathic pain, Huntington’s disease, L-DOPA-induced dyskinesia associated with Parkinson’s disease, and other CNS indications where modulation of the NMDA receptor, activation of AMPA pathways and/or key active metabolites of AV-101 may achieve therapeutic benefit. We are beginning to plan additional Phase 2 clinical studies of AV-101 to further evaluate its therapeutic potential beyond MDD.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CardioSafe 3D™; NCE Drug Rescue and Regenerative Medicine</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VistaStem Therapeutics is our wholly owned subsidiary focused on applying hPSC technology to discover, rescue, develop and commercialize proprietary small molecule NCEs for CNS and other diseases, as well as potential cellular therapies involving stem cell-derived blood, cartilage, heart and liver cells.</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is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cardiac bioassay system capable of predicting potential human heart toxicity of small molecule NCEs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long before they are ever tested in animal and human studies. Potential commercial applications of our stem cell technology platform involve using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internally for NCE drug discovery and drug rescue to expand our proprietary drug candidate pipeline. Drug rescue involves leveraging substantial prior research and development investments by pharmaceutical companies and others related to public domain NCE programs terminated before FDA approval due to heart toxicity risks and RM and cellular therapies. To advance potential RM applications of its cardiac stem cell technology, in December 2016, VistaStem exclusively sublicensed to BlueRock Therapeutics LP, a next generation regenerative medicine company established by Bayer AG and Versant Ventures, rights to certain proprietary technologies relating to the production of cardiac stem cells for the treatment of heart disease. In a manner similar to the BlueRock Agreement, VistaStem may also pursue additional potential RM applications using blood, cartilage, and/or liver cells derived from hPSCs for (A) cell-based therapy (injection of stem cell-derived mature organ-specific cells obtained through directed differentiation), (B) cell repair therapy (induction of regeneration by biologically active molecules administered alone or produced by infused genetically engineered cells), or (C) tissue engineering (transplantation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grown complex tissues) using hPSC-derived blood, bone, cartilage, and/or liver cells.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VistaGen Therapeutics, Inc., a Nevada corporation, is the parent of VistaGen Therapeutics, Inc. (dba VistaStem Therapeutics, Inc.), a wholly-owned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6"/>
          <w:szCs w:val="16"/>
          <w:i w:val="1"/>
          <w:iCs w:val="1"/>
          <w:color w:val="auto"/>
        </w:rPr>
        <w:t>www.vistagen.com</w:t>
      </w:r>
      <w:r>
        <w:rPr>
          <w:rFonts w:ascii="Arial" w:cs="Arial" w:eastAsia="Arial" w:hAnsi="Arial"/>
          <w:sz w:val="16"/>
          <w:szCs w:val="16"/>
          <w:color w:val="auto"/>
        </w:rPr>
        <w:t>. The information contained on our website is not part of this prospectus. We have included our website address as a factual reference and do not intend it to be an active link to our website.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442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6960" w:type="dxa"/>
            <w:vAlign w:val="bottom"/>
          </w:tcPr>
          <w:p>
            <w:pPr>
              <w:spacing w:after="0"/>
              <w:rPr>
                <w:sz w:val="17"/>
                <w:szCs w:val="17"/>
                <w:color w:val="auto"/>
              </w:rPr>
            </w:pPr>
          </w:p>
        </w:tc>
      </w:tr>
      <w:tr>
        <w:trPr>
          <w:trHeight w:val="883"/>
        </w:trPr>
        <w:tc>
          <w:tcPr>
            <w:tcW w:w="1240" w:type="dxa"/>
            <w:vAlign w:val="bottom"/>
            <w:tcBorders>
              <w:top w:val="single" w:sz="8" w:color="0000EE"/>
            </w:tcBorders>
          </w:tcPr>
          <w:p>
            <w:pPr>
              <w:spacing w:after="0"/>
              <w:rPr>
                <w:sz w:val="24"/>
                <w:szCs w:val="24"/>
                <w:color w:val="auto"/>
              </w:rPr>
            </w:pPr>
          </w:p>
        </w:tc>
        <w:tc>
          <w:tcPr>
            <w:tcW w:w="3180" w:type="dxa"/>
            <w:vAlign w:val="bottom"/>
          </w:tcPr>
          <w:p>
            <w:pPr>
              <w:spacing w:after="0"/>
              <w:rPr>
                <w:sz w:val="24"/>
                <w:szCs w:val="24"/>
                <w:color w:val="auto"/>
              </w:rPr>
            </w:pPr>
          </w:p>
        </w:tc>
        <w:tc>
          <w:tcPr>
            <w:tcW w:w="6960" w:type="dxa"/>
            <w:vAlign w:val="bottom"/>
          </w:tcPr>
          <w:p>
            <w:pPr>
              <w:ind w:left="62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4420" w:type="dxa"/>
            <w:vAlign w:val="bottom"/>
            <w:gridSpan w:val="2"/>
          </w:tcPr>
          <w:p>
            <w:pPr>
              <w:spacing w:after="0"/>
              <w:rPr>
                <w:sz w:val="20"/>
                <w:szCs w:val="20"/>
                <w:color w:val="auto"/>
              </w:rPr>
            </w:pPr>
            <w:r>
              <w:rPr>
                <w:rFonts w:ascii="Arial" w:cs="Arial" w:eastAsia="Arial" w:hAnsi="Arial"/>
                <w:sz w:val="18"/>
                <w:szCs w:val="18"/>
                <w:color w:val="auto"/>
              </w:rPr>
              <w:t>Issuer</w:t>
            </w:r>
          </w:p>
        </w:tc>
        <w:tc>
          <w:tcPr>
            <w:tcW w:w="6960" w:type="dxa"/>
            <w:vAlign w:val="bottom"/>
          </w:tcPr>
          <w:p>
            <w:pPr>
              <w:ind w:left="380"/>
              <w:spacing w:after="0"/>
              <w:rPr>
                <w:sz w:val="20"/>
                <w:szCs w:val="20"/>
                <w:color w:val="auto"/>
              </w:rPr>
            </w:pPr>
            <w:r>
              <w:rPr>
                <w:rFonts w:ascii="Arial" w:cs="Arial" w:eastAsia="Arial" w:hAnsi="Arial"/>
                <w:sz w:val="18"/>
                <w:szCs w:val="18"/>
                <w:color w:val="auto"/>
              </w:rPr>
              <w:t>VistaGen Therapeutics, Inc.</w:t>
            </w:r>
          </w:p>
        </w:tc>
      </w:tr>
      <w:tr>
        <w:trPr>
          <w:trHeight w:val="432"/>
        </w:trPr>
        <w:tc>
          <w:tcPr>
            <w:tcW w:w="4420" w:type="dxa"/>
            <w:vAlign w:val="bottom"/>
            <w:gridSpan w:val="2"/>
          </w:tcPr>
          <w:p>
            <w:pPr>
              <w:spacing w:after="0"/>
              <w:rPr>
                <w:sz w:val="20"/>
                <w:szCs w:val="20"/>
                <w:color w:val="auto"/>
              </w:rPr>
            </w:pPr>
            <w:r>
              <w:rPr>
                <w:rFonts w:ascii="Arial" w:cs="Arial" w:eastAsia="Arial" w:hAnsi="Arial"/>
                <w:sz w:val="18"/>
                <w:szCs w:val="18"/>
                <w:color w:val="auto"/>
              </w:rPr>
              <w:t>Common Stock Offered by Us</w:t>
            </w:r>
          </w:p>
        </w:tc>
        <w:tc>
          <w:tcPr>
            <w:tcW w:w="6960" w:type="dxa"/>
            <w:vAlign w:val="bottom"/>
          </w:tcPr>
          <w:p>
            <w:pPr>
              <w:ind w:left="420"/>
              <w:spacing w:after="0"/>
              <w:rPr>
                <w:sz w:val="20"/>
                <w:szCs w:val="20"/>
                <w:color w:val="auto"/>
              </w:rPr>
            </w:pPr>
            <w:r>
              <w:rPr>
                <w:rFonts w:ascii="Arial" w:cs="Arial" w:eastAsia="Arial" w:hAnsi="Arial"/>
                <w:sz w:val="18"/>
                <w:szCs w:val="18"/>
                <w:color w:val="auto"/>
              </w:rPr>
              <w:t>1,371,430 shares of common stock.</w:t>
            </w:r>
          </w:p>
        </w:tc>
      </w:tr>
      <w:tr>
        <w:trPr>
          <w:trHeight w:val="426"/>
        </w:trPr>
        <w:tc>
          <w:tcPr>
            <w:tcW w:w="4420" w:type="dxa"/>
            <w:vAlign w:val="bottom"/>
            <w:gridSpan w:val="2"/>
          </w:tcPr>
          <w:p>
            <w:pPr>
              <w:spacing w:after="0"/>
              <w:rPr>
                <w:sz w:val="20"/>
                <w:szCs w:val="20"/>
                <w:color w:val="auto"/>
              </w:rPr>
            </w:pPr>
            <w:r>
              <w:rPr>
                <w:rFonts w:ascii="Arial" w:cs="Arial" w:eastAsia="Arial" w:hAnsi="Arial"/>
                <w:sz w:val="18"/>
                <w:szCs w:val="18"/>
                <w:color w:val="auto"/>
                <w:w w:val="98"/>
              </w:rPr>
              <w:t>Common Stock to be Outstanding Immediately After this</w:t>
            </w:r>
          </w:p>
        </w:tc>
        <w:tc>
          <w:tcPr>
            <w:tcW w:w="6960" w:type="dxa"/>
            <w:vAlign w:val="bottom"/>
          </w:tcPr>
          <w:p>
            <w:pPr>
              <w:ind w:left="380"/>
              <w:spacing w:after="0"/>
              <w:rPr>
                <w:sz w:val="20"/>
                <w:szCs w:val="20"/>
                <w:color w:val="auto"/>
              </w:rPr>
            </w:pPr>
            <w:r>
              <w:rPr>
                <w:rFonts w:ascii="Arial" w:cs="Arial" w:eastAsia="Arial" w:hAnsi="Arial"/>
                <w:sz w:val="18"/>
                <w:szCs w:val="18"/>
                <w:color w:val="auto"/>
              </w:rPr>
              <w:t>10,751,474 shares.</w:t>
            </w:r>
          </w:p>
        </w:tc>
      </w:tr>
      <w:tr>
        <w:trPr>
          <w:trHeight w:val="222"/>
        </w:trPr>
        <w:tc>
          <w:tcPr>
            <w:tcW w:w="4420" w:type="dxa"/>
            <w:vAlign w:val="bottom"/>
            <w:gridSpan w:val="2"/>
          </w:tcPr>
          <w:p>
            <w:pPr>
              <w:ind w:left="340"/>
              <w:spacing w:after="0"/>
              <w:rPr>
                <w:sz w:val="20"/>
                <w:szCs w:val="20"/>
                <w:color w:val="auto"/>
              </w:rPr>
            </w:pPr>
            <w:r>
              <w:rPr>
                <w:rFonts w:ascii="Arial" w:cs="Arial" w:eastAsia="Arial" w:hAnsi="Arial"/>
                <w:sz w:val="18"/>
                <w:szCs w:val="18"/>
                <w:color w:val="auto"/>
              </w:rPr>
              <w:t>Offering</w:t>
            </w:r>
          </w:p>
        </w:tc>
        <w:tc>
          <w:tcPr>
            <w:tcW w:w="6960" w:type="dxa"/>
            <w:vAlign w:val="bottom"/>
          </w:tcPr>
          <w:p>
            <w:pPr>
              <w:spacing w:after="0"/>
              <w:rPr>
                <w:sz w:val="19"/>
                <w:szCs w:val="19"/>
                <w:color w:val="auto"/>
              </w:rPr>
            </w:pPr>
          </w:p>
        </w:tc>
      </w:tr>
      <w:tr>
        <w:trPr>
          <w:trHeight w:val="426"/>
        </w:trPr>
        <w:tc>
          <w:tcPr>
            <w:tcW w:w="4420" w:type="dxa"/>
            <w:vAlign w:val="bottom"/>
            <w:gridSpan w:val="2"/>
          </w:tcPr>
          <w:p>
            <w:pPr>
              <w:spacing w:after="0"/>
              <w:rPr>
                <w:sz w:val="20"/>
                <w:szCs w:val="20"/>
                <w:color w:val="auto"/>
              </w:rPr>
            </w:pPr>
            <w:r>
              <w:rPr>
                <w:rFonts w:ascii="Arial" w:cs="Arial" w:eastAsia="Arial" w:hAnsi="Arial"/>
                <w:sz w:val="18"/>
                <w:szCs w:val="18"/>
                <w:color w:val="auto"/>
              </w:rPr>
              <w:t>Warrants Offered by Us</w:t>
            </w:r>
          </w:p>
        </w:tc>
        <w:tc>
          <w:tcPr>
            <w:tcW w:w="6960" w:type="dxa"/>
            <w:vAlign w:val="bottom"/>
          </w:tcPr>
          <w:p>
            <w:pPr>
              <w:ind w:left="380"/>
              <w:spacing w:after="0"/>
              <w:rPr>
                <w:sz w:val="20"/>
                <w:szCs w:val="20"/>
                <w:color w:val="auto"/>
              </w:rPr>
            </w:pPr>
            <w:r>
              <w:rPr>
                <w:rFonts w:ascii="Arial" w:cs="Arial" w:eastAsia="Arial" w:hAnsi="Arial"/>
                <w:sz w:val="18"/>
                <w:szCs w:val="18"/>
                <w:color w:val="auto"/>
                <w:w w:val="94"/>
              </w:rPr>
              <w:t>Warrants to purchase up to 1,892,572 shares of common stock, consisting of Series A1</w:t>
            </w:r>
          </w:p>
        </w:tc>
      </w:tr>
      <w:tr>
        <w:trPr>
          <w:trHeight w:val="216"/>
        </w:trPr>
        <w:tc>
          <w:tcPr>
            <w:tcW w:w="12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6960" w:type="dxa"/>
            <w:vAlign w:val="bottom"/>
          </w:tcPr>
          <w:p>
            <w:pPr>
              <w:ind w:left="380"/>
              <w:spacing w:after="0"/>
              <w:rPr>
                <w:sz w:val="20"/>
                <w:szCs w:val="20"/>
                <w:color w:val="auto"/>
              </w:rPr>
            </w:pPr>
            <w:r>
              <w:rPr>
                <w:rFonts w:ascii="Arial" w:cs="Arial" w:eastAsia="Arial" w:hAnsi="Arial"/>
                <w:sz w:val="18"/>
                <w:szCs w:val="18"/>
                <w:color w:val="auto"/>
                <w:w w:val="91"/>
              </w:rPr>
              <w:t>Warrants to purchase up to 1,388,931 shares of common stock and Series A2 Warrants to</w:t>
            </w:r>
          </w:p>
        </w:tc>
      </w:tr>
      <w:tr>
        <w:trPr>
          <w:trHeight w:val="216"/>
        </w:trPr>
        <w:tc>
          <w:tcPr>
            <w:tcW w:w="12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6960" w:type="dxa"/>
            <w:vAlign w:val="bottom"/>
          </w:tcPr>
          <w:p>
            <w:pPr>
              <w:ind w:left="380"/>
              <w:spacing w:after="0"/>
              <w:rPr>
                <w:sz w:val="20"/>
                <w:szCs w:val="20"/>
                <w:color w:val="auto"/>
              </w:rPr>
            </w:pPr>
            <w:r>
              <w:rPr>
                <w:rFonts w:ascii="Arial" w:cs="Arial" w:eastAsia="Arial" w:hAnsi="Arial"/>
                <w:sz w:val="18"/>
                <w:szCs w:val="18"/>
                <w:color w:val="auto"/>
                <w:w w:val="89"/>
              </w:rPr>
              <w:t>purchase up to 503,641 shares of common stock. Each share of our common stock is being</w:t>
            </w:r>
          </w:p>
        </w:tc>
      </w:tr>
      <w:tr>
        <w:trPr>
          <w:trHeight w:val="216"/>
        </w:trPr>
        <w:tc>
          <w:tcPr>
            <w:tcW w:w="12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6960" w:type="dxa"/>
            <w:vAlign w:val="bottom"/>
          </w:tcPr>
          <w:p>
            <w:pPr>
              <w:ind w:left="380"/>
              <w:spacing w:after="0"/>
              <w:rPr>
                <w:sz w:val="20"/>
                <w:szCs w:val="20"/>
                <w:color w:val="auto"/>
              </w:rPr>
            </w:pPr>
            <w:r>
              <w:rPr>
                <w:rFonts w:ascii="Arial" w:cs="Arial" w:eastAsia="Arial" w:hAnsi="Arial"/>
                <w:sz w:val="18"/>
                <w:szCs w:val="18"/>
                <w:color w:val="auto"/>
                <w:w w:val="87"/>
              </w:rPr>
              <w:t>sold together with 1.0128 Series A1 Warrants, each whole Series A1 Warrant to purchase one</w:t>
            </w:r>
          </w:p>
        </w:tc>
      </w:tr>
      <w:tr>
        <w:trPr>
          <w:trHeight w:val="216"/>
        </w:trPr>
        <w:tc>
          <w:tcPr>
            <w:tcW w:w="12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6960" w:type="dxa"/>
            <w:vAlign w:val="bottom"/>
          </w:tcPr>
          <w:p>
            <w:pPr>
              <w:ind w:left="380"/>
              <w:spacing w:after="0"/>
              <w:rPr>
                <w:sz w:val="20"/>
                <w:szCs w:val="20"/>
                <w:color w:val="auto"/>
              </w:rPr>
            </w:pPr>
            <w:r>
              <w:rPr>
                <w:rFonts w:ascii="Arial" w:cs="Arial" w:eastAsia="Arial" w:hAnsi="Arial"/>
                <w:sz w:val="18"/>
                <w:szCs w:val="18"/>
                <w:color w:val="auto"/>
                <w:w w:val="95"/>
              </w:rPr>
              <w:t>share of our common stock, and 0.3672 of a Series A2 Warrant, each whole Series A2</w:t>
            </w:r>
          </w:p>
        </w:tc>
      </w:tr>
      <w:tr>
        <w:trPr>
          <w:trHeight w:val="216"/>
        </w:trPr>
        <w:tc>
          <w:tcPr>
            <w:tcW w:w="12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6960" w:type="dxa"/>
            <w:vAlign w:val="bottom"/>
          </w:tcPr>
          <w:p>
            <w:pPr>
              <w:ind w:left="380"/>
              <w:spacing w:after="0"/>
              <w:rPr>
                <w:sz w:val="20"/>
                <w:szCs w:val="20"/>
                <w:color w:val="auto"/>
              </w:rPr>
            </w:pPr>
            <w:r>
              <w:rPr>
                <w:rFonts w:ascii="Arial" w:cs="Arial" w:eastAsia="Arial" w:hAnsi="Arial"/>
                <w:sz w:val="18"/>
                <w:szCs w:val="18"/>
                <w:color w:val="auto"/>
                <w:w w:val="93"/>
              </w:rPr>
              <w:t>Warrant to purchase one share of our common stock. Each of the Warrants will have an</w:t>
            </w:r>
          </w:p>
        </w:tc>
      </w:tr>
      <w:tr>
        <w:trPr>
          <w:trHeight w:val="216"/>
        </w:trPr>
        <w:tc>
          <w:tcPr>
            <w:tcW w:w="12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6960" w:type="dxa"/>
            <w:vAlign w:val="bottom"/>
          </w:tcPr>
          <w:p>
            <w:pPr>
              <w:ind w:left="380"/>
              <w:spacing w:after="0"/>
              <w:rPr>
                <w:sz w:val="20"/>
                <w:szCs w:val="20"/>
                <w:color w:val="auto"/>
              </w:rPr>
            </w:pPr>
            <w:r>
              <w:rPr>
                <w:rFonts w:ascii="Arial" w:cs="Arial" w:eastAsia="Arial" w:hAnsi="Arial"/>
                <w:sz w:val="18"/>
                <w:szCs w:val="18"/>
                <w:color w:val="auto"/>
                <w:w w:val="89"/>
              </w:rPr>
              <w:t>exercise price of $1.82 per share. The Series A1 Warrants will be exercisable for a five-year</w:t>
            </w:r>
          </w:p>
        </w:tc>
      </w:tr>
      <w:tr>
        <w:trPr>
          <w:trHeight w:val="216"/>
        </w:trPr>
        <w:tc>
          <w:tcPr>
            <w:tcW w:w="12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6960" w:type="dxa"/>
            <w:vAlign w:val="bottom"/>
          </w:tcPr>
          <w:p>
            <w:pPr>
              <w:ind w:left="380"/>
              <w:spacing w:after="0"/>
              <w:rPr>
                <w:sz w:val="20"/>
                <w:szCs w:val="20"/>
                <w:color w:val="auto"/>
              </w:rPr>
            </w:pPr>
            <w:r>
              <w:rPr>
                <w:rFonts w:ascii="Arial" w:cs="Arial" w:eastAsia="Arial" w:hAnsi="Arial"/>
                <w:sz w:val="18"/>
                <w:szCs w:val="18"/>
                <w:color w:val="auto"/>
                <w:w w:val="89"/>
              </w:rPr>
              <w:t>period commencing on March 7, 2018. Each Series A2 Warrant will be exercisable for a five-</w:t>
            </w:r>
          </w:p>
        </w:tc>
      </w:tr>
      <w:tr>
        <w:trPr>
          <w:trHeight w:val="222"/>
        </w:trPr>
        <w:tc>
          <w:tcPr>
            <w:tcW w:w="12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6960" w:type="dxa"/>
            <w:vAlign w:val="bottom"/>
          </w:tcPr>
          <w:p>
            <w:pPr>
              <w:ind w:left="380"/>
              <w:spacing w:after="0"/>
              <w:rPr>
                <w:sz w:val="20"/>
                <w:szCs w:val="20"/>
                <w:color w:val="auto"/>
              </w:rPr>
            </w:pPr>
            <w:r>
              <w:rPr>
                <w:rFonts w:ascii="Arial" w:cs="Arial" w:eastAsia="Arial" w:hAnsi="Arial"/>
                <w:sz w:val="18"/>
                <w:szCs w:val="18"/>
                <w:color w:val="auto"/>
              </w:rPr>
              <w:t>year period commencing on the date of issuance.</w:t>
            </w:r>
          </w:p>
        </w:tc>
      </w:tr>
      <w:tr>
        <w:trPr>
          <w:trHeight w:val="426"/>
        </w:trPr>
        <w:tc>
          <w:tcPr>
            <w:tcW w:w="1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960" w:type="dxa"/>
            <w:vAlign w:val="bottom"/>
          </w:tcPr>
          <w:p>
            <w:pPr>
              <w:ind w:left="380"/>
              <w:spacing w:after="0"/>
              <w:rPr>
                <w:sz w:val="20"/>
                <w:szCs w:val="20"/>
                <w:color w:val="auto"/>
              </w:rPr>
            </w:pPr>
            <w:r>
              <w:rPr>
                <w:rFonts w:ascii="Arial" w:cs="Arial" w:eastAsia="Arial" w:hAnsi="Arial"/>
                <w:sz w:val="18"/>
                <w:szCs w:val="18"/>
                <w:color w:val="auto"/>
                <w:w w:val="95"/>
              </w:rPr>
              <w:t>This prospectus supplement also relates to the offering of the shares of common stock</w:t>
            </w:r>
          </w:p>
        </w:tc>
      </w:tr>
      <w:tr>
        <w:trPr>
          <w:trHeight w:val="216"/>
        </w:trPr>
        <w:tc>
          <w:tcPr>
            <w:tcW w:w="12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6960" w:type="dxa"/>
            <w:vAlign w:val="bottom"/>
          </w:tcPr>
          <w:p>
            <w:pPr>
              <w:ind w:left="380"/>
              <w:spacing w:after="0"/>
              <w:rPr>
                <w:sz w:val="20"/>
                <w:szCs w:val="20"/>
                <w:color w:val="auto"/>
              </w:rPr>
            </w:pPr>
            <w:r>
              <w:rPr>
                <w:rFonts w:ascii="Arial" w:cs="Arial" w:eastAsia="Arial" w:hAnsi="Arial"/>
                <w:sz w:val="18"/>
                <w:szCs w:val="18"/>
                <w:color w:val="auto"/>
                <w:w w:val="87"/>
              </w:rPr>
              <w:t>issuable upon exercise of the Warrants. The exercise price of the Warrants and the number of</w:t>
            </w:r>
          </w:p>
        </w:tc>
      </w:tr>
      <w:tr>
        <w:trPr>
          <w:trHeight w:val="216"/>
        </w:trPr>
        <w:tc>
          <w:tcPr>
            <w:tcW w:w="12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6960" w:type="dxa"/>
            <w:vAlign w:val="bottom"/>
          </w:tcPr>
          <w:p>
            <w:pPr>
              <w:ind w:left="380"/>
              <w:spacing w:after="0"/>
              <w:rPr>
                <w:sz w:val="20"/>
                <w:szCs w:val="20"/>
                <w:color w:val="auto"/>
              </w:rPr>
            </w:pPr>
            <w:r>
              <w:rPr>
                <w:rFonts w:ascii="Arial" w:cs="Arial" w:eastAsia="Arial" w:hAnsi="Arial"/>
                <w:sz w:val="18"/>
                <w:szCs w:val="18"/>
                <w:color w:val="auto"/>
                <w:w w:val="96"/>
              </w:rPr>
              <w:t>shares into which the Warrants may be exercised are subject to adjustment in certain</w:t>
            </w:r>
          </w:p>
        </w:tc>
      </w:tr>
      <w:tr>
        <w:trPr>
          <w:trHeight w:val="222"/>
        </w:trPr>
        <w:tc>
          <w:tcPr>
            <w:tcW w:w="12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6960" w:type="dxa"/>
            <w:vAlign w:val="bottom"/>
          </w:tcPr>
          <w:p>
            <w:pPr>
              <w:ind w:left="380"/>
              <w:spacing w:after="0"/>
              <w:rPr>
                <w:sz w:val="20"/>
                <w:szCs w:val="20"/>
                <w:color w:val="auto"/>
              </w:rPr>
            </w:pPr>
            <w:r>
              <w:rPr>
                <w:rFonts w:ascii="Arial" w:cs="Arial" w:eastAsia="Arial" w:hAnsi="Arial"/>
                <w:sz w:val="18"/>
                <w:szCs w:val="18"/>
                <w:color w:val="auto"/>
              </w:rPr>
              <w:t>circumstances. See “</w:t>
            </w:r>
            <w:r>
              <w:rPr>
                <w:rFonts w:ascii="Arial" w:cs="Arial" w:eastAsia="Arial" w:hAnsi="Arial"/>
                <w:sz w:val="18"/>
                <w:szCs w:val="18"/>
                <w:i w:val="1"/>
                <w:iCs w:val="1"/>
                <w:color w:val="auto"/>
              </w:rPr>
              <w:t>Description of Securities we are Offering</w:t>
            </w:r>
            <w:r>
              <w:rPr>
                <w:rFonts w:ascii="Arial" w:cs="Arial" w:eastAsia="Arial" w:hAnsi="Arial"/>
                <w:sz w:val="18"/>
                <w:szCs w:val="18"/>
                <w:color w:val="auto"/>
              </w:rPr>
              <w:t>” on page S-44.</w:t>
            </w:r>
          </w:p>
        </w:tc>
      </w:tr>
      <w:tr>
        <w:trPr>
          <w:trHeight w:val="426"/>
        </w:trPr>
        <w:tc>
          <w:tcPr>
            <w:tcW w:w="4420" w:type="dxa"/>
            <w:vAlign w:val="bottom"/>
            <w:gridSpan w:val="2"/>
          </w:tcPr>
          <w:p>
            <w:pPr>
              <w:spacing w:after="0"/>
              <w:rPr>
                <w:sz w:val="20"/>
                <w:szCs w:val="20"/>
                <w:color w:val="auto"/>
              </w:rPr>
            </w:pPr>
            <w:r>
              <w:rPr>
                <w:rFonts w:ascii="Arial" w:cs="Arial" w:eastAsia="Arial" w:hAnsi="Arial"/>
                <w:sz w:val="18"/>
                <w:szCs w:val="18"/>
                <w:color w:val="auto"/>
              </w:rPr>
              <w:t>Use of Proceeds</w:t>
            </w:r>
          </w:p>
        </w:tc>
        <w:tc>
          <w:tcPr>
            <w:tcW w:w="6960" w:type="dxa"/>
            <w:vAlign w:val="bottom"/>
          </w:tcPr>
          <w:p>
            <w:pPr>
              <w:ind w:left="380"/>
              <w:spacing w:after="0"/>
              <w:rPr>
                <w:sz w:val="20"/>
                <w:szCs w:val="20"/>
                <w:color w:val="auto"/>
              </w:rPr>
            </w:pPr>
            <w:r>
              <w:rPr>
                <w:rFonts w:ascii="Arial" w:cs="Arial" w:eastAsia="Arial" w:hAnsi="Arial"/>
                <w:sz w:val="18"/>
                <w:szCs w:val="18"/>
                <w:color w:val="auto"/>
                <w:w w:val="92"/>
              </w:rPr>
              <w:t>We currently intend to use the net proceeds from the sale of the securities offered by this</w:t>
            </w:r>
          </w:p>
        </w:tc>
      </w:tr>
      <w:tr>
        <w:trPr>
          <w:trHeight w:val="216"/>
        </w:trPr>
        <w:tc>
          <w:tcPr>
            <w:tcW w:w="12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6960" w:type="dxa"/>
            <w:vAlign w:val="bottom"/>
          </w:tcPr>
          <w:p>
            <w:pPr>
              <w:ind w:left="380"/>
              <w:spacing w:after="0"/>
              <w:rPr>
                <w:sz w:val="20"/>
                <w:szCs w:val="20"/>
                <w:color w:val="auto"/>
              </w:rPr>
            </w:pPr>
            <w:r>
              <w:rPr>
                <w:rFonts w:ascii="Arial" w:cs="Arial" w:eastAsia="Arial" w:hAnsi="Arial"/>
                <w:sz w:val="18"/>
                <w:szCs w:val="18"/>
                <w:color w:val="auto"/>
                <w:w w:val="89"/>
              </w:rPr>
              <w:t>prospectus supplement for general corporate purposes, including research and development</w:t>
            </w:r>
          </w:p>
        </w:tc>
      </w:tr>
      <w:tr>
        <w:trPr>
          <w:trHeight w:val="216"/>
        </w:trPr>
        <w:tc>
          <w:tcPr>
            <w:tcW w:w="12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6960" w:type="dxa"/>
            <w:vAlign w:val="bottom"/>
          </w:tcPr>
          <w:p>
            <w:pPr>
              <w:ind w:left="380"/>
              <w:spacing w:after="0"/>
              <w:rPr>
                <w:sz w:val="20"/>
                <w:szCs w:val="20"/>
                <w:color w:val="auto"/>
              </w:rPr>
            </w:pPr>
            <w:r>
              <w:rPr>
                <w:rFonts w:ascii="Arial" w:cs="Arial" w:eastAsia="Arial" w:hAnsi="Arial"/>
                <w:sz w:val="18"/>
                <w:szCs w:val="18"/>
                <w:color w:val="auto"/>
                <w:w w:val="91"/>
              </w:rPr>
              <w:t>related to preparations for our planned AV-101 MDD Phase 2 Adjunctive Treatment Study,</w:t>
            </w:r>
          </w:p>
        </w:tc>
      </w:tr>
      <w:tr>
        <w:trPr>
          <w:trHeight w:val="222"/>
        </w:trPr>
        <w:tc>
          <w:tcPr>
            <w:tcW w:w="12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6960" w:type="dxa"/>
            <w:vAlign w:val="bottom"/>
          </w:tcPr>
          <w:p>
            <w:pPr>
              <w:ind w:left="380"/>
              <w:spacing w:after="0"/>
              <w:rPr>
                <w:sz w:val="20"/>
                <w:szCs w:val="20"/>
                <w:color w:val="auto"/>
              </w:rPr>
            </w:pPr>
            <w:r>
              <w:rPr>
                <w:rFonts w:ascii="Arial" w:cs="Arial" w:eastAsia="Arial" w:hAnsi="Arial"/>
                <w:sz w:val="18"/>
                <w:szCs w:val="18"/>
                <w:color w:val="auto"/>
              </w:rPr>
              <w:t>and working capital. See “</w:t>
            </w:r>
            <w:r>
              <w:rPr>
                <w:rFonts w:ascii="Arial" w:cs="Arial" w:eastAsia="Arial" w:hAnsi="Arial"/>
                <w:sz w:val="18"/>
                <w:szCs w:val="18"/>
                <w:i w:val="1"/>
                <w:iCs w:val="1"/>
                <w:color w:val="auto"/>
              </w:rPr>
              <w:t>Use of Proceeds</w:t>
            </w:r>
            <w:r>
              <w:rPr>
                <w:rFonts w:ascii="Arial" w:cs="Arial" w:eastAsia="Arial" w:hAnsi="Arial"/>
                <w:sz w:val="18"/>
                <w:szCs w:val="18"/>
                <w:color w:val="auto"/>
              </w:rPr>
              <w:t>” on page S-42.</w:t>
            </w:r>
          </w:p>
        </w:tc>
      </w:tr>
      <w:tr>
        <w:trPr>
          <w:trHeight w:val="426"/>
        </w:trPr>
        <w:tc>
          <w:tcPr>
            <w:tcW w:w="4420" w:type="dxa"/>
            <w:vAlign w:val="bottom"/>
            <w:gridSpan w:val="2"/>
          </w:tcPr>
          <w:p>
            <w:pPr>
              <w:spacing w:after="0"/>
              <w:rPr>
                <w:sz w:val="20"/>
                <w:szCs w:val="20"/>
                <w:color w:val="auto"/>
              </w:rPr>
            </w:pPr>
            <w:r>
              <w:rPr>
                <w:rFonts w:ascii="Arial" w:cs="Arial" w:eastAsia="Arial" w:hAnsi="Arial"/>
                <w:sz w:val="18"/>
                <w:szCs w:val="18"/>
                <w:color w:val="auto"/>
              </w:rPr>
              <w:t>Risk Factors</w:t>
            </w:r>
          </w:p>
        </w:tc>
        <w:tc>
          <w:tcPr>
            <w:tcW w:w="6960" w:type="dxa"/>
            <w:vAlign w:val="bottom"/>
          </w:tcPr>
          <w:p>
            <w:pPr>
              <w:ind w:left="380"/>
              <w:spacing w:after="0"/>
              <w:rPr>
                <w:sz w:val="20"/>
                <w:szCs w:val="20"/>
                <w:color w:val="auto"/>
              </w:rPr>
            </w:pPr>
            <w:r>
              <w:rPr>
                <w:rFonts w:ascii="Arial" w:cs="Arial" w:eastAsia="Arial" w:hAnsi="Arial"/>
                <w:sz w:val="18"/>
                <w:szCs w:val="18"/>
                <w:color w:val="auto"/>
                <w:w w:val="87"/>
              </w:rPr>
              <w:t>Investing in our common shares and Warrants involves a high degree of risk. For a discussion</w:t>
            </w:r>
          </w:p>
        </w:tc>
      </w:tr>
      <w:tr>
        <w:trPr>
          <w:trHeight w:val="216"/>
        </w:trPr>
        <w:tc>
          <w:tcPr>
            <w:tcW w:w="12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6960" w:type="dxa"/>
            <w:vAlign w:val="bottom"/>
          </w:tcPr>
          <w:p>
            <w:pPr>
              <w:ind w:left="380"/>
              <w:spacing w:after="0"/>
              <w:rPr>
                <w:sz w:val="20"/>
                <w:szCs w:val="20"/>
                <w:color w:val="auto"/>
              </w:rPr>
            </w:pPr>
            <w:r>
              <w:rPr>
                <w:rFonts w:ascii="Arial" w:cs="Arial" w:eastAsia="Arial" w:hAnsi="Arial"/>
                <w:sz w:val="18"/>
                <w:szCs w:val="18"/>
                <w:color w:val="auto"/>
                <w:w w:val="91"/>
              </w:rPr>
              <w:t>of factors that you should consider before buying our securities, see the information under</w:t>
            </w:r>
          </w:p>
        </w:tc>
      </w:tr>
      <w:tr>
        <w:trPr>
          <w:trHeight w:val="216"/>
        </w:trPr>
        <w:tc>
          <w:tcPr>
            <w:tcW w:w="12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6960" w:type="dxa"/>
            <w:vAlign w:val="bottom"/>
          </w:tcPr>
          <w:p>
            <w:pPr>
              <w:ind w:left="3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Risk Factors</w:t>
            </w:r>
            <w:r>
              <w:rPr>
                <w:rFonts w:ascii="Arial" w:cs="Arial" w:eastAsia="Arial" w:hAnsi="Arial"/>
                <w:sz w:val="18"/>
                <w:szCs w:val="18"/>
                <w:color w:val="auto"/>
                <w:w w:val="91"/>
              </w:rPr>
              <w:t>” in this prospectus supplement and under similar headings in the documents</w:t>
            </w:r>
          </w:p>
        </w:tc>
      </w:tr>
      <w:tr>
        <w:trPr>
          <w:trHeight w:val="222"/>
        </w:trPr>
        <w:tc>
          <w:tcPr>
            <w:tcW w:w="12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6960" w:type="dxa"/>
            <w:vAlign w:val="bottom"/>
          </w:tcPr>
          <w:p>
            <w:pPr>
              <w:ind w:left="380"/>
              <w:spacing w:after="0"/>
              <w:rPr>
                <w:sz w:val="20"/>
                <w:szCs w:val="20"/>
                <w:color w:val="auto"/>
              </w:rPr>
            </w:pPr>
            <w:r>
              <w:rPr>
                <w:rFonts w:ascii="Arial" w:cs="Arial" w:eastAsia="Arial" w:hAnsi="Arial"/>
                <w:sz w:val="18"/>
                <w:szCs w:val="18"/>
                <w:color w:val="auto"/>
              </w:rPr>
              <w:t>incorporated by reference into this prospectus supplement.</w:t>
            </w:r>
          </w:p>
        </w:tc>
      </w:tr>
      <w:tr>
        <w:trPr>
          <w:trHeight w:val="432"/>
        </w:trPr>
        <w:tc>
          <w:tcPr>
            <w:tcW w:w="4420" w:type="dxa"/>
            <w:vAlign w:val="bottom"/>
            <w:gridSpan w:val="2"/>
          </w:tcPr>
          <w:p>
            <w:pPr>
              <w:spacing w:after="0"/>
              <w:rPr>
                <w:sz w:val="20"/>
                <w:szCs w:val="20"/>
                <w:color w:val="auto"/>
              </w:rPr>
            </w:pPr>
            <w:r>
              <w:rPr>
                <w:rFonts w:ascii="Arial" w:cs="Arial" w:eastAsia="Arial" w:hAnsi="Arial"/>
                <w:sz w:val="18"/>
                <w:szCs w:val="18"/>
                <w:color w:val="auto"/>
              </w:rPr>
              <w:t>NASDAQ Capital Market symbol</w:t>
            </w:r>
          </w:p>
        </w:tc>
        <w:tc>
          <w:tcPr>
            <w:tcW w:w="6960" w:type="dxa"/>
            <w:vAlign w:val="bottom"/>
          </w:tcPr>
          <w:p>
            <w:pPr>
              <w:ind w:left="380"/>
              <w:spacing w:after="0"/>
              <w:rPr>
                <w:sz w:val="20"/>
                <w:szCs w:val="20"/>
                <w:color w:val="auto"/>
              </w:rPr>
            </w:pPr>
            <w:r>
              <w:rPr>
                <w:rFonts w:ascii="Arial" w:cs="Arial" w:eastAsia="Arial" w:hAnsi="Arial"/>
                <w:sz w:val="18"/>
                <w:szCs w:val="18"/>
                <w:color w:val="auto"/>
              </w:rPr>
              <w:t>“VTGN.”</w:t>
            </w:r>
          </w:p>
        </w:tc>
      </w:tr>
      <w:tr>
        <w:trPr>
          <w:trHeight w:val="426"/>
        </w:trPr>
        <w:tc>
          <w:tcPr>
            <w:tcW w:w="1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960" w:type="dxa"/>
            <w:vAlign w:val="bottom"/>
          </w:tcPr>
          <w:p>
            <w:pPr>
              <w:ind w:left="380"/>
              <w:spacing w:after="0"/>
              <w:rPr>
                <w:sz w:val="20"/>
                <w:szCs w:val="20"/>
                <w:color w:val="auto"/>
              </w:rPr>
            </w:pPr>
            <w:r>
              <w:rPr>
                <w:rFonts w:ascii="Arial" w:cs="Arial" w:eastAsia="Arial" w:hAnsi="Arial"/>
                <w:sz w:val="18"/>
                <w:szCs w:val="18"/>
                <w:color w:val="auto"/>
                <w:w w:val="92"/>
              </w:rPr>
              <w:t>There is no established trading market for the Warrants and we do not expect a market to</w:t>
            </w:r>
          </w:p>
        </w:tc>
      </w:tr>
      <w:tr>
        <w:trPr>
          <w:trHeight w:val="216"/>
        </w:trPr>
        <w:tc>
          <w:tcPr>
            <w:tcW w:w="12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6960" w:type="dxa"/>
            <w:vAlign w:val="bottom"/>
          </w:tcPr>
          <w:p>
            <w:pPr>
              <w:ind w:left="380"/>
              <w:spacing w:after="0"/>
              <w:rPr>
                <w:sz w:val="20"/>
                <w:szCs w:val="20"/>
                <w:color w:val="auto"/>
              </w:rPr>
            </w:pPr>
            <w:r>
              <w:rPr>
                <w:rFonts w:ascii="Arial" w:cs="Arial" w:eastAsia="Arial" w:hAnsi="Arial"/>
                <w:sz w:val="18"/>
                <w:szCs w:val="18"/>
                <w:color w:val="auto"/>
                <w:w w:val="90"/>
              </w:rPr>
              <w:t>develop. In addition, we do not intend to apply for the listing of the Warrants on any national</w:t>
            </w:r>
          </w:p>
        </w:tc>
      </w:tr>
      <w:tr>
        <w:trPr>
          <w:trHeight w:val="216"/>
        </w:trPr>
        <w:tc>
          <w:tcPr>
            <w:tcW w:w="12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6960" w:type="dxa"/>
            <w:vAlign w:val="bottom"/>
          </w:tcPr>
          <w:p>
            <w:pPr>
              <w:ind w:left="380"/>
              <w:spacing w:after="0"/>
              <w:rPr>
                <w:sz w:val="20"/>
                <w:szCs w:val="20"/>
                <w:color w:val="auto"/>
              </w:rPr>
            </w:pPr>
            <w:r>
              <w:rPr>
                <w:rFonts w:ascii="Arial" w:cs="Arial" w:eastAsia="Arial" w:hAnsi="Arial"/>
                <w:sz w:val="18"/>
                <w:szCs w:val="18"/>
                <w:color w:val="auto"/>
                <w:w w:val="89"/>
              </w:rPr>
              <w:t>securities exchange or other trading market. Without an active trading market, the liquidity of</w:t>
            </w:r>
          </w:p>
        </w:tc>
      </w:tr>
      <w:tr>
        <w:trPr>
          <w:trHeight w:val="222"/>
        </w:trPr>
        <w:tc>
          <w:tcPr>
            <w:tcW w:w="12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6960" w:type="dxa"/>
            <w:vAlign w:val="bottom"/>
          </w:tcPr>
          <w:p>
            <w:pPr>
              <w:ind w:left="380"/>
              <w:spacing w:after="0"/>
              <w:rPr>
                <w:sz w:val="20"/>
                <w:szCs w:val="20"/>
                <w:color w:val="auto"/>
              </w:rPr>
            </w:pPr>
            <w:r>
              <w:rPr>
                <w:rFonts w:ascii="Arial" w:cs="Arial" w:eastAsia="Arial" w:hAnsi="Arial"/>
                <w:sz w:val="18"/>
                <w:szCs w:val="18"/>
                <w:color w:val="auto"/>
              </w:rPr>
              <w:t>the Warrants will be limited.</w:t>
            </w:r>
          </w:p>
        </w:tc>
      </w:tr>
    </w:tbl>
    <w:p>
      <w:pPr>
        <w:spacing w:after="0" w:line="21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number of shares of our common stock that will be outstanding immediately after the offering is based on 9,380,044 shares outstanding as of August 31, 2017. Unless we specifically state otherwise, the share information in this prospectus supplement excludes:</w:t>
      </w:r>
    </w:p>
    <w:p>
      <w:pPr>
        <w:spacing w:after="0" w:line="186" w:lineRule="exact"/>
        <w:rPr>
          <w:sz w:val="20"/>
          <w:szCs w:val="20"/>
          <w:color w:val="auto"/>
        </w:rPr>
      </w:pPr>
    </w:p>
    <w:p>
      <w:pPr>
        <w:ind w:left="1140" w:hanging="808"/>
        <w:spacing w:after="0" w:line="268" w:lineRule="auto"/>
        <w:tabs>
          <w:tab w:leader="none" w:pos="816" w:val="left"/>
        </w:tabs>
        <w:numPr>
          <w:ilvl w:val="0"/>
          <w:numId w:val="1"/>
        </w:numPr>
        <w:rPr>
          <w:rFonts w:ascii="Arial" w:cs="Arial" w:eastAsia="Arial" w:hAnsi="Arial"/>
          <w:sz w:val="18"/>
          <w:szCs w:val="18"/>
          <w:color w:val="auto"/>
        </w:rPr>
      </w:pPr>
      <w:r>
        <w:rPr>
          <w:rFonts w:ascii="Arial" w:cs="Arial" w:eastAsia="Arial" w:hAnsi="Arial"/>
          <w:sz w:val="18"/>
          <w:szCs w:val="18"/>
          <w:color w:val="auto"/>
        </w:rPr>
        <w:t>2,509,871 shares of common stock reserved for issuance upon exercise of outstanding stock options under our 1999 Stock Incentive Plan and our Amended and Restated 2016 Stock Incentive Plan, with a weighted average exercise price of $3.74 per share;</w:t>
      </w:r>
    </w:p>
    <w:p>
      <w:pPr>
        <w:spacing w:after="0" w:line="185" w:lineRule="exact"/>
        <w:rPr>
          <w:rFonts w:ascii="Arial" w:cs="Arial" w:eastAsia="Arial" w:hAnsi="Arial"/>
          <w:sz w:val="18"/>
          <w:szCs w:val="18"/>
          <w:color w:val="auto"/>
        </w:rPr>
      </w:pPr>
    </w:p>
    <w:p>
      <w:pPr>
        <w:ind w:left="1140" w:right="20" w:hanging="808"/>
        <w:spacing w:after="0" w:line="268" w:lineRule="auto"/>
        <w:tabs>
          <w:tab w:leader="none" w:pos="816" w:val="left"/>
        </w:tabs>
        <w:numPr>
          <w:ilvl w:val="0"/>
          <w:numId w:val="1"/>
        </w:numPr>
        <w:rPr>
          <w:rFonts w:ascii="Arial" w:cs="Arial" w:eastAsia="Arial" w:hAnsi="Arial"/>
          <w:sz w:val="18"/>
          <w:szCs w:val="18"/>
          <w:color w:val="auto"/>
        </w:rPr>
      </w:pPr>
      <w:r>
        <w:rPr>
          <w:rFonts w:ascii="Arial" w:cs="Arial" w:eastAsia="Arial" w:hAnsi="Arial"/>
          <w:sz w:val="18"/>
          <w:szCs w:val="18"/>
          <w:color w:val="auto"/>
        </w:rPr>
        <w:t>329,662 shares of common stock reserved for future issuance in connection with future grants under our Amended and Restated 2016 Stock Incentive Plan;</w:t>
      </w:r>
    </w:p>
    <w:p>
      <w:pPr>
        <w:spacing w:after="0" w:line="185" w:lineRule="exact"/>
        <w:rPr>
          <w:rFonts w:ascii="Arial" w:cs="Arial" w:eastAsia="Arial" w:hAnsi="Arial"/>
          <w:sz w:val="18"/>
          <w:szCs w:val="18"/>
          <w:color w:val="auto"/>
        </w:rPr>
      </w:pPr>
    </w:p>
    <w:p>
      <w:pPr>
        <w:ind w:left="1140" w:hanging="808"/>
        <w:spacing w:after="0" w:line="268" w:lineRule="auto"/>
        <w:tabs>
          <w:tab w:leader="none" w:pos="816" w:val="left"/>
        </w:tabs>
        <w:numPr>
          <w:ilvl w:val="0"/>
          <w:numId w:val="1"/>
        </w:numPr>
        <w:rPr>
          <w:rFonts w:ascii="Arial" w:cs="Arial" w:eastAsia="Arial" w:hAnsi="Arial"/>
          <w:sz w:val="18"/>
          <w:szCs w:val="18"/>
          <w:color w:val="auto"/>
        </w:rPr>
      </w:pPr>
      <w:r>
        <w:rPr>
          <w:rFonts w:ascii="Arial" w:cs="Arial" w:eastAsia="Arial" w:hAnsi="Arial"/>
          <w:sz w:val="18"/>
          <w:szCs w:val="18"/>
          <w:color w:val="auto"/>
        </w:rPr>
        <w:t>4,825,078 shares of common stock that have been reserved for issuance upon exercise of outstanding warrants, with a weighted average exercise price of $6.17 per share;</w:t>
      </w:r>
    </w:p>
    <w:p>
      <w:pPr>
        <w:spacing w:after="0" w:line="185" w:lineRule="exact"/>
        <w:rPr>
          <w:rFonts w:ascii="Arial" w:cs="Arial" w:eastAsia="Arial" w:hAnsi="Arial"/>
          <w:sz w:val="18"/>
          <w:szCs w:val="18"/>
          <w:color w:val="auto"/>
        </w:rPr>
      </w:pPr>
    </w:p>
    <w:p>
      <w:pPr>
        <w:ind w:left="820" w:hanging="488"/>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750,000 shares of common stock reserved for issuance upon conversion of 500,000 shares our Series A Preferred;</w:t>
      </w:r>
    </w:p>
    <w:p>
      <w:pPr>
        <w:spacing w:after="0" w:line="225" w:lineRule="exact"/>
        <w:rPr>
          <w:rFonts w:ascii="Arial" w:cs="Arial" w:eastAsia="Arial" w:hAnsi="Arial"/>
          <w:sz w:val="18"/>
          <w:szCs w:val="18"/>
          <w:color w:val="auto"/>
        </w:rPr>
      </w:pPr>
    </w:p>
    <w:p>
      <w:pPr>
        <w:ind w:left="1140" w:hanging="808"/>
        <w:spacing w:after="0" w:line="268" w:lineRule="auto"/>
        <w:tabs>
          <w:tab w:leader="none" w:pos="816" w:val="left"/>
        </w:tabs>
        <w:numPr>
          <w:ilvl w:val="0"/>
          <w:numId w:val="1"/>
        </w:numPr>
        <w:rPr>
          <w:rFonts w:ascii="Arial" w:cs="Arial" w:eastAsia="Arial" w:hAnsi="Arial"/>
          <w:sz w:val="18"/>
          <w:szCs w:val="18"/>
          <w:color w:val="auto"/>
        </w:rPr>
      </w:pPr>
      <w:r>
        <w:rPr>
          <w:rFonts w:ascii="Arial" w:cs="Arial" w:eastAsia="Arial" w:hAnsi="Arial"/>
          <w:sz w:val="18"/>
          <w:szCs w:val="18"/>
          <w:color w:val="auto"/>
        </w:rPr>
        <w:t>1,160,240 shares of common stock reserved for issuance upon conversion of 1,160,240 shares of our Series B Preferred and 663,460 shares of common stock for issuance as payment of accrued dividends on outstanding shares of Series Preferred;</w:t>
      </w:r>
    </w:p>
    <w:p>
      <w:pPr>
        <w:spacing w:after="0" w:line="185" w:lineRule="exact"/>
        <w:rPr>
          <w:rFonts w:ascii="Arial" w:cs="Arial" w:eastAsia="Arial" w:hAnsi="Arial"/>
          <w:sz w:val="18"/>
          <w:szCs w:val="18"/>
          <w:color w:val="auto"/>
        </w:rPr>
      </w:pPr>
    </w:p>
    <w:p>
      <w:pPr>
        <w:ind w:left="820" w:hanging="488"/>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2,318,012 shares of common stock reserved for issuance upon conversion of 2,318,012 shares of our Series C Preferred; and</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1,892,572 shares of common stock issuable upon the exercise of the Warrants offered hereby.</w:t>
      </w:r>
    </w:p>
    <w:p>
      <w:pPr>
        <w:sectPr>
          <w:pgSz w:w="11900" w:h="16838" w:orient="portrait"/>
          <w:cols w:equalWidth="0" w:num="1">
            <w:col w:w="11420"/>
          </w:cols>
          <w:pgMar w:left="240" w:top="108" w:right="239" w:bottom="11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101" w:gutter="0" w:footer="0" w:header="0"/>
          <w:type w:val="continuous"/>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3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the risks, uncertainties and assumptions discussed below, together with all of the other information contained or incorporated by reference in this prospectus supplement and the accompanying prospectus, including our Annual Report on Form 10-K for the fiscal year ended March 31, 2017, as well as subsequently filed Quarterly Reports on Form 10-Q with the SEC. It is not possible to predict or identify all such risks. Consequently, we could also be affected by additional factors that are not presently known to us or that we currently consider to be immaterial to our operations. The occurrence of any of these known or unknown risks might cause you to lose all or part of your investment in the offered securities.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depend heavily on the success of AV-101. We cannot be certain that we will be able to obtain regulatory approval for, or successfully commercialize AV-101, or any product candidate.</w:t>
      </w:r>
    </w:p>
    <w:p>
      <w:pPr>
        <w:spacing w:after="0" w:line="18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currently have no drug products for sale and may never be able to develop and commercialize marketable drug products. Our business depends heavily on the successful development, regulatory approval and commercialization of AV-101 for depression, including for MDD, and, potentially, various other diseases and disorders involving the CNS, as well as, but to a more limited extent, our ability to produce, develop and commercialize NCEs from our drug rescue programs. AV-101 will require substantial additional non-clinical and clinical development, testing and regulatory approval before it may be commercialized. It is unlikely to achieve regulatory approval, if at all, until at least 2021. Each drug rescue NCE will require substantial non-clinical development, all phases of clinical development, and regulatory approval before it may be commercialized. The non-clinical and clinical development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non-clinical studies and clinical trials that the product candidate is safe and effective for use in each target indication. Drug development is a long, expensive and uncertain process, and delay or failure can occur at any stage of any of our non-clinical or clinical studies. This process can take many years and may also include post-marketing studies and surveillance, which will require the expenditure of substantial resources beyond the proceeds we have raised to date. Of the large number of drugs in development in the United States, only a small percentage will successfully complete the FDA regulatory approval process and will be commercialized. Accordingly, even if we are able to obtain the requisite financing to continue to fund our non-clinical and clinical studies, we cannot assure you that AV-101, any drug rescue NCE, or any other future product candidate will be successfully developed or commercialized.</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not permitted to market our product candidates in the United States until we receive approval of a New Drug Application (</w:t>
      </w:r>
      <w:r>
        <w:rPr>
          <w:rFonts w:ascii="Arial" w:cs="Arial" w:eastAsia="Arial" w:hAnsi="Arial"/>
          <w:sz w:val="18"/>
          <w:szCs w:val="18"/>
          <w:i w:val="1"/>
          <w:iCs w:val="1"/>
          <w:color w:val="auto"/>
        </w:rPr>
        <w:t>NDA</w:t>
      </w:r>
      <w:r>
        <w:rPr>
          <w:rFonts w:ascii="Arial" w:cs="Arial" w:eastAsia="Arial" w:hAnsi="Arial"/>
          <w:sz w:val="18"/>
          <w:szCs w:val="18"/>
          <w:color w:val="auto"/>
        </w:rPr>
        <w:t>) from the FDA, or in any foreign countries until we receive the requisite approval from such countries. We expect the FDA to require us to complete the planned AV-101 MDD Phase 2 Adjunctive Treatment Study and at least two pivotal Phase 3 clinical trials in order to submit an NDA for AV-101 as an adjunctive treatment for MDD patients with an inadequate response to standard, FDA-approved antidepressants. Also, we anticipate that the FDA will require that we conduct additional toxicity studies, additional non-clinical and certain small clinical studies before submitting an NDA for AV-101. The results of all of these studies are not known until after the studies are concluded.</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Obtaining FDA approval of an NDA is a complex, lengthy, expensive and uncertain process, and the FDA may delay, limit or deny approval of AV-101 or any of our product candidates for many reasons, including, among others:</w:t>
      </w:r>
    </w:p>
    <w:p>
      <w:pPr>
        <w:spacing w:after="0" w:line="186" w:lineRule="exact"/>
        <w:rPr>
          <w:sz w:val="20"/>
          <w:szCs w:val="20"/>
          <w:color w:val="auto"/>
        </w:rPr>
      </w:pPr>
    </w:p>
    <w:p>
      <w:pPr>
        <w:jc w:val="both"/>
        <w:ind w:left="980" w:hanging="486"/>
        <w:spacing w:after="0" w:line="306"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we submit an NDA and it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60" w:lineRule="exact"/>
        <w:rPr>
          <w:rFonts w:ascii="Arial" w:cs="Arial" w:eastAsia="Arial" w:hAnsi="Arial"/>
          <w:sz w:val="16"/>
          <w:szCs w:val="16"/>
          <w:color w:val="auto"/>
        </w:rPr>
      </w:pPr>
    </w:p>
    <w:p>
      <w:pPr>
        <w:ind w:left="980" w:hanging="486"/>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FDA may require development of a Risk Evaluation and Mitigation Strategy (</w:t>
      </w:r>
      <w:r>
        <w:rPr>
          <w:rFonts w:ascii="Arial" w:cs="Arial" w:eastAsia="Arial" w:hAnsi="Arial"/>
          <w:sz w:val="16"/>
          <w:szCs w:val="16"/>
          <w:i w:val="1"/>
          <w:iCs w:val="1"/>
          <w:color w:val="auto"/>
        </w:rPr>
        <w:t>REMS</w:t>
      </w:r>
      <w:r>
        <w:rPr>
          <w:rFonts w:ascii="Arial" w:cs="Arial" w:eastAsia="Arial" w:hAnsi="Arial"/>
          <w:sz w:val="16"/>
          <w:szCs w:val="16"/>
          <w:color w:val="auto"/>
        </w:rPr>
        <w:t>) as a condition of approval or post-approval;</w:t>
      </w:r>
    </w:p>
    <w:p>
      <w:pPr>
        <w:spacing w:after="0" w:line="248" w:lineRule="exact"/>
        <w:rPr>
          <w:rFonts w:ascii="Arial" w:cs="Arial" w:eastAsia="Arial" w:hAnsi="Arial"/>
          <w:sz w:val="16"/>
          <w:szCs w:val="16"/>
          <w:color w:val="auto"/>
        </w:rPr>
      </w:pPr>
    </w:p>
    <w:p>
      <w:pPr>
        <w:ind w:left="980" w:hanging="486"/>
        <w:spacing w:after="0" w:line="332"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Arial" w:cs="Arial" w:eastAsia="Arial" w:hAnsi="Arial"/>
          <w:sz w:val="16"/>
          <w:szCs w:val="16"/>
          <w:i w:val="1"/>
          <w:iCs w:val="1"/>
          <w:color w:val="auto"/>
        </w:rPr>
        <w:t>cGMPs</w:t>
      </w:r>
      <w:r>
        <w:rPr>
          <w:rFonts w:ascii="Arial" w:cs="Arial" w:eastAsia="Arial" w:hAnsi="Arial"/>
          <w:sz w:val="16"/>
          <w:szCs w:val="16"/>
          <w:color w:val="auto"/>
        </w:rPr>
        <w:t>); or</w:t>
      </w:r>
    </w:p>
    <w:p>
      <w:pPr>
        <w:spacing w:after="0" w:line="139" w:lineRule="exact"/>
        <w:rPr>
          <w:rFonts w:ascii="Arial" w:cs="Arial" w:eastAsia="Arial" w:hAnsi="Arial"/>
          <w:sz w:val="16"/>
          <w:szCs w:val="16"/>
          <w:color w:val="auto"/>
        </w:rPr>
      </w:pPr>
    </w:p>
    <w:p>
      <w:pPr>
        <w:ind w:left="980" w:hanging="48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change its approval policies or adopt new regulations.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commercialize AV-101 or any other product candidate we may develop, including drug rescue NCEs. Any such setback in our pursuit of regulatory approval for any product candidate would have a material adverse effect on our business and prospects.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intend to seek a Fast Track designation from the FDA for AV-101, initially for adjunctive treatment of MDD patients with an inadequate response to standard antidepressants. Even if the FDA approves Fast Track designation for AV-101 for this indication, it may not actually lead to a faster development or regulatory review or approval process.</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Fast Track designation is a program offered by the FDA pursuant to certain mandates under the FDA Modernization Act of 1997, designed to facilitate drug development and to expedite the review of new drugs that are intended to treat serious or life threatening conditions. Compounds selected must demonstrate the potential to address unmet medical needs. The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approval or expedited approval of any application for the product.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intend to seek FDA Fast Track designation for AV-101, initially for adjunctive treatment of MDD patients with an inadequate response to standard antidepressants, and we may do so for other CNS indications, as well as for other product candidates. The FDA has broad discretion whether or not to grant a Fast Track designation, and even if we believe AV-101 and other product candidates are eligible for this designation, we cannot be sure that the review or approval will compare to conventional FDA procedures. Even if granted, the FDA may withdraw Fast Track designation if it believes that the designation is no longer supported by data from our clinical development programs.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number of patients suffering from MDD has not been established with precision. If the actual number of patients with MDD is smaller than we anticipate, we or our collaborators may encounter difficulties in enrolling patients in AV-101 clinical trials, including the NIMH AV-101 MDD Phase 2 Monotherapy Study and our planned AV-101 MDD Phase 2 Adjunctive Treatment Study, thereby delaying completion such studies or preventing additional clinical development. Further, if AV-101 is approved for adjunctive treatment of MDD patients with an inadequate response to standard antidepressants, and the market for this indication is smaller than we anticipate, our ability to achieve profitability could be limited.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of preclinical studies and early clinical trials of AV-101 and other product candidates, including positive results, may not be predictive of the results of later-stage clinical trials. AV-101 or other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approval. We have not yet completed a Phase 2 clinical trial for AV-101, and if the NIMH fails to produce positive results in the NIMH AV-101 MDD Phase 2 Monotherapy Study, the development timeline and regulatory approval and commercialization prospects for AV-101 and, correspondingly, our business and financial prospects, could be materially adversely affected.</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This drug candidate development risk is heightened by any changes in planned timing or nature of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non-clinical or clinical studies of our product candidates.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serious adverse events or other undesirable side effects are identified during the use of AV-101 in clinical trials, it may adversely affect our development of AV-101 for MDD and other CNS indications.</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AV-101 as a monotherapy is currently being tested by the NIMH in an NIMH-investigator sponsored Phase 2 clinical trial for the treatment of MDD and may be subjected to testing in the future for other CNS indications in additional investigator sponsored clinical trials. If serious adverse events or other undesirable side effects, or unexpected characteristics of AV-101 are observed in investigator sponsored clinical trials of AV-101 or our clinical trials, it may adversely affect or delay our clinical development of AV-101, and the occurrence of these events would have a material adverse effect on our business.</w:t>
      </w:r>
    </w:p>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Failures or delays in the commencement or completion of our planned clinical trials and non-clinical studies of our product candidates could result in increased costs to us and could delay, prevent or limit our ability to generate revenue and continue our business.</w:t>
      </w:r>
    </w:p>
    <w:p>
      <w:pPr>
        <w:spacing w:after="0" w:line="13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our CRADA, the NIMH is conducting and funding the NIMH AV-101 MDD Phase2 Monotherapy Study. We will need to complete the planned AV-101 MDD Phase 2 Adjunctive Treatment Study, at least two additional large Phase 2b/3 clinical trials, additional toxicity and non-clinical studies and certain smaller clinical studies prior to the submission of an NDA for AV-101 as a new generation adjunctive treatment for MDD. Successful completion of our clinical trials is a prerequisite to submitting an NDA to the FDA and, consequently, the ultimate approval and commercial marketing of AV-101 for MDD and any other product candidates we may develop. Except as disclosed herein, we do not know whether the NIMH AV-101 MDD Phase 2 Monotherapy Study, the AV-101 MDD Phase 2 Adjunctive Treatment Study or any of our future-planned non-clinical and clinical trials will be completed on schedule, if at all, as the commencement and completion of non-clinical and clinical trials can be delayed or prevented for a number of reasons, including, among others:</w:t>
      </w:r>
    </w:p>
    <w:p>
      <w:pPr>
        <w:spacing w:after="0" w:line="172" w:lineRule="exact"/>
        <w:rPr>
          <w:sz w:val="20"/>
          <w:szCs w:val="20"/>
          <w:color w:val="auto"/>
        </w:rPr>
      </w:pPr>
    </w:p>
    <w:p>
      <w:pPr>
        <w:ind w:left="980" w:hanging="486"/>
        <w:spacing w:after="0" w:line="33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FDA may deny permission to proceed with our planned clinical trials or any other clinical trials we may initiate, or may place a planned or ongoing clinical trial on hold, including the clinical hold on the launch of our planned AV-101 MDD Phase 2 Adjunctive Treatment Study;</w:t>
      </w:r>
    </w:p>
    <w:p>
      <w:pPr>
        <w:spacing w:after="0" w:line="139" w:lineRule="exact"/>
        <w:rPr>
          <w:rFonts w:ascii="Arial" w:cs="Arial" w:eastAsia="Arial" w:hAnsi="Arial"/>
          <w:sz w:val="16"/>
          <w:szCs w:val="16"/>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filing or receiving approvals of additional INDs that may be required;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results from our ongoing non-clinical studies;</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inadequate quantity or quality of a product candidate or other materials necessary to conduct non-clinical or clinical trials, including delays in the manufacturing of sufficient supply or finished drug product resulting from our new manufacturing process for AV-101;</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w:t>
      </w:r>
      <w:r>
        <w:rPr>
          <w:rFonts w:ascii="Arial" w:cs="Arial" w:eastAsia="Arial" w:hAnsi="Arial"/>
          <w:sz w:val="18"/>
          <w:szCs w:val="18"/>
          <w:i w:val="1"/>
          <w:iCs w:val="1"/>
          <w:color w:val="auto"/>
        </w:rPr>
        <w:t>IRB</w:t>
      </w:r>
      <w:r>
        <w:rPr>
          <w:rFonts w:ascii="Arial" w:cs="Arial" w:eastAsia="Arial" w:hAnsi="Arial"/>
          <w:sz w:val="18"/>
          <w:szCs w:val="18"/>
          <w:color w:val="auto"/>
        </w:rPr>
        <w:t>) approval to conduct a clinical trial at a prospective site or sites;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proximity of patients to clinical trial sites;</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eligibility criteria for the clinical trial, the nature of the clinical trial protocol, the availability of approved effective treatments for the relevant disease and competition from other clinical trial programs for similar indications;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patients in a clinical trial;</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validating any endpoints utilized in a clinical trial;</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FDA may disagree with our clinical trial design and our interpretation of data from prior non-clinical studies or clinical trials, or may change the requirements for approval even after it has reviewed and commented on the design for our clinical trials;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CNS indications or therapies that raise safety or efficacy concerns; and</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trials, lack of efficacy, side effects, personal issues or loss of interest.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Clinical trials may also be delayed or terminated prior to completion as a result of ambiguous or negative interim results. In addition, a clinical trial may be suspended or terminated by us, the FDA, the IRBs at the sites where the IRBs are overseeing a clinical trial, a data and safety monitoring board (</w:t>
      </w:r>
      <w:r>
        <w:rPr>
          <w:rFonts w:ascii="Arial" w:cs="Arial" w:eastAsia="Arial" w:hAnsi="Arial"/>
          <w:sz w:val="16"/>
          <w:szCs w:val="16"/>
          <w:i w:val="1"/>
          <w:iCs w:val="1"/>
          <w:color w:val="auto"/>
        </w:rPr>
        <w:t>DSMB</w:t>
      </w:r>
      <w:r>
        <w:rPr>
          <w:rFonts w:ascii="Arial" w:cs="Arial" w:eastAsia="Arial" w:hAnsi="Arial"/>
          <w:sz w:val="16"/>
          <w:szCs w:val="16"/>
          <w:color w:val="auto"/>
        </w:rPr>
        <w:t>), overseeing the clinical trial at issue or other regulatory authorities due to a number of factors, including, among others:</w:t>
      </w:r>
    </w:p>
    <w:p>
      <w:pPr>
        <w:spacing w:after="0" w:line="161" w:lineRule="exact"/>
        <w:rPr>
          <w:sz w:val="20"/>
          <w:szCs w:val="20"/>
          <w:color w:val="auto"/>
        </w:rPr>
      </w:pPr>
    </w:p>
    <w:p>
      <w:pPr>
        <w:ind w:left="980" w:hanging="48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 that reveals deficiencies or violations that require us to undertake corrective action, including the imposition of a clinical hold;</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unforeseen safety issues, including any that could be identified in our ongoing non-clinical carcinogenicity studies, adverse side effects or lack of effectiveness;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problems with clinical supply materials that may lead to regulatory actions, such as the clinical hold currently imposed by the FDA; and</w:t>
      </w:r>
    </w:p>
    <w:p>
      <w:pPr>
        <w:spacing w:after="0" w:line="248" w:lineRule="exact"/>
        <w:rPr>
          <w:rFonts w:ascii="Arial" w:cs="Arial" w:eastAsia="Arial" w:hAnsi="Arial"/>
          <w:sz w:val="16"/>
          <w:szCs w:val="16"/>
          <w:color w:val="auto"/>
        </w:rPr>
      </w:pPr>
    </w:p>
    <w:p>
      <w:pPr>
        <w:ind w:left="980" w:hanging="48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lack of adequate funding to continue clinical trials.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Changes in regulatory requirements, FDA guidance or unanticipated events during our non-clinical studies and clinical trials of our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Changes in regulatory requirements, FDA guidance or unanticipated events during our non-clinical studies and clinical trials may force us to amend non-clinical studies and clinical trial protocols or the FDA may impose additional non-clinical studies and clinical trial requirements. Amendments or changes to our clinical trial protocols would require resubmission to the FDA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our product candidates may be harmed and our ability to generate product revenue will be delayed.</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We rely, and expect that we will continue to rely, on third parties to conduct non-clinical and clinical trials of AV-101 and any other product candidates. If these third parties do not successfully carry out their contractual duties or meet expected deadlines, completion of non-clinical and clinical trials and development of AV-101 and other product candidates may be delayed and we may not be able to obtain regulatory approval for or commercialize AV-101 or other product candidates and our business could be substantially harmed.</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do not have the internal staff resources to independently conduct non-clinical and clinical trials completely on our own. We rely on our strategic relationships with various medical institutions, non-clinical and clinical investigators, contract laboratories and other third parties, such as contract research and development organizations (</w:t>
      </w:r>
      <w:r>
        <w:rPr>
          <w:rFonts w:ascii="Arial" w:cs="Arial" w:eastAsia="Arial" w:hAnsi="Arial"/>
          <w:sz w:val="16"/>
          <w:szCs w:val="16"/>
          <w:i w:val="1"/>
          <w:iCs w:val="1"/>
          <w:color w:val="auto"/>
        </w:rPr>
        <w:t>CROs</w:t>
      </w:r>
      <w:r>
        <w:rPr>
          <w:rFonts w:ascii="Arial" w:cs="Arial" w:eastAsia="Arial" w:hAnsi="Arial"/>
          <w:sz w:val="16"/>
          <w:szCs w:val="16"/>
          <w:color w:val="auto"/>
        </w:rPr>
        <w:t>), to conduct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third-parties for execution of non-clinical and clinical trials for our product candidates and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72" w:lineRule="exact"/>
        <w:rPr>
          <w:sz w:val="20"/>
          <w:szCs w:val="20"/>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staffing difficulties and/or undertake obligations beyond their anticipated capabilities and resources;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in accordance with the applicable protocol, legal, regulatory and scientific requirements and standards, and our reliance on CROs or the NIH does not relieve us of our regulatory responsibilities. We and our CROs and the NIMH are required to comply with regulations and guidelines, including current cGCPs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or any of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pacing w:after="0" w:line="39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Although we design our clinical trials for our product candidates, we plan to have CROs, and in the case of the NIMH AV-101 MDD Phase 2 Monotherapy Study, the NIMH, conduct the AV-101 Phase 2 and Phase 3 clinical trials. As a result, many important aspects of our drug development programs are outside of our direct control. In addition, the CROs or the NIMH, as the case may be,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NIMH or CROs do not perform clinical trials in a satisfactory manner, breach their obligations to us or fail to comply with regulatory requirements, the development and commercialization of AV-101 and other product candidates may be delayed or our development program materially and irreversibly harmed. We cannot control the amount and timing of resources these CROs or the NIMH devote to our program or our clinical products. If we are unable to rely on non-clinical and clinical data collected by our CROs or the NIMH, we could be required to repeat, extend the duration of, or increase the size of our clinical trials and this could significantly delay commercialization and require significantly greater expenditures.</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any of our relationships with these third-party CROs or the NIMH terminate, we may not be able to enter into arrangements with alternative CROs or collaborators. If CROs or the NIMH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that such CROs or the NIMH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rely completely on third-parties to manufacture and prepare our clinical supplies of AV-101 and other product candidates, and we intend to rely on third parties to produce non-clinical, clinical and commercial supplies of AV-101 and any future product candidate.</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do not currently have, nor do we plan to acquire, the infrastructure or capability to internally manufacture our drug supply of AV-101 or any other product candidates for use in the conduct of our non-clinical studies and clinical trials, and we lack the internal resources and the capability to manufacture any product candidates on a research, development or commercial scale. The facilities used by our contract manufacturers to manufacture the active pharmaceutical ingredient and final drug product must complete a pre-approval inspection by the FDA and other comparable foreign regulatory agencies to assess compliance with applicable requirements, including cGMPs, after we submit our NDA or relevant foreign regulatory submission to the applicable regulatory agency.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do not directly control the manufacturing process of, and are completely dependent on, our contract manufacturers to comply with cGMPs for manufacture of both active drug substances and finished drug products. If our contract manufacturers cannot successfully manufacture material that conforms to our specifications and the strict regulatory requirements of the FDA or applicable foreign regulatory agencies, they will not be able to secure and/or maintain regulatory approval for their manufacturing facilities, or the FDA may take other actions, including the imposition of the clinical hold disclosed above. In addition, we have no direct control over our contract manufacturers’ ability to maintain adequate quality control, quality assurance and qualified personnel. Furthermore, all of our contract manufacturers are engaged with other companies to supply and/or manufacture materials or products for such other companies, which exposes our third-party contract manufacturers to regulatory risks for the production of such materials and products. As a result, failure to satisfy the regulatory requirements for the production of those materials and products may affect the regulatory clearance of our contract manufacturers’ facilities generally or affect the timing of our clinical trials, including the imposition of clinical hold disclosed above. If the FDA or an applicable foreign regulatory agency determines now or in the future that these facilities for the manufacture of our product candidates are noncompliant, we may need to find alternative manufacturing facilities, which would adversely impact our ability to develop, obtain regulatory approval for or market our product candidates. Our reliance on contract manufacturers also exposes us to the possibility that they, or third parties with access to their facilities, will have access to and may appropriate our trade secrets or other proprietary information.</w:t>
      </w:r>
    </w:p>
    <w:p>
      <w:pPr>
        <w:spacing w:after="0" w:line="3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do not yet have long-term supply agreements in place with our contract manufacturers and each batch of our product candidates are individually contracted under a quality and supply agreement. If we engage new contract manufacturers, such contractors must complete an inspection by the FDA and other applicable foreign regulatory agencies. We plan to continue to rely upon contract manufacturers and, potentially, collaboration partners, to manufacture research, development and commercial quantities of AV-101 and other product candidates, if approved. Our current scale of manufacturing for AV-101 is adequate to support our currently planned needs for additional non-clinical studies and clinical trials.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for and commercialize AV-101 and affect the prices we may obtain.</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the United States and some foreign jurisdictions, there have been, and we expect there will continue to be, a number of legislative and regulatory changes and proposed changes regarding the healthcare system, including the ACA, that could, among other things, prevent or delay marketing approval of AV-101, restrict or regulate post-approval activities, and affect our ability to profitably sell any products for which we obtain marketing approval.</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March 2010, the ACA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law has continued the downward pressure on pharmaceutical pricing, especially under the Medicare program, and increased the industry’s regulatory burdens and operating costs. We cannot predict the full impact of the ACA on pharmaceutical companies, as many of the reforms require the promulgation of detailed regulations implementing the statutory provisions, some of which have not yet fully occurred.</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there have been judicial and Congressional challenges to certain aspects of the ACA, and we expect there will be additional challenges and amendments to the ACA in the future. In January 2017, the President of the United States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In May 2017, the United States House of Representatives passed legislation known as the American Health Care Act, which, if enacted, would amend or repeal significant portions of the ACA. The United States Senate could adopt the American Health Care Act as passed by the United States House of Representatives or other legislation to amend or replace elements of the ACA. Thus, it is uncertain when or if the American Health Care Act will become law. We continue to evaluate the effect that the ACA and its possible repeal and replacement has on our business.</w:t>
      </w:r>
    </w:p>
    <w:p>
      <w:pPr>
        <w:spacing w:after="0" w:line="17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Other legislative changes have been proposed and adopted since the ACA was enacted. For example, in August 2011, the President of the United States signed into law the Budget Control Act of 2011, which, among other things, created the Joint Select Committee on Deficit Reduction to recommend to Congress proposals in spending reductions. The Joint Select Committee did not achieve a targeted deficit reduction of at least $1.2 trillion for the years 2013 through 2021, triggering the legislation’s automatic reduction to several government programs. This included further reductions to Medicare payments to providers of 2% per fiscal year, which went into effect in April 2013 and, due to subsequent legislative amendments to the statute, will stay in effect through 2025 unless additional Congressional action is taken. Additionally, in January 2013, the American Taxpayer Relief Act of 2012 was signed into law, which, among other things, reduced Medicare payments to several types of providers and increased the statute of limitations period in which the government may recover overpayments to providers from three to five years. Further, there have been several recent United States Congressional inquiries and proposed federal and state legislation designed to, among other things, bring more transparency to drug pricing, review the relationship between pricing and manufacturer patient programs, reduce the out-of-pocket cost of prescription drugs, and reform government program reimbursement methodologies for drugs.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Moreover, the Drug Supply Chain Security Act, which was enacted in 2012 as part of the Food and Drug Administration Safety and Innovation Act, imposes new obligations on manufacturers of pharmaceutical products related to product tracking and tracing. Legislative and regulatory proposals have been made to expand post-approval requirements and restrict sales and promotional activities for pharmaceutical products. We are not sure whether additional legislative changes will be enacted, or whether the current regulations, guidance or interpretations will be changed, or what the impact of such changes on our business, if any, may be. In addition, increased scrutiny by the United States Congress of the FDA’s approval process may significantly delay or prevent marketing approval, as well as subject us to more stringent product labeling and post-marketing testing and other requirements.</w:t>
      </w:r>
    </w:p>
    <w:p>
      <w:pPr>
        <w:spacing w:after="0" w:line="1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in the United States, we may never receive regulatory approval to market our product candidates outside of the United States.</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not yet selected any markets outside of the United States where we intend to seek regulatory approval to market our product candidates. In order to market any product outside of the United States,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do not currently have an infrastructure for the sale, marketing and distribution of pharmaceutical products, nor do we intend to create such capabilities. Therefore, in order to market our product candidates, if approved by the FDA or any other regulatory body, we must make contractual arrangements with third parties to perform services related to sales, marketing, managerial and other non-technical capabilities relating to the commercialization of our product candidates. If we are unable to establish adequate contractual arrangements for such sales, marketing and distribution capabilities, or if we are unable to do so on commercially reasonable terms, our business, results of operations, financial condition and prospects will be materially adversely affected.</w:t>
      </w:r>
    </w:p>
    <w:p>
      <w:pPr>
        <w:spacing w:after="0" w:line="17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94" w:lineRule="exact"/>
        <w:rPr>
          <w:sz w:val="20"/>
          <w:szCs w:val="20"/>
          <w:color w:val="auto"/>
        </w:rPr>
      </w:pPr>
    </w:p>
    <w:p>
      <w:pPr>
        <w:jc w:val="both"/>
        <w:ind w:left="980" w:hanging="486"/>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194"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limitations or warnings contained in the labeling approved for our product candidates by the FDA or other applicable regulatory authorities;</w:t>
      </w:r>
    </w:p>
    <w:p>
      <w:pPr>
        <w:spacing w:after="0" w:line="248" w:lineRule="exact"/>
        <w:rPr>
          <w:rFonts w:ascii="Arial" w:cs="Arial" w:eastAsia="Arial" w:hAnsi="Arial"/>
          <w:sz w:val="16"/>
          <w:szCs w:val="16"/>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80" w:hanging="486"/>
        <w:spacing w:after="0" w:line="26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increase awareness of our product candidates through marketing efforts;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Our product candidates may cause undesirable safety concerns and side effects that could delay or prevent their regulatory approval, limit the commercial profile of an approved label, or result in significant negative consequences following marketing approval, if any.</w:t>
      </w:r>
    </w:p>
    <w:p>
      <w:pPr>
        <w:spacing w:after="0" w:line="139"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Undesirable safety concerns and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13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spacing w:after="0" w:line="167" w:lineRule="exact"/>
        <w:rPr>
          <w:sz w:val="20"/>
          <w:szCs w:val="20"/>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conduct additional clinical trials or change the labeling of the product candidates;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decide to remove such product candidates from the marketplace;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marketing approval for our product candidates, we may still face future development and regulatory difficulties.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has significant post-marketing authority, including, for example, the authority to require labeling changes based on new safety information and to require post-marketing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Manufacturers of drug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98" w:lineRule="exact"/>
        <w:rPr>
          <w:sz w:val="20"/>
          <w:szCs w:val="20"/>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that we initiate a product recall.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Competing therapies could emerge adversely affecting our opportunity to generate revenue from the sale of our product candidates.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pharmaceuticals industry is highly competitive. There are many public and private pharmaceutical companies, universities, governmental agencies and other research organizations actively engaged in the research and development of product candidates that may be similar to our product candidates or address similar markets. It is probable that the number of companies seeking to develop product candidates similar to our product candidates will increase.</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Currently, management is unaware of any FDA-approved oral adjunctive therapy for MDD patients with an inadequate response to standard antidepressants having the same mechanism of action and safety profile as AV-101. However, new antidepressant products with other mechanisms of action or products approved for other indications, including the anesthetic ketamine hydrochloride, are being or may be used off-label for treatment of MDD, as well as other CNS indications for which AV-101 may have therapeutic potential. Additionally, other non-pharmaceutical treatment options, such psychotherapy and electroconvulsive therapy (</w:t>
      </w:r>
      <w:r>
        <w:rPr>
          <w:rFonts w:ascii="Arial" w:cs="Arial" w:eastAsia="Arial" w:hAnsi="Arial"/>
          <w:sz w:val="16"/>
          <w:szCs w:val="16"/>
          <w:i w:val="1"/>
          <w:iCs w:val="1"/>
          <w:color w:val="auto"/>
        </w:rPr>
        <w:t>ECT</w:t>
      </w:r>
      <w:r>
        <w:rPr>
          <w:rFonts w:ascii="Arial" w:cs="Arial" w:eastAsia="Arial" w:hAnsi="Arial"/>
          <w:sz w:val="16"/>
          <w:szCs w:val="16"/>
          <w:color w:val="auto"/>
        </w:rPr>
        <w:t>) are sometimes used before or instead of standard antidepressant medications to treat patients with MDD.</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field of new generation, orally available, adjunctive treatments of adult MDD patients with an inadequate response to standard antidepressants, we believe our principal competitor is Alkermes’ orally available drug candidate in Phase 3 development, ALKS-5461.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including MDD, epilepsy, neuropathic pain, dyskinesia associated with L-DOPA therapy for Parkinson’s disease and other neurological conditions and diseases, including, but not limited to, Abbott Laboratories, Acadia, Allergan, Alkermes, Astra Zeneca, Eli Lilly, GlaxoSmithKline, IntraCellular, Johnson &amp; Johnson/Janssen, Lundbeck, Merck, Novartis, Ono, Otsuka, Pfizer, Roche, Sage, Sumitomo Dainippon, and Takeda, as well as any affiliates of the foregoing companies.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success of our business depends primarily upon our ability to identify, develop and commercialize product candidates with commercial and therapeutic potential. Although AV-101 is in Phase 2 clinical development for treatment of depression, we may fail to pursue additional CNS-related Phase 2 development opportunities for AV-101, or identify additional product candidates for clinical development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Because we currently have limited financial and management resources, we necessarily focus on a limited number of research and development programs and product candidates and are currently focused primarily on development of AV-101, with additional limited focus on NCE drug rescue and RM. As a result, we may forego or delay pursuit of opportunities with other product candidates or for other potential CNS-related indications for AV-101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do not currently have any products on the market, once we begin commercializing our products,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74" w:lineRule="exact"/>
        <w:rPr>
          <w:sz w:val="20"/>
          <w:szCs w:val="20"/>
          <w:color w:val="auto"/>
        </w:rPr>
      </w:pPr>
    </w:p>
    <w:p>
      <w:pPr>
        <w:jc w:val="both"/>
        <w:ind w:left="980" w:hanging="486"/>
        <w:spacing w:after="0" w:line="306"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60" w:lineRule="exact"/>
        <w:rPr>
          <w:rFonts w:ascii="Arial" w:cs="Arial" w:eastAsia="Arial" w:hAnsi="Arial"/>
          <w:sz w:val="16"/>
          <w:szCs w:val="16"/>
          <w:color w:val="auto"/>
        </w:rPr>
      </w:pPr>
    </w:p>
    <w:p>
      <w:pPr>
        <w:jc w:val="both"/>
        <w:ind w:left="980" w:hanging="486"/>
        <w:spacing w:after="0" w:line="306"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60" w:lineRule="exact"/>
        <w:rPr>
          <w:rFonts w:ascii="Arial" w:cs="Arial" w:eastAsia="Arial" w:hAnsi="Arial"/>
          <w:sz w:val="16"/>
          <w:szCs w:val="16"/>
          <w:color w:val="auto"/>
        </w:rPr>
      </w:pPr>
    </w:p>
    <w:p>
      <w:pPr>
        <w:jc w:val="both"/>
        <w:ind w:left="980" w:hanging="486"/>
        <w:spacing w:after="0" w:line="25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97"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980" w:hanging="486"/>
        <w:spacing w:after="0" w:line="256"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97" w:lineRule="exact"/>
        <w:rPr>
          <w:rFonts w:ascii="Arial" w:cs="Arial" w:eastAsia="Arial" w:hAnsi="Arial"/>
          <w:sz w:val="18"/>
          <w:szCs w:val="18"/>
          <w:color w:val="auto"/>
        </w:rPr>
      </w:pPr>
    </w:p>
    <w:p>
      <w:pPr>
        <w:jc w:val="both"/>
        <w:ind w:left="980" w:hanging="486"/>
        <w:spacing w:after="0" w:line="256"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97"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AV-101, if approved. In particular, a product may not be promoted for uses that are not approved by the FDA or such other regulatory agencies as reflected in the product’s approved labeling. For example, if we receive marketing approval for AV-101 as an adjunctive treatment of MDD, physicians may nevertheless prescribe AV-101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our product candidates.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Market acceptance and sales of our product candidates will depend heavily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We may seek FDA Orphan Drug designation for one or more of our product candidates, including AV-101. Even if we have obtained FDA Orphan Drug designation for AV-101 of other product candidates, there may be limits to the regulatory exclusivity afforded by such designation.</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may, in the future, choose to seek FDA Orphan Drug designation for one or more of our product candidates, including AV-101. Even if we obtain Orphan Drug designation from the FDA for AV-101 or any other product candidates, there are limitations to the exclusivity afforded by such designation.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8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139" w:lineRule="exact"/>
        <w:rPr>
          <w:sz w:val="20"/>
          <w:szCs w:val="20"/>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 party intellectual property rights;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We are a development stage biopharmaceutical company with no current revenues or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16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are a development stage biopharmaceutical company. Although our lead drug candidate is in Phase 2 development, we currently have no approved products and currently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167" w:lineRule="exact"/>
        <w:rPr>
          <w:sz w:val="20"/>
          <w:szCs w:val="20"/>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produce product candidates;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and obtain required regulatory approvals for commercialization of product candidates we produce;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establish and maintain sales, distribution and marketing capabilities, and/or enter into strategic partnering arrangements to access such capabilities;</w:t>
      </w:r>
    </w:p>
    <w:p>
      <w:pPr>
        <w:spacing w:after="0" w:line="259" w:lineRule="exact"/>
        <w:rPr>
          <w:rFonts w:ascii="Arial" w:cs="Arial" w:eastAsia="Arial" w:hAnsi="Arial"/>
          <w:sz w:val="15"/>
          <w:szCs w:val="15"/>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gain market acceptance for our products; and</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adequate capital resources and manage our spending as costs and expenses increase due to research, production, development, regulatory approval and commercialization of product candidates.</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Our future success is highly dependent upon our ability to successfully develop and commercialize AV-101 and discover, as well as produce, develop and commercialize proprietary drug rescue NCEs using our stem cell technology, and we cannot provide any assurance that we will successfully develop and commercialize AV-101 or drug rescue NCEs, or that, if produced, AV-101 or any drug rescue NCE will be successfully commercialized.</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Research programs designed to identify and produce drug rescue NCEs require substantial technical, financial and human resources, whether or not any NCEs are ultimately identified and produced. In particular, our drug rescue programs may initially show promise in identifying potential NCEs, yet fail to yield a lead NCE suitable for preclinical, clinical development or commercialization for many reasons, including the following:</w:t>
      </w:r>
    </w:p>
    <w:p>
      <w:pPr>
        <w:spacing w:after="0" w:line="161"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drug rescue research and development methodology may not be successful in identifying and developing potential drug rescue NCEs;</w:t>
      </w:r>
    </w:p>
    <w:p>
      <w:pPr>
        <w:spacing w:after="0" w:line="248" w:lineRule="exact"/>
        <w:rPr>
          <w:rFonts w:ascii="Arial" w:cs="Arial" w:eastAsia="Arial" w:hAnsi="Arial"/>
          <w:sz w:val="16"/>
          <w:szCs w:val="16"/>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drug rescue NCEs obsolete;</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drug rescue NCE may, on further study, be shown to have harmful side effects or other characteristics that indicate it is unlikely to be effective or otherwise does not meet applicable regulatory criteria;</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drug rescue NCE may not be capable of being produced in commercial quantities at an acceptable cost, or at all; or</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drug rescue NCE may not be accepted as safe and effective by regulatory authorities, patients, the medical community or third-party payors.</w:t>
      </w:r>
    </w:p>
    <w:p>
      <w:pPr>
        <w:spacing w:after="0" w:line="2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AV-101, drug rescue NCEs and/or other product candidates if and when they are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AV-101,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370" w:lineRule="auto"/>
        <w:rPr>
          <w:sz w:val="20"/>
          <w:szCs w:val="20"/>
          <w:color w:val="auto"/>
        </w:rPr>
      </w:pPr>
      <w:r>
        <w:rPr>
          <w:rFonts w:ascii="Arial" w:cs="Arial" w:eastAsia="Arial" w:hAnsi="Arial"/>
          <w:sz w:val="15"/>
          <w:szCs w:val="15"/>
          <w:b w:val="1"/>
          <w:bCs w:val="1"/>
          <w:i w:val="1"/>
          <w:iCs w:val="1"/>
          <w:color w:val="auto"/>
        </w:rPr>
        <w:t>We have limited operating history with respect to drug development, including our anticipated focus on the identification and assessment of potential drug rescue NCEs and no operating history with respect to the production of drug rescue NCEs, and we may never be able to produce a drug rescue NCE.</w:t>
      </w:r>
    </w:p>
    <w:p>
      <w:pPr>
        <w:spacing w:after="0" w:line="1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If we are unable to develop and commercialize AV-101 or produce suitable drug rescue NCEs, we may not be able to generate sufficient revenues to execute our business plan, which likely would result in significant harm to our financial position and results of operations, which could adversely impact our stock price.</w:t>
      </w:r>
    </w:p>
    <w:p>
      <w:pPr>
        <w:spacing w:after="0" w:line="13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There are a number of factors, in addition to the utility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that may impact our ability to identify and produce, develop or out-license and commercialize drug rescue NCEs, independently or with strategic partners, including:</w:t>
      </w:r>
    </w:p>
    <w:p>
      <w:pPr>
        <w:spacing w:after="0" w:line="186" w:lineRule="exact"/>
        <w:rPr>
          <w:sz w:val="20"/>
          <w:szCs w:val="20"/>
          <w:color w:val="auto"/>
        </w:rPr>
      </w:pPr>
    </w:p>
    <w:p>
      <w:pPr>
        <w:ind w:left="980" w:hanging="486"/>
        <w:spacing w:after="0" w:line="268"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identify potential drug rescue candidates in the public domain, obtain sufficient quantities of them, and assess them using our bioassay systems;</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seek to rescue drug rescue candidates that are not available to us in the public domain, the extent to which third parties may be willing to out-license or sell certain drug rescue candidates to us on commercially reasonable terms;</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our medicinal chemistry collaborator’s ability to design and produce proprietary drug rescue NCEs based on the novel biology and structure-function insight we provide using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w:t>
      </w:r>
    </w:p>
    <w:p>
      <w:pPr>
        <w:spacing w:after="0" w:line="185" w:lineRule="exact"/>
        <w:rPr>
          <w:rFonts w:ascii="Arial" w:cs="Arial" w:eastAsia="Arial" w:hAnsi="Arial"/>
          <w:sz w:val="18"/>
          <w:szCs w:val="18"/>
          <w:color w:val="auto"/>
        </w:rPr>
      </w:pPr>
    </w:p>
    <w:p>
      <w:pPr>
        <w:ind w:left="980" w:hanging="486"/>
        <w:spacing w:after="0" w:line="33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financial resources available to us to develop and commercialize lead drug rescue NCEs internally, or, if we out-license them to strategic partners, the resources such partners choose to dedicate to development and commercialization of any drug rescue NCEs they license from us.</w:t>
      </w:r>
    </w:p>
    <w:p>
      <w:pPr>
        <w:spacing w:after="0" w:line="13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Even if we do produce proprietary drug rescue NCEs, we can give no assurance that we will be able to develop and commercialize them as a marketable drug, on our own or in collaboration with others. Before we generate any revenues from AV-101 and/or additional drug rescue NCEs we or our potential collaborators must complete preclinical and clinical developments,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66"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 xml:space="preserve">If 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fails to predict accurately and efficiently the cardiac effects, both toxic and nontoxic, of drug rescue candidates and drug rescue NCEs, then our drug rescue programs will be adversely affected.</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success is partly dependent on our ability to use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to identify and predict, accurately and efficiently, the potential toxic and nontoxic cardiac effects of drug rescue candidates and drug rescue NCEs. If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is not capable of providing physiologically relevant and clinically predictive information regarding human cardiac biology, our drug rescue business will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may not be meaningfully more predictive of the behavior of human cells than existing methods.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The success of our drug rescue programs is highly dependent upon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will be more efficient or accurate at predicting the heart safety of new drug candidates than the testing models currently used. If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fails to provide a meaningful difference compared to existing or new models in predicting the behavior of human heart, respectively, their utility for drug rescue will be limited and our drug rescue business will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in producing drug rescue NCEs for which there proves to be no demand.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generate revenue from our drug rescue activities, we must produce proprietary drug rescue NCEs for which there proves to be demand within the healthcare marketplace, and, if we intend to out-license a particular drug rescue NCE for development and commercialization prior to market approval, then also among pharmaceutical companies and other potential collaborators. However, we may produce drug rescue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drug rescue business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human pluripotent stem cell technology is technically complex, and the time and resources necessary to develop various human cell types and customized bioassay systems are difficult to predict in advance. We might decide to devote significant personnel and financial resources to research and development activities designed to expand, in the case of drug rescue, and explore, in the case of drug discovery and regenerative medicine, potential applications of our stem cell technology platform. In particular, we may conduct exploratory non-clinical RM programs involving blood, bone, cartilage, and/or liver cells. Although we and our collaborators have developed proprietary protocols for the production of multiple differentiated cell types, we could encounter difficulties in differentiating and producing sufficient quantities of particular cell types, even when following these proprietary protocols. These difficulties could result in delays in production of certain cells, assessment of certain drug rescue candidates and drug rescue NCEs,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regenerative medicine business opportunities and results of operations.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9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Some of our research and development programs may involve the use of human cells derived from our controlled differentiation of human embryonic stem cells (</w:t>
      </w:r>
      <w:r>
        <w:rPr>
          <w:rFonts w:ascii="Arial" w:cs="Arial" w:eastAsia="Arial" w:hAnsi="Arial"/>
          <w:sz w:val="15"/>
          <w:szCs w:val="15"/>
          <w:i w:val="1"/>
          <w:iCs w:val="1"/>
          <w:color w:val="auto"/>
        </w:rPr>
        <w:t>hESC</w:t>
      </w:r>
      <w:r>
        <w:rPr>
          <w:rFonts w:ascii="Arial" w:cs="Arial" w:eastAsia="Arial" w:hAnsi="Arial"/>
          <w:sz w:val="15"/>
          <w:szCs w:val="15"/>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may use hESCs derived from excess fertilized eggs that have been created for clinical use in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fertilization (</w:t>
      </w:r>
      <w:r>
        <w:rPr>
          <w:rFonts w:ascii="Arial" w:cs="Arial" w:eastAsia="Arial" w:hAnsi="Arial"/>
          <w:sz w:val="15"/>
          <w:szCs w:val="15"/>
          <w:i w:val="1"/>
          <w:iCs w:val="1"/>
          <w:color w:val="auto"/>
        </w:rPr>
        <w:t>IVF</w:t>
      </w:r>
      <w:r>
        <w:rPr>
          <w:rFonts w:ascii="Arial" w:cs="Arial" w:eastAsia="Arial" w:hAnsi="Arial"/>
          <w:sz w:val="15"/>
          <w:szCs w:val="15"/>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foregoing potential ethical concerns do not apply to our use of induced pluripotent stem cells </w:t>
      </w:r>
      <w:r>
        <w:rPr>
          <w:rFonts w:ascii="Arial" w:cs="Arial" w:eastAsia="Arial" w:hAnsi="Arial"/>
          <w:sz w:val="18"/>
          <w:szCs w:val="18"/>
          <w:i w:val="1"/>
          <w:iCs w:val="1"/>
          <w:color w:val="auto"/>
        </w:rPr>
        <w:t>(iPSC</w:t>
      </w:r>
      <w:r>
        <w:rPr>
          <w:rFonts w:ascii="Arial" w:cs="Arial" w:eastAsia="Arial" w:hAnsi="Arial"/>
          <w:sz w:val="18"/>
          <w:szCs w:val="18"/>
          <w:color w:val="auto"/>
        </w:rPr>
        <w:t>s) because their derivation does not involve the use of embryonic tissues.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may use both hESCs and iPSCs to produce human cells for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for drug discovery and drug rescue purposes. However, we anticipate that our future exploratory research and development, if any,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social and ethical concerns surrounding the use of iPSCs, biological materials and genetic information could impair our operations.</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human cells we produce from hPSCs and our customized bioassay systems using such cells, including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23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incurred significant net losses in each fiscal year since our inception in 1998, including net losses of $10.3 million and $47.2 million, which includes $26.7 million of non-cash expense related to the extinguishment of essentially all of our outstanding promissory notes and certain other indebtedness, during the fiscal years ended March 31, 2017 and 2016, respectively. We incurred a net loss of approximately $2.3 million in the quarter ended June 30, 2017 and, as of that date, we had an accumulated deficit of approximately $144.3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(deficit) and working capital. We expect our research and development expenses to significantly increase in connection with non-clinical studies and clinical trials of our product candidates. In addition, if we obtain marketing approval for our product candidates, we may incur significant sales, marketing and outsourced-manufacturing expenses should we elect not to collaborate with one or more third parties for such services and capabilities.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ability to become profitable depends upon our ability to generate revenues. To date, we have generated approximately $17.7 million in revenues, including receipt of non-dilutive cash payments from collaborators, sublicense revenue, and research and development grant awards from the NIH, not including the fair market value of the ongoing NIMH AV-101 MDD Phase 2 Monotherapy Study under our NIMH CRADA.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AV-101, or we enter into one or more development and commercialization agreements with respect to AV-101 or one or more other product candidates. Our ability to generate revenue depends on a number of factors, including, but not limited to, our ability to:</w:t>
      </w:r>
    </w:p>
    <w:p>
      <w:pPr>
        <w:spacing w:after="0" w:line="201"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initiate and successfully complete non-clinical and clinical trials that meet their prescribed endpoints;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initiate and successfully complete all safety studies required to obtain U.S. and foreign marketing approval for our product candidates;</w:t>
      </w:r>
    </w:p>
    <w:p>
      <w:pPr>
        <w:spacing w:after="0" w:line="248" w:lineRule="exact"/>
        <w:rPr>
          <w:rFonts w:ascii="Arial" w:cs="Arial" w:eastAsia="Arial" w:hAnsi="Arial"/>
          <w:sz w:val="16"/>
          <w:szCs w:val="16"/>
          <w:color w:val="auto"/>
        </w:rPr>
      </w:pPr>
    </w:p>
    <w:p>
      <w:pPr>
        <w:ind w:left="980" w:hanging="486"/>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commercialize our product candidates, if approved, by developing a sales force or entering into collaborations with third parties; and</w:t>
      </w:r>
    </w:p>
    <w:p>
      <w:pPr>
        <w:spacing w:after="0" w:line="248" w:lineRule="exact"/>
        <w:rPr>
          <w:rFonts w:ascii="Arial" w:cs="Arial" w:eastAsia="Arial" w:hAnsi="Arial"/>
          <w:sz w:val="16"/>
          <w:szCs w:val="16"/>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Unless we enter into a development and commercialization collaboration or partnership agreement, we expect to incur significant sales and marketing costs as we prepare to commercialize AV-101 or other product candidates. Even if we initiate and successfully complete pivotal clinical trials of AV-101 or other product candidates, and AV-101 or other product candidates are approved for commercial sale, and despite expending these costs, AV-101 or other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require additional financing to execute our business plan and continue to operate as a going concern.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audited consolidated financial statements for the year ended March 31, 2017 as well as the unaudited condensed consolidated financial statements for the period ended June 30, 2017 included elsewhere in this Report have been prepared assuming we will continue to operate as a going concern, although we and our auditors have indicated that our continuing losses and negative cash flows from operations raise substantial doubt about our ability to continue as such. Because we continue to experience net operating losses, our ability to continue as a going concern is subject to our ability to obtain necessary funding from outside sources, including obtaining additional funding from the sale of our securities or obtaining loans and grant awards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Since our inception, most of our resources have been dedicated to research and development of AV-101 and the drug rescue capabilities of our stem cell technology platform. In particular, we have expended substantial resources advancing AV-101 through preclinical development and Phase 1 clinical safety studies, and developing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our cardiac stem cell technology for drug rescue and potential regenerative medicine applications, and we will continue to expend substantial resources for the foreseeable future developing and commercializing AV-101 for multiple CNS indications, and, potentially, developing drug rescue NCEs and RM therapies, on our own or in collaborations similar to the BlueRock Agreement. These expenditures will include costs associated with general and administrative costs, facilities costs, research and development, acquiring new technologies, manufacturing product candidates, conducting preclinical experiments and clinical trials and obtaining regulatory approvals, as well as commercializing any products approved for sale.</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At June 30, 2017, our existing cash and cash equivalents were not sufficient to fund our current operations for the next 12 months or to complete our proposed AV-101 MDD Phase 2 Adjunctive Treatment Study. Further, we have no current source of revenue to sustain our present activities, and we do not expect to generate revenue until, and unless, we (i) out-license or sell AV-101, a drug rescue NCE, and/or another drug candidate unrelated to AV-101 to third-parties, (ii) enter into license arrangements involving our stem cell technology, or (iii) obtain approval from the FDA or other regulatory authorities and successfully commercialize, on our own or through a future collaboration, one or more of our compounds.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the outcome of our AV-101 and NCE drug rescue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including capital necessary to develop, obtain regulatory approval for, and to commercialize our product candidates, and may seek additional capital in the event there exists favorable market conditions or strategic considerations even if we believe we have sufficient funds for our current or future operating plans. We are considering a range of potential sources of funding, including public or private equity or debt financings, government or other third-party funding, marketing and distribution arrangements and other collaborations, strategic alliances and licensing arrangements or a combination of these approaches, and we may complete additional financing arrangements in 2017 and beyond.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25"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 including AV-101 and drug rescue NCEs;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preclinical and clinical studies;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our product candidates are approved for sale, including marketing, sales and distribution costs;</w:t>
      </w:r>
    </w:p>
    <w:p>
      <w:pPr>
        <w:spacing w:after="0" w:line="248" w:lineRule="exact"/>
        <w:rPr>
          <w:rFonts w:ascii="Arial" w:cs="Arial" w:eastAsia="Arial" w:hAnsi="Arial"/>
          <w:sz w:val="16"/>
          <w:szCs w:val="16"/>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arrangements and the financial terms of such agreements;</w:t>
      </w:r>
    </w:p>
    <w:p>
      <w:pPr>
        <w:spacing w:after="0" w:line="248" w:lineRule="exact"/>
        <w:rPr>
          <w:rFonts w:ascii="Arial" w:cs="Arial" w:eastAsia="Arial" w:hAnsi="Arial"/>
          <w:sz w:val="16"/>
          <w:szCs w:val="16"/>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obtain government funding for our programs;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involved in obtaining and enforcing patents to preserve our intellectual property;</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involved in defending against such claims that we infringe third-party patents or violate other intellectual property rights and the outcome of such litigation;</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timing, receipt and amount of potential future licensee fees, milestone payments, and sales of, or royalties on, our future products, if any; and</w:t>
      </w:r>
    </w:p>
    <w:p>
      <w:pPr>
        <w:spacing w:after="0" w:line="248" w:lineRule="exact"/>
        <w:rPr>
          <w:rFonts w:ascii="Arial" w:cs="Arial" w:eastAsia="Arial" w:hAnsi="Arial"/>
          <w:sz w:val="16"/>
          <w:szCs w:val="16"/>
          <w:color w:val="auto"/>
        </w:rPr>
      </w:pPr>
    </w:p>
    <w:p>
      <w:pPr>
        <w:ind w:left="980" w:hanging="486"/>
        <w:spacing w:after="0" w:line="268"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Any additional fundraising efforts will divert certain members of our management team from their day-to-day activities, which may adversely affect our ability to develop and commercialize our product candidates. In addition, we cannot guarantee that future financing will be available in sufficient amounts, in a timely manner, or on terms acceptable to us, if at all, and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or exchange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6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r>
        <w:rPr>
          <w:rFonts w:ascii="Arial" w:cs="Arial" w:eastAsia="Arial" w:hAnsi="Arial"/>
          <w:sz w:val="15"/>
          <w:szCs w:val="15"/>
          <w:b w:val="1"/>
          <w:bCs w:val="1"/>
          <w:color w:val="auto"/>
        </w:rPr>
        <w:t>.</w:t>
      </w:r>
    </w:p>
    <w:p>
      <w:pPr>
        <w:spacing w:after="0" w:line="1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We have identified material weaknesses in our internal control over financial reporting. In particular, we concluded that (i) the size and capabilities of the Company’s staff does not permit appropriate segregation of duties to prevent one individual from overriding the internal control system by initiating, authorizing and completing all transactions, and (ii) the Company utilizes accounting software that does not prevent erroneous or unauthorized changes to previous reporting periods and/or can be adjusted so as to not provide an adequate auditing trail of entries made in the accounting software (See Item 9A. </w:t>
      </w:r>
      <w:r>
        <w:rPr>
          <w:rFonts w:ascii="Arial" w:cs="Arial" w:eastAsia="Arial" w:hAnsi="Arial"/>
          <w:sz w:val="16"/>
          <w:szCs w:val="16"/>
          <w:i w:val="1"/>
          <w:iCs w:val="1"/>
          <w:color w:val="auto"/>
        </w:rPr>
        <w:t>Controls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Procedures </w:t>
      </w:r>
      <w:r>
        <w:rPr>
          <w:rFonts w:ascii="Arial" w:cs="Arial" w:eastAsia="Arial" w:hAnsi="Arial"/>
          <w:sz w:val="16"/>
          <w:szCs w:val="16"/>
          <w:color w:val="auto"/>
        </w:rPr>
        <w:t>contained in our Annual Report on Form 10-K for the year ended June 30, 2017, filed with the SEC on June 29, 2017.).</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existence of one or more material weaknesses or significant deficiencies could result in errors in our financial statements, and substantial costs and resources may be required to rectify any internal control deficiencies. If we cannot produce reliable financial reports, investors could lose confidence in our reported financial information, we may be unable to obtain additional financing to operate and expand our business and our business and financial condition could be harmed.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Raising additional capital will cause dilution to our existing stockholders, may restrict our operations or require us to relinquish rights, and may require us to seek stockholder approval to authorize additional shares of our common stock.</w:t>
      </w:r>
    </w:p>
    <w:p>
      <w:pPr>
        <w:spacing w:after="0" w:line="186"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We intend to pursue private and public equity offerings, debt financings, strategic collaborations and licensing arrangements during 2017 and beyond.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currently have 30.0 million shares of common stock authorized for issuance. Based on the current number of shares of our common stock: (i) outstanding, (ii) reserved for conversion or exchange of our various series of outstanding preferred stock, including for payment of accrued dividends on our outstanding Series B Preferred, (iii) reserved for the exercise of outstanding warrants, and (iv) reserved for the exercise of options granted or available for grant pursuant to our equity incentive plans, at June 30, 2017, we have approximately 8.1 million shares of common stock available for future financing or other activities. We anticipate seeking stockholder approval to amend our Articles of Incorporation to increase the number of shares of common stock we are authorized to issue in order to achieve our near-term or longer-term financing objectives.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programs have been partially supported by government grant awards, which may not be available to us in the future.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Since inception, we have received substantial funds under grant award programs funded by state and federal governmental agencies, such as the NIH, the NIH’s National Institute of Neurological Disease and Stroke (</w:t>
      </w:r>
      <w:r>
        <w:rPr>
          <w:rFonts w:ascii="Arial" w:cs="Arial" w:eastAsia="Arial" w:hAnsi="Arial"/>
          <w:sz w:val="16"/>
          <w:szCs w:val="16"/>
          <w:i w:val="1"/>
          <w:iCs w:val="1"/>
          <w:color w:val="auto"/>
        </w:rPr>
        <w:t>NINDS</w:t>
      </w:r>
      <w:r>
        <w:rPr>
          <w:rFonts w:ascii="Arial" w:cs="Arial" w:eastAsia="Arial" w:hAnsi="Arial"/>
          <w:sz w:val="16"/>
          <w:szCs w:val="16"/>
          <w:color w:val="auto"/>
        </w:rPr>
        <w:t>) and the NIMH, and the California Institute for Regenerative Medicine (</w:t>
      </w:r>
      <w:r>
        <w:rPr>
          <w:rFonts w:ascii="Arial" w:cs="Arial" w:eastAsia="Arial" w:hAnsi="Arial"/>
          <w:sz w:val="16"/>
          <w:szCs w:val="16"/>
          <w:i w:val="1"/>
          <w:iCs w:val="1"/>
          <w:color w:val="auto"/>
        </w:rPr>
        <w:t>CIRM</w:t>
      </w:r>
      <w:r>
        <w:rPr>
          <w:rFonts w:ascii="Arial" w:cs="Arial" w:eastAsia="Arial" w:hAnsi="Arial"/>
          <w:sz w:val="16"/>
          <w:szCs w:val="16"/>
          <w:color w:val="auto"/>
        </w:rPr>
        <w:t>).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is subject to certain limitations.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As of March 31, 2017, we had federal and state net operating loss carryforwards of $77.1 million and $67.6 million, respectively, which begin to expire in fiscal 2018. Under Section 382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If we fail to attract and retain senior management and key scientific personnel, we may be unable to successfully produce, develop and commercialize AV-101, drug rescue NCEs, other potential product candidates and other commercial applications of our stem cell technology.</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and scientific and technical personnel. We are highly dependent upon our Chief Executive Officer, President and Chief Scientific Officer, Chief Medical Officer and Chief Financial Officer, as well as other employees, consultants and scientific collaborators. As of the date of this Report, we have nine full-time employees, which may make us more reliant on our individual employees than companies with a greater number of employees. The loss of services of any of these individuals could delay or prevent the successful development of AV-101, drug rescue NCEs, other product candidates, and other applications of our stem cell technology, including our production and assessment of potential drug recuse NCEs or disrupt our administrative functions.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and administrative activities. We may not be able to attract and retain quality personnel on acceptable terms.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we rely on a diverse range of strategic consultants and advisors, including manufacturing, scientific and clinical development, and regulatory advisors, to assist us in designing and implementing our research and development and regulatory strategies and plans, including our AV-101 development and drug rescue strategies and plans. Our consultants and advisors may be employed by employers other than us and may have commitments under consulting or advisory contracts with other entities that may limit their availability to us.</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we seek to advance development of AV-101 for MDD and other CNS-related conditions, as well as stem cell technology-related drug rescue and RM programs, we will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we develop AV-101, drug rescue NCEs, other product candidates, or regenerative medicine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AV-101, any drug rescue NCE, other product candidate, or regenerative medicine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205" w:lineRule="exact"/>
        <w:rPr>
          <w:sz w:val="20"/>
          <w:szCs w:val="20"/>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decreased demand for products that we may develop;</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As a public company, we incur significant administrative workload and expenses to comply with U.S. regulations and requirements imposed by The NASDAQ Stock Market concerning corporate governance and public disclosure.</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public company with common stock listed on The NASDAQ Capital Market, we must comply with various laws, regulations and requirements, including certain provisions of the Sarbanes-Oxley Act of 2002, as well as rules implemented by the SEC and The NASDAQ Stock Market. Complying with these statutes, regulations and requirements, including our public company reporting requirements, continues to occupy a significant amount of the time of management and involves significant accounting, legal and other expenses. Furthermore, these laws, regulations and requirements require us to observe greater corporate governance practices than we have employed in the past, including, but not limited to maintaining a sufficient number of independent directors, increased frequency of board meetings, and holding annual stockholder meetings. Our efforts to comply with these regulations are likely to result in increased general and administrative expenses and management time and attention directed to compliance activities.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internal computer systems, or those of our third-party CROs or other contractors or consultants, may fail or suffer security breaches, which could result in a material disruption of our product candidates’ development programs.</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AV-101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acquire businesses or products, or form strategic alliances, in the future, and we may not realize the benefits of such acquisitions.</w:t>
      </w:r>
    </w:p>
    <w:p>
      <w:pPr>
        <w:spacing w:after="0" w:line="24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strive to protect and enhance the proprietary technologies that we believe are important to our business, including seeking patents intended to cover our products and compositions, their methods of use and any other inventions we consider are important to the development of our business. We also rely on trade secrets to protect aspects of our business that are not amenable to, or that we do not consider appropriate for, patent protection.</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success will depend significantly on our ability to obtain and maintain patent and other proprietary protection for commercially important technology, inventions and know-how related to our business, to defend and enforce our patents, should they issue,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patent applications related to AV-101 and we own and have licensed patents and patent applications related to human pluripotent stem cell technology.</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have an issued patent relating to AV-101 in the European Union, we cannot yet provide any assurances that any of our numerous pending U.S. and additional foreign patent applications relating to AV-101 will mature into issued patents and, if they do, that such patents will include claims with a scope sufficient to protect AV-101 or otherwise provide any competitive advantage. Moreover, other parties may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Such third-party patent positions may limit or even eliminate our ability to obtain patent protection.</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 patent positions of biotechnology and pharmaceutical companies, including our patent position, involve complex legal and factual questions, and, therefore, the issuance, scope, validity and enforceability of any additional patent claims that we may obtain cannot be predicted with certainty. Patents, if issued, may be challenged, deemed unenforceable, invalidated, or circumvented. U.S. patents and patent applications may also be subject to interference proceedings, </w:t>
      </w:r>
      <w:r>
        <w:rPr>
          <w:rFonts w:ascii="Arial" w:cs="Arial" w:eastAsia="Arial" w:hAnsi="Arial"/>
          <w:sz w:val="16"/>
          <w:szCs w:val="16"/>
          <w:i w:val="1"/>
          <w:iCs w:val="1"/>
          <w:color w:val="auto"/>
        </w:rPr>
        <w:t>ex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 </w:t>
      </w:r>
      <w:r>
        <w:rPr>
          <w:rFonts w:ascii="Arial" w:cs="Arial" w:eastAsia="Arial" w:hAnsi="Arial"/>
          <w:sz w:val="16"/>
          <w:szCs w:val="16"/>
          <w:color w:val="auto"/>
        </w:rPr>
        <w:t>reexamination, or</w:t>
      </w:r>
      <w:r>
        <w:rPr>
          <w:rFonts w:ascii="Arial" w:cs="Arial" w:eastAsia="Arial" w:hAnsi="Arial"/>
          <w:sz w:val="16"/>
          <w:szCs w:val="16"/>
          <w:i w:val="1"/>
          <w:iCs w:val="1"/>
          <w:color w:val="auto"/>
        </w:rPr>
        <w:t xml:space="preserve"> inter partes </w:t>
      </w:r>
      <w:r>
        <w:rPr>
          <w:rFonts w:ascii="Arial" w:cs="Arial" w:eastAsia="Arial" w:hAnsi="Arial"/>
          <w:sz w:val="16"/>
          <w:szCs w:val="16"/>
          <w:color w:val="auto"/>
        </w:rPr>
        <w:t>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Furthermore, though a patent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such as using pre-existing or newly developed technology.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225" w:lineRule="exact"/>
        <w:rPr>
          <w:sz w:val="20"/>
          <w:szCs w:val="20"/>
          <w:color w:val="auto"/>
        </w:rPr>
      </w:pPr>
    </w:p>
    <w:p>
      <w:pPr>
        <w:ind w:left="980" w:hanging="486"/>
        <w:spacing w:after="0" w:line="268"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of our AV-101 or other pending patent applications, if issued, will include claims having a scope sufficient to protect AV-101 or any other products or product candidates, particularly considering that the compound patent to AV-101 has expired;</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of our patents, if issued, will be found to ultimately be valid and enforceable;</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our commercial activities or products will not infringe upon the patents or proprietary rights of others.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 if approved.</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may later result in issued patents that our product candidates may infringe, or which such third parties claim are infringed by our technologies. 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was successfully asserted against us and we could not obtain such a license, we may be forced to stop or delay developing, manufacturing, selling or otherwise commercializing our product candidates.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197" w:lineRule="exact"/>
        <w:rPr>
          <w:sz w:val="20"/>
          <w:szCs w:val="20"/>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obtain a license from the holder of the asserted intellectual property, which license may not be available on reasonable terms, if at all; and</w:t>
      </w:r>
    </w:p>
    <w:p>
      <w:pPr>
        <w:spacing w:after="0" w:line="248" w:lineRule="exact"/>
        <w:rPr>
          <w:rFonts w:ascii="Arial" w:cs="Arial" w:eastAsia="Arial" w:hAnsi="Arial"/>
          <w:sz w:val="16"/>
          <w:szCs w:val="16"/>
          <w:color w:val="auto"/>
        </w:rPr>
      </w:pPr>
    </w:p>
    <w:p>
      <w:pPr>
        <w:ind w:left="980" w:hanging="486"/>
        <w:spacing w:after="0" w:line="268"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7"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U.S. Patent and Trademark Office (</w:t>
      </w:r>
      <w:r>
        <w:rPr>
          <w:rFonts w:ascii="Arial" w:cs="Arial" w:eastAsia="Arial" w:hAnsi="Arial"/>
          <w:sz w:val="16"/>
          <w:szCs w:val="16"/>
          <w:i w:val="1"/>
          <w:iCs w:val="1"/>
          <w:color w:val="auto"/>
        </w:rPr>
        <w:t>USPTO</w:t>
      </w:r>
      <w:r>
        <w:rPr>
          <w:rFonts w:ascii="Arial" w:cs="Arial" w:eastAsia="Arial" w:hAnsi="Arial"/>
          <w:sz w:val="16"/>
          <w:szCs w:val="16"/>
          <w:color w:val="auto"/>
        </w:rPr>
        <w:t>), European Patent Office (</w:t>
      </w:r>
      <w:r>
        <w:rPr>
          <w:rFonts w:ascii="Arial" w:cs="Arial" w:eastAsia="Arial" w:hAnsi="Arial"/>
          <w:sz w:val="16"/>
          <w:szCs w:val="16"/>
          <w:i w:val="1"/>
          <w:iCs w:val="1"/>
          <w:color w:val="auto"/>
        </w:rPr>
        <w:t>EPO</w:t>
      </w:r>
      <w:r>
        <w:rPr>
          <w:rFonts w:ascii="Arial" w:cs="Arial" w:eastAsia="Arial" w:hAnsi="Arial"/>
          <w:sz w:val="16"/>
          <w:szCs w:val="16"/>
          <w:color w:val="auto"/>
        </w:rPr>
        <w:t>) and various other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the patents of our licensors, which could be expensive, time-consuming and unsuccessful.</w:t>
      </w:r>
    </w:p>
    <w:p>
      <w:pPr>
        <w:spacing w:after="0" w:line="26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Even if the patent applications we own or license are issued, competitors may infringe these patents.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or European Union.</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we or one of our licensing partners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EPO,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is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patent applications relating to AV-101, as well as for many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a party to a number of license agreements under which we are granted rights to intellectual property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See “</w:t>
      </w:r>
      <w:r>
        <w:rPr>
          <w:rFonts w:ascii="Arial" w:cs="Arial" w:eastAsia="Arial" w:hAnsi="Arial"/>
          <w:sz w:val="16"/>
          <w:szCs w:val="16"/>
          <w:i w:val="1"/>
          <w:iCs w:val="1"/>
          <w:color w:val="auto"/>
        </w:rPr>
        <w:t>Business —Intellectual Property</w:t>
      </w:r>
      <w:r>
        <w:rPr>
          <w:rFonts w:ascii="Arial" w:cs="Arial" w:eastAsia="Arial" w:hAnsi="Arial"/>
          <w:sz w:val="16"/>
          <w:szCs w:val="16"/>
          <w:color w:val="auto"/>
        </w:rPr>
        <w:t>” herein for a description of our license agreements, which includes a description of the termination provisions of these agreements.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86" w:lineRule="exact"/>
        <w:rPr>
          <w:sz w:val="20"/>
          <w:szCs w:val="20"/>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25" w:lineRule="exact"/>
        <w:rPr>
          <w:rFonts w:ascii="Arial" w:cs="Arial" w:eastAsia="Arial" w:hAnsi="Arial"/>
          <w:sz w:val="18"/>
          <w:szCs w:val="18"/>
          <w:color w:val="auto"/>
        </w:rPr>
      </w:pPr>
    </w:p>
    <w:p>
      <w:pPr>
        <w:ind w:left="980" w:right="20" w:hanging="486"/>
        <w:spacing w:after="0" w:line="268"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ownership of inventions and know-how resulting from the joint creation or use of intellectual property by our licensors and us and our partners.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5" w:name="page36"/>
    <w:bookmarkEnd w:id="3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entered into several licenses to support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20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39" w:lineRule="exact"/>
        <w:rPr>
          <w:sz w:val="20"/>
          <w:szCs w:val="20"/>
          <w:color w:val="auto"/>
        </w:rPr>
      </w:pPr>
    </w:p>
    <w:p>
      <w:pPr>
        <w:jc w:val="both"/>
        <w:spacing w:after="0" w:line="335" w:lineRule="auto"/>
        <w:rPr>
          <w:sz w:val="20"/>
          <w:szCs w:val="20"/>
          <w:color w:val="auto"/>
        </w:rPr>
      </w:pPr>
      <w:r>
        <w:rPr>
          <w:rFonts w:ascii="Arial" w:cs="Arial" w:eastAsia="Arial" w:hAnsi="Arial"/>
          <w:sz w:val="15"/>
          <w:szCs w:val="15"/>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4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Some of the intellectual property rights we have licensed or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6"/>
          <w:szCs w:val="16"/>
          <w:i w:val="1"/>
          <w:iCs w:val="1"/>
          <w:color w:val="auto"/>
        </w:rPr>
        <w:t>Bayh-Dole Act</w:t>
      </w:r>
      <w:r>
        <w:rPr>
          <w:rFonts w:ascii="Arial" w:cs="Arial" w:eastAsia="Arial" w:hAnsi="Arial"/>
          <w:sz w:val="16"/>
          <w:szCs w:val="16"/>
          <w:color w:val="auto"/>
        </w:rPr>
        <w: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AV-101 is used in another drug company’s product candidate and that product candidate is the first to obtain FDA approval.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recent U.S. Supreme Court rulings have narrowed the scope of patent protection available in certain circumstances and weakened the rights of patent owners in certain situations. The full impact of these decisions is not yet known. For example, on March 20, 2012 in Mayo Collaborative Services, DBA Mayo Medical Laboratories, et al. v. Prometheus Laboratories, Inc., the Court held that several claims drawn to measuring drug metabolite levels 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Association for Molecular Pathology v. Myriad Genetics, Inc., the Court held that claims to isolated genomic DNA are not patentable, but claims to complementary DNA molecules are patent eligible because they are not a natural product. The effect of the decision on patents for other isolated natural products is uncertain. 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Ariosa Diagnostics, Inc. v. Sequenom, Inc., the Court of Appeals for the Federal Circuit held that methods for detecting fetal genetic defects were not patent eligible subject matter.</w:t>
      </w:r>
    </w:p>
    <w:p>
      <w:pPr>
        <w:spacing w:after="0" w:line="18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to increasing uncertainty with regard to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97" w:lineRule="exact"/>
        <w:rPr>
          <w:sz w:val="20"/>
          <w:szCs w:val="20"/>
          <w:color w:val="auto"/>
        </w:rPr>
      </w:pPr>
    </w:p>
    <w:p>
      <w:pPr>
        <w:ind w:left="980" w:right="20" w:hanging="486"/>
        <w:spacing w:after="0" w:line="268"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as a result of legal challenges by our competitors;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If, instead of identifying drug rescue candidates based on information available to us in the public domain, we seek to in-license drug rescue candidates from biotechnology, medicinal chemistry and pharmaceutical companies, academic, governmental and nonprofit research institutions, including the NIH, or other third-parties, there can be no assurances that we will obtain material ownership or economic participation rights over intellectual property we may derive from such licenses or similar rights to the drug rescue NCEs we may produce and develop. If we are unable to obtain ownership or substantial economic participation rights over intellectual property related to drug rescue NCEs we produce and develop, our business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limited public market for our securities may adversely affect an investor’s ability to liquidate an investment in the Company.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common stock is currently quoted on The NASDAQ Capital Market, however, there is presently limited trading activity. We can give no assurance that an active market will develop, or if developed, that it will be sustained. If an investor acquires shares of our common stock, the investor may not be able to liquidate the shares should there be a need or desire to do so.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market price for our common stock, similar to other biopharmaceutical companies, is likely to be volatile. The market price of our common stock may fluctuate significantly in response to a number of factors, most of which we cannot control, including, among others:</w:t>
      </w:r>
    </w:p>
    <w:p>
      <w:pPr>
        <w:spacing w:after="0" w:line="186" w:lineRule="exact"/>
        <w:rPr>
          <w:sz w:val="20"/>
          <w:szCs w:val="20"/>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and clinical development activities related to our product candidates;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failure of the FDA to approve our product candidates;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our common stock may cause our stock price to decline.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or issuances of a substantial number of shares of our common stock in the public market, or the perception that these sales or issuances are occurring or might occur, could significantly reduce the market price of our common stock and impair our ability to raise adequate capital through the sale of additional equity securities.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stock market in general, and small biopharmaceutical companies like ours in particular, have frequently experienced volatility in the market prices for securities that often has been unrelated to the operating performance of the underlying companies. These broad market and industry fluctuations may adversely affect the market price of our common stock, regardless of our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20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Historically, there has been a limited public market for shares of our common stock. Future sales and issuances of a substantial number of shares of our common stock in the public market, including shares issued upon the conversion of our Series A Preferred, Series B Preferred or Series C Preferred, and the exercise of outstanding options and warrants for common stock which are issuable upon exercise, in the public market, or the perception that these sales and issuances are occurring or might occur, could significantly reduce the market price for our common stock and impair our ability to raise adequate capital through the sale of equity securities.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Certain of our current institutional stockholders own a substantial portion of our outstanding capital stock, including our common stock, Series A Preferred, Series B Preferred, and Series C Preferred, all of which preferred stock is convertible into a substantial number of shares of common stock. Accordingly, institutional stockholders may exert significant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Furthermore, the interests of our principal institutional stockholders may not always coincide with your interests or the interests of other stockholders may act in a manner that advances its best interests and not necessarily those of other stockholders, including seeking a premium value for its common stock, which might affect the prevailing market price for our common stock.</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analysts issue other unfavorable commentary or cease publishing reports about us or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additional issuances of shares of preferred stock in the future.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Our Restated Articles of Incorporation (the </w:t>
      </w:r>
      <w:r>
        <w:rPr>
          <w:rFonts w:ascii="Arial" w:cs="Arial" w:eastAsia="Arial" w:hAnsi="Arial"/>
          <w:sz w:val="16"/>
          <w:szCs w:val="16"/>
          <w:i w:val="1"/>
          <w:iCs w:val="1"/>
          <w:color w:val="auto"/>
        </w:rPr>
        <w:t>Articles</w:t>
      </w:r>
      <w:r>
        <w:rPr>
          <w:rFonts w:ascii="Arial" w:cs="Arial" w:eastAsia="Arial" w:hAnsi="Arial"/>
          <w:sz w:val="16"/>
          <w:szCs w:val="16"/>
          <w:color w:val="auto"/>
        </w:rPr>
        <w:t>) permit us to issue up to 10.0 million shares of preferred stock. Our Board of Directors has authorized the issuance of (i) 500,000 shares of Series A Preferred, all of which shares are issued and outstanding at June 30, 2017; (ii) 4.0 million shares of Series B 10% Convertible Preferred stock, of which approximately 1.2 million shares remain issued and outstanding at June 30, 2017; and (iii) 3.0 million shares of Series C Convertible Preferred Stock, of which approximately 2.3 million shares are issued and outstanding at June 30, 2017.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to ensure compliance with corporate governance, federal securities law and accounting requirements.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Since becoming a public company by means of a reverse merger in 2011, we have been subject to the reporting requirements of the Securities Exchange Act of 1934, as amended (</w:t>
      </w:r>
      <w:r>
        <w:rPr>
          <w:rFonts w:ascii="Arial" w:cs="Arial" w:eastAsia="Arial" w:hAnsi="Arial"/>
          <w:sz w:val="16"/>
          <w:szCs w:val="16"/>
          <w:i w:val="1"/>
          <w:iCs w:val="1"/>
          <w:color w:val="auto"/>
        </w:rPr>
        <w:t>Exchange Act</w:t>
      </w:r>
      <w:r>
        <w:rPr>
          <w:rFonts w:ascii="Arial" w:cs="Arial" w:eastAsia="Arial" w:hAnsi="Arial"/>
          <w:sz w:val="16"/>
          <w:szCs w:val="16"/>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money that we could otherwise use to achieve our research and development and other strategic objectives.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management team may invest or spend the proceeds of this offering in ways with which you may not agree or in ways which may not yield a significant return</w:t>
      </w:r>
      <w:r>
        <w:rPr>
          <w:rFonts w:ascii="Arial" w:cs="Arial" w:eastAsia="Arial" w:hAnsi="Arial"/>
          <w:sz w:val="18"/>
          <w:szCs w:val="18"/>
          <w:b w:val="1"/>
          <w:bCs w:val="1"/>
          <w:color w:val="auto"/>
        </w:rPr>
        <w:t>.</w:t>
      </w:r>
    </w:p>
    <w:p>
      <w:pPr>
        <w:spacing w:after="0" w:line="11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management will have broad discretion over the use of proceeds from this offering. We currently intend to use the net proceeds from the sale of securities offered by this prospectus for general corporate purposes, including research and development, working capital and capital expenditures. We may use a portion of the net proceeds to fund production of, and nonclinical and clinical studies related to Phase 2 and Phase 3 development of, AV-101 and other drug candidates. We may also use the net proceeds from the sale of the securities under this prospectus to in-license, acquire or invest in complementary businesses, technologies, products or assets. However, our management will have broad discretion in the application of the net proceeds from this offering and could spend the proceeds in ways that do not improve our results of operations or enhance the value of our common stock. The failure by management to apply these funds effectively could result in financial losses that could have a material adverse effect on our business, cause the price of our common stock to decline and delay the development of our product candidates.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Purchasers in this offering will experience immediate and substantial dilution in the book value of their investment.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Because the combined public offering price per share and related Warrants is substantially higher than the book value per share of our common stock, you will suffer substantial dilution in the net tangible book value of the common stock you purchase in this offering. After giving effect to the sale by us of 1,371,430 shares of our common stock and Warrants to purchase up to an aggregate total of 1,892,572 shares of common stock in this offering at a combined public offering price of $1.75 per share and related Warrants, and after deducting the underwriting discount and estimated offering expenses payable by us and attributing no value to the Warrants sold in this offering, you will suffer immediate and substantial dilution of $1.62 per share in the net tangible book value of the common stock you purchase in this offering. To the extent outstanding options, warrants or other derivative securities are ultimately exercised or converted, or if we issue restricted stock to our employees under our equity incentive plans, there will be further dilution to investors who purchase shares in this offering. In addition, if we issue additional equity securities or derivative securities, investors purchasing shares in this offering will experience additional dilution. For a further description of the dilution that you will experience immediately after this offering, see “</w:t>
      </w:r>
      <w:r>
        <w:rPr>
          <w:rFonts w:ascii="Arial" w:cs="Arial" w:eastAsia="Arial" w:hAnsi="Arial"/>
          <w:sz w:val="16"/>
          <w:szCs w:val="16"/>
          <w:i w:val="1"/>
          <w:iCs w:val="1"/>
          <w:color w:val="auto"/>
        </w:rPr>
        <w:t>Dilution</w:t>
      </w:r>
      <w:r>
        <w:rPr>
          <w:rFonts w:ascii="Arial" w:cs="Arial" w:eastAsia="Arial" w:hAnsi="Arial"/>
          <w:sz w:val="16"/>
          <w:szCs w:val="16"/>
          <w:color w:val="auto"/>
        </w:rPr>
        <w:t>” on page S-43.</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or the perception that such sales may occur, may adversely impact the price of our common stock</w:t>
      </w:r>
      <w:r>
        <w:rPr>
          <w:rFonts w:ascii="Arial" w:cs="Arial" w:eastAsia="Arial" w:hAnsi="Arial"/>
          <w:sz w:val="18"/>
          <w:szCs w:val="18"/>
          <w:b w:val="1"/>
          <w:bCs w:val="1"/>
          <w:color w:val="auto"/>
        </w:rPr>
        <w:t>.</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that such sales may occur, may adversely impact the price of our common stock, even if there is no relationship between such sales and the performance of our business. As of August 31, 2017, we have 9,380,041 shares of common stock outstanding, as well as outstanding options to purchase an aggregate of 2,509,871 shares of our common stock at a weighted average exercise price of $3.74 per share, up to 4,228,252 shares of common stock issuable upon conversion of outstanding shares of our preferred stock and outstanding warrants to purchase up to an aggregate of 4,825,078 shares of our common stock at a weighted average exercise price of $6.17 per share. The exercise of such outstanding derivative securities may result in further dilution of your investment.</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There is no public market for the Warrants being offered by this prospectus supplement and the accompanying prospectus, and we do not anticipate such a market ever developing in the future</w:t>
      </w:r>
      <w:r>
        <w:rPr>
          <w:rFonts w:ascii="Arial" w:cs="Arial" w:eastAsia="Arial" w:hAnsi="Arial"/>
          <w:sz w:val="18"/>
          <w:szCs w:val="18"/>
          <w:b w:val="1"/>
          <w:bCs w:val="1"/>
          <w:color w:val="auto"/>
        </w:rPr>
        <w:t>.</w:t>
      </w:r>
    </w:p>
    <w:p>
      <w:pPr>
        <w:spacing w:after="0" w:line="11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There is no established public trading market for the Warrants being offered by this prospectus supplement and the accompanying prospectus and we do not intend to have the Warrants listed on a national securities exchange or any other recognized trading system in the future. Without an active market, the liquidity of any Warrants sold by means of this prospectus supplement and the accompanying prospectus will be limited.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Warrants being offered by means of this prospectus supplement and the accompanying prospectus may not have any value</w:t>
      </w:r>
      <w:r>
        <w:rPr>
          <w:rFonts w:ascii="Arial" w:cs="Arial" w:eastAsia="Arial" w:hAnsi="Arial"/>
          <w:sz w:val="18"/>
          <w:szCs w:val="18"/>
          <w:b w:val="1"/>
          <w:bCs w:val="1"/>
          <w:color w:val="auto"/>
        </w:rPr>
        <w:t>.</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Warrants offered by us in this offering do not confer any rights of ownership of shares of common stock on its holders, such as voting rights or the right to receive dividends, but only represent the right to acquire shares of common stock at a fixed price for a limited period of time. In the event that the market price of our common stock does not exceed the exercise price of the Warrants sold in this offering during the period when the Warrants are exercisable, the Warrants may not have any value.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NOTES REGARDING FORWARD-LOOKING STATEMENTS</w:t>
      </w:r>
    </w:p>
    <w:p>
      <w:pPr>
        <w:spacing w:after="0" w:line="23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This prospectus supplement contains forward-looking statements that involve substantial risks and uncertainties. All statements contained in this prospectus supplement and the accompanying prospectus, other than statements of historical facts, are forward-looking statements including statements regarding our strategy, future operations, future financial position, future revenue, projected costs, prospects, plans, objectives of management and expected market growth.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94" w:lineRule="exact"/>
        <w:rPr>
          <w:sz w:val="20"/>
          <w:szCs w:val="20"/>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capital to satisfy our working capital requirements;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225" w:lineRule="exact"/>
        <w:rPr>
          <w:rFonts w:ascii="Arial" w:cs="Arial" w:eastAsia="Arial" w:hAnsi="Arial"/>
          <w:sz w:val="18"/>
          <w:szCs w:val="18"/>
          <w:color w:val="auto"/>
        </w:rPr>
      </w:pPr>
    </w:p>
    <w:p>
      <w:pPr>
        <w:jc w:val="both"/>
        <w:ind w:left="980" w:right="560" w:hanging="486"/>
        <w:spacing w:after="0" w:line="370" w:lineRule="auto"/>
        <w:tabs>
          <w:tab w:leader="none" w:pos="9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plans to develop and commercialize our lead product candidate, AV-101, initially as an adjunctive treatment for MDD in patients with an inadequate response to standard, FDA-approved antidepressants, and subsequently as a treatment for additional CNS diseases and disorders;</w:t>
      </w:r>
    </w:p>
    <w:p>
      <w:pPr>
        <w:spacing w:after="0" w:line="116" w:lineRule="exact"/>
        <w:rPr>
          <w:rFonts w:ascii="Arial" w:cs="Arial" w:eastAsia="Arial" w:hAnsi="Arial"/>
          <w:sz w:val="15"/>
          <w:szCs w:val="15"/>
          <w:color w:val="auto"/>
        </w:rPr>
      </w:pPr>
    </w:p>
    <w:p>
      <w:pPr>
        <w:ind w:left="980" w:right="180" w:hanging="486"/>
        <w:spacing w:after="0" w:line="268"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initiate and complete our clinical trials and to advance our product candidates into additional clinical trials, including pivotal clinical trials, and successfully complete such clinical trials;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developments in the U.S. and foreign countries;</w:t>
      </w:r>
    </w:p>
    <w:p>
      <w:pPr>
        <w:spacing w:after="0" w:line="225" w:lineRule="exact"/>
        <w:rPr>
          <w:rFonts w:ascii="Arial" w:cs="Arial" w:eastAsia="Arial" w:hAnsi="Arial"/>
          <w:sz w:val="18"/>
          <w:szCs w:val="18"/>
          <w:color w:val="auto"/>
        </w:rPr>
      </w:pPr>
    </w:p>
    <w:p>
      <w:pPr>
        <w:ind w:left="980" w:right="220" w:hanging="486"/>
        <w:spacing w:after="0" w:line="259"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performance of the U.S. National Institute of Mental Health, our third-party contractors involved with the manufacturer and production of our drug candidates for nonclinical and clinical development activities, contract research organizations and other third-party nonclinical and clinical development collaborators and regulatory service providers;</w:t>
      </w:r>
    </w:p>
    <w:p>
      <w:pPr>
        <w:spacing w:after="0" w:line="194"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core assets;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225" w:lineRule="exact"/>
        <w:rPr>
          <w:rFonts w:ascii="Arial" w:cs="Arial" w:eastAsia="Arial" w:hAnsi="Arial"/>
          <w:sz w:val="18"/>
          <w:szCs w:val="18"/>
          <w:color w:val="auto"/>
        </w:rPr>
      </w:pPr>
    </w:p>
    <w:p>
      <w:pPr>
        <w:ind w:left="980" w:right="380" w:hanging="486"/>
        <w:spacing w:after="0" w:line="268"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 of competing products and product candidates in development by others that are or become available for the indications that we are pursuing;</w:t>
      </w:r>
    </w:p>
    <w:p>
      <w:pPr>
        <w:spacing w:after="0" w:line="185" w:lineRule="exact"/>
        <w:rPr>
          <w:rFonts w:ascii="Arial" w:cs="Arial" w:eastAsia="Arial" w:hAnsi="Arial"/>
          <w:sz w:val="18"/>
          <w:szCs w:val="18"/>
          <w:color w:val="auto"/>
        </w:rPr>
      </w:pPr>
    </w:p>
    <w:p>
      <w:pPr>
        <w:ind w:left="980" w:right="960" w:hanging="486"/>
        <w:spacing w:after="0" w:line="268"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loss of key scientific, clinical and nonclinical development, and/or management personnel, internally or from one of our third-party collaborators; and</w:t>
      </w:r>
    </w:p>
    <w:p>
      <w:pPr>
        <w:spacing w:after="0" w:line="185" w:lineRule="exact"/>
        <w:rPr>
          <w:rFonts w:ascii="Arial" w:cs="Arial" w:eastAsia="Arial" w:hAnsi="Arial"/>
          <w:sz w:val="18"/>
          <w:szCs w:val="18"/>
          <w:color w:val="auto"/>
        </w:rPr>
      </w:pPr>
    </w:p>
    <w:p>
      <w:pPr>
        <w:ind w:left="980" w:hanging="486"/>
        <w:spacing w:after="0" w:line="332"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other risks and uncertainties, including those described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10-K for the fiscal year ended March 31, 2017 and subsequent Quarterly Reports on Form 10-Q, which risk factors are incorporated herein by reference.</w:t>
      </w:r>
    </w:p>
    <w:p>
      <w:pPr>
        <w:spacing w:after="0" w:line="139"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supplement, as well as certain information incorporated by reference into this prospectus supplement and the accompanying prospectus,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5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You should read this prospectus supplement and the accompanying prospectus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3" w:name="page44"/>
    <w:bookmarkEnd w:id="4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estimate that the net proceeds to us from this offering will be approximately $2.0 million, after deducting the underwriting discount and estimated offering expenses payable by us.</w:t>
      </w:r>
    </w:p>
    <w:p>
      <w:pPr>
        <w:spacing w:after="0" w:line="186"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We currently intend to use the net proceeds from the sale of the securities offered by this prospectus supplement for general corporate purposes, including research and development related to preparations for our planned AV-101 MDD Phase 2 Adjunctive Treatment Study, and working capital.</w:t>
      </w:r>
    </w:p>
    <w:p>
      <w:pPr>
        <w:spacing w:after="0" w:line="139"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table below reflects our current planned use of the net proceeds from this offering, assuming no exercise of the Warrants. Each of these amounts is an estimate only, and is subject to change at any time before or after closing of the offering.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8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6"/>
              </w:rPr>
              <w:t>Amounts in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180" w:type="dxa"/>
            <w:vAlign w:val="bottom"/>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86"/>
              </w:rPr>
              <w:t>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440" w:type="dxa"/>
            <w:vAlign w:val="bottom"/>
            <w:shd w:val="clear" w:color="auto" w:fill="CCEEFF"/>
          </w:tcPr>
          <w:p>
            <w:pPr>
              <w:jc w:val="right"/>
              <w:ind w:right="281"/>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Underwriting discount, and other expenses of the offering</w:t>
            </w:r>
          </w:p>
        </w:tc>
        <w:tc>
          <w:tcPr>
            <w:tcW w:w="440" w:type="dxa"/>
            <w:vAlign w:val="bottom"/>
          </w:tcPr>
          <w:p>
            <w:pPr>
              <w:jc w:val="right"/>
              <w:ind w:right="281"/>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proceeds</w:t>
            </w:r>
          </w:p>
        </w:tc>
        <w:tc>
          <w:tcPr>
            <w:tcW w:w="440" w:type="dxa"/>
            <w:vAlign w:val="bottom"/>
            <w:tcBorders>
              <w:top w:val="single" w:sz="8" w:color="auto"/>
              <w:bottom w:val="single" w:sz="8" w:color="auto"/>
            </w:tcBorders>
            <w:shd w:val="clear" w:color="auto" w:fill="CCEEFF"/>
          </w:tcPr>
          <w:p>
            <w:pPr>
              <w:jc w:val="right"/>
              <w:ind w:right="281"/>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Operations</w:t>
            </w:r>
          </w:p>
        </w:tc>
        <w:tc>
          <w:tcPr>
            <w:tcW w:w="440" w:type="dxa"/>
            <w:vAlign w:val="bottom"/>
          </w:tcPr>
          <w:p>
            <w:pPr>
              <w:jc w:val="right"/>
              <w:ind w:right="281"/>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Preparation for our AV-101 MDD Phase 2 Adjunctive Treatment Study</w:t>
            </w:r>
          </w:p>
        </w:tc>
        <w:tc>
          <w:tcPr>
            <w:tcW w:w="440" w:type="dxa"/>
            <w:vAlign w:val="bottom"/>
            <w:shd w:val="clear" w:color="auto" w:fill="CCEEFF"/>
          </w:tcPr>
          <w:p>
            <w:pPr>
              <w:jc w:val="right"/>
              <w:ind w:right="281"/>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Total research and development</w:t>
            </w:r>
          </w:p>
        </w:tc>
        <w:tc>
          <w:tcPr>
            <w:tcW w:w="440" w:type="dxa"/>
            <w:vAlign w:val="bottom"/>
          </w:tcPr>
          <w:p>
            <w:pPr>
              <w:jc w:val="right"/>
              <w:ind w:right="281"/>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General and administrative, working capital and other general corporate purposes</w:t>
            </w:r>
          </w:p>
        </w:tc>
        <w:tc>
          <w:tcPr>
            <w:tcW w:w="440" w:type="dxa"/>
            <w:vAlign w:val="bottom"/>
            <w:tcBorders>
              <w:bottom w:val="single" w:sz="8" w:color="auto"/>
            </w:tcBorders>
          </w:tcPr>
          <w:p>
            <w:pPr>
              <w:jc w:val="right"/>
              <w:ind w:right="281"/>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Although we expect net proceeds from this offering to provide sufficient funding to complete preparations for our AV-101 MDD Phase 2 Adjunctive Treatment Study, the net proceeds from this offering will not be sufficient to launch the study. Assuming no exercise of the Warrants issued in this offering, we believe an additional $15 million to $20 million will be required prior to the launch of the AV-101 MDD Phase 2 Adjunctive Treatment Study in the first quarter of 2018 to complete the study as proposed in the fourth quarter of 2018. No assurances can be provided that such additional capital will be available to us when necessary, on reasonable terms, or at all. In the event we are unable to raise such additional capital, our operations will be negatively and materially affected.</w:t>
      </w:r>
    </w:p>
    <w:p>
      <w:pPr>
        <w:spacing w:after="0" w:line="17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Pending other uses, we intend to invest our proceeds from the offering in short-term investments or hold them as cash. We cannot predict whether the proceeds invested will yield a favorable return. Our management will have broad discretion in the use of the net proceeds from this offering, and investors will be relying on the judgment of our management regarding the application of the net proceeds.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6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If you purchase shares of our common stock in this offering, you will experience dilution to the extent of the difference between the combined public offering price per share and related Warrants in this offering and our as adjusted net tangible book value per share immediately after this offering assuming no value is attributed to the Warrants, and such Warrants are accounted for and classified as equity. Net tangible book value is total assets minus the sum of liabilities and intangible assets. Net tangible book value per share is net tangible book value divided by the total number of shares of common stock outstanding. As of June 30, 2017, our net tangible book value was approximately $(606,800), or approximately $(0.07) per share.</w:t>
      </w:r>
    </w:p>
    <w:p>
      <w:pPr>
        <w:spacing w:after="0" w:line="10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After giving effect to the sale by us of 1,371,430 shares of common stock and Warrants to purchase 1,892,572 shares of our common stock in this offering at a combined public offering price of $1.75 per share and related Warrants, and after deducting the underwriting discount and estimated offering expenses payable by us, our as adjusted net tangible book value as of June 30, 2017 would have been approximately $1.4 million, or approximately $0.13 per share. This amount represents an immediate increase in net tangible book value of $0.20 per share to existing stockholders and an immediate dilution in net tangible book value of $1.62 per share to purchasers of our common stock and related Warrants in this offering.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00" w:type="dxa"/>
            <w:vAlign w:val="bottom"/>
            <w:gridSpan w:val="2"/>
          </w:tcPr>
          <w:p>
            <w:pPr>
              <w:spacing w:after="0"/>
              <w:rPr>
                <w:sz w:val="20"/>
                <w:szCs w:val="20"/>
                <w:color w:val="auto"/>
              </w:rPr>
            </w:pPr>
            <w:r>
              <w:rPr>
                <w:rFonts w:ascii="Arial" w:cs="Arial" w:eastAsia="Arial" w:hAnsi="Arial"/>
                <w:sz w:val="18"/>
                <w:szCs w:val="18"/>
                <w:color w:val="auto"/>
              </w:rPr>
              <w:t>The following table illustrates the dilution in net tangible book value per share to new investors:</w:t>
            </w: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77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 and related Warrants: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Net tangible book value per share as of June 30, 2017</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52"/>
              <w:spacing w:after="0"/>
              <w:rPr>
                <w:sz w:val="20"/>
                <w:szCs w:val="20"/>
                <w:color w:val="auto"/>
              </w:rPr>
            </w:pPr>
            <w:r>
              <w:rPr>
                <w:rFonts w:ascii="Arial" w:cs="Arial" w:eastAsia="Arial" w:hAnsi="Arial"/>
                <w:sz w:val="18"/>
                <w:szCs w:val="18"/>
                <w:color w:val="auto"/>
              </w:rPr>
              <w:t>(0.07)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net tangible book value per share after this offering</w:t>
            </w:r>
          </w:p>
        </w:tc>
        <w:tc>
          <w:tcPr>
            <w:tcW w:w="1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0.20</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tangible book value per share after this offering</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foregoing discussion and table do not take into account further dilution to new investors that could occur upon the exercise of outstanding options or warrants having a per share exercise price less than the combined public offering price in this offering. To the extent that we raise additional capital through the sale of equity or convertible debt securities, the issuance of those securities could result in further dilution to our stockholders.</w:t>
      </w:r>
    </w:p>
    <w:p>
      <w:pPr>
        <w:spacing w:after="0" w:line="16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number of shares of our common stock that will be outstanding immediately after the offering is based on 9,301,472 shares outstanding as of June 30, 2017, and excludes:</w:t>
      </w:r>
    </w:p>
    <w:p>
      <w:pPr>
        <w:spacing w:after="0" w:line="186" w:lineRule="exact"/>
        <w:rPr>
          <w:sz w:val="20"/>
          <w:szCs w:val="20"/>
          <w:color w:val="auto"/>
        </w:rPr>
      </w:pPr>
    </w:p>
    <w:p>
      <w:pPr>
        <w:ind w:left="980" w:hanging="486"/>
        <w:spacing w:after="0" w:line="332"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2,522,593 shares of common stock reserved for issuance upon exercise of outstanding stock options under our 1999 Stock Incentive Plan and our Amended and Restated 2016 Stock Incentive Plan, with a weighted average exercise price of $3.77 per share;</w:t>
      </w:r>
    </w:p>
    <w:p>
      <w:pPr>
        <w:spacing w:after="0" w:line="139" w:lineRule="exact"/>
        <w:rPr>
          <w:rFonts w:ascii="Arial" w:cs="Arial" w:eastAsia="Arial" w:hAnsi="Arial"/>
          <w:sz w:val="16"/>
          <w:szCs w:val="16"/>
          <w:color w:val="auto"/>
        </w:rPr>
      </w:pPr>
    </w:p>
    <w:p>
      <w:pPr>
        <w:ind w:left="980" w:hanging="486"/>
        <w:spacing w:after="0" w:line="268"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312,407 shares of common stock reserved for future issuance in connection with future grants under our Amended and Restated 2016 Stock Incentive Plan;</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4,796,506 shares of common stock that have been reserved for issuance upon exercise of outstanding warrants, with a weighted average exercise price of $6.19 per share;</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750,000 shares of common stock reserved for issuance upon conversion of 500,000 shares our Series A Preferred;</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1,160,240 shares of common stock reserved for issuance upon conversion of 1,160,240 shares of our Series B Preferred and 663,460 shares of common stock for issuance as payment of accrued dividends on outstanding shares of Series B Preferred;</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2,318,012 shares of common stock reserved for issuance upon conversion of 2,318,012 shares of our Series C Preferred; and</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1,892,572 shares of common stock issuable upon the exercise of the Warrants offered hereby.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WE ARE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6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material terms and provisions of our common stock are described under the caption “</w:t>
      </w:r>
      <w:r>
        <w:rPr>
          <w:rFonts w:ascii="Arial" w:cs="Arial" w:eastAsia="Arial" w:hAnsi="Arial"/>
          <w:sz w:val="18"/>
          <w:szCs w:val="18"/>
          <w:i w:val="1"/>
          <w:iCs w:val="1"/>
          <w:color w:val="auto"/>
        </w:rPr>
        <w:t>Description of our Capital Stock</w:t>
      </w:r>
      <w:r>
        <w:rPr>
          <w:rFonts w:ascii="Arial" w:cs="Arial" w:eastAsia="Arial" w:hAnsi="Arial"/>
          <w:sz w:val="18"/>
          <w:szCs w:val="18"/>
          <w:color w:val="auto"/>
        </w:rPr>
        <w:t>” in the accompanying prospectus beginning on page 9. As of August 31, 2017, we had 9,380,044 shares of our common stock outstanding. Our common stock is listed on the NASDAQ Capital Market under the symbol “VTGN”.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6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i w:val="1"/>
          <w:iCs w:val="1"/>
          <w:color w:val="auto"/>
        </w:rPr>
        <w:t xml:space="preserve">Duration and Exercise Price: </w:t>
      </w:r>
      <w:r>
        <w:rPr>
          <w:rFonts w:ascii="Arial" w:cs="Arial" w:eastAsia="Arial" w:hAnsi="Arial"/>
          <w:sz w:val="16"/>
          <w:szCs w:val="16"/>
          <w:color w:val="auto"/>
        </w:rPr>
        <w:t>By means of this prospectus supplement, we are offering Series A-1 Warrants to purchase up to 1,388,931 shares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and Series A2 Warrants to purchase up to 503,641 shares of Common Stock. Each Series A1 Warrant will be exercisable for a five-year period commencing on March 7, 2018. Each Series A2 Warrant will be exercisable for a five-year period commencing on the date of issuance.</w:t>
      </w:r>
    </w:p>
    <w:p>
      <w:pPr>
        <w:spacing w:after="0" w:line="9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i w:val="1"/>
          <w:iCs w:val="1"/>
          <w:color w:val="auto"/>
        </w:rPr>
        <w:t xml:space="preserve">Exercisability: </w:t>
      </w:r>
      <w:r>
        <w:rPr>
          <w:rFonts w:ascii="Arial" w:cs="Arial" w:eastAsia="Arial" w:hAnsi="Arial"/>
          <w:sz w:val="16"/>
          <w:szCs w:val="16"/>
          <w:color w:val="auto"/>
        </w:rPr>
        <w:t>Each of the Warrants may be exercised, in whole or in part, by delivering to the Company a written notice of election to exercise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Warrant and delivering to the Company cash payment of the exercise price, if applicable. The exercise price and the number of shares of our common stock issuable upon exercise of the Warrants is subject to adjustment in the event of certain subdivisions and combinations, including by any stock split or reverse stock split, stock dividend, recapitalization or otherwise. In addition, the Company has the right at any time during the term of the Warrants to reduce the then-existing exercise price to any amount and for any period of time deemed appropriate by our Board of Directors.</w:t>
      </w:r>
    </w:p>
    <w:p>
      <w:pPr>
        <w:spacing w:after="0" w:line="102"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i w:val="1"/>
          <w:iCs w:val="1"/>
          <w:color w:val="auto"/>
        </w:rPr>
        <w:t xml:space="preserve">Cashless Exercise: </w:t>
      </w:r>
      <w:r>
        <w:rPr>
          <w:rFonts w:ascii="Arial" w:cs="Arial" w:eastAsia="Arial" w:hAnsi="Arial"/>
          <w:sz w:val="16"/>
          <w:szCs w:val="16"/>
          <w:color w:val="auto"/>
        </w:rPr>
        <w:t>If, at any time during the term of the Warrants, the issuance or resale of shares of our common stock upon exercise of the Warrants is not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covered by an effective registration statement, the holder is permitted to effect a cashless exercise of the Warrants (in whole or in part) in which case the holder would receive upon such exercise the net number of shares of common stock determined according to the formula set forth in the Warrants. Shares issued pursuant to a cashless exercise would be deemed to have been issued pursuant to the exemption from registration provided by Section 3(a)(9) of the Securities Act of 1933, and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and the shares of common stock issued upon such cashless exercise would take on the characteristics of the Warrants being exercised, including, for purposes of Rule 144(d) promulgated under the Securities Act, a holding period beginning from the original issuance date of the Warrants.</w:t>
      </w:r>
    </w:p>
    <w:p>
      <w:pPr>
        <w:spacing w:after="0" w:line="10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i w:val="1"/>
          <w:iCs w:val="1"/>
          <w:color w:val="auto"/>
        </w:rPr>
        <w:t>Adjustment Provisions</w:t>
      </w:r>
      <w:r>
        <w:rPr>
          <w:rFonts w:ascii="Arial" w:cs="Arial" w:eastAsia="Arial" w:hAnsi="Arial"/>
          <w:sz w:val="16"/>
          <w:szCs w:val="16"/>
          <w:color w:val="auto"/>
        </w:rPr>
        <w:t>: The exercise price and the number and type of securities purchasable upon exercise of the Warrants are subject to adjustment upon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corporate events, including certain subdivisions, combinations and similar events If we declare any dividend or distribution of assets (including cash, stock or other securities, evidence of indebtedness, purchase rights or other property), each holder of a Warrant will be entitled to participate in such distribution to the same extent that the holder would have participated had the applicable Warrant been exercised immediately before the record date for the distribution. In addition, the Series A2 Warrants contain full ratchet anti-dilution protection upon the issuance of any common stock, securities convertible into common stock or certain other issuances at a price below the then-existing exercise price of the Warrants, with certain exceptions;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anti-dilution protection will terminate once the Company has raised through the issuance of common stock or equity-linked securities at least $20 million in gross proceeds in the aggregate. In addition, the Company has the right at any time during the term of the Warrants to reduce the then-existing exercise price to any amount and for any period of time deemed appropriate by our Board of Directors. The terms of the Warrants, including the anti-dilution protections in the Series A2 Warrant described above, may make it difficult for us to raise additional capital at prevailing market terms in the future.</w:t>
      </w:r>
    </w:p>
    <w:p>
      <w:pPr>
        <w:spacing w:after="0" w:line="10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Subject to applicable laws, the Warrants may be offered for sale, sold, transferred or assigned without our consent. However, as of the date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supplement there is no established trading market for the Warrants and it is not expected that a trading market for the Warrants will develop in the future. Without an active trading market, the liquidity of the Warrants will be limited.</w:t>
      </w:r>
    </w:p>
    <w:p>
      <w:pPr>
        <w:spacing w:after="0" w:line="12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We will not apply to list the Warrants on NASDAQ Capital Market. We do not intend to list the Warrants on any securities exchange or other quotation</w:t>
      </w:r>
      <w:r>
        <w:rPr>
          <w:rFonts w:ascii="Arial" w:cs="Arial" w:eastAsia="Arial" w:hAnsi="Arial"/>
          <w:sz w:val="18"/>
          <w:szCs w:val="18"/>
          <w:i w:val="1"/>
          <w:iCs w:val="1"/>
          <w:color w:val="auto"/>
        </w:rPr>
        <w:t xml:space="preserve"> </w:t>
      </w:r>
      <w:r>
        <w:rPr>
          <w:rFonts w:ascii="Arial" w:cs="Arial" w:eastAsia="Arial" w:hAnsi="Arial"/>
          <w:sz w:val="18"/>
          <w:szCs w:val="18"/>
          <w:color w:val="auto"/>
        </w:rPr>
        <w:t>system. Without an active market, the liquidity of the Warrants will be limited.</w:t>
      </w:r>
    </w:p>
    <w:p>
      <w:pPr>
        <w:spacing w:after="0" w:line="11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i w:val="1"/>
          <w:iCs w:val="1"/>
          <w:color w:val="auto"/>
        </w:rPr>
        <w:t xml:space="preserve">Rights as a stockholder: </w:t>
      </w:r>
      <w:r>
        <w:rPr>
          <w:rFonts w:ascii="Arial" w:cs="Arial" w:eastAsia="Arial" w:hAnsi="Arial"/>
          <w:sz w:val="16"/>
          <w:szCs w:val="16"/>
          <w:color w:val="auto"/>
        </w:rPr>
        <w:t>Except as set forth in the Warrants or by virtue of such holders’ ownership of shares of our common stock, the holders of the Warrants do</w:t>
      </w:r>
      <w:r>
        <w:rPr>
          <w:rFonts w:ascii="Arial" w:cs="Arial" w:eastAsia="Arial" w:hAnsi="Arial"/>
          <w:sz w:val="16"/>
          <w:szCs w:val="16"/>
          <w:i w:val="1"/>
          <w:iCs w:val="1"/>
          <w:color w:val="auto"/>
        </w:rPr>
        <w:t xml:space="preserve"> </w:t>
      </w:r>
      <w:r>
        <w:rPr>
          <w:rFonts w:ascii="Arial" w:cs="Arial" w:eastAsia="Arial" w:hAnsi="Arial"/>
          <w:sz w:val="16"/>
          <w:szCs w:val="16"/>
          <w:color w:val="auto"/>
        </w:rPr>
        <w:t>not have the rights or privileges of holders of our common stock, including any voting rights, until they exercise the Warrants.</w:t>
      </w:r>
    </w:p>
    <w:p>
      <w:pPr>
        <w:spacing w:after="0" w:line="7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 xml:space="preserve">Limitations on Exercise: </w:t>
      </w:r>
      <w:r>
        <w:rPr>
          <w:rFonts w:ascii="Arial" w:cs="Arial" w:eastAsia="Arial" w:hAnsi="Arial"/>
          <w:sz w:val="18"/>
          <w:szCs w:val="18"/>
          <w:color w:val="auto"/>
        </w:rPr>
        <w:t>The exercise of the Warrants may be limited in certain circumstances if, after giving effect to such exercise, the holder or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would beneficially own (as determined in accordance with the terms of the Warrants) more than 4.99% (or, at the election of the holder, 9.99%) of our outstanding common stock immediately after giving effect to the exercise.</w:t>
      </w:r>
    </w:p>
    <w:p>
      <w:pPr>
        <w:spacing w:after="0" w:line="127"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Fundamental Transactions: </w:t>
      </w:r>
      <w:r>
        <w:rPr>
          <w:rFonts w:ascii="Arial" w:cs="Arial" w:eastAsia="Arial" w:hAnsi="Arial"/>
          <w:sz w:val="16"/>
          <w:szCs w:val="16"/>
          <w:color w:val="auto"/>
        </w:rPr>
        <w:t>In the event of certain fundamental transactions, as described in the Warrants and generally including any merger or consolidation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or into another entity, the holders of the Warrants shall thereafter have the right to exercise the applicable Warrant for the same amount and kind of securities, cash or property as it would have been entitled to receive upon the occurrence of such fundamental transaction if it had been, immediately prior to such fundamental transaction, the holder of shares of common stock issuable upon exercise in full of the Warrant. In the event of a Change of Control (as defined in the Warrants) (other than a Change of Control which was not approved by the Board of Directors, as to which this right shall not apply), at the request of the holder delivered before the 30th day after such Change of Control, a holder of a Warrant will have the right to require us or any successor entity to purchase the holder’s Warrant for the Black-Scholes Value of the remaining unexercised portion of the Warrant on the effective date of such Change of Control (determined in accordance with a formula specified in the Warrants), payable in cash; provided, that if the applicable Change of Control was not approved by our Board of Directors, such amount shall be payable, at our option in either (x) shares of our common stock or the consideration receivable by holders of common stock in the Change of Control transaction, as applicable, valued at the value of the consideration received by the shareholders in such Change of Control, or (y) cash.</w:t>
      </w:r>
    </w:p>
    <w:p>
      <w:pPr>
        <w:spacing w:after="0" w:line="109"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i w:val="1"/>
          <w:iCs w:val="1"/>
          <w:color w:val="auto"/>
        </w:rPr>
        <w:t xml:space="preserve">Dividends and Other Distributions: </w:t>
      </w:r>
      <w:r>
        <w:rPr>
          <w:rFonts w:ascii="Arial" w:cs="Arial" w:eastAsia="Arial" w:hAnsi="Arial"/>
          <w:sz w:val="16"/>
          <w:szCs w:val="16"/>
          <w:color w:val="auto"/>
        </w:rPr>
        <w:t>If we declare or make any dividend or other distribution of our assets to holders of shares of our common stock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any distribution of cash, stock or other securities, property, options, evidence of indebtedness or any other assets), then, subject to certain limitation on exercise described in the Warrants, each holder of a Warrant shall receive the distributed assets that such holder would have been entitled to receive in the distribution had the holder exercised the Warrant immediately prior to the record date for the distribution.</w:t>
      </w:r>
    </w:p>
    <w:p>
      <w:pPr>
        <w:spacing w:after="0" w:line="167"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auto"/>
        </w:rPr>
        <w:t>The foregoing summary of certain terms and provisions of the Warrants that are being offered hereby is not complete and is subject to, and is qualified in its entirety by the provisions of the form of the Warrants filed as exhibits to our Current Report on Form 8-K filed in connection with this offering. Prospective investors should carefully review the terms and provisions of the warrant agreements and forms of the Warrants for a complete description of the terms and conditions of the Warrants.</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46" w:name="page47"/>
    <w:bookmarkEnd w:id="4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entered into an underwriting agreement with Oppenheimer &amp; Co. Inc. on August 31, 2017. Oppenheimer &amp; Co. Inc. is acting as the sole underwriter for this offering. The underwriting agreement provides for the purchase of a specific number of shares of common stock and related Series A1 and Series A2 Warrants by the underwriter.</w:t>
      </w:r>
    </w:p>
    <w:p>
      <w:pPr>
        <w:spacing w:after="0" w:line="12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Subject to the terms and conditions of the underwriting agreement, we have agreed to sell to the underwriter, and the underwriter has agreed to purchase, at the public offering price less the underwriting discount set forth on the cover page of this prospectus supplement, the number of shares of common stock and the related Warrants listed next to its name in the following table: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Number of</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Number of</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5"/>
              </w:rPr>
              <w:t>Series A1</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Series A2</w:t>
            </w:r>
          </w:p>
        </w:tc>
      </w:tr>
      <w:tr>
        <w:trPr>
          <w:trHeight w:val="237"/>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Warrants</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Warrants</w:t>
            </w:r>
          </w:p>
        </w:tc>
        <w:tc>
          <w:tcPr>
            <w:tcW w:w="1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Oppenheimer &amp; Co. Inc.</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1,371,430</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1,388,931</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503,641</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1,371,430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1,388,931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503,641</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 is committed to purchase all the shares of common stock and the related Warrants offered by us if it purchases any such securities.</w:t>
      </w:r>
    </w:p>
    <w:p>
      <w:pPr>
        <w:spacing w:after="0" w:line="181" w:lineRule="exact"/>
        <w:rPr>
          <w:sz w:val="20"/>
          <w:szCs w:val="20"/>
          <w:color w:val="auto"/>
        </w:rPr>
      </w:pPr>
    </w:p>
    <w:p>
      <w:pPr>
        <w:jc w:val="both"/>
        <w:ind w:right="340"/>
        <w:spacing w:after="0" w:line="370" w:lineRule="auto"/>
        <w:rPr>
          <w:sz w:val="20"/>
          <w:szCs w:val="20"/>
          <w:color w:val="auto"/>
        </w:rPr>
      </w:pPr>
      <w:r>
        <w:rPr>
          <w:rFonts w:ascii="Arial" w:cs="Arial" w:eastAsia="Arial" w:hAnsi="Arial"/>
          <w:sz w:val="15"/>
          <w:szCs w:val="15"/>
          <w:color w:val="auto"/>
        </w:rPr>
        <w:t>The underwriter proposes to offer the shares of common stock and the related Warrants directly to the public at the public offering price set forth on the cover page of this prospectus supplement. After the public offering of the securities, the offering price and other selling terms may be changed by the underwriter.</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w w:val="98"/>
              </w:rPr>
              <w:t>The following table shows the underwriting discount to be paid to the underwriter in connection with this offering.</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52"/>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Per Share of</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52"/>
              <w:spacing w:after="0"/>
              <w:rPr>
                <w:sz w:val="20"/>
                <w:szCs w:val="20"/>
                <w:color w:val="auto"/>
              </w:rPr>
            </w:pPr>
            <w:r>
              <w:rPr>
                <w:rFonts w:ascii="Arial" w:cs="Arial" w:eastAsia="Arial" w:hAnsi="Arial"/>
                <w:sz w:val="18"/>
                <w:szCs w:val="18"/>
                <w:b w:val="1"/>
                <w:bCs w:val="1"/>
                <w:color w:val="auto"/>
                <w:w w:val="89"/>
              </w:rPr>
              <w:t>Common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52"/>
              <w:spacing w:after="0"/>
              <w:rPr>
                <w:sz w:val="20"/>
                <w:szCs w:val="20"/>
                <w:color w:val="auto"/>
              </w:rPr>
            </w:pPr>
            <w:r>
              <w:rPr>
                <w:rFonts w:ascii="Arial" w:cs="Arial" w:eastAsia="Arial" w:hAnsi="Arial"/>
                <w:sz w:val="18"/>
                <w:szCs w:val="18"/>
                <w:b w:val="1"/>
                <w:bCs w:val="1"/>
                <w:color w:val="auto"/>
                <w:w w:val="85"/>
              </w:rPr>
              <w:t>Stock and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52"/>
              <w:spacing w:after="0"/>
              <w:rPr>
                <w:sz w:val="20"/>
                <w:szCs w:val="20"/>
                <w:color w:val="auto"/>
              </w:rPr>
            </w:pPr>
            <w:r>
              <w:rPr>
                <w:rFonts w:ascii="Arial" w:cs="Arial" w:eastAsia="Arial" w:hAnsi="Arial"/>
                <w:sz w:val="18"/>
                <w:szCs w:val="18"/>
                <w:b w:val="1"/>
                <w:bCs w:val="1"/>
                <w:color w:val="auto"/>
                <w:w w:val="89"/>
              </w:rPr>
              <w:t>Related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2"/>
              </w:rPr>
              <w:t>Warrants</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2,400,002.50</w:t>
            </w:r>
          </w:p>
        </w:tc>
        <w:tc>
          <w:tcPr>
            <w:tcW w:w="1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Underwriting discount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0.1225</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168,000.175</w:t>
            </w:r>
          </w:p>
        </w:tc>
        <w:tc>
          <w:tcPr>
            <w:tcW w:w="140" w:type="dxa"/>
            <w:vAlign w:val="bottom"/>
          </w:tcPr>
          <w:p>
            <w:pPr>
              <w:spacing w:after="0"/>
              <w:rPr>
                <w:sz w:val="19"/>
                <w:szCs w:val="19"/>
                <w:color w:val="auto"/>
              </w:rPr>
            </w:pPr>
          </w:p>
        </w:tc>
      </w:tr>
    </w:tbl>
    <w:p>
      <w:pPr>
        <w:spacing w:after="0" w:line="13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We estimate that our total expenses of the offering, including the estimated underwriting discount, will be approximately $400,000, which includes the costs and expenses for which we have agreed to reimburse the underwriters for certain expenses, including for fees and expenses of its legal counsel up to an amount of $85,000, provided that any such costs and expenses may not exceed $105,000 in the aggregate.</w:t>
      </w:r>
    </w:p>
    <w:p>
      <w:pPr>
        <w:spacing w:after="0" w:line="16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Subject to certain exceptions, for a period through September 30, 2018, we have agreed not to negotiate with any other underwriter or placement agent relating to a possible public or private offering or placement of our securities or other financing without first consulting and receiving the approval of the underwriter.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1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agreed to a 75-day “lock-up” and our officers and directors have agreed to a 90-day “lock-up” with respect to shares of our common stock and other of our securities that they beneficially own, including securities that are convertible into shares of common stock and securities that are exchangeable or exercisable for shares of common stock. This means that, subject to certain exceptions, for a period of 75 days following the date of the prospectus supplement, we may not, and for a period of 90 days following the date of this prospectus supplement, such persons may not offer, sell, pledge or otherwise dispose of these securities without the prior written consent of Oppenheimer &amp; Co. Inc.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 has advised us that it does not intend to conduct any stabilization or over-allotment activities in connection with this offering.</w:t>
      </w:r>
    </w:p>
    <w:p>
      <w:pPr>
        <w:spacing w:after="0" w:line="158"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Electronic Delivery of Preliminary Prospectus Supplement</w:t>
      </w:r>
      <w:r>
        <w:rPr>
          <w:rFonts w:ascii="Arial" w:cs="Arial" w:eastAsia="Arial" w:hAnsi="Arial"/>
          <w:sz w:val="16"/>
          <w:szCs w:val="16"/>
          <w:color w:val="auto"/>
        </w:rPr>
        <w:t>: A prospectus supplement in electronic format may be delivered to potential investors by one or more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underwriters participating in this offering. The prospectus supplement in electronic format will be identical to the paper version of such preliminary prospectus supplement. Other than the prospectus supplement in electronic format, the information on any underwriter’s website and any information contained in any other website maintained by an underwriter is not part of this prospectus supplement, the accompanying prospectus or the registration statement of which this prospectus supplement and the accompanying prospectus forms a part.</w:t>
      </w:r>
    </w:p>
    <w:p>
      <w:pPr>
        <w:spacing w:after="0" w:line="102"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The underwriter and its affiliates have provided in the past and may provide from time to time in the future certain commercial banking, financial advisory, investment banking and other services for us and our affiliates in the ordinary course of their business, for which they may receive customary fees and commissions. In addition, from time to time, the underwriter and its affiliates may effect transactions for their own accounts or the accounts of customers, and hold on behalf of themselves or their customers, long or short positions in our debt or equity securities or loans, and may do so in the future.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TO INVESTORS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Restrictions Outside the United States</w:t>
      </w:r>
    </w:p>
    <w:p>
      <w:pPr>
        <w:spacing w:after="0" w:line="16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16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In relation to each Member State of the European Economic Area which has implemented the Prospectus Directive (each, a </w:t>
      </w:r>
      <w:r>
        <w:rPr>
          <w:rFonts w:ascii="Arial" w:cs="Arial" w:eastAsia="Arial" w:hAnsi="Arial"/>
          <w:sz w:val="18"/>
          <w:szCs w:val="18"/>
          <w:i w:val="1"/>
          <w:iCs w:val="1"/>
          <w:color w:val="auto"/>
        </w:rPr>
        <w:t>Relevant Member State</w:t>
      </w:r>
      <w:r>
        <w:rPr>
          <w:rFonts w:ascii="Arial" w:cs="Arial" w:eastAsia="Arial" w:hAnsi="Arial"/>
          <w:sz w:val="18"/>
          <w:szCs w:val="18"/>
          <w:color w:val="auto"/>
        </w:rPr>
        <w:t>) an offer to the public of any securities which are the subject of the offering contemplated by this prospectus supplement may not be made in that Relevant Member State other than the offers contemplated in this prospectus supplement in name(s) of Member State(s) where prospectus will be approved or passported for the purposes of a non-exempt offer once this prospectus supplement has been approved by the competent authority in such Member State and published and passported in accordance with the Prospectus Directive as implemented in name(s) of relevant Member State(s) except that an offer to the public in that Relevant Member State of any securities may be made at any time under the following exemptions under the Prospectus Directive, if they have been implemented in that Relevant Member State:</w:t>
      </w:r>
    </w:p>
    <w:p>
      <w:pPr>
        <w:spacing w:after="0" w:line="134" w:lineRule="exact"/>
        <w:rPr>
          <w:sz w:val="20"/>
          <w:szCs w:val="20"/>
          <w:color w:val="auto"/>
        </w:rPr>
      </w:pPr>
    </w:p>
    <w:p>
      <w:pPr>
        <w:ind w:left="980" w:hanging="486"/>
        <w:spacing w:after="0" w:line="268"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118" w:lineRule="exact"/>
        <w:rPr>
          <w:rFonts w:ascii="Arial" w:cs="Arial" w:eastAsia="Arial" w:hAnsi="Arial"/>
          <w:sz w:val="18"/>
          <w:szCs w:val="18"/>
          <w:color w:val="auto"/>
        </w:rPr>
      </w:pPr>
    </w:p>
    <w:p>
      <w:pPr>
        <w:ind w:left="980" w:right="40" w:hanging="486"/>
        <w:spacing w:after="0" w:line="332"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71" w:lineRule="exact"/>
        <w:rPr>
          <w:rFonts w:ascii="Arial" w:cs="Arial" w:eastAsia="Arial" w:hAnsi="Arial"/>
          <w:sz w:val="16"/>
          <w:szCs w:val="16"/>
          <w:color w:val="auto"/>
        </w:rPr>
      </w:pPr>
    </w:p>
    <w:p>
      <w:pPr>
        <w:ind w:left="980" w:hanging="486"/>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by the representative to fewer than 100 natural or legal persons (other than qualified investors as defined in the Prospectus Directive); or</w:t>
      </w:r>
    </w:p>
    <w:p>
      <w:pPr>
        <w:spacing w:after="0" w:line="180" w:lineRule="exact"/>
        <w:rPr>
          <w:rFonts w:ascii="Arial" w:cs="Arial" w:eastAsia="Arial" w:hAnsi="Arial"/>
          <w:sz w:val="16"/>
          <w:szCs w:val="16"/>
          <w:color w:val="auto"/>
        </w:rPr>
      </w:pPr>
    </w:p>
    <w:p>
      <w:pPr>
        <w:ind w:left="980" w:right="760" w:hanging="486"/>
        <w:spacing w:after="0" w:line="332"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securities shall result in a requirement for the publication by the Company or any underwriter of a prospectus pursuant to Article 3 of the Prospectus Directive.</w:t>
      </w:r>
    </w:p>
    <w:p>
      <w:pPr>
        <w:spacing w:after="0" w:line="7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For the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any securities,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 has represented, warranted and agreed that:</w:t>
      </w:r>
    </w:p>
    <w:p>
      <w:pPr>
        <w:spacing w:after="0" w:line="158" w:lineRule="exact"/>
        <w:rPr>
          <w:sz w:val="20"/>
          <w:szCs w:val="20"/>
          <w:color w:val="auto"/>
        </w:rPr>
      </w:pPr>
    </w:p>
    <w:p>
      <w:pPr>
        <w:ind w:left="980" w:right="160" w:hanging="486"/>
        <w:spacing w:after="0" w:line="306"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it has only communicated or caused to be communicated and will only communicate or cause to be communicated any invitation or inducement to engage in investment activity (within the meaning of section 21 of the Financial Services and Markets Act 2000 (the </w:t>
      </w:r>
      <w:r>
        <w:rPr>
          <w:rFonts w:ascii="Arial" w:cs="Arial" w:eastAsia="Arial" w:hAnsi="Arial"/>
          <w:sz w:val="16"/>
          <w:szCs w:val="16"/>
          <w:i w:val="1"/>
          <w:iCs w:val="1"/>
          <w:color w:val="auto"/>
        </w:rPr>
        <w:t>FSMA</w:t>
      </w:r>
      <w:r>
        <w:rPr>
          <w:rFonts w:ascii="Arial" w:cs="Arial" w:eastAsia="Arial" w:hAnsi="Arial"/>
          <w:sz w:val="16"/>
          <w:szCs w:val="16"/>
          <w:color w:val="auto"/>
        </w:rPr>
        <w:t>)) received by it in connection with the issue or sale of any securities in circumstances in which section 21(1) of the FSMA does not apply to the Company; and</w:t>
      </w:r>
    </w:p>
    <w:p>
      <w:pPr>
        <w:spacing w:after="0" w:line="93" w:lineRule="exact"/>
        <w:rPr>
          <w:rFonts w:ascii="Arial" w:cs="Arial" w:eastAsia="Arial" w:hAnsi="Arial"/>
          <w:sz w:val="16"/>
          <w:szCs w:val="16"/>
          <w:color w:val="auto"/>
        </w:rPr>
      </w:pPr>
    </w:p>
    <w:p>
      <w:pPr>
        <w:ind w:left="980" w:right="120" w:hanging="486"/>
        <w:spacing w:after="0" w:line="268"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securities in, from or otherwise involving the United Kingdom</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 the State of Israel, the securities offered hereby may not be offered to any person or entity other than the following:</w:t>
      </w:r>
    </w:p>
    <w:p>
      <w:pPr>
        <w:spacing w:after="0" w:line="158" w:lineRule="exact"/>
        <w:rPr>
          <w:sz w:val="20"/>
          <w:szCs w:val="20"/>
          <w:color w:val="auto"/>
        </w:rPr>
      </w:pPr>
    </w:p>
    <w:p>
      <w:pPr>
        <w:ind w:left="980" w:right="760" w:hanging="486"/>
        <w:spacing w:after="0" w:line="268"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fund for joint investments in trust (i.e., mutual fund), as such term is defined in the Law for Joint Investments in Trust, 5754-1994, or a management company of such a fund;</w:t>
      </w:r>
    </w:p>
    <w:p>
      <w:pPr>
        <w:spacing w:after="0" w:line="118" w:lineRule="exact"/>
        <w:rPr>
          <w:rFonts w:ascii="Arial" w:cs="Arial" w:eastAsia="Arial" w:hAnsi="Arial"/>
          <w:sz w:val="18"/>
          <w:szCs w:val="18"/>
          <w:color w:val="auto"/>
        </w:rPr>
      </w:pPr>
    </w:p>
    <w:p>
      <w:pPr>
        <w:ind w:left="980" w:hanging="486"/>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provident fund as defined in Section 47(a)(2) of the Income Tax Ordinance of the State of Israel, or a management company of such a fund;</w:t>
      </w:r>
    </w:p>
    <w:p>
      <w:pPr>
        <w:spacing w:after="0" w:line="180" w:lineRule="exact"/>
        <w:rPr>
          <w:rFonts w:ascii="Arial" w:cs="Arial" w:eastAsia="Arial" w:hAnsi="Arial"/>
          <w:sz w:val="16"/>
          <w:szCs w:val="16"/>
          <w:color w:val="auto"/>
        </w:rPr>
      </w:pPr>
    </w:p>
    <w:p>
      <w:pPr>
        <w:ind w:left="980" w:right="420" w:hanging="486"/>
        <w:spacing w:after="0" w:line="259"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insurer, as defined in the Law for Oversight of Insurance Transactions, 5741-1981, (d) a banking entity or satellite entity, as such terms are defined in the Banking Law (Licensing), 5741-1981, other than a joint services company, acting for their own account or for the account of investors of the type listed in Section 15A(b) of the Securities Law 1968;</w:t>
      </w:r>
    </w:p>
    <w:p>
      <w:pPr>
        <w:spacing w:after="0" w:line="126" w:lineRule="exact"/>
        <w:rPr>
          <w:rFonts w:ascii="Arial" w:cs="Arial" w:eastAsia="Arial" w:hAnsi="Arial"/>
          <w:sz w:val="18"/>
          <w:szCs w:val="18"/>
          <w:color w:val="auto"/>
        </w:rPr>
      </w:pPr>
    </w:p>
    <w:p>
      <w:pPr>
        <w:jc w:val="both"/>
        <w:ind w:left="980" w:hanging="486"/>
        <w:spacing w:after="0" w:line="259"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company that is licensed as a portfolio manager, as such term is defined in Section 8(b) of the Law for the Regulation of Investment Advisors and Portfolio Managers, 5755-1995, acting on its own account or for the account of investors of the type listed in Section 15A(b) of the Securities Law 1968;</w:t>
      </w:r>
    </w:p>
    <w:p>
      <w:pPr>
        <w:spacing w:after="0" w:line="126" w:lineRule="exact"/>
        <w:rPr>
          <w:rFonts w:ascii="Arial" w:cs="Arial" w:eastAsia="Arial" w:hAnsi="Arial"/>
          <w:sz w:val="18"/>
          <w:szCs w:val="18"/>
          <w:color w:val="auto"/>
        </w:rPr>
      </w:pPr>
    </w:p>
    <w:p>
      <w:pPr>
        <w:ind w:left="980" w:right="140" w:hanging="486"/>
        <w:spacing w:after="0" w:line="268"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company that is licensed as an investment advisor, as such term is defined in Section 7(c) of the Law for the Regulation of Investment Advisors and Portfolio Managers, 5755-1995, acting on its own account;</w:t>
      </w:r>
    </w:p>
    <w:p>
      <w:pPr>
        <w:spacing w:after="0" w:line="118" w:lineRule="exact"/>
        <w:rPr>
          <w:rFonts w:ascii="Arial" w:cs="Arial" w:eastAsia="Arial" w:hAnsi="Arial"/>
          <w:sz w:val="18"/>
          <w:szCs w:val="18"/>
          <w:color w:val="auto"/>
        </w:rPr>
      </w:pPr>
    </w:p>
    <w:p>
      <w:pPr>
        <w:ind w:left="980" w:right="100" w:hanging="486"/>
        <w:spacing w:after="0" w:line="268"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company that is a member of the Tel Aviv Stock Exchange, acting on its own account or for the account of investors of the type listed in Section 15A(b) of the Securities Law 1968;</w:t>
      </w:r>
    </w:p>
    <w:p>
      <w:pPr>
        <w:spacing w:after="0" w:line="118" w:lineRule="exact"/>
        <w:rPr>
          <w:rFonts w:ascii="Arial" w:cs="Arial" w:eastAsia="Arial" w:hAnsi="Arial"/>
          <w:sz w:val="18"/>
          <w:szCs w:val="18"/>
          <w:color w:val="auto"/>
        </w:rPr>
      </w:pPr>
    </w:p>
    <w:p>
      <w:pPr>
        <w:ind w:left="980" w:hanging="486"/>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underwriter fulfilling the conditions of Section 56(c) of the Securities Law, 5728-1968;</w:t>
      </w:r>
    </w:p>
    <w:p>
      <w:pPr>
        <w:spacing w:after="0" w:line="157" w:lineRule="exact"/>
        <w:rPr>
          <w:rFonts w:ascii="Arial" w:cs="Arial" w:eastAsia="Arial" w:hAnsi="Arial"/>
          <w:sz w:val="18"/>
          <w:szCs w:val="18"/>
          <w:color w:val="auto"/>
        </w:rPr>
      </w:pPr>
    </w:p>
    <w:p>
      <w:pPr>
        <w:ind w:left="980" w:right="460" w:hanging="486"/>
        <w:spacing w:after="0" w:line="332"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venture capital fund (defined as an entity primarily involved in investments in companies which, at the time of investment, (i) are primarily engaged in research and development or manufacture of new technological products or processes and (ii) involve above-average risk);</w:t>
      </w:r>
    </w:p>
    <w:p>
      <w:pPr>
        <w:spacing w:after="0" w:line="71" w:lineRule="exact"/>
        <w:rPr>
          <w:rFonts w:ascii="Arial" w:cs="Arial" w:eastAsia="Arial" w:hAnsi="Arial"/>
          <w:sz w:val="16"/>
          <w:szCs w:val="16"/>
          <w:color w:val="auto"/>
        </w:rPr>
      </w:pPr>
    </w:p>
    <w:p>
      <w:pPr>
        <w:ind w:left="980" w:hanging="486"/>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 entity primarily engaged in capital markets activities in which all of the equity owners meet one or more of the above criteria; and</w:t>
      </w:r>
    </w:p>
    <w:p>
      <w:pPr>
        <w:spacing w:after="0" w:line="180" w:lineRule="exact"/>
        <w:rPr>
          <w:rFonts w:ascii="Arial" w:cs="Arial" w:eastAsia="Arial" w:hAnsi="Arial"/>
          <w:sz w:val="16"/>
          <w:szCs w:val="16"/>
          <w:color w:val="auto"/>
        </w:rPr>
      </w:pPr>
    </w:p>
    <w:p>
      <w:pPr>
        <w:ind w:left="980" w:right="80" w:hanging="486"/>
        <w:spacing w:after="0" w:line="306"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 entity, other than an entity formed for the purpose of purchasing securities in this offering, in which the shareholders equity (including pursuant to foreign accounting rules, international accounting regulations and U.S. generally accepted accounting rules, as defined in the Securities Law Regulations (Preparation of Annual Financial Statements), 1993) is in excess of NIS 50 million.</w:t>
      </w:r>
    </w:p>
    <w:p>
      <w:pPr>
        <w:spacing w:after="0" w:line="93"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Any offeree of the securities offered hereby in the State of Israel shall be required to submit written confirmation that it falls within the scope of one of the above criteria. This prospectus supplement will not be distributed or directed to investors in the State of Israel who do not fall within one of the above criteria.</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Canada</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subject to this offering are not qualified for sale in Canada and may not be offered or sold in Canada, directly or indirectly, on our behalf.</w:t>
      </w: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9" w:name="page50"/>
    <w:bookmarkEnd w:id="4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validity of the securities offered by this prospectus will be passed upon by Disclosure Law Group, a Professional Corporation, San Diego, California (</w:t>
      </w:r>
      <w:r>
        <w:rPr>
          <w:rFonts w:ascii="Arial" w:cs="Arial" w:eastAsia="Arial" w:hAnsi="Arial"/>
          <w:sz w:val="18"/>
          <w:szCs w:val="18"/>
          <w:i w:val="1"/>
          <w:iCs w:val="1"/>
          <w:color w:val="auto"/>
        </w:rPr>
        <w:t>DLG</w:t>
      </w:r>
      <w:r>
        <w:rPr>
          <w:rFonts w:ascii="Arial" w:cs="Arial" w:eastAsia="Arial" w:hAnsi="Arial"/>
          <w:sz w:val="18"/>
          <w:szCs w:val="18"/>
          <w:color w:val="auto"/>
        </w:rPr>
        <w:t>). Partners of DLG beneficially own an aggregate of 65,987 registered and/or restricted shares of our common stock. Lowenstein Sandler LLP, New York, New York, is acting as counsel for the underwriter in connection with this offering.</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financial statements of the Company incorporated in this prospectus by reference to the Annual Report on Form 10-K for the fiscal year ended March 31, 2017 have been audited by OUM &amp; Co. LLP, an independent registered public accounting firm, given on the authority of said firm as experts in auditing and accounting.</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are a public company and file annual, quarterly and special reports, proxy statements and other information with the SEC. You may read and copy any document we file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Our SEC filings are also available, at no charge, to the public at the SEC’s website at http://www.sec.gov.</w:t>
      </w: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0" w:name="page51"/>
    <w:bookmarkEnd w:id="5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filed by us with the SEC are incorporated by reference in this prospectus:</w:t>
      </w:r>
    </w:p>
    <w:p>
      <w:pPr>
        <w:spacing w:after="0" w:line="225"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March 31, 2017, filed on June 29, 2017;</w:t>
      </w:r>
    </w:p>
    <w:p>
      <w:pPr>
        <w:spacing w:after="0" w:line="15"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June 30, 2017, filed on August 14, 2017;</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Current Reports on Form 8-K, filed on April 28, 2017, May 1, 2017, June 29, 2017, August 9, 2017, August 14, 2017 and August 31, 2017; and</w:t>
      </w:r>
    </w:p>
    <w:p>
      <w:pPr>
        <w:spacing w:after="0" w:line="32" w:lineRule="exact"/>
        <w:rPr>
          <w:rFonts w:ascii="Arial" w:cs="Arial" w:eastAsia="Arial" w:hAnsi="Arial"/>
          <w:sz w:val="16"/>
          <w:szCs w:val="16"/>
          <w:color w:val="auto"/>
        </w:rPr>
      </w:pPr>
    </w:p>
    <w:p>
      <w:pPr>
        <w:ind w:left="500" w:right="60" w:hanging="492"/>
        <w:spacing w:after="0" w:line="261"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description of our common stock contained in the Registration Statement on Form 8-A filed pursuant to Section 12(b) of the Exchange Act on May 3, 2016, including any amendment or report filed with the SEC for the purpose of updating this description.</w:t>
      </w:r>
    </w:p>
    <w:p>
      <w:pPr>
        <w:spacing w:after="0" w:line="192"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We also incorporate by reference all documents we file pursuant to Section 13(a), 13(c), 14 or 15(d)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and are an important part of this prospectus.</w:t>
      </w:r>
    </w:p>
    <w:p>
      <w:pPr>
        <w:spacing w:after="0" w:line="19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91"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We will provide to each person, including any beneficial owner, to whom a prospectus is delivered, a copy of this prospectus supplement and any or all of the information that has been incorporated by reference in the prospectus supplement but not delivered herewith. You may request a copy of these filings, excluding the exhibits to such filings which we have not specifically incorporated by reference in such filings, at no cost, by writing to or calling us at: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19"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Except for the specific incorporated documents listed above, no information available on or through our website shall be deemed to be incorporated in this prospectus supplement or the accompanying prospectus.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152400</wp:posOffset>
            </wp:positionV>
            <wp:extent cx="1311910" cy="8489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1191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may offer and sell, in one or more offerings, up to $100,000,000 of any combination of the securities described in this prospectus. We may also offer securities as may be issuable upon conversion, redemption, repurchase, exchange or exercise of any securities registered hereunder, including any applicable anti-dilution provisions.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prospectus provides a general description of the securities we may offer from time to time. Each time we offer securities, we will provide specific terms of the securities offered in a supplement to this prospectus. We may also authorize one or more free writing prospectuses to be provided to you in connection with an offering.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common stock is quoted on The NASDAQ Capital Market under the symbol “VTGN”. The last reported sale price of our common stock on March 31, 2017 was $1.96 per share.</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may offer and sell our securities to or through one or more agents, underwriters, dealers or other third parties or directly to one or more purchasers on a continuous or delayed basis. If agents, underwriters or dealers are used to sell our securities, we will name them and describe their compensation in a prospectus supplement. The price to the public of our securities and the net proceeds we expect to receive from the sale of such securities will also be set forth in a prospectus supplement. For additional information on the methods of sale, you should refer to the section entitled “</w:t>
      </w:r>
      <w:r>
        <w:rPr>
          <w:rFonts w:ascii="Arial" w:cs="Arial" w:eastAsia="Arial" w:hAnsi="Arial"/>
          <w:sz w:val="16"/>
          <w:szCs w:val="16"/>
          <w:i w:val="1"/>
          <w:iCs w:val="1"/>
          <w:color w:val="auto"/>
        </w:rPr>
        <w:t>Plan of Distribu</w:t>
      </w:r>
      <w:r>
        <w:rPr>
          <w:rFonts w:ascii="Arial" w:cs="Arial" w:eastAsia="Arial" w:hAnsi="Arial"/>
          <w:sz w:val="16"/>
          <w:szCs w:val="16"/>
          <w:color w:val="auto"/>
        </w:rPr>
        <w:t>tion” in this prospectus.</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January 10, 2017, the aggregate market value of our outstanding common stock held by non-affiliates was approximately $31.4 million, which was calculated based on 8,543,137 shares of outstanding common stock held by non-affiliates, at a price per share of $3.68. Pursuant to General Instruction I.B.6 of Form S-3, in no event will we sell the securities described in this prospectus in a public primary offering with a value exceeding more than one-third (1/3) of the aggregate market value of our common stock held by non-affiliates in any twelve (12)-month period, so long as the aggregate market value of our outstanding common stock held by non-affiliates remains below $75 million. During the twelve (12) calendar months prior to and including the date of this prospectus, we have not offered or sold any securities pursuant to General Instruction I.B.6 of Form S-3.</w:t>
      </w:r>
    </w:p>
    <w:p>
      <w:pPr>
        <w:spacing w:after="0" w:line="384"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Our business and investing in our securities involves significant risks. You should review carefully the risks and uncertainties referenced under the heading “</w:t>
      </w:r>
      <w:r>
        <w:rPr>
          <w:rFonts w:ascii="Arial" w:cs="Arial" w:eastAsia="Arial" w:hAnsi="Arial"/>
          <w:sz w:val="16"/>
          <w:szCs w:val="16"/>
          <w:b w:val="1"/>
          <w:bCs w:val="1"/>
          <w:i w:val="1"/>
          <w:iCs w:val="1"/>
          <w:color w:val="auto"/>
        </w:rPr>
        <w:t>Risk Factors</w:t>
      </w:r>
      <w:r>
        <w:rPr>
          <w:rFonts w:ascii="Arial" w:cs="Arial" w:eastAsia="Arial" w:hAnsi="Arial"/>
          <w:sz w:val="16"/>
          <w:szCs w:val="16"/>
          <w:b w:val="1"/>
          <w:bCs w:val="1"/>
          <w:color w:val="auto"/>
        </w:rPr>
        <w:t>” on page 5 of this prospectus, as well as those contained in the applicable prospectus supplement and any related free writing prospectus, and in the other documents that are incorporated by reference into this prospectus or the applicable prospectus supplement.</w:t>
      </w:r>
    </w:p>
    <w:p>
      <w:pPr>
        <w:spacing w:after="0" w:line="15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July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sectPr>
      </w:pPr>
    </w:p>
    <w:bookmarkStart w:id="52" w:name="page53"/>
    <w:bookmarkEnd w:id="5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This prospectus is part of a registration statement filed with the Securities and Exchange Commission (the </w:t>
      </w:r>
      <w:r>
        <w:rPr>
          <w:rFonts w:ascii="Arial" w:cs="Arial" w:eastAsia="Arial" w:hAnsi="Arial"/>
          <w:sz w:val="18"/>
          <w:szCs w:val="18"/>
          <w:i w:val="1"/>
          <w:iCs w:val="1"/>
          <w:color w:val="auto"/>
        </w:rPr>
        <w:t>SEC</w:t>
      </w:r>
      <w:r>
        <w:rPr>
          <w:rFonts w:ascii="Arial" w:cs="Arial" w:eastAsia="Arial" w:hAnsi="Arial"/>
          <w:sz w:val="18"/>
          <w:szCs w:val="18"/>
          <w:color w:val="auto"/>
        </w:rPr>
        <w:t>), using a “shelf” registration process. Under this shelf registration process, we may sell the securities described in this prospectus in one or more offerings. This prospectus provides you with a general description of the securities which may be offered. Each time we offer securities for sale, we will provide a prospectus supplement that contains information about the specific terms of that offering. Any prospectus supplement may also add or update information contained in this prospectus. You should read both this prospectus and any prospectus supplement together with additional information described below under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 and “</w:t>
      </w:r>
      <w:r>
        <w:rPr>
          <w:rFonts w:ascii="Arial" w:cs="Arial" w:eastAsia="Arial" w:hAnsi="Arial"/>
          <w:sz w:val="18"/>
          <w:szCs w:val="18"/>
          <w:i w:val="1"/>
          <w:iCs w:val="1"/>
          <w:color w:val="auto"/>
        </w:rPr>
        <w:t>Incorporation of Certain Information by Reference</w:t>
      </w:r>
      <w:r>
        <w:rPr>
          <w:rFonts w:ascii="Arial" w:cs="Arial" w:eastAsia="Arial" w:hAnsi="Arial"/>
          <w:sz w:val="18"/>
          <w:szCs w:val="18"/>
          <w:color w:val="auto"/>
        </w:rPr>
        <w:t>.”</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are not making offers to sell or solicitations to buy the securities described in this prospectus in any jurisdiction in which an offer or solicitation is not authorized, or in which the person making that offer or solicitation is not qualified to do so or to anyone to whom it is unlawful to make an offer or solicitation. You should not assume that the information in this prospectus or any prospectus supplement, as well as the information we file or previously filed with the SEC that we incorporate by reference in this prospectus or any prospectus supplement, is accurate as of any date other than its respective date. Our business, financial condition, results of operations and prospects may have changed since those dates.</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COMPANY OVERVIEW</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does not contain all the information you should consider before buying our common stock. You should read the following summary together with the more detailed information appearing in this prospectus, including the section titled “Risk Factors” on page 5, before deciding whether to purchase our securities.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All brand names or trademarks appearing in this report are the property of their respective holders. Unless the context requires otherwise, references in this report to “VistaGen,” the “Company,” “we,” “us,” and “our” refer to VistaGen Therapeutics, Inc., a Nevada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are a clinical-stage biopharmaceutical company focused on developing new generation medicines for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AV-101, our lead CNS product candidate, is a new generation oral antidepressant prodrug candidate in Phase 2 development as an adjunctive treatment for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in patients with an inadequate response to standard antidepressants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We believe AV-101 may also have the potential to treat multiple additional CNS diseases and disorders, including chronic neuropathic pain, epilepsy, Huntington’s disease and Parkinson’s disease. AV-101’s mechanism of action, as an N-methyl D aspartate receptor (</w:t>
      </w:r>
      <w:r>
        <w:rPr>
          <w:rFonts w:ascii="Arial" w:cs="Arial" w:eastAsia="Arial" w:hAnsi="Arial"/>
          <w:sz w:val="16"/>
          <w:szCs w:val="16"/>
          <w:i w:val="1"/>
          <w:iCs w:val="1"/>
          <w:color w:val="auto"/>
        </w:rPr>
        <w:t>NMDAR</w:t>
      </w:r>
      <w:r>
        <w:rPr>
          <w:rFonts w:ascii="Arial" w:cs="Arial" w:eastAsia="Arial" w:hAnsi="Arial"/>
          <w:sz w:val="16"/>
          <w:szCs w:val="16"/>
          <w:color w:val="auto"/>
        </w:rPr>
        <w:t>) antagonist binding selectively at the glycine binding (</w:t>
      </w:r>
      <w:r>
        <w:rPr>
          <w:rFonts w:ascii="Arial" w:cs="Arial" w:eastAsia="Arial" w:hAnsi="Arial"/>
          <w:sz w:val="16"/>
          <w:szCs w:val="16"/>
          <w:i w:val="1"/>
          <w:iCs w:val="1"/>
          <w:color w:val="auto"/>
        </w:rPr>
        <w:t>GlyB</w:t>
      </w:r>
      <w:r>
        <w:rPr>
          <w:rFonts w:ascii="Arial" w:cs="Arial" w:eastAsia="Arial" w:hAnsi="Arial"/>
          <w:sz w:val="16"/>
          <w:szCs w:val="16"/>
          <w:color w:val="auto"/>
        </w:rPr>
        <w:t>) co-agonist site of the NMDAR, is fundamentally differentiated from all FDA-approved antidepressants currently on the market, as well as all atypical antipsychotics used as adjunctive treatments with current antidepressants.</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Clinical studies conducted at the U.S. National Institute of Mental Health (</w:t>
      </w:r>
      <w:r>
        <w:rPr>
          <w:rFonts w:ascii="Arial" w:cs="Arial" w:eastAsia="Arial" w:hAnsi="Arial"/>
          <w:sz w:val="16"/>
          <w:szCs w:val="16"/>
          <w:i w:val="1"/>
          <w:iCs w:val="1"/>
          <w:color w:val="auto"/>
        </w:rPr>
        <w:t>NIMH</w:t>
      </w:r>
      <w:r>
        <w:rPr>
          <w:rFonts w:ascii="Arial" w:cs="Arial" w:eastAsia="Arial" w:hAnsi="Arial"/>
          <w:sz w:val="16"/>
          <w:szCs w:val="16"/>
          <w:color w:val="auto"/>
        </w:rPr>
        <w:t>), part of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by Dr. Carlos Zarate, Jr., Chief of the NIMH’s Experimental Therapeutics &amp; Pathophysiology Branch and its Section on Neurobiology and Treatment of Mood and Anxiety Disorders, have focused on the antidepressant effects of low dose intravenous (</w:t>
      </w:r>
      <w:r>
        <w:rPr>
          <w:rFonts w:ascii="Arial" w:cs="Arial" w:eastAsia="Arial" w:hAnsi="Arial"/>
          <w:sz w:val="16"/>
          <w:szCs w:val="16"/>
          <w:i w:val="1"/>
          <w:iCs w:val="1"/>
          <w:color w:val="auto"/>
        </w:rPr>
        <w:t>IV</w:t>
      </w:r>
      <w:r>
        <w:rPr>
          <w:rFonts w:ascii="Arial" w:cs="Arial" w:eastAsia="Arial" w:hAnsi="Arial"/>
          <w:sz w:val="16"/>
          <w:szCs w:val="16"/>
          <w:color w:val="auto"/>
        </w:rPr>
        <w:t>) administration of ketamine hydrochloride (</w:t>
      </w:r>
      <w:r>
        <w:rPr>
          <w:rFonts w:ascii="Arial" w:cs="Arial" w:eastAsia="Arial" w:hAnsi="Arial"/>
          <w:sz w:val="16"/>
          <w:szCs w:val="16"/>
          <w:i w:val="1"/>
          <w:iCs w:val="1"/>
          <w:color w:val="auto"/>
        </w:rPr>
        <w:t>ketamine</w:t>
      </w:r>
      <w:r>
        <w:rPr>
          <w:rFonts w:ascii="Arial" w:cs="Arial" w:eastAsia="Arial" w:hAnsi="Arial"/>
          <w:sz w:val="16"/>
          <w:szCs w:val="16"/>
          <w:color w:val="auto"/>
        </w:rPr>
        <w:t>), an NMDAR antagonist, in patients with treatment-resistant MDD. These NIMH studies, as well as clinical research at Yale University and other academic institutions, have demonstrated robust antidepressant effects in treatment-resistant MDD patients within twenty-four hours of a single IV dose of ketamine.</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As published in the October 2015 issue of the peer-reviewed, </w:t>
      </w:r>
      <w:r>
        <w:rPr>
          <w:rFonts w:ascii="Arial" w:cs="Arial" w:eastAsia="Arial" w:hAnsi="Arial"/>
          <w:sz w:val="16"/>
          <w:szCs w:val="16"/>
          <w:i w:val="1"/>
          <w:iCs w:val="1"/>
          <w:color w:val="auto"/>
        </w:rPr>
        <w:t>Journal of Pharmacology and Experimental Therapeutics,</w:t>
      </w:r>
      <w:r>
        <w:rPr>
          <w:rFonts w:ascii="Arial" w:cs="Arial" w:eastAsia="Arial" w:hAnsi="Arial"/>
          <w:sz w:val="16"/>
          <w:szCs w:val="16"/>
          <w:color w:val="auto"/>
        </w:rPr>
        <w:t xml:space="preserve"> in an article entitled, </w:t>
      </w:r>
      <w:r>
        <w:rPr>
          <w:rFonts w:ascii="Arial" w:cs="Arial" w:eastAsia="Arial" w:hAnsi="Arial"/>
          <w:sz w:val="16"/>
          <w:szCs w:val="16"/>
          <w:i w:val="1"/>
          <w:iCs w:val="1"/>
          <w:color w:val="auto"/>
        </w:rPr>
        <w:t xml:space="preserve">The prodrug 4-chlorokynurenine causes ketamine-like antidepressant effects, but not side effects, by NMDA/glycineB-site inhibition, </w:t>
      </w:r>
      <w:r>
        <w:rPr>
          <w:rFonts w:ascii="Arial" w:cs="Arial" w:eastAsia="Arial" w:hAnsi="Arial"/>
          <w:sz w:val="16"/>
          <w:szCs w:val="16"/>
          <w:color w:val="auto"/>
        </w:rPr>
        <w:t>using well-established preclinical models of</w:t>
      </w:r>
      <w:r>
        <w:rPr>
          <w:rFonts w:ascii="Arial" w:cs="Arial" w:eastAsia="Arial" w:hAnsi="Arial"/>
          <w:sz w:val="16"/>
          <w:szCs w:val="16"/>
          <w:i w:val="1"/>
          <w:iCs w:val="1"/>
          <w:color w:val="auto"/>
        </w:rPr>
        <w:t xml:space="preserve"> </w:t>
      </w:r>
      <w:r>
        <w:rPr>
          <w:rFonts w:ascii="Arial" w:cs="Arial" w:eastAsia="Arial" w:hAnsi="Arial"/>
          <w:sz w:val="16"/>
          <w:szCs w:val="16"/>
          <w:color w:val="auto"/>
        </w:rPr>
        <w:t>depression, AV-101 was shown to induce fast-acting, dose-dependent, persistent and 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the GlyB site and also involved the activation of another key neurological pathway, the alpha-amino-3-hydroxy-5-methyl-4-isoxazolepropionic acid (</w:t>
      </w:r>
      <w:r>
        <w:rPr>
          <w:rFonts w:ascii="Arial" w:cs="Arial" w:eastAsia="Arial" w:hAnsi="Arial"/>
          <w:sz w:val="16"/>
          <w:szCs w:val="16"/>
          <w:i w:val="1"/>
          <w:iCs w:val="1"/>
          <w:color w:val="auto"/>
        </w:rPr>
        <w:t>AMPA</w:t>
      </w:r>
      <w:r>
        <w:rPr>
          <w:rFonts w:ascii="Arial" w:cs="Arial" w:eastAsia="Arial" w:hAnsi="Arial"/>
          <w:sz w:val="16"/>
          <w:szCs w:val="16"/>
          <w:color w:val="auto"/>
        </w:rPr>
        <w:t>) receptor pathway</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February 2015, we entered into a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NIMH. Under the CRADA, the NIMH is funding, and Dr. Zarate, as Principal Investigator, and his team are conducting, a 20-25 patient Phase 2 clinical study of AV-101 as a monotherapy in subjects with treatment-resistant MDD (the </w:t>
      </w:r>
      <w:r>
        <w:rPr>
          <w:rFonts w:ascii="Arial" w:cs="Arial" w:eastAsia="Arial" w:hAnsi="Arial"/>
          <w:sz w:val="16"/>
          <w:szCs w:val="16"/>
          <w:i w:val="1"/>
          <w:iCs w:val="1"/>
          <w:color w:val="auto"/>
        </w:rPr>
        <w:t>NIMH Study</w:t>
      </w:r>
      <w:r>
        <w:rPr>
          <w:rFonts w:ascii="Arial" w:cs="Arial" w:eastAsia="Arial" w:hAnsi="Arial"/>
          <w:sz w:val="16"/>
          <w:szCs w:val="16"/>
          <w:color w:val="auto"/>
        </w:rPr>
        <w:t>). We believe orally-administered AV-101 may have potential to deliver ketamine-like antidepressant effects without ketamine’s psychological and other side effects. We currently anticipate that the NIMH will complete the NIMH Study at the end of 2017.</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preparing to launch our Phase 2 clinical study of AV-101 as a new generation adjunctive treatment of MDD in adult patients with an inadequate response to standard, FDA-approved antidepressants (</w:t>
      </w:r>
      <w:r>
        <w:rPr>
          <w:rFonts w:ascii="Arial" w:cs="Arial" w:eastAsia="Arial" w:hAnsi="Arial"/>
          <w:sz w:val="16"/>
          <w:szCs w:val="16"/>
          <w:i w:val="1"/>
          <w:iCs w:val="1"/>
          <w:color w:val="auto"/>
        </w:rPr>
        <w:t>Phase 2 Study</w:t>
      </w:r>
      <w:r>
        <w:rPr>
          <w:rFonts w:ascii="Arial" w:cs="Arial" w:eastAsia="Arial" w:hAnsi="Arial"/>
          <w:sz w:val="16"/>
          <w:szCs w:val="16"/>
          <w:color w:val="auto"/>
        </w:rPr>
        <w:t>). We currently anticipate commencement of this multi-center, multi-dose, double blind, placebo-controlled efficacy and safety study of AV-101 by the end of the second quarter of 2017. Dr. Maurizio Fava, Professor of Psychiatry at Harvard Medical School and Director, Division of Clinical Research,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Research Institute, will be the Principal Investigator of the Phase 2 Study. Dr. Fava was the co-Principal Investigator with Dr. A. John Rush of the STAR*D study, the largest clinical trial conducted in depression to date, whose findings were published in journals such as the New England Journal of Medicine (</w:t>
      </w:r>
      <w:r>
        <w:rPr>
          <w:rFonts w:ascii="Arial" w:cs="Arial" w:eastAsia="Arial" w:hAnsi="Arial"/>
          <w:sz w:val="16"/>
          <w:szCs w:val="16"/>
          <w:i w:val="1"/>
          <w:iCs w:val="1"/>
          <w:color w:val="auto"/>
        </w:rPr>
        <w:t>NEJM</w:t>
      </w:r>
      <w:r>
        <w:rPr>
          <w:rFonts w:ascii="Arial" w:cs="Arial" w:eastAsia="Arial" w:hAnsi="Arial"/>
          <w:sz w:val="16"/>
          <w:szCs w:val="16"/>
          <w:color w:val="auto"/>
        </w:rPr>
        <w:t>) and the Journal of the American Medical Association (</w:t>
      </w:r>
      <w:r>
        <w:rPr>
          <w:rFonts w:ascii="Arial" w:cs="Arial" w:eastAsia="Arial" w:hAnsi="Arial"/>
          <w:sz w:val="16"/>
          <w:szCs w:val="16"/>
          <w:i w:val="1"/>
          <w:iCs w:val="1"/>
          <w:color w:val="auto"/>
        </w:rPr>
        <w:t>JAMA</w:t>
      </w:r>
      <w:r>
        <w:rPr>
          <w:rFonts w:ascii="Arial" w:cs="Arial" w:eastAsia="Arial" w:hAnsi="Arial"/>
          <w:sz w:val="16"/>
          <w:szCs w:val="16"/>
          <w:color w:val="auto"/>
        </w:rPr>
        <w:t>). We currently anticipate top line results of the Phase 2 Study by the end of 2018.</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 owned subsidiary focused on applying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internally and with third-party collaborators, to discover,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xml:space="preserve">), including small molecule NCEs with regenerative potential, for CNS and other diseases and (ii) cellular therapies involving stem cell-derived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xml:space="preserve">, our customized cardiac bioassay system, to develop small molecule NCEs for our pipeline. In December 2016, we exclusively sublicensed to BlueRock Therapeutics LP, a next generation regenerative medicine company established by Bayer AG and Versant Ventures, rights to certain proprietary technologies relating to the production of cardiac stem cells for the treatment of heart disease (the </w:t>
      </w:r>
      <w:r>
        <w:rPr>
          <w:rFonts w:ascii="Arial" w:cs="Arial" w:eastAsia="Arial" w:hAnsi="Arial"/>
          <w:sz w:val="16"/>
          <w:szCs w:val="16"/>
          <w:i w:val="1"/>
          <w:iCs w:val="1"/>
          <w:color w:val="auto"/>
        </w:rPr>
        <w:t>BlueRock</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VistaStem may also pursue additional potential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applications, including using blood, cartilage, and/or liver cells derived</w:t>
      </w:r>
      <w:r>
        <w:rPr>
          <w:rFonts w:ascii="Arial" w:cs="Arial" w:eastAsia="Arial" w:hAnsi="Arial"/>
          <w:sz w:val="16"/>
          <w:szCs w:val="16"/>
          <w:i w:val="1"/>
          <w:iCs w:val="1"/>
          <w:color w:val="auto"/>
        </w:rPr>
        <w:t xml:space="preserve"> </w:t>
      </w:r>
      <w:r>
        <w:rPr>
          <w:rFonts w:ascii="Arial" w:cs="Arial" w:eastAsia="Arial" w:hAnsi="Arial"/>
          <w:sz w:val="16"/>
          <w:szCs w:val="16"/>
          <w:color w:val="auto"/>
        </w:rPr>
        <w:t>from hPSCs for (A) cell-based therapy, (B) cell repair therapy, and/or (C) tissue engineering. In a manner similar to our exclusive sublicense agreement with BlueRock Therapeutics, VistaStem may pursue these additional RM applications in collaboration with third-parties.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and Major Depressive Disorder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World Health Organization (</w:t>
      </w:r>
      <w:r>
        <w:rPr>
          <w:rFonts w:ascii="Arial" w:cs="Arial" w:eastAsia="Arial" w:hAnsi="Arial"/>
          <w:sz w:val="16"/>
          <w:szCs w:val="16"/>
          <w:i w:val="1"/>
          <w:iCs w:val="1"/>
          <w:color w:val="auto"/>
        </w:rPr>
        <w:t>WHO</w:t>
      </w:r>
      <w:r>
        <w:rPr>
          <w:rFonts w:ascii="Arial" w:cs="Arial" w:eastAsia="Arial" w:hAnsi="Arial"/>
          <w:sz w:val="16"/>
          <w:szCs w:val="16"/>
          <w:color w:val="auto"/>
        </w:rPr>
        <w:t>) estimates that 300 million people worldwide are affected by depression. According to the NIH, major depression is one of the most common mental disorders in the U.S. The NIMH reports that, in 2014, an estimated 15.7 million adults aged 18 or older in the U.S. had at least one major depressive episode in the past year. This represented 6.7 percent of all U.S. adults. According to the U.S. Centers for Disease Control and Prevention (</w:t>
      </w:r>
      <w:r>
        <w:rPr>
          <w:rFonts w:ascii="Arial" w:cs="Arial" w:eastAsia="Arial" w:hAnsi="Arial"/>
          <w:sz w:val="16"/>
          <w:szCs w:val="16"/>
          <w:i w:val="1"/>
          <w:iCs w:val="1"/>
          <w:color w:val="auto"/>
        </w:rPr>
        <w:t>CDC</w:t>
      </w:r>
      <w:r>
        <w:rPr>
          <w:rFonts w:ascii="Arial" w:cs="Arial" w:eastAsia="Arial" w:hAnsi="Arial"/>
          <w:sz w:val="16"/>
          <w:szCs w:val="16"/>
          <w:color w:val="auto"/>
        </w:rPr>
        <w:t>) one in 10 Americans over the age of 12 takes a standard, FDA-approved antidepressant.</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Most standard, FDA-approved antidepressants target neurotransmitter reuptake inhibition – either serotonin (antidepressants known as </w:t>
      </w:r>
      <w:r>
        <w:rPr>
          <w:rFonts w:ascii="Arial" w:cs="Arial" w:eastAsia="Arial" w:hAnsi="Arial"/>
          <w:sz w:val="18"/>
          <w:szCs w:val="18"/>
          <w:i w:val="1"/>
          <w:iCs w:val="1"/>
          <w:color w:val="auto"/>
        </w:rPr>
        <w:t>SSRIs</w:t>
      </w:r>
      <w:r>
        <w:rPr>
          <w:rFonts w:ascii="Arial" w:cs="Arial" w:eastAsia="Arial" w:hAnsi="Arial"/>
          <w:sz w:val="18"/>
          <w:szCs w:val="18"/>
          <w:color w:val="auto"/>
        </w:rPr>
        <w:t xml:space="preserve">) or serotonin/norepinephrine (antidepressants known as </w:t>
      </w:r>
      <w:r>
        <w:rPr>
          <w:rFonts w:ascii="Arial" w:cs="Arial" w:eastAsia="Arial" w:hAnsi="Arial"/>
          <w:sz w:val="18"/>
          <w:szCs w:val="18"/>
          <w:i w:val="1"/>
          <w:iCs w:val="1"/>
          <w:color w:val="auto"/>
        </w:rPr>
        <w:t>SNRIs</w:t>
      </w:r>
      <w:r>
        <w:rPr>
          <w:rFonts w:ascii="Arial" w:cs="Arial" w:eastAsia="Arial" w:hAnsi="Arial"/>
          <w:sz w:val="18"/>
          <w:szCs w:val="18"/>
          <w:color w:val="auto"/>
        </w:rPr>
        <w:t>). Even when effective, these standard depression medications take many weeks to achieve adequate antidepressant effects. Nearly two out of every three drug-treated depression patients, including an estimated 6.9 million drug-treated MDD patients in the U.S., obtain inadequate therapeutic benefit from initial treatment with a standard antidepressant. Unfortunately, even after treatment with many different standard antidepressants, nearly one out of every three drug-treated depression patients still do not achieve adequate therapeutic benefits from their antidepressant medication. Such patients with an inadequate response to standard antidepressants often seek to augment their treatment regimen by adding an atypical antipsychotic (drugs such as, for example, aripiprazole), despite only modest potential therapeutic benefit and the risk of additional side effects from atypical antipsychotics.</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standard, FDA-approved antidepressants have risks of significant side effects, including, among others, potential anxiety, metabolic syndrome, sleep disturbance and sexual dysfunction. Adjunctive use of atypical antipsychotics to augment inadequately performing standard antidepressants increases the risk of serious side effects, including, potentially, tardive dyskinesia, significant weight gain, diabetes and heart disease, while offering only a modest potential increase in therapeutic benefit.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AV-101 is our oral new generation antidepressant prodrug candidate in Phase 2 clinical development in the U.S. for the adjunctive treatment of MDD patients with an inadequate response to standard, FDA-approved antidepressants. As published in the October 2015 issue of the peer-reviewed, </w:t>
      </w:r>
      <w:r>
        <w:rPr>
          <w:rFonts w:ascii="Arial" w:cs="Arial" w:eastAsia="Arial" w:hAnsi="Arial"/>
          <w:sz w:val="16"/>
          <w:szCs w:val="16"/>
          <w:i w:val="1"/>
          <w:iCs w:val="1"/>
          <w:color w:val="auto"/>
        </w:rPr>
        <w:t>Journal of Pharmacology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Experimental Therapeutics, </w:t>
      </w:r>
      <w:r>
        <w:rPr>
          <w:rFonts w:ascii="Arial" w:cs="Arial" w:eastAsia="Arial" w:hAnsi="Arial"/>
          <w:sz w:val="16"/>
          <w:szCs w:val="16"/>
          <w:color w:val="auto"/>
        </w:rPr>
        <w:t>in an article entitled,</w:t>
      </w:r>
      <w:r>
        <w:rPr>
          <w:rFonts w:ascii="Arial" w:cs="Arial" w:eastAsia="Arial" w:hAnsi="Arial"/>
          <w:sz w:val="16"/>
          <w:szCs w:val="16"/>
          <w:i w:val="1"/>
          <w:iCs w:val="1"/>
          <w:color w:val="auto"/>
        </w:rPr>
        <w:t xml:space="preserve"> The prodrug 4-chlorokynurenine causes ketamine-like antidepressant effects, but not side effects, by NMDA/glycineB-site inhibition, </w:t>
      </w:r>
      <w:r>
        <w:rPr>
          <w:rFonts w:ascii="Arial" w:cs="Arial" w:eastAsia="Arial" w:hAnsi="Arial"/>
          <w:sz w:val="16"/>
          <w:szCs w:val="16"/>
          <w:color w:val="auto"/>
        </w:rPr>
        <w:t>using well-established preclinical models of depression, AV-101 was shown to induce fast-acting, dose-dependent, persistent and</w:t>
      </w:r>
      <w:r>
        <w:rPr>
          <w:rFonts w:ascii="Arial" w:cs="Arial" w:eastAsia="Arial" w:hAnsi="Arial"/>
          <w:sz w:val="16"/>
          <w:szCs w:val="16"/>
          <w:i w:val="1"/>
          <w:iCs w:val="1"/>
          <w:color w:val="auto"/>
        </w:rPr>
        <w:t xml:space="preserve"> </w:t>
      </w:r>
      <w:r>
        <w:rPr>
          <w:rFonts w:ascii="Arial" w:cs="Arial" w:eastAsia="Arial" w:hAnsi="Arial"/>
          <w:sz w:val="16"/>
          <w:szCs w:val="16"/>
          <w:color w:val="auto"/>
        </w:rPr>
        <w:t>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the GlyB site and also involved the activation of another key neurological pathway, the alpha-amino-3-hydroxy-5-methyl-4-isoxazolepropionic acid (</w:t>
      </w:r>
      <w:r>
        <w:rPr>
          <w:rFonts w:ascii="Arial" w:cs="Arial" w:eastAsia="Arial" w:hAnsi="Arial"/>
          <w:sz w:val="16"/>
          <w:szCs w:val="16"/>
          <w:i w:val="1"/>
          <w:iCs w:val="1"/>
          <w:color w:val="auto"/>
        </w:rPr>
        <w:t>AMPA</w:t>
      </w:r>
      <w:r>
        <w:rPr>
          <w:rFonts w:ascii="Arial" w:cs="Arial" w:eastAsia="Arial" w:hAnsi="Arial"/>
          <w:sz w:val="16"/>
          <w:szCs w:val="16"/>
          <w:color w:val="auto"/>
        </w:rPr>
        <w:t>) receptor pathway. We believe activation of the AMPA receptor pathway is a key final common pathway feature of new generation antidepressants.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Following the completion of our NIH-funded, randomized, double blind, placebo-controlled AV-101 Phase 1 safety studies, in February 2015, we entered into a Cooperative Research and Development Agreement (</w:t>
      </w:r>
      <w:r>
        <w:rPr>
          <w:rFonts w:ascii="Arial" w:cs="Arial" w:eastAsia="Arial" w:hAnsi="Arial"/>
          <w:sz w:val="18"/>
          <w:szCs w:val="18"/>
          <w:i w:val="1"/>
          <w:iCs w:val="1"/>
          <w:color w:val="auto"/>
        </w:rPr>
        <w:t>CRADA</w:t>
      </w:r>
      <w:r>
        <w:rPr>
          <w:rFonts w:ascii="Arial" w:cs="Arial" w:eastAsia="Arial" w:hAnsi="Arial"/>
          <w:sz w:val="18"/>
          <w:szCs w:val="18"/>
          <w:color w:val="auto"/>
        </w:rPr>
        <w:t>) with the NIMH. Under the CRADA, the NIMH is funding, and Dr. Zarate, as Principal Investigator, and his team are conducting, a 20-25 patient Phase 2 clinical study of AV-101 as a monotherapy in subjects with treatment-resistant MDD (</w:t>
      </w:r>
      <w:r>
        <w:rPr>
          <w:rFonts w:ascii="Arial" w:cs="Arial" w:eastAsia="Arial" w:hAnsi="Arial"/>
          <w:sz w:val="18"/>
          <w:szCs w:val="18"/>
          <w:i w:val="1"/>
          <w:iCs w:val="1"/>
          <w:color w:val="auto"/>
        </w:rPr>
        <w:t>NIMH</w:t>
      </w:r>
      <w:r>
        <w:rPr>
          <w:rFonts w:ascii="Arial" w:cs="Arial" w:eastAsia="Arial" w:hAnsi="Arial"/>
          <w:sz w:val="18"/>
          <w:szCs w:val="18"/>
          <w:color w:val="auto"/>
        </w:rPr>
        <w:t xml:space="preserve"> </w:t>
      </w:r>
      <w:r>
        <w:rPr>
          <w:rFonts w:ascii="Arial" w:cs="Arial" w:eastAsia="Arial" w:hAnsi="Arial"/>
          <w:sz w:val="18"/>
          <w:szCs w:val="18"/>
          <w:i w:val="1"/>
          <w:iCs w:val="1"/>
          <w:color w:val="auto"/>
        </w:rPr>
        <w:t>Study</w:t>
      </w:r>
      <w:r>
        <w:rPr>
          <w:rFonts w:ascii="Arial" w:cs="Arial" w:eastAsia="Arial" w:hAnsi="Arial"/>
          <w:sz w:val="18"/>
          <w:szCs w:val="18"/>
          <w:color w:val="auto"/>
        </w:rPr>
        <w:t>). We currently anticipate that the NIMH will complete the NIMH Study by the end of 2017.</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are preparing to launch our approximately 180-patient Phase 2 Study of AV-101 as an adjunctive treatment of MDD in patients with an inadequate response to standard, FDA-approved antidepressants. We currently anticipate the launch of the Phase 2 Study, with Dr. Maurizio Fava of Harvard Medical School serving as Principal Investigator, by the end of the second quarter of 2017. We currently anticipate top line results of the Phase 2 Study by the end of 2018.</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prior preclinical studies support the hypothesis that AV-101 may also have the potential to treat multiple CNS disorders and neurodegenerative diseases in addition to MDD, including chronic neuropathic pain, epilepsy, Parkinson’s disease and Huntington’s disease, where modulation of the NMDAR, AMPA pathway and/or key active metabolites of AV-101 may achieve therapeutic benefit. However, human clinical studies will be required before this therapeutic potential could be demonstrated. There is no guarantee that human clinical trials would be successful or that the FDA would approve the use of AV-101 for the treatment of one or more of these additional CNS indications.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CardioSafe 3D™; NCE Drug Rescue and Regenerative Medicine</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VistaStem Therapeutics is our wholly owned subsidiary focused on applying hPSC technology to discover, rescue, develop and commercialize proprietary small molecule NCEs for CNS and other diseases, as well as potential cellular therapies involving stem cell-derived blood, cartilage, heart and liver cells.</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is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cardiac bioassay system capable of predicting potential human heart toxicity of small molecule NCEs </w:t>
      </w:r>
      <w:r>
        <w:rPr>
          <w:rFonts w:ascii="Arial" w:cs="Arial" w:eastAsia="Arial" w:hAnsi="Arial"/>
          <w:sz w:val="16"/>
          <w:szCs w:val="16"/>
          <w:i w:val="1"/>
          <w:iCs w:val="1"/>
          <w:color w:val="auto"/>
        </w:rPr>
        <w:t>in vitro</w:t>
      </w:r>
      <w:r>
        <w:rPr>
          <w:rFonts w:ascii="Arial" w:cs="Arial" w:eastAsia="Arial" w:hAnsi="Arial"/>
          <w:sz w:val="16"/>
          <w:szCs w:val="16"/>
          <w:color w:val="auto"/>
        </w:rPr>
        <w:t>, long before they are ever tested in animal and human studies. Potential commercial applications of our stem cell technology platform involve (i) using</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internally for NCE drug discovery and (ii)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and cellular therapies. Drug rescue involves leveraging substantial prior research and development investments by pharmaceutical companies and others related to public domain NCE programs terminated before FDA approval due to heart toxicity risks. In December 2016, we exclusively sublicensed to BlueRock Therapeutics LP, a next generation RM company established by Bayer AG and Versant Ventures, rights to certain proprietary technologies relating to the production of cardiac stem cells for the treatment of heart disease. We may also pursue additional potential RM applications using blood, cartilage, and/or liver cells derived from hPSCs for (A) cell-based therapy (injection of stem cell-derived mature organ-specific cells obtained through directed differentiation), (B) cell repair therapy (induction of regeneration by biologically active molecules administered alone or produced by infused genetically engineered cells), or (C) tissue engineering (transplantation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grown complex tissues) using hPSC-derived blood, bone, cartilage, and/or liver cells. In a manner similar to the BlueRock Therapeutics Agreement, we may pursue these additional RM and cellular therapy applications in collaboration with third-parties.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Our business is subject to substantial risk. Please carefully consider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on page 5 of this prospectus for a discussion of the factors you should carefully consider before deciding to purchase the securities offered by this prospectus. These risks include, among others:</w:t>
      </w:r>
    </w:p>
    <w:p>
      <w:pPr>
        <w:spacing w:after="0" w:line="139" w:lineRule="exact"/>
        <w:rPr>
          <w:sz w:val="20"/>
          <w:szCs w:val="20"/>
          <w:color w:val="auto"/>
        </w:rPr>
      </w:pPr>
    </w:p>
    <w:p>
      <w:pPr>
        <w:ind w:left="980" w:hanging="486"/>
        <w:spacing w:after="0" w:line="268"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are a development stage biopharmaceutical company with no current revenues or approved products, and limited experience developing new drug, biological and/or regenerative medicine candidates, which makes it difficult to assess our future viability;</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depend heavily on the success of AV-101, and we cannot be certain that we will be able to obtain regulatory approval for, or successfully commercialize, AV-101, or any product candidate;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80" w:hanging="486"/>
        <w:spacing w:after="0" w:line="268"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failures or delays in the commencement or completion of our planned clinical trials could delay, prevent or limit our ability to generate revenue and continue our business;</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face significant competition, and if we are unable to compete effectively, we may not be able to achieve or maintain significant market penetration or improve our results of operations;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some of our programs have been partially supported by government grants, which may not be available to us in the future;</w:t>
      </w:r>
    </w:p>
    <w:p>
      <w:pPr>
        <w:spacing w:after="0" w:line="225" w:lineRule="exact"/>
        <w:rPr>
          <w:rFonts w:ascii="Arial" w:cs="Arial" w:eastAsia="Arial" w:hAnsi="Arial"/>
          <w:sz w:val="18"/>
          <w:szCs w:val="18"/>
          <w:color w:val="auto"/>
        </w:rPr>
      </w:pPr>
    </w:p>
    <w:p>
      <w:pPr>
        <w:jc w:val="both"/>
        <w:ind w:left="980" w:right="20" w:hanging="486"/>
        <w:spacing w:after="0" w:line="259"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 and</w:t>
      </w:r>
    </w:p>
    <w:p>
      <w:pPr>
        <w:spacing w:after="0" w:line="194" w:lineRule="exact"/>
        <w:rPr>
          <w:rFonts w:ascii="Arial" w:cs="Arial" w:eastAsia="Arial" w:hAnsi="Arial"/>
          <w:sz w:val="18"/>
          <w:szCs w:val="18"/>
          <w:color w:val="auto"/>
        </w:rPr>
      </w:pPr>
    </w:p>
    <w:p>
      <w:pPr>
        <w:ind w:left="980" w:hanging="486"/>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have incurred significant net losses since inception and we will continue to incur substantial operating losses for the foreseeable future.</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 risks and uncertainties not presently known to us or that we currently deem immaterial may also impair our business operations. You should be able to bear a complete loss of your investment.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VistaGen Therapeutics, Inc., a Nevada corporation, is the parent of VistaGen Therapeutics, Inc. (dba VistaStem Therapeutics, Inc.), a wholly-owned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6"/>
          <w:szCs w:val="16"/>
          <w:i w:val="1"/>
          <w:iCs w:val="1"/>
          <w:color w:val="auto"/>
        </w:rPr>
        <w:t>www.vistagen.com</w:t>
      </w:r>
      <w:r>
        <w:rPr>
          <w:rFonts w:ascii="Arial" w:cs="Arial" w:eastAsia="Arial" w:hAnsi="Arial"/>
          <w:sz w:val="16"/>
          <w:szCs w:val="16"/>
          <w:color w:val="auto"/>
        </w:rPr>
        <w:t>. The information contained on our website is not part of this prospectus. We have included our website address as a factual reference and do not intend it to be an active link to our website.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An investment in our securities involves a high degree of risk. You should consider the risks, uncertainties and assumptions described under Item 1A,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w:t>
      </w:r>
      <w:r>
        <w:rPr>
          <w:rFonts w:ascii="Arial" w:cs="Arial" w:eastAsia="Arial" w:hAnsi="Arial"/>
          <w:sz w:val="16"/>
          <w:szCs w:val="16"/>
          <w:color w:val="auto"/>
        </w:rPr>
        <w:t>,” in our Annual Report on Form 10-K for the fiscal year ended March 31, 2016, as well as subsequently filed Quarterly Reports on Form 10-Q, which</w:t>
      </w:r>
      <w:r>
        <w:rPr>
          <w:rFonts w:ascii="Arial" w:cs="Arial" w:eastAsia="Arial" w:hAnsi="Arial"/>
          <w:sz w:val="16"/>
          <w:szCs w:val="16"/>
          <w:i w:val="1"/>
          <w:iCs w:val="1"/>
          <w:color w:val="auto"/>
        </w:rPr>
        <w:t xml:space="preserve"> </w:t>
      </w:r>
      <w:r>
        <w:rPr>
          <w:rFonts w:ascii="Arial" w:cs="Arial" w:eastAsia="Arial" w:hAnsi="Arial"/>
          <w:sz w:val="16"/>
          <w:szCs w:val="16"/>
          <w:color w:val="auto"/>
        </w:rPr>
        <w:t>risk factors are incorporated herein by reference, and may be amended, supplemented or superseded from time to time by other reports we file with the SEC in the future and any prospectus supplement related to a particular offering. The risks and uncertainties we have described in our Annual Report on Form 10-K for the fiscal year ended March 31, 2016 and subsequent Quarterly Reports on Form 10-Q are not the only ones we face. Additional risks and uncertainties not presently known to us or that we currently deem immaterial may also affect our operations. The occurrence of any of these known or unknown risks might cause you to lose all or part of your investment in the offered securities.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NOTES REGARDING FORWARD-LOOKING STATEMENTS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All statements contained in this prospectus and/or any applicable prospectus supplement other than statements of historical facts,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94" w:lineRule="exact"/>
        <w:rPr>
          <w:sz w:val="20"/>
          <w:szCs w:val="20"/>
          <w:color w:val="auto"/>
        </w:rPr>
      </w:pPr>
    </w:p>
    <w:p>
      <w:pPr>
        <w:ind w:left="980" w:hanging="486"/>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capital to satisfy our working capital requirements;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225" w:lineRule="exact"/>
        <w:rPr>
          <w:rFonts w:ascii="Arial" w:cs="Arial" w:eastAsia="Arial" w:hAnsi="Arial"/>
          <w:sz w:val="18"/>
          <w:szCs w:val="18"/>
          <w:color w:val="auto"/>
        </w:rPr>
      </w:pPr>
    </w:p>
    <w:p>
      <w:pPr>
        <w:ind w:left="980" w:hanging="486"/>
        <w:spacing w:after="0" w:line="332"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plans to develop and commercialize our lead product candidate, AV-101, initially as an adjunctive treatment for MDD in patients with an inadequate response to standard, FDA-approved antidepressants, and subsequently as a treatment for additional CNS diseases and disorders;</w:t>
      </w:r>
    </w:p>
    <w:p>
      <w:pPr>
        <w:spacing w:after="0" w:line="139" w:lineRule="exact"/>
        <w:rPr>
          <w:rFonts w:ascii="Arial" w:cs="Arial" w:eastAsia="Arial" w:hAnsi="Arial"/>
          <w:sz w:val="16"/>
          <w:szCs w:val="16"/>
          <w:color w:val="auto"/>
        </w:rPr>
      </w:pPr>
    </w:p>
    <w:p>
      <w:pPr>
        <w:ind w:left="980" w:hanging="486"/>
        <w:spacing w:after="0" w:line="268"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initiate and complete our clinical trials and to advance our product candidates into additional clinical trials, including pivotal clinical trials, and successfully complete such clinical trials;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developments in the U.S. and foreign countries;</w:t>
      </w:r>
    </w:p>
    <w:p>
      <w:pPr>
        <w:spacing w:after="0" w:line="225" w:lineRule="exact"/>
        <w:rPr>
          <w:rFonts w:ascii="Arial" w:cs="Arial" w:eastAsia="Arial" w:hAnsi="Arial"/>
          <w:sz w:val="18"/>
          <w:szCs w:val="18"/>
          <w:color w:val="auto"/>
        </w:rPr>
      </w:pPr>
    </w:p>
    <w:p>
      <w:pPr>
        <w:jc w:val="both"/>
        <w:ind w:left="980" w:hanging="486"/>
        <w:spacing w:after="0" w:line="259"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performance of the U.S. National Institute of Mental Health, our third-party contractors involved with the manufacturer and production of our drug candidates for nonclinical and clinical development activities, contract research organizations and other third-party nonclinical and clinical development collaborators and regulatory service providers;</w:t>
      </w:r>
    </w:p>
    <w:p>
      <w:pPr>
        <w:spacing w:after="0" w:line="194" w:lineRule="exact"/>
        <w:rPr>
          <w:rFonts w:ascii="Arial" w:cs="Arial" w:eastAsia="Arial" w:hAnsi="Arial"/>
          <w:sz w:val="18"/>
          <w:szCs w:val="18"/>
          <w:color w:val="auto"/>
        </w:rPr>
      </w:pPr>
    </w:p>
    <w:p>
      <w:pPr>
        <w:ind w:left="980" w:hanging="486"/>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core assets;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success of competing products and product candidates in development by others that are or become available for the indications that we are pursuing;</w:t>
      </w:r>
    </w:p>
    <w:p>
      <w:pPr>
        <w:spacing w:after="0" w:line="185" w:lineRule="exact"/>
        <w:rPr>
          <w:rFonts w:ascii="Arial" w:cs="Arial" w:eastAsia="Arial" w:hAnsi="Arial"/>
          <w:sz w:val="18"/>
          <w:szCs w:val="18"/>
          <w:color w:val="auto"/>
        </w:rPr>
      </w:pPr>
    </w:p>
    <w:p>
      <w:pPr>
        <w:ind w:left="980" w:right="20" w:hanging="486"/>
        <w:spacing w:after="0" w:line="268"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loss of key scientific, clinical and nonclinical development, and/or management personnel, internally or from one of our third-party collaborators; and</w:t>
      </w:r>
    </w:p>
    <w:p>
      <w:pPr>
        <w:spacing w:after="0" w:line="185" w:lineRule="exact"/>
        <w:rPr>
          <w:rFonts w:ascii="Arial" w:cs="Arial" w:eastAsia="Arial" w:hAnsi="Arial"/>
          <w:sz w:val="18"/>
          <w:szCs w:val="18"/>
          <w:color w:val="auto"/>
        </w:rPr>
      </w:pPr>
    </w:p>
    <w:p>
      <w:pPr>
        <w:ind w:left="980" w:hanging="486"/>
        <w:spacing w:after="0" w:line="332"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other risks and uncertainties, including those described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10-K for the fiscal year ended March 31, 2016 and subsequent Quarterly Reports on Form 10-Q, which risk factors are incorporated herein by reference.</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as well as certain information incorporated by reference into this prospectus,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You should read this prospectus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ratio of earnings to fixed charges for recently completed fiscal years and any required interim periods will be specified in a prospectus supplement or in a document that we file with the SEC and incorporated by reference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Unless otherwise provided in the applicable prospectus supplement, we intend to use the net proceeds from the sale of the securities under this prospectus for general corporate purposes, including research and development, working capital and capital expenditures. We may use a portion of the net proceeds to fund production of, and nonclinical and clinical studies related to Phase 2 and Phase 3 development of, AV-101 and other drug candidates. We may also use the net proceeds from the sale of the securities under this prospectus to in-license, acquire or invest in complementary businesses, technologies, products or assets. However, we have no current commitments or obligations to do so. We may set forth additional information on the use of proceeds from the sale or the securities we offer under this prospectus in a prospectus supplement relating to the specific offering. We cannot currently allocate specific percentages of the net proceeds that we may use for the purposes specified above. As a result, our management will have broad discretion in the allocation of the net proceeds. Pending the application of the net proceeds, we intend to invest the net proceeds in short- and intermediate-term, interest-bearing obligations, investment-grade instruments, certificates of deposit or direct or guaranteed obligations of the U.S.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authorized capital stock consists of 30.0 million shares of common stock, $0.001 par value per share, and 10.0 million shares of preferred stock, $0.001 par value per share. The following is a description of our common stock and certain provisions of our Restated Articles of Incorporation (</w:t>
      </w:r>
      <w:r>
        <w:rPr>
          <w:rFonts w:ascii="Arial" w:cs="Arial" w:eastAsia="Arial" w:hAnsi="Arial"/>
          <w:sz w:val="18"/>
          <w:szCs w:val="18"/>
          <w:i w:val="1"/>
          <w:iCs w:val="1"/>
          <w:color w:val="auto"/>
        </w:rPr>
        <w:t>Articles</w:t>
      </w:r>
      <w:r>
        <w:rPr>
          <w:rFonts w:ascii="Arial" w:cs="Arial" w:eastAsia="Arial" w:hAnsi="Arial"/>
          <w:sz w:val="18"/>
          <w:szCs w:val="18"/>
          <w:color w:val="auto"/>
        </w:rPr>
        <w:t>), and our amended and restated bylaws (</w:t>
      </w:r>
      <w:r>
        <w:rPr>
          <w:rFonts w:ascii="Arial" w:cs="Arial" w:eastAsia="Arial" w:hAnsi="Arial"/>
          <w:sz w:val="18"/>
          <w:szCs w:val="18"/>
          <w:i w:val="1"/>
          <w:iCs w:val="1"/>
          <w:color w:val="auto"/>
        </w:rPr>
        <w:t>Bylaws</w:t>
      </w:r>
      <w:r>
        <w:rPr>
          <w:rFonts w:ascii="Arial" w:cs="Arial" w:eastAsia="Arial" w:hAnsi="Arial"/>
          <w:sz w:val="18"/>
          <w:szCs w:val="18"/>
          <w:color w:val="auto"/>
        </w:rPr>
        <w:t>), and certain provisions of Nevada law.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2017, there were issued and outstanding, or reserved for issuance:</w:t>
      </w:r>
    </w:p>
    <w:p>
      <w:pPr>
        <w:spacing w:after="0" w:line="225" w:lineRule="exact"/>
        <w:rPr>
          <w:sz w:val="20"/>
          <w:szCs w:val="20"/>
          <w:color w:val="auto"/>
        </w:rPr>
      </w:pPr>
    </w:p>
    <w:p>
      <w:pPr>
        <w:ind w:left="980" w:hanging="486"/>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8,781,471 shares of common stock held by approximately 700 stockholders of record;</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750,000 shares of common stock reserved for issuance upon conversion of 500,000 shares our Series A Preferred held by one institutional investor and one accredited individual investor;</w:t>
      </w:r>
    </w:p>
    <w:p>
      <w:pPr>
        <w:spacing w:after="0" w:line="185" w:lineRule="exact"/>
        <w:rPr>
          <w:rFonts w:ascii="Arial" w:cs="Arial" w:eastAsia="Arial" w:hAnsi="Arial"/>
          <w:sz w:val="18"/>
          <w:szCs w:val="18"/>
          <w:color w:val="auto"/>
        </w:rPr>
      </w:pPr>
    </w:p>
    <w:p>
      <w:pPr>
        <w:ind w:left="980" w:right="20" w:hanging="486"/>
        <w:spacing w:after="0" w:line="268"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1,160,240 shares of common stock reserved for issuance upon conversion of 1,160,240 shares of our Series B Preferred held by two institutional investors;</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2,318,012 shares of common stock reserved for issuance upon conversion of 2,318,012 shares of our Series C Preferred held by one institutional investor;</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4,549,006 shares of common stock that have been reserved for issuance upon exercise of outstanding warrants, with a weighted average exercise price of $6.31 per share;</w:t>
      </w:r>
    </w:p>
    <w:p>
      <w:pPr>
        <w:spacing w:after="0" w:line="185" w:lineRule="exact"/>
        <w:rPr>
          <w:rFonts w:ascii="Arial" w:cs="Arial" w:eastAsia="Arial" w:hAnsi="Arial"/>
          <w:sz w:val="18"/>
          <w:szCs w:val="18"/>
          <w:color w:val="auto"/>
        </w:rPr>
      </w:pPr>
    </w:p>
    <w:p>
      <w:pPr>
        <w:ind w:left="980" w:hanging="486"/>
        <w:spacing w:after="0" w:line="332" w:lineRule="auto"/>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1,659,324 shares of common stock reserved for issuance upon exercise of outstanding stock options under our 1999 Stock Incentive Plan and our Amended and Restated 2016 Stock Incentive Plan, with a weighted average exercise price of $4.76 per share; and</w:t>
      </w:r>
    </w:p>
    <w:p>
      <w:pPr>
        <w:spacing w:after="0" w:line="139" w:lineRule="exact"/>
        <w:rPr>
          <w:rFonts w:ascii="Arial" w:cs="Arial" w:eastAsia="Arial" w:hAnsi="Arial"/>
          <w:sz w:val="16"/>
          <w:szCs w:val="16"/>
          <w:color w:val="auto"/>
        </w:rPr>
      </w:pPr>
    </w:p>
    <w:p>
      <w:pPr>
        <w:ind w:left="980" w:hanging="486"/>
        <w:spacing w:after="0" w:line="268"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1,134,911 shares of common stock reserved for future issuance in connection with future grants under our Amended and Restated 2016 Stock Incentive Plan.</w:t>
      </w:r>
    </w:p>
    <w:p>
      <w:pPr>
        <w:spacing w:after="0" w:line="18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We may elect or be required to amend our Articles to increase the number of shares of common stock authorized for issuance prior to completing sales of shares of our common stock, or securities convertible and/or exchangeable into shares of our common stock described in this prospectus.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i w:val="1"/>
          <w:iCs w:val="1"/>
          <w:color w:val="auto"/>
        </w:rPr>
        <w:t>This section describes the general terms of our common stock that we may offer from time to time. For more detailed information, a holder of our common stock should refer to our Articles and our Bylaws, copies of which are filed with the SEC as exhibits to the registration statement of which this prospectus is a part.</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holders of outstanding shares of our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Preemptive or Similar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not subject to conversion, redemption, sinking fund or similar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Agent and Registrar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Computershare Trust Company, N.A., Jersey City, New Jersey.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This section describes the general terms and provisions of our outstanding shares of preferred stock, as well as preferred stock that we may offer from time to time. The applicable prospectus supplement will describe the specific terms of the shares of preferred stock offered through that prospectus supplement, which may differ from the terms we describe below. We will file a copy of the certificate of designation that contains the terms of each new series of preferred stock with the SEC each time we issue a new series of preferred stock, and these certificates of designation will be incorporated by reference into the registration statement of which this prospectus is a part. Each certificate of designation will establish the number of shares included in a designated series and fix the designation, powers, privileges, preferences and rights of the shares of each series as well as any applicable qualifications, limitations or restrictions. A holder of our preferred stock should refer to the applicable certificate of designation, our Articles and the applicable prospectus supplement (and any related free writing prospectus that we may authorize to be provided to you) for more specific information.</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authorized, subject to limitations prescribed by Nevada law, to issue up to 10.0 million shares of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our common stock and the voting and other rights of the holders of our common stock.</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Series of Preferred Stock</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Currently, there are three series of our preferred stock outstanding- Series A Convertible Preferred Stock, Series B 10% Convertible Preferred Stock, and Series C Convertible Preferred Stock. The rights and preferences associated with each series are summarized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December 2011, our board of directors authorized the creation of a series of up to 500,000 shares of Series A Preferred. The Certificate of Designation of the Relative Rights and Preferences of the Series A Convertible Preferred Stock was filed with the Nevada Secretary of State effective December 20, 2011.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and Rank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2017, there were 500,000 shares of Series A Preferred outstanding, which shares are currently subject to beneficial ownership blockers and are exchangeable at the option of the holders into an aggregate of 750,000 shares of our common stock. The Series A Preferred ranks prior to our common stock for purposes of liquidation preference.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Restriction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At no time may a holder of shares of Series A Preferred convert shares of the Series A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limitation may be waived upon sixty-one (61) days’ notice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Series A Preferred has no separate dividend rights. However, whenever the board of directors declares a dividend on the common stock, each holder of record of a share of Series A Preferred, or any fraction of a share of Series A Preferred, on the date set by the board of directors to determine the owners of the common stock of record entitled to receive such dividend (</w:t>
      </w:r>
      <w:r>
        <w:rPr>
          <w:rFonts w:ascii="Arial" w:cs="Arial" w:eastAsia="Arial" w:hAnsi="Arial"/>
          <w:sz w:val="16"/>
          <w:szCs w:val="16"/>
          <w:i w:val="1"/>
          <w:iCs w:val="1"/>
          <w:color w:val="auto"/>
        </w:rPr>
        <w:t>Record Date</w:t>
      </w:r>
      <w:r>
        <w:rPr>
          <w:rFonts w:ascii="Arial" w:cs="Arial" w:eastAsia="Arial" w:hAnsi="Arial"/>
          <w:sz w:val="16"/>
          <w:szCs w:val="16"/>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A Preferred could be exchanged on the Record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Series A Preferred has no voting rights, except with respect to transactions upon which the Series A Preferred shall be entitled to vote separately as a class, The common stock into which the Series A Preferred is exchangeable shall, upon issuance, have all of the same voting rights as other issued and outstanding shares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of the liquidation, dissolution or winding up of our affairs, after payment or provision for payment of our debts and other liabilities, the holders of Series A Preferred then outstanding shall be entitled to receive,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exchanged before any payment shall be made or any assets distributed to the holders of the common stock or any other junior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2015, our board of directors authorized the creation of a series of up to 4.0 million shares of Series B 10% Convertible Preferred Stock (</w:t>
      </w:r>
      <w:r>
        <w:rPr>
          <w:rFonts w:ascii="Arial" w:cs="Arial" w:eastAsia="Arial" w:hAnsi="Arial"/>
          <w:sz w:val="18"/>
          <w:szCs w:val="18"/>
          <w:i w:val="1"/>
          <w:iCs w:val="1"/>
          <w:color w:val="auto"/>
        </w:rPr>
        <w:t>Series B</w:t>
      </w:r>
      <w:r>
        <w:rPr>
          <w:rFonts w:ascii="Arial" w:cs="Arial" w:eastAsia="Arial" w:hAnsi="Arial"/>
          <w:sz w:val="18"/>
          <w:szCs w:val="18"/>
          <w:color w:val="auto"/>
        </w:rPr>
        <w:t xml:space="preserve"> </w:t>
      </w:r>
      <w:r>
        <w:rPr>
          <w:rFonts w:ascii="Arial" w:cs="Arial" w:eastAsia="Arial" w:hAnsi="Arial"/>
          <w:sz w:val="18"/>
          <w:szCs w:val="18"/>
          <w:i w:val="1"/>
          <w:iCs w:val="1"/>
          <w:color w:val="auto"/>
        </w:rPr>
        <w:t>Preferred</w:t>
      </w:r>
      <w:r>
        <w:rPr>
          <w:rFonts w:ascii="Arial" w:cs="Arial" w:eastAsia="Arial" w:hAnsi="Arial"/>
          <w:sz w:val="18"/>
          <w:szCs w:val="18"/>
          <w:color w:val="auto"/>
        </w:rPr>
        <w:t>). The Certificate of Designation of the Relative Rights and Preferences of the Series B 10% Convertible Preferred Stock was filed with the Nevada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Secretary of State on May 7, 2015 (the </w:t>
      </w:r>
      <w:r>
        <w:rPr>
          <w:rFonts w:ascii="Arial" w:cs="Arial" w:eastAsia="Arial" w:hAnsi="Arial"/>
          <w:sz w:val="18"/>
          <w:szCs w:val="18"/>
          <w:i w:val="1"/>
          <w:iCs w:val="1"/>
          <w:color w:val="auto"/>
        </w:rPr>
        <w:t>Series B Certificate of Designation</w:t>
      </w:r>
      <w:r>
        <w:rPr>
          <w:rFonts w:ascii="Arial" w:cs="Arial" w:eastAsia="Arial" w:hAnsi="Arial"/>
          <w:sz w:val="18"/>
          <w:szCs w:val="18"/>
          <w:color w:val="auto"/>
        </w:rPr>
        <w:t>).</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5" w:name="page66"/>
    <w:bookmarkEnd w:id="6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Each share of Series B Preferred is convertible, at the option of the holder (</w:t>
      </w:r>
      <w:r>
        <w:rPr>
          <w:rFonts w:ascii="Arial" w:cs="Arial" w:eastAsia="Arial" w:hAnsi="Arial"/>
          <w:sz w:val="16"/>
          <w:szCs w:val="16"/>
          <w:i w:val="1"/>
          <w:iCs w:val="1"/>
          <w:color w:val="auto"/>
        </w:rPr>
        <w:t>Voluntary Conversion</w:t>
      </w:r>
      <w:r>
        <w:rPr>
          <w:rFonts w:ascii="Arial" w:cs="Arial" w:eastAsia="Arial" w:hAnsi="Arial"/>
          <w:sz w:val="16"/>
          <w:szCs w:val="16"/>
          <w:color w:val="auto"/>
        </w:rPr>
        <w:t>), into one (1) share of the Company’s common stock. All outstanding shares of Series B Preferred are also automatically convertible into common stock (</w:t>
      </w:r>
      <w:r>
        <w:rPr>
          <w:rFonts w:ascii="Arial" w:cs="Arial" w:eastAsia="Arial" w:hAnsi="Arial"/>
          <w:sz w:val="16"/>
          <w:szCs w:val="16"/>
          <w:i w:val="1"/>
          <w:iCs w:val="1"/>
          <w:color w:val="auto"/>
        </w:rPr>
        <w:t>Automatic Conversion</w:t>
      </w:r>
      <w:r>
        <w:rPr>
          <w:rFonts w:ascii="Arial" w:cs="Arial" w:eastAsia="Arial" w:hAnsi="Arial"/>
          <w:sz w:val="16"/>
          <w:szCs w:val="16"/>
          <w:color w:val="auto"/>
        </w:rPr>
        <w:t>) upon the closing or effective date of any of the following transactions or events: (i) a strategic transaction involving AV-101 with an initial up front cash payment to the Company of at least $10.0 million;</w:t>
      </w:r>
    </w:p>
    <w:p>
      <w:pPr>
        <w:spacing w:after="0" w:line="1" w:lineRule="exact"/>
        <w:rPr>
          <w:sz w:val="20"/>
          <w:szCs w:val="20"/>
          <w:color w:val="auto"/>
        </w:rPr>
      </w:pPr>
    </w:p>
    <w:p>
      <w:pPr>
        <w:jc w:val="both"/>
        <w:ind w:firstLine="8"/>
        <w:spacing w:after="0" w:line="302" w:lineRule="auto"/>
        <w:tabs>
          <w:tab w:leader="none" w:pos="261"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registered public offering of Common Stock with aggregate gross proceeds to the Company of at least $10.0 million; or (iii) for 20 consecutive trading days the Company’s Common Stock trades at least 20,000 shares per day with a daily closing price of at least $12.00 per share; provided, however, that Automatic Conversion and Voluntary Conversion are subject to certain beneficial ownership blockers set forth in Section 6 of the Certificate of Designation.</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the completion of our $10.9 million underwritten public offering of our common stock in May 2016, which public offering occurred concurrently with and facilitated our listing on the Nasdaq Capital Market, approximately 2.4 million shares of Series B Preferred were converted automatically into approximately 2.4 million shares of our common stock pursuant to the Automatic Conversion provision. At March 31, 2017, there were 1,160,240 shares of Series B Preferred outstanding, which shares are currently subject to beneficial ownership blockers and are exchangeable at the option of the respective holders by Voluntary Conversion, or pursuant to Automatic Conversion to the extent not otherwise subject to beneficial ownership blockers, into an aggregate of 1,160,240 shares of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Restriction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At no time may a holder of shares of Series B Preferred convert shares of the Series B Preferred, either by Voluntary Conversion or Automatic Conversion,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limitation may be waived upon sixty-one (61) days’ notice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Series B Preferred ranks prior to our common stock, and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A Preferred for purposes of liquidation preference.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Prior to either a Voluntary Conversion or Automatic Conversion, shares of Series B Preferred will accrue dividends, payable only in unregistered common stock, at a rate of 10% per annum (the </w:t>
      </w:r>
      <w:r>
        <w:rPr>
          <w:rFonts w:ascii="Arial" w:cs="Arial" w:eastAsia="Arial" w:hAnsi="Arial"/>
          <w:sz w:val="18"/>
          <w:szCs w:val="18"/>
          <w:i w:val="1"/>
          <w:iCs w:val="1"/>
          <w:color w:val="auto"/>
        </w:rPr>
        <w:t>Accrued Dividend</w:t>
      </w:r>
      <w:r>
        <w:rPr>
          <w:rFonts w:ascii="Arial" w:cs="Arial" w:eastAsia="Arial" w:hAnsi="Arial"/>
          <w:sz w:val="18"/>
          <w:szCs w:val="18"/>
          <w:color w:val="auto"/>
        </w:rPr>
        <w:t>). The Accrued Dividend will be payable on the date of either a Voluntary Conversion or Automatic Conversion solely in that number of shares of Common Stock equal to the Accrued Dividend.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Series B Preferred has no voting rights, except with respect to transactions upon which the Series B Preferred shall be entitled to vote separately as a class. The common stock into which the Series B Preferred shall be exchangeable shall, upon issuance, have all of the same voting rights as other issued and outstanding shares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Upon any liquidation, dissolution, or winding-up of the Company, whether voluntary or involuntary, the holders of Series B Preferred are entitled to receive out of the Company’s assets, whether capital or surplus, an amount equal to the stated value of the Series B Preferred ($7.00 per share), plus any accrued and unpaid dividends thereon, before any distribution or payment shall be made to the holders of any junior securities, including holders of our common stock. If the assets of the Company are insufficient to pay, in full, such amounts, then the entire assets to be distributed to the holders of the Series B Preferred shall be ratably distributed among the holders in accordance with the respective amounts that would be payable on such shares if all amounts payable thereon were paid in full.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C Preferred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2016, our board of directors authorized the creation of a series of up to 3.0 million shares of Series C Convertible Preferred Stock (</w:t>
      </w:r>
      <w:r>
        <w:rPr>
          <w:rFonts w:ascii="Arial" w:cs="Arial" w:eastAsia="Arial" w:hAnsi="Arial"/>
          <w:sz w:val="18"/>
          <w:szCs w:val="18"/>
          <w:i w:val="1"/>
          <w:iCs w:val="1"/>
          <w:color w:val="auto"/>
        </w:rPr>
        <w:t>Series C Preferred</w:t>
      </w:r>
      <w:r>
        <w:rPr>
          <w:rFonts w:ascii="Arial" w:cs="Arial" w:eastAsia="Arial" w:hAnsi="Arial"/>
          <w:sz w:val="18"/>
          <w:szCs w:val="18"/>
          <w:color w:val="auto"/>
        </w:rPr>
        <w:t xml:space="preserve">). The Certificate of Designation of the Relative Rights and Preferences of the Series C Convertible Preferred Stock was filed with the Nevada Secretary of State, effective January 25, 2016 (the </w:t>
      </w:r>
      <w:r>
        <w:rPr>
          <w:rFonts w:ascii="Arial" w:cs="Arial" w:eastAsia="Arial" w:hAnsi="Arial"/>
          <w:sz w:val="18"/>
          <w:szCs w:val="18"/>
          <w:i w:val="1"/>
          <w:iCs w:val="1"/>
          <w:color w:val="auto"/>
        </w:rPr>
        <w:t>Series C Certificate of Designation</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and Rank</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At March 31, 2017, there were 2,318,012 shares of Series C Preferred outstanding, which shares of Series C Preferred are currently subject to beneficial ownership blockers and are exchangeable at the option of the holder into 2,318,012 shares of our common stock. The Series C Preferred ranks prior to our common stock for purposes of liquidation preference,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and Series B Preferred.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Restriction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At no time may a holder of shares of Series C Preferred convert shares of the Series C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limitation may be waived upon sixty-one (61) days’ notice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Series C Preferred has no separate dividend rights. However, whenever the board of directors declares a dividend on the common stock, each holder of record of a share of Series C Preferred, or any fraction of a share of Series C Preferred, on the date set by the board of directors to determine the owners of the common stock of record entitled to receive such dividend (</w:t>
      </w:r>
      <w:r>
        <w:rPr>
          <w:rFonts w:ascii="Arial" w:cs="Arial" w:eastAsia="Arial" w:hAnsi="Arial"/>
          <w:sz w:val="16"/>
          <w:szCs w:val="16"/>
          <w:i w:val="1"/>
          <w:iCs w:val="1"/>
          <w:color w:val="auto"/>
        </w:rPr>
        <w:t>Record Date</w:t>
      </w:r>
      <w:r>
        <w:rPr>
          <w:rFonts w:ascii="Arial" w:cs="Arial" w:eastAsia="Arial" w:hAnsi="Arial"/>
          <w:sz w:val="16"/>
          <w:szCs w:val="16"/>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C Preferred could be exchanged on the Record Date.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Series C Preferred has no voting rights, except with respect to transactions upon which the Series C Preferred shall be entitled to vote separately as a class. The common stock into which the Series C Preferred is exchangeable shall, upon issuance, have all of the same voting rights as other issued and outstanding shares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of the liquidation, dissolution or winding up of our affairs, after payment or provision for payment of our debts and other liabilities, the holders of Series C Preferred then outstanding shall be entitled to receive, out of our assets, if any, an amount per share of Series C Preferred calculated by taking the total amount available for distribution to holders of all of our outstanding common stock before deduction of any preference payments for the Series C Preferred, divided by the total of (x), all of the then outstanding shares of our common stock, plus (y) all of the shares of our common stock into which all of the outstanding shares of the Series C Preferred can be exchanged before any payment shall be made or any assets distributed to the holders of the common stock or any other junior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of Preferred Stock Issuable Pursuant to this Prospectus</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will incorporate by reference as an exhibit to the registration statement, which includes this prospectus, the form of any certificate of designation that describes the terms of the series of preferred stock we are offering. This description and the applicable prospectus supplement will include:</w:t>
      </w:r>
    </w:p>
    <w:p>
      <w:pPr>
        <w:spacing w:after="0" w:line="139" w:lineRule="exact"/>
        <w:rPr>
          <w:sz w:val="20"/>
          <w:szCs w:val="20"/>
          <w:color w:val="auto"/>
        </w:rPr>
      </w:pPr>
    </w:p>
    <w:p>
      <w:pPr>
        <w:ind w:left="980" w:hanging="486"/>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shares authorized;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dividend rate, period and payment date, and method of calculation for dividends;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such redemption and repurchase rights;</w:t>
      </w:r>
    </w:p>
    <w:p>
      <w:pPr>
        <w:spacing w:after="0" w:line="248" w:lineRule="exact"/>
        <w:rPr>
          <w:rFonts w:ascii="Arial" w:cs="Arial" w:eastAsia="Arial" w:hAnsi="Arial"/>
          <w:sz w:val="16"/>
          <w:szCs w:val="16"/>
          <w:color w:val="auto"/>
        </w:rPr>
      </w:pPr>
    </w:p>
    <w:p>
      <w:pPr>
        <w:ind w:left="980" w:hanging="486"/>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the conversion period;</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preemptive rights, if any;</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discussion of any material United States federal income tax considerations applicable to the preferred stock;</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relative ranking and preferences of the preferred stock as to dividend rights and rights if we liquidate, dissolve or wind up our affairs;</w:t>
      </w:r>
    </w:p>
    <w:p>
      <w:pPr>
        <w:spacing w:after="0" w:line="248" w:lineRule="exact"/>
        <w:rPr>
          <w:rFonts w:ascii="Arial" w:cs="Arial" w:eastAsia="Arial" w:hAnsi="Arial"/>
          <w:sz w:val="16"/>
          <w:szCs w:val="16"/>
          <w:color w:val="auto"/>
        </w:rPr>
      </w:pPr>
    </w:p>
    <w:p>
      <w:pPr>
        <w:ind w:left="980" w:hanging="486"/>
        <w:spacing w:after="0" w:line="268"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preferred stock.</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When we issue shares of preferred stock under this prospectus, the shares will fully be paid and nonassessable and will not have, or be subject to, any preemptive or similar rights.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8" w:name="page69"/>
    <w:bookmarkEnd w:id="6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WARRANTS</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The following description, together with the additional information we include in any applicable prospectus supplements or free writing prospectus, summarizes the material terms and provisions of the warrants that we may offer under this prospectus, which may consist of warrants to purchase common stock and/or preferred stock in one or more series. Warrants may be offered independently or together with common stock and/or preferred stock offered by any prospectus supplement or free writing prospectus, and may be attached to or separate from those securities. While the terms we have summarized below will generally apply to any future warrants we may offer under this prospectus, we will describe the particular terms of any warrants that we may offer in more detail in the applicable prospectus supplement or free writing prospectus. The terms of any warrants we offer under a prospectus supplement or free writing prospectus may differ from the terms we describe below.</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event that we issue warrants, we will issue the warrants under a warrant agreement which we will enter into with a warrant agent to be selected by us. Forms of these warrant agreements and forms of the warrant certificates representing the warrants, and the complete warrant agreements and forms of warrant certificates containing the terms of the warrants being offered, will be filed as exhibits to the registration statement of which this prospectus is a part or will be incorporated by reference from reports that we file with the SEC. We use the term “warrant agreement” to refer to any of these warrant agreements. We use the term “warrant agent” to refer to the warrant agent under any of these warrant agreements. The warrant agent will act solely as an agent of ours in connection with the warrants and will not act as an agent for the holders or beneficial owners of the warrants.</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following summaries of material provisions of the warrants and the warrant agreements are subject to, and qualified in their entirety by reference to, all the provisions of the warrant agreement applicable to a particular series of warrants. We urge you to read the applicable prospectus supplements or free writing prospectus related to the warrants that we sell under this prospectus, as well as the complete warrant agreements that contain the terms of the warrants.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We will describe in the applicable prospectus supplement or free writing prospectus the terms relating to a series of warrants. If warrants for the purchase of common stock or preferred stock are offered, the prospectus supplement or free writing prospectus will describe the following terms, to the extent applicable:</w:t>
      </w:r>
    </w:p>
    <w:p>
      <w:pPr>
        <w:spacing w:after="0" w:line="139" w:lineRule="exact"/>
        <w:rPr>
          <w:sz w:val="20"/>
          <w:szCs w:val="20"/>
          <w:color w:val="auto"/>
        </w:rPr>
      </w:pPr>
    </w:p>
    <w:p>
      <w:pPr>
        <w:ind w:left="980" w:hanging="486"/>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offering price and the aggregate number of warrants offered;</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total number of shares that can be purchased if a holder of the warrants exercises them and, in the case of warrants for preferred stock, the designation, total number and terms of the series of preferred stock that can be purchased upon exercise;</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designation and terms of any series of preferred stock with which the warrants are being offered and the number of warrants being offered with each share of common stock or preferred stock;</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date on and after which the holder of the warrants can transfer them separately from the related common stock or series of preferred stock;</w:t>
      </w:r>
    </w:p>
    <w:p>
      <w:pPr>
        <w:spacing w:after="0" w:line="248" w:lineRule="exact"/>
        <w:rPr>
          <w:rFonts w:ascii="Arial" w:cs="Arial" w:eastAsia="Arial" w:hAnsi="Arial"/>
          <w:sz w:val="16"/>
          <w:szCs w:val="16"/>
          <w:color w:val="auto"/>
        </w:rPr>
      </w:pPr>
    </w:p>
    <w:p>
      <w:pPr>
        <w:jc w:val="both"/>
        <w:ind w:left="980" w:right="20" w:hanging="486"/>
        <w:spacing w:after="0" w:line="259"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that can be purchased if a holder exercises the warrant and the price at which such common stock or preferred stock may be purchased upon exercise, including, if applicable, any provisions for changes to or adjustments in the exercise price and in the securities or other property receivable upon exercise;</w:t>
      </w:r>
    </w:p>
    <w:p>
      <w:pPr>
        <w:spacing w:after="0" w:line="194" w:lineRule="exact"/>
        <w:rPr>
          <w:rFonts w:ascii="Arial" w:cs="Arial" w:eastAsia="Arial" w:hAnsi="Arial"/>
          <w:sz w:val="18"/>
          <w:szCs w:val="18"/>
          <w:color w:val="auto"/>
        </w:rPr>
      </w:pPr>
    </w:p>
    <w:p>
      <w:pPr>
        <w:ind w:left="980" w:hanging="486"/>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terms of any rights to redeem or call, or accelerate the expiration of, the warrants;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begins and the date on which that right expires;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federal income tax consequences of holding or exercising the warrants;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holder of a warrant is entitled to purchase the number of shares of common stock or preferred stock, as the case may be, at the exercise price described in the applicable prospectus supplement or free writing prospectus. After the close of business on the day when the right to exercise terminates (or a later date if we extend the time for exercise), unexercised warrants will become void.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 holder of warrants may exercise them by following the general procedure outlined below:</w:t>
      </w:r>
    </w:p>
    <w:p>
      <w:pPr>
        <w:spacing w:after="0" w:line="225" w:lineRule="exact"/>
        <w:rPr>
          <w:sz w:val="20"/>
          <w:szCs w:val="20"/>
          <w:color w:val="auto"/>
        </w:rPr>
      </w:pPr>
    </w:p>
    <w:p>
      <w:pPr>
        <w:ind w:left="980" w:right="20" w:hanging="486"/>
        <w:spacing w:after="0" w:line="268"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delivering to the warrant agent the payment required by the applicable prospectus supplement or free writing prospectus to purchase the underlying security;</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properly completing and signing the reverse side of the warrant certificate representing the warrants; and</w:t>
      </w:r>
    </w:p>
    <w:p>
      <w:pPr>
        <w:spacing w:after="0" w:line="225" w:lineRule="exact"/>
        <w:rPr>
          <w:rFonts w:ascii="Arial" w:cs="Arial" w:eastAsia="Arial" w:hAnsi="Arial"/>
          <w:sz w:val="18"/>
          <w:szCs w:val="18"/>
          <w:color w:val="auto"/>
        </w:rPr>
      </w:pPr>
    </w:p>
    <w:p>
      <w:pPr>
        <w:ind w:left="980" w:right="20" w:hanging="486"/>
        <w:spacing w:after="0" w:line="268"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delivering the warrant certificate representing the warrants to the warrant agent within five business days of the warrant agent receiving payment of the exercise price.</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you comply with the procedures described above, your warrants will be considered to have been exercised when the warrant agent receives payment of the exercise price, subject to the transfer books for the securities issuable upon exercise of the warrant not being closed on such date. After you have completed those procedures and subject to the foregoing, we will, as soon as practicable, issue and deliver to you the common stock or preferred stock that you purchased upon exercise. If you exercise fewer than all of the warrants represented by a warrant certificate, a new warrant certificate will be issued to you for the unexercised amount of warrants. Holders of warrants will be required to pay any tax or governmental charge that may be imposed in connection with transferring the underlying securities in connection with the exercise of the warrants.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Supplements to the Warrant Agreements</w:t>
      </w:r>
    </w:p>
    <w:p>
      <w:pPr>
        <w:spacing w:after="0" w:line="231"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We may amend or supplement a warrant agreement without the consent of the holders of the applicable warrants to cure ambiguities in the warrant agreement, to cure or correct a defective provision in the warrant agreement, or to provide for other matters under the warrant agreement that we and the warrant agent deem necessary or desirable, so long as, in each case, such amendments or supplements do not materially adversely affect the interests of the holders of the warrants.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Adjustments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Unless the applicable prospectus supplement or free writing prospectus states otherwise, the exercise price of, and the number of securities covered by, a common stock warrant or preferred stock warrant will be adjusted proportionately if we subdivide or combine our common stock or preferred stock, as applicable. In addition, unless the prospectus supplement or free writing prospectus states otherwise, if we, without receiving payment:</w:t>
      </w:r>
    </w:p>
    <w:p>
      <w:pPr>
        <w:spacing w:after="0" w:line="161" w:lineRule="exact"/>
        <w:rPr>
          <w:sz w:val="20"/>
          <w:szCs w:val="20"/>
          <w:color w:val="auto"/>
        </w:rPr>
      </w:pPr>
    </w:p>
    <w:p>
      <w:pPr>
        <w:ind w:left="980" w:right="20" w:hanging="486"/>
        <w:spacing w:after="0" w:line="332"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issue capital stock or other securities convertible into or exchangeable for common stock or preferred stock, or any rights to subscribe for, purchase or otherwise acquire any of the foregoing, as a dividend or distribution to holders of our common stock or preferred stock;</w:t>
      </w:r>
    </w:p>
    <w:p>
      <w:pPr>
        <w:spacing w:after="0" w:line="139" w:lineRule="exact"/>
        <w:rPr>
          <w:rFonts w:ascii="Arial" w:cs="Arial" w:eastAsia="Arial" w:hAnsi="Arial"/>
          <w:sz w:val="16"/>
          <w:szCs w:val="16"/>
          <w:color w:val="auto"/>
        </w:rPr>
      </w:pPr>
    </w:p>
    <w:p>
      <w:pPr>
        <w:ind w:left="980" w:hanging="486"/>
        <w:spacing w:after="0" w:line="268"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 any cash to holders of our common stock or preferred stock other than a cash dividend paid out of our current or retained earnings or other than in accordance with the terms of the preferred stock;</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issue any evidence of our indebtedness or rights to subscribe for or purchase our indebtedness to holders of our common stock or preferred stock; or</w:t>
      </w:r>
    </w:p>
    <w:p>
      <w:pPr>
        <w:spacing w:after="0" w:line="259" w:lineRule="exact"/>
        <w:rPr>
          <w:rFonts w:ascii="Arial" w:cs="Arial" w:eastAsia="Arial" w:hAnsi="Arial"/>
          <w:sz w:val="15"/>
          <w:szCs w:val="15"/>
          <w:color w:val="auto"/>
        </w:rPr>
      </w:pPr>
    </w:p>
    <w:p>
      <w:pPr>
        <w:ind w:left="980" w:hanging="486"/>
        <w:spacing w:after="0" w:line="268"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issue common stock or preferred stock or additional stock or other securities or property to holders of our common stock or preferred stock by way of spinoff, split-up, reclassification, combination of shares or similar corporate rearrangement,</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then the holders of common stock warrants and preferred stock warrants, as applicable, will be entitled to receive upon exercise of the warrants, in addition to the securities otherwise receivable upon exercise of the warrants and without paying any additional consideration, the amount of stock and other securities and property such holders would have been entitled to receive had they held the common stock or preferred stock, as applicable, issuable under the warrants on the dates on which holders of those securities received or became entitled to receive such additional stock and other securities and property.</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Except as stated above or as otherwise set forth in the applicable prospectus supplement or free writing prospectus, the exercise price and number of securities covered by a common stock warrant and preferred stock warrant, and the amounts of other securities or property to be received, if any, upon exercise of those warrants, will not be adjusted or provided for if we issue those securities or any securities convertible into or exchangeable for those securities, or securities carrying the right to purchase those securities or securities convertible into or exchangeable for those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Holders of common stock warrants and preferred stock warrants may have additional rights under the following circumstances:</w:t>
      </w:r>
    </w:p>
    <w:p>
      <w:pPr>
        <w:spacing w:after="0" w:line="225" w:lineRule="exact"/>
        <w:rPr>
          <w:sz w:val="20"/>
          <w:szCs w:val="20"/>
          <w:color w:val="auto"/>
        </w:rPr>
      </w:pPr>
    </w:p>
    <w:p>
      <w:pPr>
        <w:ind w:left="980" w:hanging="486"/>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certain reclassifications, capital reorganizations or changes of the common stock or preferredstock, as applicable;</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certain share exchanges, mergers, or similar transactions involving us and which result in changes of the common stock or preferred stock, as applicable; or</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certain sales or dispositions to another entity of all or substantially all of our property and assets.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If one of the above transactions occurs and holders of our common stock or preferred stock are entitled to receive stock, securities or other property with respect to or in exchange for their securities, the holders of the common stock warrants and preferred stock warrants then outstanding, as applicable, will be entitled to receive upon exercise of their warrants the kind and amount of shares of stock and other securities or property that they would have received upon the applicable transaction if they had exercised their warrants immediately before the transaction.</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UNITS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This section outlines some of the provisions of the units and the unit agreements. This information may not be complete in all respects and is qualified entirely by reference to the unit agreement with respect to the units of any particular series. The specific terms of any series of units will be described in the applicable prospectus supplement or free writing prospectus. If so described in a particular prospectus supplement or free writing prospectus, the specific terms of any series of units may differ from the general description of terms presented below.</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specified in the applicable prospectus supplement, we may issue units consisting of one or more shares of common stock, shares of preferred stock, warrants or any combination of such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prospectus supplement will specify the following terms of any units in respect of which this prospectus is being delivered:</w:t>
      </w:r>
    </w:p>
    <w:p>
      <w:pPr>
        <w:spacing w:after="0" w:line="225" w:lineRule="exact"/>
        <w:rPr>
          <w:sz w:val="20"/>
          <w:szCs w:val="20"/>
          <w:color w:val="auto"/>
        </w:rPr>
      </w:pPr>
    </w:p>
    <w:p>
      <w:pPr>
        <w:ind w:left="980" w:right="20" w:hanging="486"/>
        <w:spacing w:after="0" w:line="268"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terms of the units and of any of the shares of common stock, shares of preferred stock or warrants comprising the units, including whether and under what circumstances the securities comprising the units may be traded separately;</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appropriate, a discussion of material U.S. federal income tax considerations;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CERTAIN PROVISIONS OF NEVADA LAW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ARTICLES OF INCORPORATION AND BYLAWS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Interested Persons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Nevada Revised Statutes, or NRS, a transaction with the Company (i) in which a Company director or officer has a direct or indirect interest, or (ii) involving another corporation, firm or association in which one or more of the Company’s directors or officers are directors or officers of the corporation, firm or association or have a financial interest in the corporation firm or association, is not void or voidable solely because of the director’s or officer’s interest or common role in the transaction if any one of the following circumstances exists:</w:t>
      </w:r>
    </w:p>
    <w:p>
      <w:pPr>
        <w:spacing w:after="0" w:line="197" w:lineRule="exact"/>
        <w:rPr>
          <w:sz w:val="20"/>
          <w:szCs w:val="20"/>
          <w:color w:val="auto"/>
        </w:rPr>
      </w:pPr>
    </w:p>
    <w:p>
      <w:pPr>
        <w:ind w:left="980" w:hanging="486"/>
        <w:spacing w:after="0" w:line="332" w:lineRule="auto"/>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fact of the common directorship, office or financial interest is known to the board of directors or a committee of the board of directors and a majority of disinterested directors on the board of directors (or on the committee) authorized, approved or ratified the transaction;</w:t>
      </w:r>
    </w:p>
    <w:p>
      <w:pPr>
        <w:spacing w:after="0" w:line="139" w:lineRule="exact"/>
        <w:rPr>
          <w:rFonts w:ascii="Arial" w:cs="Arial" w:eastAsia="Arial" w:hAnsi="Arial"/>
          <w:sz w:val="16"/>
          <w:szCs w:val="16"/>
          <w:color w:val="auto"/>
        </w:rPr>
      </w:pPr>
    </w:p>
    <w:p>
      <w:pPr>
        <w:ind w:left="980" w:hanging="486"/>
        <w:spacing w:after="0" w:line="268"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fact of the common directorship, office or financial interest is known to the stockholders and disinterested stockholders holding a majority of the shares held by disinterested stockholders authorized, approved or ratified the transaction;</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fact of the common directorship, office or financial interest is not known to the director or officer at the time the transaction is brought to the board of directors for action; or</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transaction was fair to the Company at the time it is authorized or approved.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Share Acquisition Provisions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Nevada law precludes an acquirer of the shares of a Nevada corporation who crosses one of three ownership thresholds (20%, 33 1/3% or 50%) from obtaining voting rights with respect to those shares unless the disinterested holders of a majority of the shares of the Company held by disinterested stockholders vote to accord voting power to those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Combinations with Interested Stockholders</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NRS, except under certain circumstances, a corporation is not permitted to engage in a business combination with any “interested stockholder” for a period of two years following the date such stockholder became an interested stockholder. An “interested stockholder” is a person or entity who owns 10% or more of the outstanding shares of voting stock. Nevada permits a corporation to opt out of the application of these business combination provisions by so providing in the articles of incorporation or bylaws. The Company’s Bylaws contain a provision opting out of the application of these business combination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sell the securities described in this prospectus to or through underwriters or dealers, through agents, or directly to one or more purchasers. A prospectus supplement or supplements (and any related free writing prospectus that we may authorize to be provided to you) will describe the terms of the offering of the securities, including, to the extent applicable:</w:t>
      </w:r>
    </w:p>
    <w:p>
      <w:pPr>
        <w:spacing w:after="0" w:line="194" w:lineRule="exact"/>
        <w:rPr>
          <w:sz w:val="20"/>
          <w:szCs w:val="20"/>
          <w:color w:val="auto"/>
        </w:rPr>
      </w:pPr>
    </w:p>
    <w:p>
      <w:pPr>
        <w:ind w:left="980" w:hanging="486"/>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name or names of any underwriters or agents, if applicable;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we will receive from the sale;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Only underwriters named in a prospectus supplement are underwriters of the securities offered by the prospectus supplement.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that names the underwriter, the nature of any such relationship.</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We may provide agents and underwriters with indemnification against civil liabilities related to this offering, including liabilities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or contribution with respect to payments that the agents or underwriters may make with respect to these liabilities. Agents and underwriters may engage in transactions with, or perform services for, us in the ordinary course of business.</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Any underwriters who are qualified market makers on the NASDAQ Capital Market may engage in passive market making transactions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4" w:name="page75"/>
    <w:bookmarkEnd w:id="7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validity of the securities offered by this prospectus will be passed upon by Disclosure Law Group, a Professional Corporation, San Diego, California (</w:t>
      </w:r>
      <w:r>
        <w:rPr>
          <w:rFonts w:ascii="Arial" w:cs="Arial" w:eastAsia="Arial" w:hAnsi="Arial"/>
          <w:sz w:val="16"/>
          <w:szCs w:val="16"/>
          <w:i w:val="1"/>
          <w:iCs w:val="1"/>
          <w:color w:val="auto"/>
        </w:rPr>
        <w:t>DLG</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Partners of DLG beneficially own an aggregate of 65,987 registered and/or restricted shares of our common stock.</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financial statements of the Company incorporated in this prospectus by reference to the Annual Report on Form 10-K for the fiscal year ended March 31, 2016 have been audited by OUM &amp; Co. LLP, an independent registered public accounting firm, as set forth in their report thereon.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are a public company and file annual, quarterly and special reports, proxy statements and other information with the SEC. You may read and copy any document we file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Our SEC filings are also available, at no charge, to the public at the SEC’s website at http://www.sec.gov.</w:t>
      </w:r>
    </w:p>
    <w:p>
      <w:pPr>
        <w:spacing w:after="0" w:line="16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filed by us with the SEC are incorporated by reference in this prospectus:</w:t>
      </w:r>
    </w:p>
    <w:p>
      <w:pPr>
        <w:spacing w:after="0" w:line="225"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March 31, 2016, filed on June 24, 2016;</w:t>
      </w:r>
    </w:p>
    <w:p>
      <w:pPr>
        <w:spacing w:after="0" w:line="15"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June 30, 2016, filed on August 12, 2016;</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September 30, 2016, filed on November 14, 2016;</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December 31, 2016, filed on February 13, 2017;</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Current Report on Form 8-K filed on May 16, 2016;</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Current Report on Form 8-K filed on June 22, 2016;</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Current Report on Form 8-K filed on August 17, 2016;</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Current Report on Form 8-K filed on September 27, 2016;</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Current Report on Form 8-K filed on December 14, 2016;</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Current Report on Form 8-K filed on March 29, 2017; and</w:t>
      </w:r>
    </w:p>
    <w:p>
      <w:pPr>
        <w:spacing w:after="0" w:line="9" w:lineRule="exact"/>
        <w:rPr>
          <w:rFonts w:ascii="Arial" w:cs="Arial" w:eastAsia="Arial" w:hAnsi="Arial"/>
          <w:sz w:val="18"/>
          <w:szCs w:val="18"/>
          <w:color w:val="auto"/>
        </w:rPr>
      </w:pPr>
    </w:p>
    <w:p>
      <w:pPr>
        <w:ind w:left="500" w:hanging="492"/>
        <w:spacing w:after="0" w:line="261"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description of our common stock contained in the Registration Statement on Form 8-A filed pursuant to Section 12(b) of the Exchange Act on May 3, 2016, including any amendment or report filed with the SEC for the purpose of updating this description.</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and are an important part of this prospectus.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9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We will provide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1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This prospectus is part of a registration statement we filed with the SEC. You should only rely on the information or representations contained in this prospectus and any accompanying prospectus supplement. We have not authorized anyone to provide information other than that provided in this prospectus and any accompanying prospectus supplement. We are not making an offer of the securities in any state where the offer is not permitted. You should not assume that the information in this prospectus or any accompanying prospectus supplement is accurate as of any date other than the date on the front of the document.</w:t>
      </w:r>
    </w:p>
    <w:p>
      <w:pPr>
        <w:sectPr>
          <w:pgSz w:w="11900" w:h="16838" w:orient="portrait"/>
          <w:cols w:equalWidth="0" w:num="1">
            <w:col w:w="11420"/>
          </w:cols>
          <w:pgMar w:left="240" w:top="131" w:right="23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22"/>
          <w:szCs w:val="22"/>
          <w:b w:val="1"/>
          <w:bCs w:val="1"/>
          <w:color w:val="auto"/>
        </w:rPr>
        <w:t>1,371,430 Shares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Series A1 Warrants to Purchase up to 1,338,931 Shares of Common Stock</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Series A2 Warrants to Purchase up to 503,641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2210435</wp:posOffset>
            </wp:positionH>
            <wp:positionV relativeFrom="paragraph">
              <wp:posOffset>1010920</wp:posOffset>
            </wp:positionV>
            <wp:extent cx="1311910" cy="8489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1191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_______________________________</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Oppenheimer &amp; Co.</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August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135890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556260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9019"/>
      </w:cols>
      <w:pgMar w:left="1440" w:top="9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1)"/>
      <w:numFmt w:val="lowerLetter"/>
      <w:start w:val="1"/>
    </w:lvl>
  </w:abstractNum>
  <w:abstractNum w:abstractNumId="28">
    <w:nsid w:val="77465F01"/>
    <w:multiLevelType w:val="hybridMultilevel"/>
    <w:lvl w:ilvl="0">
      <w:lvlJc w:val="left"/>
      <w:lvlText w:val="(%1)"/>
      <w:numFmt w:val="lowerLetter"/>
      <w:start w:val="1"/>
    </w:lvl>
  </w:abstractNum>
  <w:abstractNum w:abstractNumId="29">
    <w:nsid w:val="7724C67E"/>
    <w:multiLevelType w:val="hybridMultilevel"/>
    <w:lvl w:ilvl="0">
      <w:lvlJc w:val="left"/>
      <w:lvlText w:val="(%1)"/>
      <w:numFmt w:val="lowerLetter"/>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1)"/>
      <w:numFmt w:val="lowerRoman"/>
      <w:start w:val="2"/>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2020-01-18T07:16:23Z</dcterms:created>
  <dcterms:modified xsi:type="dcterms:W3CDTF">2020-01-18T07:16:23Z</dcterms:modified>
</cp:coreProperties>
</file>