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September 25,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49"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49"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4"/>
        </w:trPr>
        <w:tc>
          <w:tcPr>
            <w:tcW w:w="12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Title of each class</w:t>
            </w:r>
          </w:p>
        </w:tc>
        <w:tc>
          <w:tcPr>
            <w:tcW w:w="2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Trading Symbol(s)</w:t>
            </w: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35"/>
        </w:trPr>
        <w:tc>
          <w:tcPr>
            <w:tcW w:w="4540" w:type="dxa"/>
            <w:vAlign w:val="bottom"/>
            <w:gridSpan w:val="3"/>
          </w:tcPr>
          <w:p>
            <w:pPr>
              <w:jc w:val="center"/>
              <w:ind w:right="740"/>
              <w:spacing w:after="0"/>
              <w:rPr>
                <w:sz w:val="20"/>
                <w:szCs w:val="20"/>
                <w:color w:val="auto"/>
              </w:rPr>
            </w:pPr>
            <w:r>
              <w:rPr>
                <w:rFonts w:ascii="Arial" w:cs="Arial" w:eastAsia="Arial" w:hAnsi="Arial"/>
                <w:sz w:val="18"/>
                <w:szCs w:val="18"/>
                <w:color w:val="auto"/>
                <w:w w:val="87"/>
              </w:rPr>
              <w:t>Common Stock, par value $0.001 per share</w:t>
            </w:r>
          </w:p>
        </w:tc>
        <w:tc>
          <w:tcPr>
            <w:tcW w:w="500" w:type="dxa"/>
            <w:vAlign w:val="bottom"/>
          </w:tcPr>
          <w:p>
            <w:pPr>
              <w:spacing w:after="0"/>
              <w:rPr>
                <w:sz w:val="20"/>
                <w:szCs w:val="20"/>
                <w:color w:val="auto"/>
              </w:rPr>
            </w:pPr>
          </w:p>
        </w:tc>
        <w:tc>
          <w:tcPr>
            <w:tcW w:w="2920" w:type="dxa"/>
            <w:vAlign w:val="bottom"/>
            <w:gridSpan w:val="2"/>
          </w:tcPr>
          <w:p>
            <w:pPr>
              <w:jc w:val="center"/>
              <w:ind w:right="1580"/>
              <w:spacing w:after="0"/>
              <w:rPr>
                <w:sz w:val="20"/>
                <w:szCs w:val="20"/>
                <w:color w:val="auto"/>
              </w:rPr>
            </w:pPr>
            <w:r>
              <w:rPr>
                <w:rFonts w:ascii="Arial" w:cs="Arial" w:eastAsia="Arial" w:hAnsi="Arial"/>
                <w:sz w:val="18"/>
                <w:szCs w:val="18"/>
                <w:color w:val="auto"/>
                <w:w w:val="99"/>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2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769620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993140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25, 2019,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received a letter from the Listing Qualifications Staff (the “</w:t>
      </w:r>
      <w:r>
        <w:rPr>
          <w:rFonts w:ascii="Arial" w:cs="Arial" w:eastAsia="Arial" w:hAnsi="Arial"/>
          <w:sz w:val="18"/>
          <w:szCs w:val="18"/>
          <w:i w:val="1"/>
          <w:iCs w:val="1"/>
          <w:color w:val="auto"/>
        </w:rPr>
        <w:t>Staff</w:t>
      </w:r>
      <w:r>
        <w:rPr>
          <w:rFonts w:ascii="Arial" w:cs="Arial" w:eastAsia="Arial" w:hAnsi="Arial"/>
          <w:sz w:val="18"/>
          <w:szCs w:val="18"/>
          <w:color w:val="auto"/>
        </w:rPr>
        <w:t>”) of The Nasdaq Stock Market, LLC (“</w:t>
      </w:r>
      <w:r>
        <w:rPr>
          <w:rFonts w:ascii="Arial" w:cs="Arial" w:eastAsia="Arial" w:hAnsi="Arial"/>
          <w:sz w:val="18"/>
          <w:szCs w:val="18"/>
          <w:i w:val="1"/>
          <w:iCs w:val="1"/>
          <w:color w:val="auto"/>
        </w:rPr>
        <w:t>Nasdaq</w:t>
      </w:r>
      <w:r>
        <w:rPr>
          <w:rFonts w:ascii="Arial" w:cs="Arial" w:eastAsia="Arial" w:hAnsi="Arial"/>
          <w:sz w:val="18"/>
          <w:szCs w:val="18"/>
          <w:color w:val="auto"/>
        </w:rPr>
        <w:t>”) indicating that the Staff has determined that the Company is now in full compliance with both the market value of listed securities standard set forth in Nasdaq Listing Rule 5550(b)(2) and the minimum bid price requirement set forth in Nasdaq Listing Rule 5550(a)(2) because the closing bid price of the Company’s common stock, par value $0.001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has been $1.00 per share or greater for the last 10 consecutive trading days. Accordingly, the Company has regained full compliance with all previously outstanding deficiencies, and Nasdaq has informed the Company in writing that the matter is now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1640840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September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 xml:space="preserve">/s/ </w:t>
      </w:r>
      <w:r>
        <w:rPr>
          <w:rFonts w:ascii="Arial" w:cs="Arial" w:eastAsia="Arial" w:hAnsi="Arial"/>
          <w:sz w:val="16"/>
          <w:szCs w:val="16"/>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680"/>
      </w:cols>
      <w:pgMar w:left="240" w:top="55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2020-01-08T23:53:09Z</dcterms:created>
  <dcterms:modified xsi:type="dcterms:W3CDTF">2020-01-08T23:53:09Z</dcterms:modified>
</cp:coreProperties>
</file>