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706120</wp:posOffset>
            </wp:positionV>
            <wp:extent cx="6858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732155</wp:posOffset>
            </wp:positionV>
            <wp:extent cx="6858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7, 2026</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28"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000-54014</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52"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1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00" w:space="720"/>
            <w:col w:w="3200" w:space="720"/>
            <w:col w:w="2700"/>
          </w:cols>
          <w:pgMar w:left="320" w:top="1440" w:right="339" w:bottom="1440" w:gutter="0" w:footer="0" w:header="0"/>
          <w:type w:val="continuous"/>
        </w:sectPr>
      </w:pPr>
    </w:p>
    <w:p>
      <w:pPr>
        <w:spacing w:after="0" w:line="8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(650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 -12)</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66"/>
        </w:trPr>
        <w:tc>
          <w:tcPr>
            <w:tcW w:w="45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VTGN</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6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1336040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020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1100" w:right="540" w:hanging="1079"/>
        <w:spacing w:after="0" w:line="271" w:lineRule="auto"/>
        <w:tabs>
          <w:tab w:leader="none" w:pos="10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9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On April 7, 2026, the Compensation Committee of the Board of Directors of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in consultation with the Company’s independent compensation consultant, approved of retention awards in the form of a stock option grant (the “</w:t>
      </w: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to all Company employees, including the following executives who each received options to purchase up to 75,000 shares of the Company’s common stock, par value $0.001 per share: (i) Shawn K. Singh, President and Chief Executive Officer, (ii) Reid G. Adler, Chief Legal Officer, (iii) Elissa S. Cote, Chief Corporate Development Officer, (iv) Joshua S. Prince, Chief Operating Officer, and (v) Nick B. Tressler, Chief Financial Officer.</w:t>
      </w:r>
    </w:p>
    <w:p>
      <w:pPr>
        <w:spacing w:after="0" w:line="20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Options were issued on April 7, 2026 (the “</w:t>
      </w:r>
      <w:r>
        <w:rPr>
          <w:rFonts w:ascii="Times New Roman" w:cs="Times New Roman" w:eastAsia="Times New Roman" w:hAnsi="Times New Roman"/>
          <w:sz w:val="18"/>
          <w:szCs w:val="18"/>
          <w:i w:val="1"/>
          <w:iCs w:val="1"/>
          <w:color w:val="auto"/>
        </w:rPr>
        <w:t>Grant Date</w:t>
      </w:r>
      <w:r>
        <w:rPr>
          <w:rFonts w:ascii="Times New Roman" w:cs="Times New Roman" w:eastAsia="Times New Roman" w:hAnsi="Times New Roman"/>
          <w:sz w:val="18"/>
          <w:szCs w:val="18"/>
          <w:color w:val="auto"/>
        </w:rPr>
        <w:t>”) under the Company’s Amended and Restated 2019 Omnibus Equity Incentive Plan, as amended (the “</w:t>
      </w:r>
      <w:r>
        <w:rPr>
          <w:rFonts w:ascii="Times New Roman" w:cs="Times New Roman" w:eastAsia="Times New Roman" w:hAnsi="Times New Roman"/>
          <w:sz w:val="18"/>
          <w:szCs w:val="18"/>
          <w:i w:val="1"/>
          <w:iCs w:val="1"/>
          <w:color w:val="auto"/>
        </w:rPr>
        <w:t>2019 Plan</w:t>
      </w:r>
      <w:r>
        <w:rPr>
          <w:rFonts w:ascii="Times New Roman" w:cs="Times New Roman" w:eastAsia="Times New Roman" w:hAnsi="Times New Roman"/>
          <w:sz w:val="18"/>
          <w:szCs w:val="18"/>
          <w:color w:val="auto"/>
        </w:rPr>
        <w:t>”), and have an exercise price of $0.5358 per share. 25% of the Options will vest six months after the Grant Date and the remainder will vest in additional 25% installments every six months thereafter, so that the Options become fully vested on the two-year anniversary of the Grant Date.</w:t>
      </w:r>
    </w:p>
    <w:p>
      <w:pPr>
        <w:spacing w:after="0" w:line="20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of the Options does not purport to be complete and is subject to the terms and conditions of the 2019 Plan and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1165225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0"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April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27305</wp:posOffset>
            </wp:positionV>
            <wp:extent cx="3317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4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Shawn K. Singh</w:t>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1200"/>
      </w:cols>
      <w:pgMar w:left="320" w:top="110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2026-04-13T16:42:43Z</dcterms:created>
  <dcterms:modified xsi:type="dcterms:W3CDTF">2026-04-13T16:42:43Z</dcterms:modified>
</cp:coreProperties>
</file>