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210820</wp:posOffset>
            </wp:positionH>
            <wp:positionV relativeFrom="page">
              <wp:posOffset>173990</wp:posOffset>
            </wp:positionV>
            <wp:extent cx="71272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240" cy="35560"/>
                    </a:xfrm>
                    <a:prstGeom prst="rect">
                      <a:avLst/>
                    </a:prstGeom>
                    <a:noFill/>
                  </pic:spPr>
                </pic:pic>
              </a:graphicData>
            </a:graphic>
          </wp:anchor>
        </w:drawing>
        <w:drawing>
          <wp:anchor simplePos="0" relativeHeight="251657728" behindDoc="1" locked="0" layoutInCell="0" allowOverlap="1">
            <wp:simplePos x="0" y="0"/>
            <wp:positionH relativeFrom="page">
              <wp:posOffset>210820</wp:posOffset>
            </wp:positionH>
            <wp:positionV relativeFrom="page">
              <wp:posOffset>238125</wp:posOffset>
            </wp:positionV>
            <wp:extent cx="712724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240" cy="1397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1" w:lineRule="exact"/>
        <w:rPr>
          <w:sz w:val="24"/>
          <w:szCs w:val="24"/>
          <w:color w:val="auto"/>
        </w:rPr>
      </w:pPr>
    </w:p>
    <w:p>
      <w:pPr>
        <w:ind w:left="900" w:hanging="443"/>
        <w:spacing w:after="0"/>
        <w:tabs>
          <w:tab w:leader="none" w:pos="9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June 30, 2021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3" w:lineRule="exact"/>
        <w:rPr>
          <w:sz w:val="24"/>
          <w:szCs w:val="24"/>
          <w:color w:val="auto"/>
        </w:rPr>
      </w:pPr>
    </w:p>
    <w:p>
      <w:pPr>
        <w:ind w:left="900" w:hanging="443"/>
        <w:spacing w:after="0"/>
        <w:tabs>
          <w:tab w:leader="none" w:pos="9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86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3520" w:type="dxa"/>
            <w:vAlign w:val="bottom"/>
            <w:gridSpan w:val="2"/>
          </w:tcPr>
          <w:p>
            <w:pPr>
              <w:ind w:left="1560"/>
              <w:spacing w:after="0"/>
              <w:rPr>
                <w:sz w:val="20"/>
                <w:szCs w:val="20"/>
                <w:color w:val="auto"/>
              </w:rPr>
            </w:pPr>
            <w:r>
              <w:rPr>
                <w:rFonts w:ascii="Arial" w:cs="Arial" w:eastAsia="Arial" w:hAnsi="Arial"/>
                <w:sz w:val="15"/>
                <w:szCs w:val="15"/>
                <w:b w:val="1"/>
                <w:bCs w:val="1"/>
                <w:color w:val="auto"/>
                <w:w w:val="91"/>
              </w:rPr>
              <w:t>For the transition period from</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w w:val="98"/>
              </w:rPr>
              <w:t>to</w:t>
            </w:r>
          </w:p>
        </w:tc>
        <w:tc>
          <w:tcPr>
            <w:tcW w:w="620" w:type="dxa"/>
            <w:vAlign w:val="bottom"/>
          </w:tcPr>
          <w:p>
            <w:pPr>
              <w:spacing w:after="0"/>
              <w:rPr>
                <w:sz w:val="14"/>
                <w:szCs w:val="14"/>
                <w:color w:val="auto"/>
              </w:rPr>
            </w:pPr>
          </w:p>
        </w:tc>
        <w:tc>
          <w:tcPr>
            <w:tcW w:w="1680" w:type="dxa"/>
            <w:vAlign w:val="bottom"/>
            <w:gridSpan w:val="2"/>
          </w:tcPr>
          <w:p>
            <w:pPr>
              <w:jc w:val="right"/>
              <w:ind w:right="1485"/>
              <w:spacing w:after="0"/>
              <w:rPr>
                <w:sz w:val="20"/>
                <w:szCs w:val="20"/>
                <w:color w:val="auto"/>
              </w:rPr>
            </w:pPr>
            <w:r>
              <w:rPr>
                <w:rFonts w:ascii="Arial" w:cs="Arial" w:eastAsia="Arial" w:hAnsi="Arial"/>
                <w:sz w:val="15"/>
                <w:szCs w:val="15"/>
                <w:b w:val="1"/>
                <w:bCs w:val="1"/>
                <w:color w:val="auto"/>
              </w:rPr>
              <w:t>.</w:t>
            </w:r>
          </w:p>
        </w:tc>
        <w:tc>
          <w:tcPr>
            <w:tcW w:w="140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71"/>
        </w:trPr>
        <w:tc>
          <w:tcPr>
            <w:tcW w:w="1400" w:type="dxa"/>
            <w:vAlign w:val="bottom"/>
          </w:tcPr>
          <w:p>
            <w:pPr>
              <w:spacing w:after="0"/>
              <w:rPr>
                <w:sz w:val="24"/>
                <w:szCs w:val="24"/>
                <w:color w:val="auto"/>
              </w:rPr>
            </w:pPr>
          </w:p>
        </w:tc>
        <w:tc>
          <w:tcPr>
            <w:tcW w:w="5080" w:type="dxa"/>
            <w:vAlign w:val="bottom"/>
            <w:gridSpan w:val="6"/>
          </w:tcPr>
          <w:p>
            <w:pPr>
              <w:jc w:val="center"/>
              <w:ind w:left="1594"/>
              <w:spacing w:after="0"/>
              <w:rPr>
                <w:sz w:val="20"/>
                <w:szCs w:val="20"/>
                <w:color w:val="auto"/>
              </w:rPr>
            </w:pPr>
            <w:r>
              <w:rPr>
                <w:rFonts w:ascii="Arial" w:cs="Arial" w:eastAsia="Arial" w:hAnsi="Arial"/>
                <w:sz w:val="15"/>
                <w:szCs w:val="15"/>
                <w:b w:val="1"/>
                <w:bCs w:val="1"/>
                <w:color w:val="auto"/>
                <w:w w:val="90"/>
              </w:rPr>
              <w:t>Commission File Number: 001-37761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81"/>
        </w:trPr>
        <w:tc>
          <w:tcPr>
            <w:tcW w:w="1400" w:type="dxa"/>
            <w:vAlign w:val="bottom"/>
          </w:tcPr>
          <w:p>
            <w:pPr>
              <w:spacing w:after="0"/>
              <w:rPr>
                <w:sz w:val="24"/>
                <w:szCs w:val="24"/>
                <w:color w:val="auto"/>
              </w:rPr>
            </w:pPr>
          </w:p>
        </w:tc>
        <w:tc>
          <w:tcPr>
            <w:tcW w:w="5080" w:type="dxa"/>
            <w:vAlign w:val="bottom"/>
            <w:tcBorders>
              <w:bottom w:val="single" w:sz="8" w:color="auto"/>
            </w:tcBorders>
            <w:gridSpan w:val="6"/>
          </w:tcPr>
          <w:p>
            <w:pPr>
              <w:jc w:val="center"/>
              <w:ind w:left="1594"/>
              <w:spacing w:after="0"/>
              <w:rPr>
                <w:sz w:val="20"/>
                <w:szCs w:val="20"/>
                <w:color w:val="auto"/>
              </w:rPr>
            </w:pPr>
            <w:r>
              <w:rPr>
                <w:rFonts w:ascii="Arial" w:cs="Arial" w:eastAsia="Arial" w:hAnsi="Arial"/>
                <w:sz w:val="27"/>
                <w:szCs w:val="27"/>
                <w:b w:val="1"/>
                <w:bCs w:val="1"/>
                <w:color w:val="auto"/>
                <w:w w:val="90"/>
              </w:rPr>
              <w:t>VistaGen Therapeutics, Inc.</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1400" w:type="dxa"/>
            <w:vAlign w:val="bottom"/>
          </w:tcPr>
          <w:p>
            <w:pPr>
              <w:spacing w:after="0"/>
              <w:rPr>
                <w:sz w:val="15"/>
                <w:szCs w:val="15"/>
                <w:color w:val="auto"/>
              </w:rPr>
            </w:pPr>
          </w:p>
        </w:tc>
        <w:tc>
          <w:tcPr>
            <w:tcW w:w="5080" w:type="dxa"/>
            <w:vAlign w:val="bottom"/>
            <w:gridSpan w:val="6"/>
          </w:tcPr>
          <w:p>
            <w:pPr>
              <w:jc w:val="center"/>
              <w:ind w:left="1594"/>
              <w:spacing w:after="0"/>
              <w:rPr>
                <w:sz w:val="20"/>
                <w:szCs w:val="20"/>
                <w:color w:val="auto"/>
              </w:rPr>
            </w:pPr>
            <w:r>
              <w:rPr>
                <w:rFonts w:ascii="Arial" w:cs="Arial" w:eastAsia="Arial" w:hAnsi="Arial"/>
                <w:sz w:val="15"/>
                <w:szCs w:val="15"/>
                <w:i w:val="1"/>
                <w:iCs w:val="1"/>
                <w:color w:val="auto"/>
                <w:w w:val="91"/>
              </w:rPr>
              <w:t>(Exact name of registrant as specified in its charter)</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47"/>
        </w:trPr>
        <w:tc>
          <w:tcPr>
            <w:tcW w:w="1400" w:type="dxa"/>
            <w:vAlign w:val="bottom"/>
          </w:tcPr>
          <w:p>
            <w:pPr>
              <w:spacing w:after="0"/>
              <w:rPr>
                <w:sz w:val="24"/>
                <w:szCs w:val="24"/>
                <w:color w:val="auto"/>
              </w:rPr>
            </w:pPr>
          </w:p>
        </w:tc>
        <w:tc>
          <w:tcPr>
            <w:tcW w:w="3860" w:type="dxa"/>
            <w:vAlign w:val="bottom"/>
            <w:gridSpan w:val="3"/>
          </w:tcPr>
          <w:p>
            <w:pPr>
              <w:jc w:val="center"/>
              <w:ind w:right="2340"/>
              <w:spacing w:after="0"/>
              <w:rPr>
                <w:sz w:val="20"/>
                <w:szCs w:val="20"/>
                <w:color w:val="auto"/>
              </w:rPr>
            </w:pPr>
            <w:r>
              <w:rPr>
                <w:rFonts w:ascii="Arial" w:cs="Arial" w:eastAsia="Arial" w:hAnsi="Arial"/>
                <w:sz w:val="15"/>
                <w:szCs w:val="15"/>
                <w:b w:val="1"/>
                <w:bCs w:val="1"/>
                <w:color w:val="auto"/>
                <w:w w:val="89"/>
              </w:rPr>
              <w:t>Nevada</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2"/>
          </w:tcPr>
          <w:p>
            <w:pPr>
              <w:jc w:val="center"/>
              <w:ind w:left="125"/>
              <w:spacing w:after="0"/>
              <w:rPr>
                <w:sz w:val="20"/>
                <w:szCs w:val="20"/>
                <w:color w:val="auto"/>
              </w:rPr>
            </w:pPr>
            <w:r>
              <w:rPr>
                <w:rFonts w:ascii="Arial" w:cs="Arial" w:eastAsia="Arial" w:hAnsi="Arial"/>
                <w:sz w:val="15"/>
                <w:szCs w:val="15"/>
                <w:b w:val="1"/>
                <w:bCs w:val="1"/>
                <w:color w:val="auto"/>
                <w:w w:val="89"/>
              </w:rPr>
              <w:t>20-5093315</w:t>
            </w:r>
          </w:p>
        </w:tc>
        <w:tc>
          <w:tcPr>
            <w:tcW w:w="1400" w:type="dxa"/>
            <w:vAlign w:val="bottom"/>
          </w:tcPr>
          <w:p>
            <w:pPr>
              <w:spacing w:after="0"/>
              <w:rPr>
                <w:sz w:val="24"/>
                <w:szCs w:val="24"/>
                <w:color w:val="auto"/>
              </w:rPr>
            </w:pPr>
          </w:p>
        </w:tc>
      </w:tr>
      <w:tr>
        <w:trPr>
          <w:trHeight w:val="160"/>
        </w:trPr>
        <w:tc>
          <w:tcPr>
            <w:tcW w:w="432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5"/>
                <w:szCs w:val="15"/>
                <w:i w:val="1"/>
                <w:iCs w:val="1"/>
                <w:color w:val="auto"/>
                <w:w w:val="93"/>
              </w:rPr>
              <w:t>(State or other jurisdiction of</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left="5"/>
              <w:spacing w:after="0" w:line="160" w:lineRule="exact"/>
              <w:rPr>
                <w:sz w:val="20"/>
                <w:szCs w:val="20"/>
                <w:color w:val="auto"/>
              </w:rPr>
            </w:pPr>
            <w:r>
              <w:rPr>
                <w:rFonts w:ascii="Arial" w:cs="Arial" w:eastAsia="Arial" w:hAnsi="Arial"/>
                <w:sz w:val="15"/>
                <w:szCs w:val="15"/>
                <w:i w:val="1"/>
                <w:iCs w:val="1"/>
                <w:color w:val="auto"/>
                <w:w w:val="90"/>
              </w:rPr>
              <w:t>(I.R.S. Employer</w:t>
            </w:r>
          </w:p>
        </w:tc>
        <w:tc>
          <w:tcPr>
            <w:tcW w:w="1400" w:type="dxa"/>
            <w:vAlign w:val="bottom"/>
            <w:tcBorders>
              <w:top w:val="single" w:sz="8" w:color="auto"/>
            </w:tcBorders>
          </w:tcPr>
          <w:p>
            <w:pPr>
              <w:spacing w:after="0"/>
              <w:rPr>
                <w:sz w:val="13"/>
                <w:szCs w:val="13"/>
                <w:color w:val="auto"/>
              </w:rPr>
            </w:pPr>
          </w:p>
        </w:tc>
      </w:tr>
      <w:tr>
        <w:trPr>
          <w:trHeight w:val="189"/>
        </w:trPr>
        <w:tc>
          <w:tcPr>
            <w:tcW w:w="5260" w:type="dxa"/>
            <w:vAlign w:val="bottom"/>
            <w:gridSpan w:val="4"/>
          </w:tcPr>
          <w:p>
            <w:pPr>
              <w:jc w:val="center"/>
              <w:ind w:right="940"/>
              <w:spacing w:after="0"/>
              <w:rPr>
                <w:sz w:val="20"/>
                <w:szCs w:val="20"/>
                <w:color w:val="auto"/>
              </w:rPr>
            </w:pPr>
            <w:r>
              <w:rPr>
                <w:rFonts w:ascii="Arial" w:cs="Arial" w:eastAsia="Arial" w:hAnsi="Arial"/>
                <w:sz w:val="15"/>
                <w:szCs w:val="15"/>
                <w:i w:val="1"/>
                <w:iCs w:val="1"/>
                <w:color w:val="auto"/>
                <w:w w:val="94"/>
              </w:rPr>
              <w:t>incorporation or organization)</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5"/>
                <w:szCs w:val="15"/>
                <w:i w:val="1"/>
                <w:iCs w:val="1"/>
                <w:color w:val="auto"/>
                <w:w w:val="94"/>
              </w:rPr>
              <w:t>Identification No.)</w:t>
            </w:r>
          </w:p>
        </w:tc>
        <w:tc>
          <w:tcPr>
            <w:tcW w:w="1400" w:type="dxa"/>
            <w:vAlign w:val="bottom"/>
          </w:tcPr>
          <w:p>
            <w:pPr>
              <w:spacing w:after="0"/>
              <w:rPr>
                <w:sz w:val="16"/>
                <w:szCs w:val="16"/>
                <w:color w:val="auto"/>
              </w:rPr>
            </w:pPr>
          </w:p>
        </w:tc>
      </w:tr>
    </w:tbl>
    <w:p>
      <w:pPr>
        <w:spacing w:after="0" w:line="16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343 Allerton Avenue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South San Francisco, CA 94080</w:t>
      </w:r>
      <w:r>
        <w:rPr>
          <w:rFonts w:ascii="Arial" w:cs="Arial" w:eastAsia="Arial" w:hAnsi="Arial"/>
          <w:sz w:val="15"/>
          <w:szCs w:val="15"/>
          <w:i w:val="1"/>
          <w:iCs w:val="1"/>
          <w:color w:val="auto"/>
        </w:rPr>
        <w:t>(Address of principal executive offices including zip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(650) 577-3600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960" w:type="dxa"/>
            <w:vAlign w:val="bottom"/>
            <w:gridSpan w:val="2"/>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3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8"/>
        </w:trPr>
        <w:tc>
          <w:tcPr>
            <w:tcW w:w="3960" w:type="dxa"/>
            <w:vAlign w:val="bottom"/>
            <w:gridSpan w:val="2"/>
          </w:tcPr>
          <w:p>
            <w:pPr>
              <w:jc w:val="center"/>
              <w:ind w:right="560"/>
              <w:spacing w:after="0"/>
              <w:rPr>
                <w:sz w:val="20"/>
                <w:szCs w:val="20"/>
                <w:color w:val="auto"/>
              </w:rPr>
            </w:pPr>
            <w:r>
              <w:rPr>
                <w:rFonts w:ascii="Arial" w:cs="Arial" w:eastAsia="Arial" w:hAnsi="Arial"/>
                <w:sz w:val="15"/>
                <w:szCs w:val="15"/>
                <w:color w:val="auto"/>
                <w:w w:val="89"/>
              </w:rPr>
              <w:t>Title of each class</w:t>
            </w:r>
          </w:p>
        </w:tc>
        <w:tc>
          <w:tcPr>
            <w:tcW w:w="3380" w:type="dxa"/>
            <w:vAlign w:val="bottom"/>
          </w:tcPr>
          <w:p>
            <w:pPr>
              <w:jc w:val="center"/>
              <w:spacing w:after="0"/>
              <w:rPr>
                <w:sz w:val="20"/>
                <w:szCs w:val="20"/>
                <w:color w:val="auto"/>
              </w:rPr>
            </w:pPr>
            <w:r>
              <w:rPr>
                <w:rFonts w:ascii="Arial" w:cs="Arial" w:eastAsia="Arial" w:hAnsi="Arial"/>
                <w:sz w:val="15"/>
                <w:szCs w:val="15"/>
                <w:color w:val="auto"/>
                <w:w w:val="91"/>
              </w:rPr>
              <w:t>Trading Symbol(s)</w:t>
            </w:r>
          </w:p>
        </w:tc>
        <w:tc>
          <w:tcPr>
            <w:tcW w:w="5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w w:val="88"/>
              </w:rPr>
              <w:t>Name of each exchange on which registered</w:t>
            </w:r>
          </w:p>
        </w:tc>
      </w:tr>
      <w:tr>
        <w:trPr>
          <w:trHeight w:val="180"/>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8"/>
              </w:rPr>
              <w:t>Common Stock, par value $0.001 per share</w:t>
            </w:r>
          </w:p>
        </w:tc>
        <w:tc>
          <w:tcPr>
            <w:tcW w:w="56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VTGN</w:t>
            </w:r>
          </w:p>
        </w:tc>
        <w:tc>
          <w:tcPr>
            <w:tcW w:w="56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Nasdaq Capital Market</w:t>
            </w:r>
          </w:p>
        </w:tc>
      </w:tr>
    </w:tbl>
    <w:p>
      <w:pPr>
        <w:spacing w:after="0" w:line="158" w:lineRule="exact"/>
        <w:rPr>
          <w:sz w:val="24"/>
          <w:szCs w:val="24"/>
          <w:color w:val="auto"/>
        </w:rPr>
      </w:pPr>
    </w:p>
    <w:p>
      <w:pPr>
        <w:jc w:val="both"/>
        <w:spacing w:after="0" w:line="19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jc w:val="both"/>
        <w:spacing w:after="0" w:line="19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jc w:val="both"/>
        <w:spacing w:after="0" w:line="27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3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2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4240" w:type="dxa"/>
            <w:vAlign w:val="bottom"/>
          </w:tcPr>
          <w:p>
            <w:pPr>
              <w:ind w:left="1740"/>
              <w:spacing w:after="0"/>
              <w:rPr>
                <w:sz w:val="20"/>
                <w:szCs w:val="20"/>
                <w:color w:val="auto"/>
              </w:rPr>
            </w:pPr>
            <w:r>
              <w:rPr>
                <w:rFonts w:ascii="Arial" w:cs="Arial" w:eastAsia="Arial" w:hAnsi="Arial"/>
                <w:sz w:val="15"/>
                <w:szCs w:val="15"/>
                <w:color w:val="auto"/>
              </w:rPr>
              <w:t>Accelerated filer</w:t>
            </w:r>
          </w:p>
        </w:tc>
        <w:tc>
          <w:tcPr>
            <w:tcW w:w="1020" w:type="dxa"/>
            <w:vAlign w:val="bottom"/>
          </w:tcPr>
          <w:p>
            <w:pPr>
              <w:ind w:left="8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9"/>
        </w:trPr>
        <w:tc>
          <w:tcPr>
            <w:tcW w:w="2300" w:type="dxa"/>
            <w:vAlign w:val="bottom"/>
          </w:tcPr>
          <w:p>
            <w:pPr>
              <w:spacing w:after="0"/>
              <w:rPr>
                <w:sz w:val="20"/>
                <w:szCs w:val="20"/>
                <w:color w:val="auto"/>
              </w:rPr>
            </w:pPr>
            <w:r>
              <w:rPr>
                <w:rFonts w:ascii="Arial" w:cs="Arial" w:eastAsia="Arial" w:hAnsi="Arial"/>
                <w:sz w:val="15"/>
                <w:szCs w:val="15"/>
                <w:color w:val="auto"/>
              </w:rPr>
              <w:t>Non-Accelerated filer</w:t>
            </w:r>
          </w:p>
        </w:tc>
        <w:tc>
          <w:tcPr>
            <w:tcW w:w="282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4240" w:type="dxa"/>
            <w:vAlign w:val="bottom"/>
          </w:tcPr>
          <w:p>
            <w:pPr>
              <w:ind w:left="1740"/>
              <w:spacing w:after="0"/>
              <w:rPr>
                <w:sz w:val="20"/>
                <w:szCs w:val="20"/>
                <w:color w:val="auto"/>
              </w:rPr>
            </w:pPr>
            <w:r>
              <w:rPr>
                <w:rFonts w:ascii="Arial" w:cs="Arial" w:eastAsia="Arial" w:hAnsi="Arial"/>
                <w:sz w:val="15"/>
                <w:szCs w:val="15"/>
                <w:color w:val="auto"/>
              </w:rPr>
              <w:t>Smaller reporting company</w:t>
            </w:r>
          </w:p>
        </w:tc>
        <w:tc>
          <w:tcPr>
            <w:tcW w:w="1020" w:type="dxa"/>
            <w:vAlign w:val="bottom"/>
          </w:tcPr>
          <w:p>
            <w:pPr>
              <w:ind w:left="8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2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40" w:type="dxa"/>
            <w:vAlign w:val="bottom"/>
          </w:tcPr>
          <w:p>
            <w:pPr>
              <w:ind w:left="1740"/>
              <w:spacing w:after="0"/>
              <w:rPr>
                <w:sz w:val="20"/>
                <w:szCs w:val="20"/>
                <w:color w:val="auto"/>
              </w:rPr>
            </w:pPr>
            <w:r>
              <w:rPr>
                <w:rFonts w:ascii="Arial" w:cs="Arial" w:eastAsia="Arial" w:hAnsi="Arial"/>
                <w:sz w:val="15"/>
                <w:szCs w:val="15"/>
                <w:color w:val="auto"/>
              </w:rPr>
              <w:t>Emerging growth company</w:t>
            </w:r>
          </w:p>
        </w:tc>
        <w:tc>
          <w:tcPr>
            <w:tcW w:w="1020" w:type="dxa"/>
            <w:vAlign w:val="bottom"/>
          </w:tcPr>
          <w:p>
            <w:pPr>
              <w:ind w:left="8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3" w:lineRule="exact"/>
        <w:rPr>
          <w:sz w:val="24"/>
          <w:szCs w:val="24"/>
          <w:color w:val="auto"/>
        </w:rPr>
      </w:pPr>
    </w:p>
    <w:p>
      <w:pPr>
        <w:ind w:right="22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2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color w:val="auto"/>
        </w:rPr>
        <w:t>As of August 11, 2021, 192,903,896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153035</wp:posOffset>
            </wp:positionV>
            <wp:extent cx="712724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240" cy="139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195580</wp:posOffset>
            </wp:positionV>
            <wp:extent cx="7127240" cy="3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240" cy="35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VistaGen Therapeutics,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on Form 10-Q</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 Ended June 30, 2021</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8"/>
          </w:tcPr>
          <w:p>
            <w:pPr>
              <w:jc w:val="center"/>
              <w:ind w:right="3620"/>
              <w:spacing w:after="0"/>
              <w:rPr>
                <w:sz w:val="20"/>
                <w:szCs w:val="20"/>
                <w:color w:val="auto"/>
              </w:rPr>
            </w:pPr>
            <w:r>
              <w:rPr>
                <w:rFonts w:ascii="Arial" w:cs="Arial" w:eastAsia="Arial" w:hAnsi="Arial"/>
                <w:sz w:val="15"/>
                <w:szCs w:val="15"/>
                <w:b w:val="1"/>
                <w:bCs w:val="1"/>
                <w:color w:val="auto"/>
                <w:w w:val="98"/>
              </w:rPr>
              <w:t>TABLE OF CONTENTS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60" w:type="dxa"/>
            <w:vAlign w:val="bottom"/>
            <w:gridSpan w:val="10"/>
            <w:vMerge w:val="restart"/>
          </w:tcPr>
          <w:p>
            <w:pPr>
              <w:jc w:val="center"/>
              <w:ind w:right="3460"/>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PART I. FINANCIAL INFORMATION</w:t>
              </w:r>
            </w:hyperlink>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960" w:type="dxa"/>
            <w:vAlign w:val="bottom"/>
            <w:gridSpan w:val="10"/>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40" w:type="dxa"/>
            <w:vAlign w:val="bottom"/>
            <w:tcBorders>
              <w:right w:val="single" w:sz="8" w:color="CCEEFF"/>
            </w:tcBorders>
            <w:shd w:val="clear" w:color="auto" w:fill="CCEEFF"/>
          </w:tcPr>
          <w:p>
            <w:pPr>
              <w:spacing w:after="0" w:line="146" w:lineRule="exact"/>
              <w:rPr>
                <w:rFonts w:ascii="Arial" w:cs="Arial" w:eastAsia="Arial" w:hAnsi="Arial"/>
                <w:sz w:val="15"/>
                <w:szCs w:val="15"/>
                <w:color w:val="0000EE"/>
                <w:w w:val="87"/>
              </w:rPr>
            </w:pPr>
            <w:hyperlink w:anchor="page2">
              <w:r>
                <w:rPr>
                  <w:rFonts w:ascii="Arial" w:cs="Arial" w:eastAsia="Arial" w:hAnsi="Arial"/>
                  <w:sz w:val="15"/>
                  <w:szCs w:val="15"/>
                  <w:color w:val="0000EE"/>
                  <w:w w:val="87"/>
                </w:rPr>
                <w:t>Item 1.</w:t>
              </w:r>
            </w:hyperlink>
          </w:p>
        </w:tc>
        <w:tc>
          <w:tcPr>
            <w:tcW w:w="260" w:type="dxa"/>
            <w:vAlign w:val="bottom"/>
            <w:gridSpan w:val="2"/>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460" w:type="dxa"/>
            <w:vAlign w:val="bottom"/>
            <w:gridSpan w:val="16"/>
            <w:shd w:val="clear" w:color="auto" w:fill="CCEEFF"/>
          </w:tcPr>
          <w:p>
            <w:pPr>
              <w:spacing w:after="0" w:line="146" w:lineRule="exact"/>
              <w:rPr>
                <w:rFonts w:ascii="Arial" w:cs="Arial" w:eastAsia="Arial" w:hAnsi="Arial"/>
                <w:sz w:val="15"/>
                <w:szCs w:val="15"/>
                <w:color w:val="0000EE"/>
              </w:rPr>
            </w:pPr>
            <w:hyperlink w:anchor="page2">
              <w:r>
                <w:rPr>
                  <w:rFonts w:ascii="Arial" w:cs="Arial" w:eastAsia="Arial" w:hAnsi="Arial"/>
                  <w:sz w:val="15"/>
                  <w:szCs w:val="15"/>
                  <w:color w:val="0000EE"/>
                </w:rPr>
                <w:t>Condensed Consolidated Financial Statements (Unaudited)</w:t>
              </w:r>
            </w:hyperlink>
          </w:p>
        </w:tc>
        <w:tc>
          <w:tcPr>
            <w:tcW w:w="90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60" w:type="dxa"/>
            <w:vAlign w:val="bottom"/>
            <w:gridSpan w:val="16"/>
          </w:tcPr>
          <w:p>
            <w:pPr>
              <w:spacing w:after="0" w:line="146" w:lineRule="exact"/>
              <w:rPr>
                <w:rFonts w:ascii="Arial" w:cs="Arial" w:eastAsia="Arial" w:hAnsi="Arial"/>
                <w:sz w:val="15"/>
                <w:szCs w:val="15"/>
                <w:color w:val="0000EE"/>
              </w:rPr>
            </w:pPr>
            <w:hyperlink w:anchor="page2">
              <w:r>
                <w:rPr>
                  <w:rFonts w:ascii="Arial" w:cs="Arial" w:eastAsia="Arial" w:hAnsi="Arial"/>
                  <w:sz w:val="15"/>
                  <w:szCs w:val="15"/>
                  <w:color w:val="0000EE"/>
                </w:rPr>
                <w:t>Condensed Consolidated Balance Sheets at June 30, 2021 and March 31, 2021</w:t>
              </w:r>
            </w:hyperlink>
          </w:p>
        </w:tc>
        <w:tc>
          <w:tcPr>
            <w:tcW w:w="900" w:type="dxa"/>
            <w:vAlign w:val="bottom"/>
          </w:tcPr>
          <w:p>
            <w:pPr>
              <w:jc w:val="center"/>
              <w:spacing w:after="0" w:line="146" w:lineRule="exact"/>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460" w:type="dxa"/>
            <w:vAlign w:val="bottom"/>
            <w:gridSpan w:val="16"/>
            <w:shd w:val="clear" w:color="auto" w:fill="CCEEFF"/>
          </w:tcPr>
          <w:p>
            <w:pPr>
              <w:spacing w:after="0" w:line="152" w:lineRule="exact"/>
              <w:rPr>
                <w:rFonts w:ascii="Arial" w:cs="Arial" w:eastAsia="Arial" w:hAnsi="Arial"/>
                <w:sz w:val="15"/>
                <w:szCs w:val="15"/>
                <w:color w:val="0000EE"/>
              </w:rPr>
            </w:pPr>
            <w:hyperlink w:anchor="page2">
              <w:r>
                <w:rPr>
                  <w:rFonts w:ascii="Arial" w:cs="Arial" w:eastAsia="Arial" w:hAnsi="Arial"/>
                  <w:sz w:val="15"/>
                  <w:szCs w:val="15"/>
                  <w:color w:val="0000EE"/>
                </w:rPr>
                <w:t>Condensed Consolidated Statements of Operations and Comprehensive Loss for the three months ended June 30, 2021 and 2020</w:t>
              </w:r>
            </w:hyperlink>
          </w:p>
        </w:tc>
        <w:tc>
          <w:tcPr>
            <w:tcW w:w="900" w:type="dxa"/>
            <w:vAlign w:val="bottom"/>
            <w:shd w:val="clear" w:color="auto" w:fill="CCEEFF"/>
          </w:tcPr>
          <w:p>
            <w:pPr>
              <w:jc w:val="center"/>
              <w:spacing w:after="0" w:line="152" w:lineRule="exact"/>
              <w:rPr>
                <w:sz w:val="20"/>
                <w:szCs w:val="20"/>
                <w:color w:val="auto"/>
              </w:rPr>
            </w:pPr>
            <w:r>
              <w:rPr>
                <w:rFonts w:ascii="Arial" w:cs="Arial" w:eastAsia="Arial" w:hAnsi="Arial"/>
                <w:sz w:val="15"/>
                <w:szCs w:val="15"/>
                <w:color w:val="auto"/>
                <w:w w:val="71"/>
              </w:rPr>
              <w:t>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640" w:type="dxa"/>
            <w:vAlign w:val="bottom"/>
            <w:tcBorders>
              <w:top w:val="single" w:sz="8" w:color="0000EE"/>
            </w:tcBorders>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Statements of Cash Flows for the three months ended June 30, 2021 and 2020</w:t>
              </w:r>
            </w:hyperlink>
          </w:p>
        </w:tc>
        <w:tc>
          <w:tcPr>
            <w:tcW w:w="1820" w:type="dxa"/>
            <w:vAlign w:val="bottom"/>
            <w:tcBorders>
              <w:top w:val="single" w:sz="8" w:color="CCEEFF"/>
            </w:tcBorders>
            <w:gridSpan w:val="2"/>
          </w:tcPr>
          <w:p>
            <w:pPr>
              <w:spacing w:after="0"/>
              <w:rPr>
                <w:sz w:val="12"/>
                <w:szCs w:val="12"/>
                <w:color w:val="auto"/>
              </w:rPr>
            </w:pPr>
          </w:p>
        </w:tc>
        <w:tc>
          <w:tcPr>
            <w:tcW w:w="900" w:type="dxa"/>
            <w:vAlign w:val="bottom"/>
            <w:tcBorders>
              <w:top w:val="single" w:sz="8" w:color="CCEEFF"/>
            </w:tcBorders>
          </w:tcPr>
          <w:p>
            <w:pPr>
              <w:jc w:val="center"/>
              <w:spacing w:after="0" w:line="146" w:lineRule="exact"/>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460" w:type="dxa"/>
            <w:vAlign w:val="bottom"/>
            <w:gridSpan w:val="16"/>
            <w:shd w:val="clear" w:color="auto" w:fill="CCEEFF"/>
          </w:tcPr>
          <w:p>
            <w:pPr>
              <w:spacing w:after="0" w:line="152"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Statement of Changes in Stockholders’ Equity (Deficit) for the three months ended June 30, 2021 and 2020</w:t>
              </w:r>
            </w:hyperlink>
          </w:p>
        </w:tc>
        <w:tc>
          <w:tcPr>
            <w:tcW w:w="900" w:type="dxa"/>
            <w:vAlign w:val="bottom"/>
            <w:shd w:val="clear" w:color="auto" w:fill="CCEEFF"/>
          </w:tcPr>
          <w:p>
            <w:pPr>
              <w:jc w:val="center"/>
              <w:spacing w:after="0" w:line="152" w:lineRule="exact"/>
              <w:rPr>
                <w:sz w:val="20"/>
                <w:szCs w:val="20"/>
                <w:color w:val="auto"/>
              </w:rPr>
            </w:pPr>
            <w:r>
              <w:rPr>
                <w:rFonts w:ascii="Arial" w:cs="Arial" w:eastAsia="Arial" w:hAnsi="Arial"/>
                <w:sz w:val="15"/>
                <w:szCs w:val="15"/>
                <w:color w:val="auto"/>
                <w:w w:val="71"/>
              </w:rPr>
              <w:t>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900" w:type="dxa"/>
            <w:vAlign w:val="bottom"/>
            <w:tcBorders>
              <w:top w:val="single" w:sz="8" w:color="0000EE"/>
            </w:tcBorders>
            <w:gridSpan w:val="15"/>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Notes to the Condensed Consolidated Financial Statements</w:t>
              </w:r>
            </w:hyperlink>
          </w:p>
        </w:tc>
        <w:tc>
          <w:tcPr>
            <w:tcW w:w="156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jc w:val="center"/>
              <w:spacing w:after="0" w:line="146" w:lineRule="exact"/>
              <w:rPr>
                <w:sz w:val="20"/>
                <w:szCs w:val="20"/>
                <w:color w:val="auto"/>
              </w:rPr>
            </w:pPr>
            <w:r>
              <w:rPr>
                <w:rFonts w:ascii="Arial" w:cs="Arial" w:eastAsia="Arial" w:hAnsi="Arial"/>
                <w:sz w:val="15"/>
                <w:szCs w:val="15"/>
                <w:color w:val="auto"/>
                <w:w w:val="7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Borders>
              <w:bottom w:val="single" w:sz="8" w:color="0000EE"/>
              <w:right w:val="single" w:sz="8" w:color="CCEEFF"/>
            </w:tcBorders>
            <w:shd w:val="clear" w:color="auto" w:fill="CCEEFF"/>
          </w:tcPr>
          <w:p>
            <w:pPr>
              <w:spacing w:after="0" w:line="159" w:lineRule="exact"/>
              <w:rPr>
                <w:rFonts w:ascii="Arial" w:cs="Arial" w:eastAsia="Arial" w:hAnsi="Arial"/>
                <w:sz w:val="15"/>
                <w:szCs w:val="15"/>
                <w:color w:val="0000EE"/>
                <w:w w:val="87"/>
              </w:rPr>
            </w:pPr>
            <w:hyperlink w:anchor="page13">
              <w:r>
                <w:rPr>
                  <w:rFonts w:ascii="Arial" w:cs="Arial" w:eastAsia="Arial" w:hAnsi="Arial"/>
                  <w:sz w:val="15"/>
                  <w:szCs w:val="15"/>
                  <w:color w:val="0000EE"/>
                  <w:w w:val="87"/>
                </w:rPr>
                <w:t>Item 2.</w:t>
              </w:r>
            </w:hyperlink>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5340" w:type="dxa"/>
            <w:vAlign w:val="bottom"/>
            <w:tcBorders>
              <w:bottom w:val="single" w:sz="8" w:color="0000EE"/>
            </w:tcBorders>
            <w:gridSpan w:val="10"/>
            <w:shd w:val="clear" w:color="auto" w:fill="CCEEFF"/>
          </w:tcPr>
          <w:p>
            <w:pPr>
              <w:spacing w:after="0" w:line="159" w:lineRule="exact"/>
              <w:rPr>
                <w:rFonts w:ascii="Arial" w:cs="Arial" w:eastAsia="Arial" w:hAnsi="Arial"/>
                <w:sz w:val="15"/>
                <w:szCs w:val="15"/>
                <w:color w:val="0000EE"/>
                <w:w w:val="90"/>
              </w:rPr>
            </w:pPr>
            <w:hyperlink w:anchor="page13">
              <w:r>
                <w:rPr>
                  <w:rFonts w:ascii="Arial" w:cs="Arial" w:eastAsia="Arial" w:hAnsi="Arial"/>
                  <w:sz w:val="15"/>
                  <w:szCs w:val="15"/>
                  <w:color w:val="0000EE"/>
                  <w:w w:val="90"/>
                </w:rPr>
                <w:t>Management’s Discussion and Analysis of Financial Condition and Results of Operations</w:t>
              </w:r>
            </w:hyperlink>
          </w:p>
        </w:tc>
        <w:tc>
          <w:tcPr>
            <w:tcW w:w="4120" w:type="dxa"/>
            <w:vAlign w:val="bottom"/>
            <w:tcBorders>
              <w:bottom w:val="single" w:sz="8" w:color="CCEEFF"/>
            </w:tcBorders>
            <w:gridSpan w:val="6"/>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21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3"/>
          </w:tcPr>
          <w:p>
            <w:pPr>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Item 4.</w:t>
              </w:r>
            </w:hyperlink>
          </w:p>
        </w:tc>
        <w:tc>
          <w:tcPr>
            <w:tcW w:w="9660" w:type="dxa"/>
            <w:vAlign w:val="bottom"/>
            <w:gridSpan w:val="17"/>
          </w:tcPr>
          <w:p>
            <w:pPr>
              <w:ind w:left="180"/>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Controls and Procedures</w:t>
              </w:r>
            </w:hyperlink>
          </w:p>
        </w:tc>
        <w:tc>
          <w:tcPr>
            <w:tcW w:w="900" w:type="dxa"/>
            <w:vAlign w:val="bottom"/>
          </w:tcPr>
          <w:p>
            <w:pPr>
              <w:jc w:val="center"/>
              <w:spacing w:after="0" w:line="146" w:lineRule="exact"/>
              <w:rPr>
                <w:sz w:val="20"/>
                <w:szCs w:val="20"/>
                <w:color w:val="auto"/>
              </w:rPr>
            </w:pPr>
            <w:r>
              <w:rPr>
                <w:rFonts w:ascii="Arial" w:cs="Arial" w:eastAsia="Arial" w:hAnsi="Arial"/>
                <w:sz w:val="15"/>
                <w:szCs w:val="15"/>
                <w:color w:val="auto"/>
                <w:w w:val="83"/>
              </w:rPr>
              <w:t>30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60" w:type="dxa"/>
            <w:vAlign w:val="bottom"/>
            <w:gridSpan w:val="10"/>
          </w:tcPr>
          <w:p>
            <w:pPr>
              <w:jc w:val="center"/>
              <w:ind w:right="3520"/>
              <w:spacing w:after="0"/>
              <w:rPr>
                <w:rFonts w:ascii="Arial" w:cs="Arial" w:eastAsia="Arial" w:hAnsi="Arial"/>
                <w:sz w:val="15"/>
                <w:szCs w:val="15"/>
                <w:b w:val="1"/>
                <w:bCs w:val="1"/>
                <w:color w:val="0000EE"/>
              </w:rPr>
            </w:pPr>
            <w:hyperlink w:anchor="page19">
              <w:r>
                <w:rPr>
                  <w:rFonts w:ascii="Arial" w:cs="Arial" w:eastAsia="Arial" w:hAnsi="Arial"/>
                  <w:sz w:val="15"/>
                  <w:szCs w:val="15"/>
                  <w:b w:val="1"/>
                  <w:bCs w:val="1"/>
                  <w:color w:val="0000EE"/>
                </w:rPr>
                <w:t>PART II. 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40" w:type="dxa"/>
            <w:vAlign w:val="bottom"/>
            <w:tcBorders>
              <w:right w:val="single" w:sz="8" w:color="CCEEFF"/>
            </w:tcBorders>
            <w:shd w:val="clear" w:color="auto" w:fill="CCEEFF"/>
          </w:tcPr>
          <w:p>
            <w:pPr>
              <w:spacing w:after="0" w:line="146" w:lineRule="exact"/>
              <w:rPr>
                <w:rFonts w:ascii="Arial" w:cs="Arial" w:eastAsia="Arial" w:hAnsi="Arial"/>
                <w:sz w:val="15"/>
                <w:szCs w:val="15"/>
                <w:color w:val="0000EE"/>
                <w:w w:val="87"/>
              </w:rPr>
            </w:pPr>
            <w:hyperlink w:anchor="page19">
              <w:r>
                <w:rPr>
                  <w:rFonts w:ascii="Arial" w:cs="Arial" w:eastAsia="Arial" w:hAnsi="Arial"/>
                  <w:sz w:val="15"/>
                  <w:szCs w:val="15"/>
                  <w:color w:val="0000EE"/>
                  <w:w w:val="87"/>
                </w:rPr>
                <w:t>Item 1.</w:t>
              </w:r>
            </w:hyperlink>
          </w:p>
        </w:tc>
        <w:tc>
          <w:tcPr>
            <w:tcW w:w="260" w:type="dxa"/>
            <w:vAlign w:val="bottom"/>
            <w:gridSpan w:val="2"/>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460" w:type="dxa"/>
            <w:vAlign w:val="bottom"/>
            <w:gridSpan w:val="16"/>
            <w:shd w:val="clear" w:color="auto" w:fill="CCEEFF"/>
          </w:tcPr>
          <w:p>
            <w:pPr>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Legal Proceedings</w:t>
              </w:r>
            </w:hyperlink>
          </w:p>
        </w:tc>
        <w:tc>
          <w:tcPr>
            <w:tcW w:w="90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83"/>
              </w:rPr>
              <w:t>32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520" w:type="dxa"/>
            <w:vAlign w:val="bottom"/>
            <w:tcBorders>
              <w:bottom w:val="single" w:sz="8" w:color="0000EE"/>
            </w:tcBorders>
            <w:gridSpan w:val="2"/>
          </w:tcPr>
          <w:p>
            <w:pPr>
              <w:spacing w:after="0" w:line="146" w:lineRule="exact"/>
              <w:rPr>
                <w:rFonts w:ascii="Arial" w:cs="Arial" w:eastAsia="Arial" w:hAnsi="Arial"/>
                <w:sz w:val="15"/>
                <w:szCs w:val="15"/>
                <w:color w:val="0000EE"/>
                <w:w w:val="89"/>
              </w:rPr>
            </w:pPr>
            <w:hyperlink w:anchor="page19">
              <w:r>
                <w:rPr>
                  <w:rFonts w:ascii="Arial" w:cs="Arial" w:eastAsia="Arial" w:hAnsi="Arial"/>
                  <w:sz w:val="15"/>
                  <w:szCs w:val="15"/>
                  <w:color w:val="0000EE"/>
                  <w:w w:val="89"/>
                </w:rPr>
                <w:t>Item 1A.</w:t>
              </w:r>
            </w:hyperlink>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0000EE"/>
            </w:tcBorders>
            <w:gridSpan w:val="2"/>
          </w:tcPr>
          <w:p>
            <w:pPr>
              <w:spacing w:after="0" w:line="146" w:lineRule="exact"/>
              <w:rPr>
                <w:rFonts w:ascii="Arial" w:cs="Arial" w:eastAsia="Arial" w:hAnsi="Arial"/>
                <w:sz w:val="15"/>
                <w:szCs w:val="15"/>
                <w:color w:val="0000EE"/>
                <w:w w:val="86"/>
              </w:rPr>
            </w:pPr>
            <w:hyperlink w:anchor="page19">
              <w:r>
                <w:rPr>
                  <w:rFonts w:ascii="Arial" w:cs="Arial" w:eastAsia="Arial" w:hAnsi="Arial"/>
                  <w:sz w:val="15"/>
                  <w:szCs w:val="15"/>
                  <w:color w:val="0000EE"/>
                  <w:w w:val="86"/>
                </w:rPr>
                <w:t>Risk Factors</w:t>
              </w:r>
            </w:hyperlink>
          </w:p>
        </w:tc>
        <w:tc>
          <w:tcPr>
            <w:tcW w:w="8720" w:type="dxa"/>
            <w:vAlign w:val="bottom"/>
            <w:gridSpan w:val="14"/>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5"/>
                <w:szCs w:val="15"/>
                <w:color w:val="auto"/>
                <w:w w:val="83"/>
              </w:rPr>
              <w:t>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Borders>
              <w:bottom w:val="single" w:sz="8" w:color="0000EE"/>
              <w:right w:val="single" w:sz="8" w:color="CCEEFF"/>
            </w:tcBorders>
            <w:shd w:val="clear" w:color="auto" w:fill="CCEEFF"/>
          </w:tcPr>
          <w:p>
            <w:pPr>
              <w:spacing w:after="0" w:line="159" w:lineRule="exact"/>
              <w:rPr>
                <w:rFonts w:ascii="Arial" w:cs="Arial" w:eastAsia="Arial" w:hAnsi="Arial"/>
                <w:sz w:val="15"/>
                <w:szCs w:val="15"/>
                <w:color w:val="0000EE"/>
                <w:w w:val="87"/>
              </w:rPr>
            </w:pPr>
            <w:hyperlink w:anchor="page39">
              <w:r>
                <w:rPr>
                  <w:rFonts w:ascii="Arial" w:cs="Arial" w:eastAsia="Arial" w:hAnsi="Arial"/>
                  <w:sz w:val="15"/>
                  <w:szCs w:val="15"/>
                  <w:color w:val="0000EE"/>
                  <w:w w:val="87"/>
                </w:rPr>
                <w:t>Item 2.</w:t>
              </w:r>
            </w:hyperlink>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3600" w:type="dxa"/>
            <w:vAlign w:val="bottom"/>
            <w:tcBorders>
              <w:bottom w:val="single" w:sz="8" w:color="0000EE"/>
            </w:tcBorders>
            <w:gridSpan w:val="8"/>
            <w:shd w:val="clear" w:color="auto" w:fill="CCEEFF"/>
          </w:tcPr>
          <w:p>
            <w:pPr>
              <w:spacing w:after="0" w:line="159" w:lineRule="exact"/>
              <w:rPr>
                <w:rFonts w:ascii="Arial" w:cs="Arial" w:eastAsia="Arial" w:hAnsi="Arial"/>
                <w:sz w:val="15"/>
                <w:szCs w:val="15"/>
                <w:color w:val="0000EE"/>
                <w:w w:val="88"/>
              </w:rPr>
            </w:pPr>
            <w:hyperlink w:anchor="page39">
              <w:r>
                <w:rPr>
                  <w:rFonts w:ascii="Arial" w:cs="Arial" w:eastAsia="Arial" w:hAnsi="Arial"/>
                  <w:sz w:val="15"/>
                  <w:szCs w:val="15"/>
                  <w:color w:val="0000EE"/>
                  <w:w w:val="88"/>
                </w:rPr>
                <w:t>Unregistered Sales of Equity Securities and Use of Proceeds</w:t>
              </w:r>
            </w:hyperlink>
          </w:p>
        </w:tc>
        <w:tc>
          <w:tcPr>
            <w:tcW w:w="5860" w:type="dxa"/>
            <w:vAlign w:val="bottom"/>
            <w:tcBorders>
              <w:bottom w:val="single" w:sz="8" w:color="CCEEFF"/>
            </w:tcBorders>
            <w:gridSpan w:val="8"/>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64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spacing w:after="0" w:line="146" w:lineRule="exact"/>
              <w:rPr>
                <w:rFonts w:ascii="Arial" w:cs="Arial" w:eastAsia="Arial" w:hAnsi="Arial"/>
                <w:sz w:val="15"/>
                <w:szCs w:val="15"/>
                <w:color w:val="0000EE"/>
                <w:w w:val="87"/>
              </w:rPr>
            </w:pPr>
            <w:hyperlink w:anchor="page39">
              <w:r>
                <w:rPr>
                  <w:rFonts w:ascii="Arial" w:cs="Arial" w:eastAsia="Arial" w:hAnsi="Arial"/>
                  <w:sz w:val="15"/>
                  <w:szCs w:val="15"/>
                  <w:color w:val="0000EE"/>
                  <w:w w:val="87"/>
                </w:rPr>
                <w:t>Item 3.</w:t>
              </w:r>
            </w:hyperlink>
          </w:p>
        </w:tc>
        <w:tc>
          <w:tcPr>
            <w:tcW w:w="2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460" w:type="dxa"/>
            <w:vAlign w:val="bottom"/>
            <w:gridSpan w:val="16"/>
          </w:tcPr>
          <w:p>
            <w:pPr>
              <w:spacing w:after="0" w:line="146" w:lineRule="exact"/>
              <w:rPr>
                <w:rFonts w:ascii="Arial" w:cs="Arial" w:eastAsia="Arial" w:hAnsi="Arial"/>
                <w:sz w:val="15"/>
                <w:szCs w:val="15"/>
                <w:color w:val="0000EE"/>
              </w:rPr>
            </w:pPr>
            <w:hyperlink w:anchor="page39">
              <w:r>
                <w:rPr>
                  <w:rFonts w:ascii="Arial" w:cs="Arial" w:eastAsia="Arial" w:hAnsi="Arial"/>
                  <w:sz w:val="15"/>
                  <w:szCs w:val="15"/>
                  <w:color w:val="0000EE"/>
                </w:rPr>
                <w:t>Defaults Upon Senior Secured Securities</w:t>
              </w:r>
            </w:hyperlink>
          </w:p>
        </w:tc>
        <w:tc>
          <w:tcPr>
            <w:tcW w:w="900" w:type="dxa"/>
            <w:vAlign w:val="bottom"/>
          </w:tcPr>
          <w:p>
            <w:pPr>
              <w:jc w:val="center"/>
              <w:spacing w:after="0" w:line="146" w:lineRule="exact"/>
              <w:rPr>
                <w:sz w:val="20"/>
                <w:szCs w:val="20"/>
                <w:color w:val="auto"/>
              </w:rPr>
            </w:pPr>
            <w:r>
              <w:rPr>
                <w:rFonts w:ascii="Arial" w:cs="Arial" w:eastAsia="Arial" w:hAnsi="Arial"/>
                <w:sz w:val="15"/>
                <w:szCs w:val="15"/>
                <w:color w:val="auto"/>
                <w:w w:val="83"/>
              </w:rPr>
              <w:t>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Borders>
              <w:top w:val="single" w:sz="8" w:color="0000EE"/>
              <w:right w:val="single" w:sz="8" w:color="CCEEFF"/>
            </w:tcBorders>
            <w:shd w:val="clear" w:color="auto" w:fill="CCEEFF"/>
          </w:tcPr>
          <w:p>
            <w:pPr>
              <w:spacing w:after="0" w:line="159" w:lineRule="exact"/>
              <w:rPr>
                <w:rFonts w:ascii="Arial" w:cs="Arial" w:eastAsia="Arial" w:hAnsi="Arial"/>
                <w:sz w:val="15"/>
                <w:szCs w:val="15"/>
                <w:color w:val="0000EE"/>
                <w:w w:val="87"/>
              </w:rPr>
            </w:pPr>
            <w:hyperlink w:anchor="page39">
              <w:r>
                <w:rPr>
                  <w:rFonts w:ascii="Arial" w:cs="Arial" w:eastAsia="Arial" w:hAnsi="Arial"/>
                  <w:sz w:val="15"/>
                  <w:szCs w:val="15"/>
                  <w:color w:val="0000EE"/>
                  <w:w w:val="87"/>
                </w:rPr>
                <w:t>Item 6.</w:t>
              </w:r>
            </w:hyperlink>
          </w:p>
        </w:tc>
        <w:tc>
          <w:tcPr>
            <w:tcW w:w="260" w:type="dxa"/>
            <w:vAlign w:val="bottom"/>
            <w:gridSpan w:val="2"/>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420" w:type="dxa"/>
            <w:vAlign w:val="bottom"/>
            <w:tcBorders>
              <w:top w:val="single" w:sz="8" w:color="0000EE"/>
            </w:tcBorders>
            <w:gridSpan w:val="5"/>
            <w:shd w:val="clear" w:color="auto" w:fill="CCEEFF"/>
          </w:tcPr>
          <w:p>
            <w:pPr>
              <w:spacing w:after="0" w:line="159" w:lineRule="exact"/>
              <w:rPr>
                <w:rFonts w:ascii="Arial" w:cs="Arial" w:eastAsia="Arial" w:hAnsi="Arial"/>
                <w:sz w:val="15"/>
                <w:szCs w:val="15"/>
                <w:color w:val="0000EE"/>
              </w:rPr>
            </w:pPr>
            <w:hyperlink w:anchor="page39">
              <w:r>
                <w:rPr>
                  <w:rFonts w:ascii="Arial" w:cs="Arial" w:eastAsia="Arial" w:hAnsi="Arial"/>
                  <w:sz w:val="15"/>
                  <w:szCs w:val="15"/>
                  <w:color w:val="0000EE"/>
                </w:rPr>
                <w:t>Exhibits</w:t>
              </w:r>
            </w:hyperlink>
          </w:p>
        </w:tc>
        <w:tc>
          <w:tcPr>
            <w:tcW w:w="7040" w:type="dxa"/>
            <w:vAlign w:val="bottom"/>
            <w:gridSpan w:val="11"/>
            <w:shd w:val="clear" w:color="auto" w:fill="CCEEFF"/>
          </w:tcPr>
          <w:p>
            <w:pPr>
              <w:spacing w:after="0"/>
              <w:rPr>
                <w:sz w:val="14"/>
                <w:szCs w:val="14"/>
                <w:color w:val="auto"/>
              </w:rPr>
            </w:pP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64</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gridSpan w:val="2"/>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5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360" w:type="dxa"/>
            <w:vAlign w:val="bottom"/>
            <w:gridSpan w:val="20"/>
            <w:shd w:val="clear" w:color="auto" w:fill="CCEEFF"/>
          </w:tcPr>
          <w:p>
            <w:pPr>
              <w:spacing w:after="0" w:line="146" w:lineRule="exact"/>
              <w:rPr>
                <w:rFonts w:ascii="Arial" w:cs="Arial" w:eastAsia="Arial" w:hAnsi="Arial"/>
                <w:sz w:val="15"/>
                <w:szCs w:val="15"/>
                <w:color w:val="0000EE"/>
              </w:rPr>
            </w:pPr>
            <w:hyperlink w:anchor="page39">
              <w:r>
                <w:rPr>
                  <w:rFonts w:ascii="Arial" w:cs="Arial" w:eastAsia="Arial" w:hAnsi="Arial"/>
                  <w:sz w:val="15"/>
                  <w:szCs w:val="15"/>
                  <w:color w:val="0000EE"/>
                </w:rPr>
                <w:t>SIGNATURES</w:t>
              </w:r>
            </w:hyperlink>
          </w:p>
        </w:tc>
        <w:tc>
          <w:tcPr>
            <w:tcW w:w="90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w w:val="83"/>
              </w:rPr>
              <w:t>65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583" w:right="319" w:bottom="0" w:gutter="0" w:footer="0" w:header="0"/>
        </w:sectPr>
      </w:pPr>
    </w:p>
    <w:bookmarkStart w:id="1" w:name="page2"/>
    <w:bookmarkEnd w:id="1"/>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EE"/>
            </w:tcBorders>
            <w:gridSpan w:val="2"/>
          </w:tcPr>
          <w:p>
            <w:pPr>
              <w:spacing w:after="0"/>
              <w:rPr>
                <w:rFonts w:ascii="Arial" w:cs="Arial" w:eastAsia="Arial" w:hAnsi="Arial"/>
                <w:sz w:val="15"/>
                <w:szCs w:val="15"/>
                <w:i w:val="1"/>
                <w:iCs w:val="1"/>
                <w:color w:val="0000EE"/>
                <w:w w:val="87"/>
              </w:rPr>
            </w:pPr>
            <w:hyperlink w:anchor="page1">
              <w:r>
                <w:rPr>
                  <w:rFonts w:ascii="Arial" w:cs="Arial" w:eastAsia="Arial" w:hAnsi="Arial"/>
                  <w:sz w:val="15"/>
                  <w:szCs w:val="15"/>
                  <w:i w:val="1"/>
                  <w:iCs w:val="1"/>
                  <w:color w:val="0000EE"/>
                  <w:w w:val="87"/>
                </w:rPr>
                <w:t>Table of Contents</w:t>
              </w:r>
            </w:hyperlink>
          </w:p>
        </w:tc>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8300" w:type="dxa"/>
            <w:vAlign w:val="bottom"/>
            <w:gridSpan w:val="3"/>
          </w:tcPr>
          <w:p>
            <w:pPr>
              <w:spacing w:after="0"/>
              <w:rPr>
                <w:sz w:val="20"/>
                <w:szCs w:val="20"/>
                <w:color w:val="auto"/>
              </w:rPr>
            </w:pPr>
            <w:r>
              <w:rPr>
                <w:rFonts w:ascii="Arial" w:cs="Arial" w:eastAsia="Arial" w:hAnsi="Arial"/>
                <w:sz w:val="15"/>
                <w:szCs w:val="15"/>
                <w:b w:val="1"/>
                <w:bCs w:val="1"/>
                <w:color w:val="auto"/>
              </w:rPr>
              <w:t>PART I. FINANCIAL INFORMATION</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300" w:type="dxa"/>
            <w:vAlign w:val="bottom"/>
            <w:gridSpan w:val="3"/>
          </w:tcPr>
          <w:p>
            <w:pPr>
              <w:spacing w:after="0"/>
              <w:rPr>
                <w:sz w:val="20"/>
                <w:szCs w:val="20"/>
                <w:color w:val="auto"/>
              </w:rPr>
            </w:pPr>
            <w:r>
              <w:rPr>
                <w:rFonts w:ascii="Arial" w:cs="Arial" w:eastAsia="Arial" w:hAnsi="Arial"/>
                <w:sz w:val="15"/>
                <w:szCs w:val="15"/>
                <w:b w:val="1"/>
                <w:bCs w:val="1"/>
                <w:color w:val="auto"/>
              </w:rPr>
              <w:t>Item 1. Condensed Consolidated Financial Statements (Unaudited)</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rPr>
              <w:t>VISTAGEN THERAPEUTICS, INC.</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w w:val="98"/>
              </w:rPr>
              <w:t>CONDENSED CONSOLIDATED BALANCE SHEETS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40" w:type="dxa"/>
            <w:vAlign w:val="bottom"/>
          </w:tcPr>
          <w:p>
            <w:pPr>
              <w:jc w:val="center"/>
              <w:ind w:left="1865"/>
              <w:spacing w:after="0"/>
              <w:rPr>
                <w:sz w:val="20"/>
                <w:szCs w:val="20"/>
                <w:color w:val="auto"/>
              </w:rPr>
            </w:pPr>
            <w:r>
              <w:rPr>
                <w:rFonts w:ascii="Arial" w:cs="Arial" w:eastAsia="Arial" w:hAnsi="Arial"/>
                <w:sz w:val="15"/>
                <w:szCs w:val="15"/>
                <w:b w:val="1"/>
                <w:bCs w:val="1"/>
                <w:color w:val="auto"/>
                <w:w w:val="88"/>
              </w:rPr>
              <w:t>(Amounts in Dollars, except share amounts)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June 30,</w:t>
            </w:r>
          </w:p>
        </w:tc>
        <w:tc>
          <w:tcPr>
            <w:tcW w:w="18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9"/>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5"/>
              <w:spacing w:after="0"/>
              <w:rPr>
                <w:sz w:val="20"/>
                <w:szCs w:val="20"/>
                <w:color w:val="auto"/>
              </w:rPr>
            </w:pPr>
            <w:r>
              <w:rPr>
                <w:rFonts w:ascii="Arial" w:cs="Arial" w:eastAsia="Arial" w:hAnsi="Arial"/>
                <w:sz w:val="15"/>
                <w:szCs w:val="15"/>
                <w:b w:val="1"/>
                <w:bCs w:val="1"/>
                <w:color w:val="auto"/>
                <w:w w:val="90"/>
              </w:rPr>
              <w:t>(unaudited)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85"/>
              <w:spacing w:after="0"/>
              <w:rPr>
                <w:sz w:val="20"/>
                <w:szCs w:val="20"/>
                <w:color w:val="auto"/>
              </w:rPr>
            </w:pPr>
            <w:r>
              <w:rPr>
                <w:rFonts w:ascii="Arial" w:cs="Arial" w:eastAsia="Arial" w:hAnsi="Arial"/>
                <w:sz w:val="15"/>
                <w:szCs w:val="15"/>
                <w:b w:val="1"/>
                <w:bCs w:val="1"/>
                <w:color w:val="auto"/>
                <w:w w:val="89"/>
              </w:rPr>
              <w:t>(Note 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ind w:left="4260"/>
              <w:spacing w:after="0"/>
              <w:rPr>
                <w:sz w:val="20"/>
                <w:szCs w:val="20"/>
                <w:color w:val="auto"/>
              </w:rPr>
            </w:pPr>
            <w:r>
              <w:rPr>
                <w:rFonts w:ascii="Arial" w:cs="Arial" w:eastAsia="Arial" w:hAnsi="Arial"/>
                <w:sz w:val="15"/>
                <w:szCs w:val="15"/>
                <w:b w:val="1"/>
                <w:bCs w:val="1"/>
                <w:color w:val="auto"/>
              </w:rPr>
              <w:t>ASSETS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00" w:type="dxa"/>
            <w:vAlign w:val="bottom"/>
            <w:gridSpan w:val="3"/>
          </w:tcPr>
          <w:p>
            <w:pPr>
              <w:spacing w:after="0"/>
              <w:rPr>
                <w:sz w:val="20"/>
                <w:szCs w:val="20"/>
                <w:color w:val="auto"/>
              </w:rPr>
            </w:pPr>
            <w:r>
              <w:rPr>
                <w:rFonts w:ascii="Arial" w:cs="Arial" w:eastAsia="Arial" w:hAnsi="Arial"/>
                <w:sz w:val="15"/>
                <w:szCs w:val="15"/>
                <w:color w:val="auto"/>
              </w:rPr>
              <w:t>Current assets: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97,776,900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103,108,300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Receivable from collaboration partner</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44,000</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40,600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1,871,400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835,100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Deferred contract acquisition costs - current portion</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133,500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133,500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ind w:left="440"/>
              <w:spacing w:after="0" w:line="170" w:lineRule="exact"/>
              <w:rPr>
                <w:sz w:val="20"/>
                <w:szCs w:val="20"/>
                <w:color w:val="auto"/>
              </w:rPr>
            </w:pPr>
            <w:r>
              <w:rPr>
                <w:rFonts w:ascii="Arial" w:cs="Arial" w:eastAsia="Arial" w:hAnsi="Arial"/>
                <w:sz w:val="15"/>
                <w:szCs w:val="15"/>
                <w:color w:val="auto"/>
              </w:rPr>
              <w:t>Total current assets</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70" w:lineRule="exact"/>
              <w:rPr>
                <w:sz w:val="20"/>
                <w:szCs w:val="20"/>
                <w:color w:val="auto"/>
              </w:rPr>
            </w:pPr>
            <w:r>
              <w:rPr>
                <w:rFonts w:ascii="Arial" w:cs="Arial" w:eastAsia="Arial" w:hAnsi="Arial"/>
                <w:sz w:val="15"/>
                <w:szCs w:val="15"/>
                <w:color w:val="auto"/>
              </w:rPr>
              <w:t>99,825,800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104,117,500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482,800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367,400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Right of use asset - operating lease</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3,125,300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3,219,600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Deferred offering costs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224,700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294,900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contract acquisition costs - non-current portion</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200,800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234,100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Security deposits and other assets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47,800</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47,800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shd w:val="clear" w:color="auto" w:fill="CCEEFF"/>
          </w:tcPr>
          <w:p>
            <w:pPr>
              <w:ind w:left="440"/>
              <w:spacing w:after="0" w:line="170" w:lineRule="exact"/>
              <w:rPr>
                <w:sz w:val="20"/>
                <w:szCs w:val="20"/>
                <w:color w:val="auto"/>
              </w:rPr>
            </w:pPr>
            <w:r>
              <w:rPr>
                <w:rFonts w:ascii="Arial" w:cs="Arial" w:eastAsia="Arial" w:hAnsi="Arial"/>
                <w:sz w:val="15"/>
                <w:szCs w:val="15"/>
                <w:color w:val="auto"/>
              </w:rPr>
              <w:t>Total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103,907,200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108,281,300</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240" w:type="dxa"/>
            <w:vAlign w:val="bottom"/>
            <w:tcBorders>
              <w:top w:val="single" w:sz="8" w:color="CCEEFF"/>
            </w:tcBorders>
          </w:tcPr>
          <w:p>
            <w:pPr>
              <w:jc w:val="center"/>
              <w:ind w:left="1845"/>
              <w:spacing w:after="0"/>
              <w:rPr>
                <w:sz w:val="20"/>
                <w:szCs w:val="20"/>
                <w:color w:val="auto"/>
              </w:rPr>
            </w:pPr>
            <w:r>
              <w:rPr>
                <w:rFonts w:ascii="Arial" w:cs="Arial" w:eastAsia="Arial" w:hAnsi="Arial"/>
                <w:sz w:val="15"/>
                <w:szCs w:val="15"/>
                <w:b w:val="1"/>
                <w:bCs w:val="1"/>
                <w:color w:val="auto"/>
              </w:rPr>
              <w:t>LIABILITIES AND STOCKHOLDERS’ EQUITY</w:t>
            </w: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00" w:type="dxa"/>
            <w:vAlign w:val="bottom"/>
            <w:gridSpan w:val="3"/>
          </w:tcPr>
          <w:p>
            <w:pPr>
              <w:spacing w:after="0"/>
              <w:rPr>
                <w:sz w:val="20"/>
                <w:szCs w:val="20"/>
                <w:color w:val="auto"/>
              </w:rPr>
            </w:pPr>
            <w:r>
              <w:rPr>
                <w:rFonts w:ascii="Arial" w:cs="Arial" w:eastAsia="Arial" w:hAnsi="Arial"/>
                <w:sz w:val="15"/>
                <w:szCs w:val="15"/>
                <w:color w:val="auto"/>
              </w:rPr>
              <w:t>Current liabilities: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2,316,200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838,300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Accrued expenses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2,150,000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1,562,700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 current portion</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1,420,200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1,420,200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Operating lease obligation - current portion</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378,400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364,800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Financing lease obligation - current portion</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tcPr>
          <w:p>
            <w:pPr>
              <w:ind w:left="440"/>
              <w:spacing w:after="0" w:line="170" w:lineRule="exact"/>
              <w:rPr>
                <w:sz w:val="20"/>
                <w:szCs w:val="20"/>
                <w:color w:val="auto"/>
              </w:rPr>
            </w:pPr>
            <w:r>
              <w:rPr>
                <w:rFonts w:ascii="Arial" w:cs="Arial" w:eastAsia="Arial" w:hAnsi="Arial"/>
                <w:sz w:val="15"/>
                <w:szCs w:val="15"/>
                <w:color w:val="auto"/>
              </w:rPr>
              <w:t>Total current liabilities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5"/>
                <w:szCs w:val="15"/>
                <w:color w:val="auto"/>
              </w:rPr>
              <w:t>6,267,000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4,189,000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Non-current liabilities: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dividends on Series B Preferred Stock</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6,634,500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6,272,700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Deferred revenue - non-current portion</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2,136,200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2,490,300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obligation - non-current portion</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3,252,700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3,350,800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tcPr>
          <w:p>
            <w:pPr>
              <w:ind w:left="280"/>
              <w:spacing w:after="0" w:line="170" w:lineRule="exact"/>
              <w:rPr>
                <w:sz w:val="20"/>
                <w:szCs w:val="20"/>
                <w:color w:val="auto"/>
              </w:rPr>
            </w:pPr>
            <w:r>
              <w:rPr>
                <w:rFonts w:ascii="Arial" w:cs="Arial" w:eastAsia="Arial" w:hAnsi="Arial"/>
                <w:sz w:val="15"/>
                <w:szCs w:val="15"/>
                <w:color w:val="auto"/>
              </w:rPr>
              <w:t>Total non-current liabilities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line="170" w:lineRule="exact"/>
              <w:rPr>
                <w:sz w:val="20"/>
                <w:szCs w:val="20"/>
                <w:color w:val="auto"/>
              </w:rPr>
            </w:pPr>
            <w:r>
              <w:rPr>
                <w:rFonts w:ascii="Arial" w:cs="Arial" w:eastAsia="Arial" w:hAnsi="Arial"/>
                <w:sz w:val="15"/>
                <w:szCs w:val="15"/>
                <w:color w:val="auto"/>
              </w:rPr>
              <w:t>12,023,400</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12,113,800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ind w:left="280"/>
              <w:spacing w:after="0" w:line="170" w:lineRule="exact"/>
              <w:rPr>
                <w:sz w:val="20"/>
                <w:szCs w:val="20"/>
                <w:color w:val="auto"/>
              </w:rPr>
            </w:pPr>
            <w:r>
              <w:rPr>
                <w:rFonts w:ascii="Arial" w:cs="Arial" w:eastAsia="Arial" w:hAnsi="Arial"/>
                <w:sz w:val="15"/>
                <w:szCs w:val="15"/>
                <w:color w:val="auto"/>
              </w:rPr>
              <w:t>Total liabilities</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70" w:lineRule="exact"/>
              <w:rPr>
                <w:sz w:val="20"/>
                <w:szCs w:val="20"/>
                <w:color w:val="auto"/>
              </w:rPr>
            </w:pPr>
            <w:r>
              <w:rPr>
                <w:rFonts w:ascii="Arial" w:cs="Arial" w:eastAsia="Arial" w:hAnsi="Arial"/>
                <w:sz w:val="15"/>
                <w:szCs w:val="15"/>
                <w:color w:val="auto"/>
              </w:rPr>
              <w:t>18,290,400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16,302,800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72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Commitments and contingencies (Note 10)</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60"/>
              <w:spacing w:after="0"/>
              <w:rPr>
                <w:sz w:val="20"/>
                <w:szCs w:val="20"/>
                <w:color w:val="auto"/>
              </w:rPr>
            </w:pPr>
            <w:r>
              <w:rPr>
                <w:rFonts w:ascii="Arial" w:cs="Arial" w:eastAsia="Arial" w:hAnsi="Arial"/>
                <w:sz w:val="15"/>
                <w:szCs w:val="15"/>
                <w:color w:val="auto"/>
              </w:rPr>
              <w:t>Preferred stock, $0.001 par value; 10,000,000 shares authorized at June 30, 2021 and March 31, 2021: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Series A Preferred, 500,000 shares authorized, issued and outstanding at June 30, 2021 and March 31, 2021</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500</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320"/>
              <w:spacing w:after="0"/>
              <w:rPr>
                <w:sz w:val="20"/>
                <w:szCs w:val="20"/>
                <w:color w:val="auto"/>
              </w:rPr>
            </w:pPr>
            <w:r>
              <w:rPr>
                <w:rFonts w:ascii="Arial" w:cs="Arial" w:eastAsia="Arial" w:hAnsi="Arial"/>
                <w:sz w:val="15"/>
                <w:szCs w:val="15"/>
                <w:color w:val="auto"/>
              </w:rPr>
              <w:t>Series B Preferred; 4,000,000 shares authorized at June 30, 2021 and March 31, 2021; 1,131,669 shares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issued and outstanding at June 30, 2021 and March 31, 2021</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320"/>
              <w:spacing w:after="0"/>
              <w:rPr>
                <w:sz w:val="20"/>
                <w:szCs w:val="20"/>
                <w:color w:val="auto"/>
              </w:rPr>
            </w:pPr>
            <w:r>
              <w:rPr>
                <w:rFonts w:ascii="Arial" w:cs="Arial" w:eastAsia="Arial" w:hAnsi="Arial"/>
                <w:sz w:val="15"/>
                <w:szCs w:val="15"/>
                <w:color w:val="auto"/>
              </w:rPr>
              <w:t>Series C Preferred; 3,000,000 shares authorized at June 30, 2021 and March 31, 2021; 2,318,012 shares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issued and outstanding at June 30, 2021 and March 31, 2021</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320"/>
              <w:spacing w:after="0"/>
              <w:rPr>
                <w:sz w:val="20"/>
                <w:szCs w:val="20"/>
                <w:color w:val="auto"/>
              </w:rPr>
            </w:pPr>
            <w:r>
              <w:rPr>
                <w:rFonts w:ascii="Arial" w:cs="Arial" w:eastAsia="Arial" w:hAnsi="Arial"/>
                <w:sz w:val="15"/>
                <w:szCs w:val="15"/>
                <w:color w:val="auto"/>
              </w:rPr>
              <w:t>Series D Preferred; 2,000,000 shares authorized at June 30, 2021 and March 31, 2021; no shares and 402,149</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shares issued and outstanding at June 30, 2021 and March 31, 2021, respectively</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Common stock, $0.001 par value; 325,000,000 shares authorized at June 30, 2021 and March 31, 2021; 191,632,008</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and 180,751,234 shares issued at June 30, 2021 and March 31, 2021, respectively</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191,600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180,800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Additional paid-in capital</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316,975,600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315,603,100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Treasury stock, at cost, 135,665 shares of common stock held at June 30, 2021 and March 31, 2021</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(3,968,100)</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(3,968,100)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Accumulated deficit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(227,586,200)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(219,841,600)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ind w:left="440"/>
              <w:spacing w:after="0" w:line="170" w:lineRule="exact"/>
              <w:rPr>
                <w:sz w:val="20"/>
                <w:szCs w:val="20"/>
                <w:color w:val="auto"/>
              </w:rPr>
            </w:pPr>
            <w:r>
              <w:rPr>
                <w:rFonts w:ascii="Arial" w:cs="Arial" w:eastAsia="Arial" w:hAnsi="Arial"/>
                <w:sz w:val="15"/>
                <w:szCs w:val="15"/>
                <w:color w:val="auto"/>
              </w:rPr>
              <w:t>Total stockholders’ equity</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70" w:lineRule="exact"/>
              <w:rPr>
                <w:sz w:val="20"/>
                <w:szCs w:val="20"/>
                <w:color w:val="auto"/>
              </w:rPr>
            </w:pPr>
            <w:r>
              <w:rPr>
                <w:rFonts w:ascii="Arial" w:cs="Arial" w:eastAsia="Arial" w:hAnsi="Arial"/>
                <w:sz w:val="15"/>
                <w:szCs w:val="15"/>
                <w:color w:val="auto"/>
              </w:rPr>
              <w:t>85,616,800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91,978,500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tcPr>
          <w:p>
            <w:pPr>
              <w:ind w:left="440"/>
              <w:spacing w:after="0" w:line="170" w:lineRule="exact"/>
              <w:rPr>
                <w:sz w:val="20"/>
                <w:szCs w:val="20"/>
                <w:color w:val="auto"/>
              </w:rPr>
            </w:pPr>
            <w:r>
              <w:rPr>
                <w:rFonts w:ascii="Arial" w:cs="Arial" w:eastAsia="Arial" w:hAnsi="Arial"/>
                <w:sz w:val="15"/>
                <w:szCs w:val="15"/>
                <w:color w:val="auto"/>
              </w:rPr>
              <w:t>Total liabilities and stockholders’ equity</w:t>
            </w:r>
          </w:p>
        </w:tc>
        <w:tc>
          <w:tcPr>
            <w:tcW w:w="400" w:type="dxa"/>
            <w:vAlign w:val="bottom"/>
          </w:tcPr>
          <w:p>
            <w:pPr>
              <w:spacing w:after="0"/>
              <w:rPr>
                <w:sz w:val="14"/>
                <w:szCs w:val="14"/>
                <w:color w:val="auto"/>
              </w:rPr>
            </w:pPr>
          </w:p>
        </w:tc>
        <w:tc>
          <w:tcPr>
            <w:tcW w:w="14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0" w:lineRule="exact"/>
              <w:rPr>
                <w:sz w:val="20"/>
                <w:szCs w:val="20"/>
                <w:color w:val="auto"/>
              </w:rPr>
            </w:pPr>
            <w:r>
              <w:rPr>
                <w:rFonts w:ascii="Arial" w:cs="Arial" w:eastAsia="Arial" w:hAnsi="Arial"/>
                <w:sz w:val="15"/>
                <w:szCs w:val="15"/>
                <w:color w:val="auto"/>
              </w:rPr>
              <w:t>103,907,200</w:t>
            </w:r>
          </w:p>
        </w:tc>
        <w:tc>
          <w:tcPr>
            <w:tcW w:w="220" w:type="dxa"/>
            <w:vAlign w:val="bottom"/>
          </w:tcPr>
          <w:p>
            <w:pPr>
              <w:spacing w:after="0"/>
              <w:rPr>
                <w:sz w:val="14"/>
                <w:szCs w:val="14"/>
                <w:color w:val="auto"/>
              </w:rPr>
            </w:pPr>
          </w:p>
        </w:tc>
        <w:tc>
          <w:tcPr>
            <w:tcW w:w="180" w:type="dxa"/>
            <w:vAlign w:val="bottom"/>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108,281,300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vMerge w:val="restart"/>
          </w:tcPr>
          <w:p>
            <w:pPr>
              <w:jc w:val="center"/>
              <w:ind w:left="1845"/>
              <w:spacing w:after="0"/>
              <w:rPr>
                <w:sz w:val="20"/>
                <w:szCs w:val="20"/>
                <w:color w:val="auto"/>
              </w:rPr>
            </w:pPr>
            <w:r>
              <w:rPr>
                <w:rFonts w:ascii="Arial" w:cs="Arial" w:eastAsia="Arial" w:hAnsi="Arial"/>
                <w:sz w:val="15"/>
                <w:szCs w:val="15"/>
                <w:color w:val="auto"/>
                <w:w w:val="88"/>
              </w:rPr>
              <w:t>See accompanying notes to Condensed Consolidated Financial Statements.</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8280" w:type="dxa"/>
            <w:vAlign w:val="bottom"/>
            <w:tcBorders>
              <w:bottom w:val="single" w:sz="8" w:color="auto"/>
            </w:tcBorders>
            <w:gridSpan w:val="2"/>
          </w:tcPr>
          <w:p>
            <w:pPr>
              <w:jc w:val="center"/>
              <w:ind w:left="2885"/>
              <w:spacing w:after="0"/>
              <w:rPr>
                <w:sz w:val="20"/>
                <w:szCs w:val="20"/>
                <w:color w:val="auto"/>
              </w:rPr>
            </w:pPr>
            <w:r>
              <w:rPr>
                <w:rFonts w:ascii="Arial" w:cs="Arial" w:eastAsia="Arial" w:hAnsi="Arial"/>
                <w:sz w:val="15"/>
                <w:szCs w:val="15"/>
                <w:color w:val="auto"/>
                <w:w w:val="95"/>
              </w:rPr>
              <w:t>3</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300" w:type="dxa"/>
            <w:vAlign w:val="bottom"/>
            <w:gridSpan w:val="3"/>
          </w:tcPr>
          <w:p>
            <w:pPr>
              <w:spacing w:after="0"/>
              <w:rPr>
                <w:rFonts w:ascii="Arial" w:cs="Arial" w:eastAsia="Arial" w:hAnsi="Arial"/>
                <w:sz w:val="15"/>
                <w:szCs w:val="15"/>
                <w:i w:val="1"/>
                <w:iCs w:val="1"/>
                <w:color w:val="0000EE"/>
              </w:rPr>
            </w:pPr>
            <w:hyperlink w:anchor="page1">
              <w:r>
                <w:rPr>
                  <w:rFonts w:ascii="Arial" w:cs="Arial" w:eastAsia="Arial" w:hAnsi="Arial"/>
                  <w:sz w:val="15"/>
                  <w:szCs w:val="15"/>
                  <w:i w:val="1"/>
                  <w:iCs w:val="1"/>
                  <w:color w:val="0000EE"/>
                </w:rPr>
                <w:t>Table of Contents</w:t>
              </w:r>
            </w:hyperlink>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rPr>
              <w:t>VISTAGEN THERAPEUTICS, INC.</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980" w:type="dxa"/>
            <w:vAlign w:val="bottom"/>
            <w:gridSpan w:val="5"/>
          </w:tcPr>
          <w:p>
            <w:pPr>
              <w:jc w:val="center"/>
              <w:ind w:left="105"/>
              <w:spacing w:after="0"/>
              <w:rPr>
                <w:sz w:val="20"/>
                <w:szCs w:val="20"/>
                <w:color w:val="auto"/>
              </w:rPr>
            </w:pPr>
            <w:r>
              <w:rPr>
                <w:rFonts w:ascii="Arial" w:cs="Arial" w:eastAsia="Arial" w:hAnsi="Arial"/>
                <w:sz w:val="15"/>
                <w:szCs w:val="15"/>
                <w:b w:val="1"/>
                <w:bCs w:val="1"/>
                <w:color w:val="auto"/>
                <w:w w:val="98"/>
              </w:rPr>
              <w:t>CONDENSED CONSOLIDATED STATEMENTS OF OPERATIONS AND COMPREHENSIVE LOSS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w w:val="91"/>
              </w:rPr>
              <w:t>(Unaudited)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w w:val="88"/>
              </w:rPr>
              <w:t>(Amounts in dollars, except share amounts)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360"/>
              <w:spacing w:after="0"/>
              <w:rPr>
                <w:sz w:val="20"/>
                <w:szCs w:val="20"/>
                <w:color w:val="auto"/>
              </w:rPr>
            </w:pPr>
            <w:r>
              <w:rPr>
                <w:rFonts w:ascii="Arial" w:cs="Arial" w:eastAsia="Arial" w:hAnsi="Arial"/>
                <w:sz w:val="15"/>
                <w:szCs w:val="15"/>
                <w:b w:val="1"/>
                <w:bCs w:val="1"/>
                <w:color w:val="auto"/>
                <w:w w:val="96"/>
              </w:rPr>
              <w:t>Three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center"/>
              <w:ind w:right="5"/>
              <w:spacing w:after="0" w:line="171" w:lineRule="exact"/>
              <w:rPr>
                <w:sz w:val="20"/>
                <w:szCs w:val="20"/>
                <w:color w:val="auto"/>
              </w:rPr>
            </w:pPr>
            <w:r>
              <w:rPr>
                <w:rFonts w:ascii="Arial" w:cs="Arial" w:eastAsia="Arial" w:hAnsi="Arial"/>
                <w:sz w:val="15"/>
                <w:szCs w:val="15"/>
                <w:b w:val="1"/>
                <w:bCs w:val="1"/>
                <w:color w:val="auto"/>
                <w:w w:val="89"/>
              </w:rPr>
              <w:t>2021</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85"/>
              <w:spacing w:after="0" w:line="171" w:lineRule="exact"/>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Sublicense revenue</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354,100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tcPr>
          <w:p>
            <w:pPr>
              <w:ind w:left="280"/>
              <w:spacing w:after="0" w:line="170" w:lineRule="exact"/>
              <w:rPr>
                <w:sz w:val="20"/>
                <w:szCs w:val="20"/>
                <w:color w:val="auto"/>
              </w:rPr>
            </w:pPr>
            <w:r>
              <w:rPr>
                <w:rFonts w:ascii="Arial" w:cs="Arial" w:eastAsia="Arial" w:hAnsi="Arial"/>
                <w:sz w:val="15"/>
                <w:szCs w:val="15"/>
                <w:color w:val="auto"/>
              </w:rPr>
              <w:t>Total revenues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5"/>
                <w:szCs w:val="15"/>
                <w:color w:val="auto"/>
              </w:rPr>
              <w:t>354,100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Operating expenses:</w:t>
            </w: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Research and development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5,603,600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1,731,200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2,496,700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1,390,600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tcPr>
          <w:p>
            <w:pPr>
              <w:ind w:left="280"/>
              <w:spacing w:after="0" w:line="170" w:lineRule="exact"/>
              <w:rPr>
                <w:sz w:val="20"/>
                <w:szCs w:val="20"/>
                <w:color w:val="auto"/>
              </w:rPr>
            </w:pPr>
            <w:r>
              <w:rPr>
                <w:rFonts w:ascii="Arial" w:cs="Arial" w:eastAsia="Arial" w:hAnsi="Arial"/>
                <w:sz w:val="15"/>
                <w:szCs w:val="15"/>
                <w:color w:val="auto"/>
              </w:rPr>
              <w:t>Total operating expenses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5"/>
                <w:szCs w:val="15"/>
                <w:color w:val="auto"/>
              </w:rPr>
              <w:t>8,100,300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3,121,800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Loss from operations</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(7,746,200)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(3,121,800)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2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income (expenses), net:</w:t>
            </w:r>
          </w:p>
        </w:tc>
        <w:tc>
          <w:tcPr>
            <w:tcW w:w="4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80"/>
          </w:cols>
          <w:pgMar w:left="300" w:top="487" w:right="3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income (expense), net</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Other income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Loss before income taxes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(7,741,100)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(3,124,400)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Income taxes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(3,400)</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(2,400)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Net loss and comprehensive loss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(7,744,500)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(3,126,800)</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dividends on Series B Preferred stock</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(361,800)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(335,800)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72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(8,106,300)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(3,462,600)</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72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Basic and diluted net loss attributable to common</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stockholders per common share</w:t>
            </w:r>
          </w:p>
        </w:tc>
        <w:tc>
          <w:tcPr>
            <w:tcW w:w="5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(0.04)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restart"/>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Weighted average shares used in computing</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basic and diluted net loss attributable to common</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stockholders per common share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189,924,158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51,321,355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vMerge w:val="restart"/>
          </w:tcPr>
          <w:p>
            <w:pPr>
              <w:jc w:val="center"/>
              <w:ind w:left="1845"/>
              <w:spacing w:after="0"/>
              <w:rPr>
                <w:sz w:val="20"/>
                <w:szCs w:val="20"/>
                <w:color w:val="auto"/>
              </w:rPr>
            </w:pPr>
            <w:r>
              <w:rPr>
                <w:rFonts w:ascii="Arial" w:cs="Arial" w:eastAsia="Arial" w:hAnsi="Arial"/>
                <w:sz w:val="15"/>
                <w:szCs w:val="15"/>
                <w:color w:val="auto"/>
                <w:w w:val="88"/>
              </w:rPr>
              <w:t>See accompanying notes to Condensed Consolidated Financial Statements.</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8280" w:type="dxa"/>
            <w:vAlign w:val="bottom"/>
            <w:tcBorders>
              <w:bottom w:val="single" w:sz="8" w:color="auto"/>
            </w:tcBorders>
            <w:gridSpan w:val="2"/>
          </w:tcPr>
          <w:p>
            <w:pPr>
              <w:jc w:val="center"/>
              <w:ind w:left="2885"/>
              <w:spacing w:after="0"/>
              <w:rPr>
                <w:sz w:val="20"/>
                <w:szCs w:val="20"/>
                <w:color w:val="auto"/>
              </w:rPr>
            </w:pPr>
            <w:r>
              <w:rPr>
                <w:rFonts w:ascii="Arial" w:cs="Arial" w:eastAsia="Arial" w:hAnsi="Arial"/>
                <w:sz w:val="15"/>
                <w:szCs w:val="15"/>
                <w:color w:val="auto"/>
                <w:w w:val="95"/>
              </w:rPr>
              <w:t>4</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300" w:type="dxa"/>
            <w:vAlign w:val="bottom"/>
            <w:gridSpan w:val="3"/>
          </w:tcPr>
          <w:p>
            <w:pPr>
              <w:spacing w:after="0"/>
              <w:rPr>
                <w:rFonts w:ascii="Arial" w:cs="Arial" w:eastAsia="Arial" w:hAnsi="Arial"/>
                <w:sz w:val="15"/>
                <w:szCs w:val="15"/>
                <w:i w:val="1"/>
                <w:iCs w:val="1"/>
                <w:color w:val="0000EE"/>
              </w:rPr>
            </w:pPr>
            <w:hyperlink w:anchor="page1">
              <w:r>
                <w:rPr>
                  <w:rFonts w:ascii="Arial" w:cs="Arial" w:eastAsia="Arial" w:hAnsi="Arial"/>
                  <w:sz w:val="15"/>
                  <w:szCs w:val="15"/>
                  <w:i w:val="1"/>
                  <w:iCs w:val="1"/>
                  <w:color w:val="0000EE"/>
                </w:rPr>
                <w:t>Table of Contents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rPr>
              <w:t>VISTAGEN THERAPEUTICS, INC.</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w w:val="98"/>
              </w:rPr>
              <w:t>CONDENSED CONSOLIDATED STATEMENTS OF CASH FLOWS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40" w:type="dxa"/>
            <w:vAlign w:val="bottom"/>
          </w:tcPr>
          <w:p>
            <w:pPr>
              <w:jc w:val="center"/>
              <w:ind w:left="1845"/>
              <w:spacing w:after="0"/>
              <w:rPr>
                <w:sz w:val="20"/>
                <w:szCs w:val="20"/>
                <w:color w:val="auto"/>
              </w:rPr>
            </w:pPr>
            <w:r>
              <w:rPr>
                <w:rFonts w:ascii="Arial" w:cs="Arial" w:eastAsia="Arial" w:hAnsi="Arial"/>
                <w:sz w:val="15"/>
                <w:szCs w:val="15"/>
                <w:b w:val="1"/>
                <w:bCs w:val="1"/>
                <w:color w:val="auto"/>
                <w:w w:val="91"/>
              </w:rPr>
              <w:t>(Unaudited)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40" w:type="dxa"/>
            <w:vAlign w:val="bottom"/>
          </w:tcPr>
          <w:p>
            <w:pPr>
              <w:jc w:val="center"/>
              <w:ind w:left="1865"/>
              <w:spacing w:after="0"/>
              <w:rPr>
                <w:sz w:val="20"/>
                <w:szCs w:val="20"/>
                <w:color w:val="auto"/>
              </w:rPr>
            </w:pPr>
            <w:r>
              <w:rPr>
                <w:rFonts w:ascii="Arial" w:cs="Arial" w:eastAsia="Arial" w:hAnsi="Arial"/>
                <w:sz w:val="15"/>
                <w:szCs w:val="15"/>
                <w:b w:val="1"/>
                <w:bCs w:val="1"/>
                <w:color w:val="auto"/>
                <w:w w:val="90"/>
              </w:rPr>
              <w:t>(Amounts in Dollars)</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5"/>
                <w:szCs w:val="15"/>
                <w:b w:val="1"/>
                <w:bCs w:val="1"/>
                <w:color w:val="auto"/>
                <w:w w:val="95"/>
              </w:rPr>
              <w:t>Three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25"/>
              <w:spacing w:after="0" w:line="171" w:lineRule="exact"/>
              <w:rPr>
                <w:sz w:val="20"/>
                <w:szCs w:val="20"/>
                <w:color w:val="auto"/>
              </w:rPr>
            </w:pPr>
            <w:r>
              <w:rPr>
                <w:rFonts w:ascii="Arial" w:cs="Arial" w:eastAsia="Arial" w:hAnsi="Arial"/>
                <w:sz w:val="15"/>
                <w:szCs w:val="15"/>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25"/>
              <w:spacing w:after="0" w:line="171" w:lineRule="exact"/>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00" w:type="dxa"/>
            <w:vAlign w:val="bottom"/>
            <w:gridSpan w:val="3"/>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(7,744,500)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(3,126,800)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Depreciation and amortization</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34,500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280"/>
              <w:spacing w:after="0"/>
              <w:rPr>
                <w:sz w:val="20"/>
                <w:szCs w:val="20"/>
                <w:color w:val="auto"/>
              </w:rPr>
            </w:pPr>
            <w:r>
              <w:rPr>
                <w:rFonts w:ascii="Arial" w:cs="Arial" w:eastAsia="Arial" w:hAnsi="Arial"/>
                <w:sz w:val="15"/>
                <w:szCs w:val="15"/>
                <w:color w:val="auto"/>
              </w:rPr>
              <w:t>Stock-based compensation</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590,400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674,600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Expense related to write-off of deferred offering costs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232,100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280"/>
              <w:spacing w:after="0"/>
              <w:rPr>
                <w:sz w:val="20"/>
                <w:szCs w:val="20"/>
                <w:color w:val="auto"/>
              </w:rPr>
            </w:pPr>
            <w:r>
              <w:rPr>
                <w:rFonts w:ascii="Arial" w:cs="Arial" w:eastAsia="Arial" w:hAnsi="Arial"/>
                <w:sz w:val="15"/>
                <w:szCs w:val="15"/>
                <w:color w:val="auto"/>
              </w:rPr>
              <w:t>Changes in operating assets and liabilities: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Receivable from collaboration partner</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(3,400)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500"/>
              <w:spacing w:after="0"/>
              <w:rPr>
                <w:sz w:val="20"/>
                <w:szCs w:val="20"/>
                <w:color w:val="auto"/>
              </w:rPr>
            </w:pPr>
            <w:r>
              <w:rPr>
                <w:rFonts w:ascii="Arial" w:cs="Arial" w:eastAsia="Arial" w:hAnsi="Arial"/>
                <w:sz w:val="15"/>
                <w:szCs w:val="15"/>
                <w:color w:val="auto"/>
              </w:rPr>
              <w:t>Prepaid expenses and other current assets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(1,036,300)</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39,200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Right of use asset - operating lease</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94,300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87,500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500"/>
              <w:spacing w:after="0"/>
              <w:rPr>
                <w:sz w:val="20"/>
                <w:szCs w:val="20"/>
                <w:color w:val="auto"/>
              </w:rPr>
            </w:pPr>
            <w:r>
              <w:rPr>
                <w:rFonts w:ascii="Arial" w:cs="Arial" w:eastAsia="Arial" w:hAnsi="Arial"/>
                <w:sz w:val="15"/>
                <w:szCs w:val="15"/>
                <w:color w:val="auto"/>
              </w:rPr>
              <w:t>Operating lease liability</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(84,500)</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(72,200)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Deferred sublicense revenue, net of deferred contract acquisition costs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(320,800)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500"/>
              <w:spacing w:after="0"/>
              <w:rPr>
                <w:sz w:val="20"/>
                <w:szCs w:val="20"/>
                <w:color w:val="auto"/>
              </w:rPr>
            </w:pPr>
            <w:r>
              <w:rPr>
                <w:rFonts w:ascii="Arial" w:cs="Arial" w:eastAsia="Arial" w:hAnsi="Arial"/>
                <w:sz w:val="15"/>
                <w:szCs w:val="15"/>
                <w:color w:val="auto"/>
              </w:rPr>
              <w:t>Accounts payable and accrued expenses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2,065,300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(434,400)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ind w:left="280"/>
              <w:spacing w:after="0" w:line="170" w:lineRule="exact"/>
              <w:rPr>
                <w:sz w:val="20"/>
                <w:szCs w:val="20"/>
                <w:color w:val="auto"/>
              </w:rPr>
            </w:pPr>
            <w:r>
              <w:rPr>
                <w:rFonts w:ascii="Arial" w:cs="Arial" w:eastAsia="Arial" w:hAnsi="Arial"/>
                <w:sz w:val="15"/>
                <w:szCs w:val="15"/>
                <w:color w:val="auto"/>
              </w:rPr>
              <w:t>Net cash used in operating activities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(6,172,900)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(2,806,700)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72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property and investing activities: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Purchases of laboratory and other equipment</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(149,900)</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shd w:val="clear" w:color="auto" w:fill="CCEEFF"/>
          </w:tcPr>
          <w:p>
            <w:pPr>
              <w:ind w:left="280"/>
              <w:spacing w:after="0" w:line="170" w:lineRule="exact"/>
              <w:rPr>
                <w:sz w:val="20"/>
                <w:szCs w:val="20"/>
                <w:color w:val="auto"/>
              </w:rPr>
            </w:pPr>
            <w:r>
              <w:rPr>
                <w:rFonts w:ascii="Arial" w:cs="Arial" w:eastAsia="Arial" w:hAnsi="Arial"/>
                <w:sz w:val="15"/>
                <w:szCs w:val="15"/>
                <w:color w:val="auto"/>
              </w:rPr>
              <w:t>Net cash used in investing activities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(149,900)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72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Net proceeds from issuance of common stock and warrants, including option exercises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44,500</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62,600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proceeds from exercise of warrants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1,109,700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Payments related to registration of shares underlying At the Market (ATM) facility and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outstanding warrants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(161,900)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Net proceeds from sale of common stock under equity line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2,790,600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Proceeds from issuance of note under Payroll Protection Plan</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224,400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Arial" w:cs="Arial" w:eastAsia="Arial" w:hAnsi="Arial"/>
                <w:sz w:val="15"/>
                <w:szCs w:val="15"/>
                <w:color w:val="auto"/>
              </w:rPr>
              <w:t>Repayment of capital lease obligations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(900)</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Repayment of notes payable</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gridSpan w:val="2"/>
          </w:tcPr>
          <w:p>
            <w:pPr>
              <w:ind w:left="280"/>
              <w:spacing w:after="0" w:line="170" w:lineRule="exact"/>
              <w:rPr>
                <w:sz w:val="20"/>
                <w:szCs w:val="20"/>
                <w:color w:val="auto"/>
              </w:rPr>
            </w:pPr>
            <w:r>
              <w:rPr>
                <w:rFonts w:ascii="Arial" w:cs="Arial" w:eastAsia="Arial" w:hAnsi="Arial"/>
                <w:sz w:val="15"/>
                <w:szCs w:val="15"/>
                <w:color w:val="auto"/>
              </w:rPr>
              <w:t>Net cash provided by financing activities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5"/>
                <w:szCs w:val="15"/>
                <w:color w:val="auto"/>
              </w:rPr>
              <w:t>991,400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2,997,500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Net increase (decrease) in cash and cash equivalents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(5,331,400)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190,800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period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103,108,300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1,355,100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Cash and cash equivalents at end of period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170" w:lineRule="exact"/>
              <w:rPr>
                <w:sz w:val="20"/>
                <w:szCs w:val="20"/>
                <w:color w:val="auto"/>
              </w:rPr>
            </w:pPr>
            <w:r>
              <w:rPr>
                <w:rFonts w:ascii="Arial" w:cs="Arial" w:eastAsia="Arial" w:hAnsi="Arial"/>
                <w:sz w:val="15"/>
                <w:szCs w:val="15"/>
                <w:color w:val="auto"/>
              </w:rPr>
              <w:t>97,776,900</w:t>
            </w:r>
          </w:p>
        </w:tc>
        <w:tc>
          <w:tcPr>
            <w:tcW w:w="260" w:type="dxa"/>
            <w:vAlign w:val="bottom"/>
            <w:shd w:val="clear" w:color="auto" w:fill="CCEEFF"/>
          </w:tcPr>
          <w:p>
            <w:pPr>
              <w:jc w:val="right"/>
              <w:ind w:right="105"/>
              <w:spacing w:after="0" w:line="170"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1,545,900</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72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Supplemental disclosure of noncash activities:</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tcPr>
          <w:p>
            <w:pPr>
              <w:ind w:left="160"/>
              <w:spacing w:after="0"/>
              <w:rPr>
                <w:sz w:val="20"/>
                <w:szCs w:val="20"/>
                <w:color w:val="auto"/>
              </w:rPr>
            </w:pPr>
            <w:r>
              <w:rPr>
                <w:rFonts w:ascii="Arial" w:cs="Arial" w:eastAsia="Arial" w:hAnsi="Arial"/>
                <w:sz w:val="15"/>
                <w:szCs w:val="15"/>
                <w:color w:val="auto"/>
              </w:rPr>
              <w:t>Insurance premiums settled by issuing note payable</w:t>
            </w:r>
          </w:p>
        </w:tc>
        <w:tc>
          <w:tcPr>
            <w:tcW w:w="5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322,200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Accrued dividends on Series B Preferred</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335,800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VISTAGEN THERAPEUTICS, INC.</w:t>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FOR THE THREE MONTHS ENDED JUNE 30, 2021 AND 2020</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(Unaudited)</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(Amounts in Dollars, except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Borders>
              <w:right w:val="single" w:sz="8" w:color="auto"/>
            </w:tcBorders>
            <w:gridSpan w:val="4"/>
          </w:tcPr>
          <w:p>
            <w:pPr>
              <w:ind w:left="320"/>
              <w:spacing w:after="0"/>
              <w:rPr>
                <w:sz w:val="20"/>
                <w:szCs w:val="20"/>
                <w:color w:val="auto"/>
              </w:rPr>
            </w:pPr>
            <w:r>
              <w:rPr>
                <w:rFonts w:ascii="Arial" w:cs="Arial" w:eastAsia="Arial" w:hAnsi="Arial"/>
                <w:sz w:val="15"/>
                <w:szCs w:val="15"/>
                <w:b w:val="1"/>
                <w:bCs w:val="1"/>
                <w:color w:val="auto"/>
              </w:rPr>
              <w:t>Series A</w:t>
            </w:r>
          </w:p>
        </w:tc>
        <w:tc>
          <w:tcPr>
            <w:tcW w:w="20" w:type="dxa"/>
            <w:vAlign w:val="bottom"/>
          </w:tcPr>
          <w:p>
            <w:pPr>
              <w:spacing w:after="0"/>
              <w:rPr>
                <w:sz w:val="15"/>
                <w:szCs w:val="15"/>
                <w:color w:val="auto"/>
              </w:rPr>
            </w:pPr>
          </w:p>
        </w:tc>
        <w:tc>
          <w:tcPr>
            <w:tcW w:w="1360" w:type="dxa"/>
            <w:vAlign w:val="bottom"/>
            <w:tcBorders>
              <w:right w:val="single" w:sz="8" w:color="auto"/>
            </w:tcBorders>
            <w:gridSpan w:val="3"/>
          </w:tcPr>
          <w:p>
            <w:pPr>
              <w:ind w:left="60"/>
              <w:spacing w:after="0"/>
              <w:rPr>
                <w:sz w:val="20"/>
                <w:szCs w:val="20"/>
                <w:color w:val="auto"/>
              </w:rPr>
            </w:pPr>
            <w:r>
              <w:rPr>
                <w:rFonts w:ascii="Arial" w:cs="Arial" w:eastAsia="Arial" w:hAnsi="Arial"/>
                <w:sz w:val="15"/>
                <w:szCs w:val="15"/>
                <w:b w:val="1"/>
                <w:bCs w:val="1"/>
                <w:color w:val="auto"/>
                <w:w w:val="96"/>
              </w:rPr>
              <w:t>Series B Preferred</w:t>
            </w:r>
          </w:p>
        </w:tc>
        <w:tc>
          <w:tcPr>
            <w:tcW w:w="40" w:type="dxa"/>
            <w:vAlign w:val="bottom"/>
          </w:tcPr>
          <w:p>
            <w:pPr>
              <w:spacing w:after="0"/>
              <w:rPr>
                <w:sz w:val="15"/>
                <w:szCs w:val="15"/>
                <w:color w:val="auto"/>
              </w:rPr>
            </w:pPr>
          </w:p>
        </w:tc>
        <w:tc>
          <w:tcPr>
            <w:tcW w:w="1340" w:type="dxa"/>
            <w:vAlign w:val="bottom"/>
            <w:tcBorders>
              <w:right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96"/>
              </w:rPr>
              <w:t>Series C Preferred</w:t>
            </w:r>
          </w:p>
        </w:tc>
        <w:tc>
          <w:tcPr>
            <w:tcW w:w="40" w:type="dxa"/>
            <w:vAlign w:val="bottom"/>
          </w:tcPr>
          <w:p>
            <w:pPr>
              <w:spacing w:after="0"/>
              <w:rPr>
                <w:sz w:val="15"/>
                <w:szCs w:val="15"/>
                <w:color w:val="auto"/>
              </w:rPr>
            </w:pPr>
          </w:p>
        </w:tc>
        <w:tc>
          <w:tcPr>
            <w:tcW w:w="1300" w:type="dxa"/>
            <w:vAlign w:val="bottom"/>
            <w:tcBorders>
              <w:right w:val="single" w:sz="8" w:color="auto"/>
            </w:tcBorders>
            <w:gridSpan w:val="4"/>
          </w:tcPr>
          <w:p>
            <w:pPr>
              <w:jc w:val="center"/>
              <w:ind w:right="5"/>
              <w:spacing w:after="0"/>
              <w:rPr>
                <w:sz w:val="20"/>
                <w:szCs w:val="20"/>
                <w:color w:val="auto"/>
              </w:rPr>
            </w:pPr>
            <w:r>
              <w:rPr>
                <w:rFonts w:ascii="Arial" w:cs="Arial" w:eastAsia="Arial" w:hAnsi="Arial"/>
                <w:sz w:val="15"/>
                <w:szCs w:val="15"/>
                <w:b w:val="1"/>
                <w:bCs w:val="1"/>
                <w:color w:val="auto"/>
                <w:w w:val="90"/>
              </w:rPr>
              <w:t>Series D Preferred</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Additional</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Preferred Stock</w:t>
            </w:r>
          </w:p>
        </w:tc>
        <w:tc>
          <w:tcPr>
            <w:tcW w:w="20" w:type="dxa"/>
            <w:vAlign w:val="bottom"/>
          </w:tcPr>
          <w:p>
            <w:pPr>
              <w:spacing w:after="0"/>
              <w:rPr>
                <w:sz w:val="16"/>
                <w:szCs w:val="16"/>
                <w:color w:val="auto"/>
              </w:rPr>
            </w:pPr>
          </w:p>
        </w:tc>
        <w:tc>
          <w:tcPr>
            <w:tcW w:w="1360" w:type="dxa"/>
            <w:vAlign w:val="bottom"/>
            <w:tcBorders>
              <w:right w:val="single" w:sz="8" w:color="auto"/>
            </w:tcBorders>
            <w:gridSpan w:val="3"/>
          </w:tcPr>
          <w:p>
            <w:pPr>
              <w:jc w:val="right"/>
              <w:ind w:right="465"/>
              <w:spacing w:after="0"/>
              <w:rPr>
                <w:sz w:val="20"/>
                <w:szCs w:val="20"/>
                <w:color w:val="auto"/>
              </w:rPr>
            </w:pPr>
            <w:r>
              <w:rPr>
                <w:rFonts w:ascii="Arial" w:cs="Arial" w:eastAsia="Arial" w:hAnsi="Arial"/>
                <w:sz w:val="15"/>
                <w:szCs w:val="15"/>
                <w:b w:val="1"/>
                <w:bCs w:val="1"/>
                <w:color w:val="auto"/>
              </w:rPr>
              <w:t>Stock</w:t>
            </w:r>
          </w:p>
        </w:tc>
        <w:tc>
          <w:tcPr>
            <w:tcW w:w="40" w:type="dxa"/>
            <w:vAlign w:val="bottom"/>
          </w:tcPr>
          <w:p>
            <w:pPr>
              <w:spacing w:after="0"/>
              <w:rPr>
                <w:sz w:val="16"/>
                <w:szCs w:val="16"/>
                <w:color w:val="auto"/>
              </w:rPr>
            </w:pPr>
          </w:p>
        </w:tc>
        <w:tc>
          <w:tcPr>
            <w:tcW w:w="1340" w:type="dxa"/>
            <w:vAlign w:val="bottom"/>
            <w:tcBorders>
              <w:right w:val="single" w:sz="8" w:color="auto"/>
            </w:tcBorders>
            <w:gridSpan w:val="3"/>
          </w:tcPr>
          <w:p>
            <w:pPr>
              <w:ind w:left="460"/>
              <w:spacing w:after="0"/>
              <w:rPr>
                <w:sz w:val="20"/>
                <w:szCs w:val="20"/>
                <w:color w:val="auto"/>
              </w:rPr>
            </w:pPr>
            <w:r>
              <w:rPr>
                <w:rFonts w:ascii="Arial" w:cs="Arial" w:eastAsia="Arial" w:hAnsi="Arial"/>
                <w:sz w:val="15"/>
                <w:szCs w:val="15"/>
                <w:b w:val="1"/>
                <w:bCs w:val="1"/>
                <w:color w:val="auto"/>
              </w:rPr>
              <w:t>Stock</w:t>
            </w:r>
          </w:p>
        </w:tc>
        <w:tc>
          <w:tcPr>
            <w:tcW w:w="40" w:type="dxa"/>
            <w:vAlign w:val="bottom"/>
          </w:tcPr>
          <w:p>
            <w:pPr>
              <w:spacing w:after="0"/>
              <w:rPr>
                <w:sz w:val="16"/>
                <w:szCs w:val="16"/>
                <w:color w:val="auto"/>
              </w:rPr>
            </w:pPr>
          </w:p>
        </w:tc>
        <w:tc>
          <w:tcPr>
            <w:tcW w:w="980" w:type="dxa"/>
            <w:vAlign w:val="bottom"/>
            <w:gridSpan w:val="3"/>
          </w:tcPr>
          <w:p>
            <w:pPr>
              <w:jc w:val="center"/>
              <w:ind w:left="185"/>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5"/>
          </w:tcPr>
          <w:p>
            <w:pPr>
              <w:ind w:left="260"/>
              <w:spacing w:after="0"/>
              <w:rPr>
                <w:sz w:val="20"/>
                <w:szCs w:val="20"/>
                <w:color w:val="auto"/>
              </w:rPr>
            </w:pPr>
            <w:r>
              <w:rPr>
                <w:rFonts w:ascii="Arial" w:cs="Arial" w:eastAsia="Arial" w:hAnsi="Arial"/>
                <w:sz w:val="15"/>
                <w:szCs w:val="15"/>
                <w:b w:val="1"/>
                <w:bCs w:val="1"/>
                <w:color w:val="auto"/>
              </w:rPr>
              <w:t>Common Stock</w:t>
            </w:r>
          </w:p>
        </w:tc>
        <w:tc>
          <w:tcPr>
            <w:tcW w:w="4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Paid-in</w:t>
            </w:r>
          </w:p>
        </w:tc>
        <w:tc>
          <w:tcPr>
            <w:tcW w:w="8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Treasury</w:t>
            </w:r>
          </w:p>
        </w:tc>
        <w:tc>
          <w:tcPr>
            <w:tcW w:w="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b w:val="1"/>
                <w:bCs w:val="1"/>
                <w:color w:val="auto"/>
                <w:w w:val="97"/>
              </w:rPr>
              <w:t>Accumulated</w:t>
            </w:r>
          </w:p>
        </w:tc>
        <w:tc>
          <w:tcPr>
            <w:tcW w:w="2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Borders>
              <w:top w:val="single" w:sz="8" w:color="auto"/>
            </w:tcBorders>
            <w:gridSpan w:val="2"/>
          </w:tcPr>
          <w:p>
            <w:pPr>
              <w:ind w:left="60"/>
              <w:spacing w:after="0" w:line="170" w:lineRule="exact"/>
              <w:rPr>
                <w:sz w:val="20"/>
                <w:szCs w:val="20"/>
                <w:color w:val="auto"/>
              </w:rPr>
            </w:pPr>
            <w:r>
              <w:rPr>
                <w:rFonts w:ascii="Arial" w:cs="Arial" w:eastAsia="Arial" w:hAnsi="Arial"/>
                <w:sz w:val="15"/>
                <w:szCs w:val="15"/>
                <w:b w:val="1"/>
                <w:bCs w:val="1"/>
                <w:color w:val="auto"/>
                <w:w w:val="99"/>
              </w:rPr>
              <w:t>Shares</w:t>
            </w:r>
          </w:p>
        </w:tc>
        <w:tc>
          <w:tcPr>
            <w:tcW w:w="40" w:type="dxa"/>
            <w:vAlign w:val="bottom"/>
            <w:tcBorders>
              <w:top w:val="single" w:sz="8" w:color="auto"/>
            </w:tcBorders>
          </w:tcPr>
          <w:p>
            <w:pPr>
              <w:spacing w:after="0"/>
              <w:rPr>
                <w:sz w:val="14"/>
                <w:szCs w:val="14"/>
                <w:color w:val="auto"/>
              </w:rPr>
            </w:pPr>
          </w:p>
        </w:tc>
        <w:tc>
          <w:tcPr>
            <w:tcW w:w="620" w:type="dxa"/>
            <w:vAlign w:val="bottom"/>
            <w:tcBorders>
              <w:top w:val="single" w:sz="8" w:color="auto"/>
              <w:right w:val="single" w:sz="8" w:color="auto"/>
            </w:tcBorders>
          </w:tcPr>
          <w:p>
            <w:pPr>
              <w:jc w:val="right"/>
              <w:ind w:right="5"/>
              <w:spacing w:after="0" w:line="170" w:lineRule="exact"/>
              <w:rPr>
                <w:sz w:val="20"/>
                <w:szCs w:val="20"/>
                <w:color w:val="auto"/>
              </w:rPr>
            </w:pPr>
            <w:r>
              <w:rPr>
                <w:rFonts w:ascii="Arial" w:cs="Arial" w:eastAsia="Arial" w:hAnsi="Arial"/>
                <w:sz w:val="15"/>
                <w:szCs w:val="15"/>
                <w:b w:val="1"/>
                <w:bCs w:val="1"/>
                <w:color w:val="auto"/>
                <w:w w:val="91"/>
              </w:rPr>
              <w:t>Amount</w:t>
            </w:r>
          </w:p>
        </w:tc>
        <w:tc>
          <w:tcPr>
            <w:tcW w:w="20" w:type="dxa"/>
            <w:vAlign w:val="bottom"/>
          </w:tcPr>
          <w:p>
            <w:pPr>
              <w:spacing w:after="0"/>
              <w:rPr>
                <w:sz w:val="14"/>
                <w:szCs w:val="14"/>
                <w:color w:val="auto"/>
              </w:rPr>
            </w:pPr>
          </w:p>
        </w:tc>
        <w:tc>
          <w:tcPr>
            <w:tcW w:w="740" w:type="dxa"/>
            <w:vAlign w:val="bottom"/>
            <w:tcBorders>
              <w:top w:val="single" w:sz="8" w:color="auto"/>
            </w:tcBorders>
            <w:gridSpan w:val="2"/>
          </w:tcPr>
          <w:p>
            <w:pPr>
              <w:ind w:left="140"/>
              <w:spacing w:after="0" w:line="170" w:lineRule="exact"/>
              <w:rPr>
                <w:sz w:val="20"/>
                <w:szCs w:val="20"/>
                <w:color w:val="auto"/>
              </w:rPr>
            </w:pPr>
            <w:r>
              <w:rPr>
                <w:rFonts w:ascii="Arial" w:cs="Arial" w:eastAsia="Arial" w:hAnsi="Arial"/>
                <w:sz w:val="15"/>
                <w:szCs w:val="15"/>
                <w:b w:val="1"/>
                <w:bCs w:val="1"/>
                <w:color w:val="auto"/>
              </w:rPr>
              <w:t>Shares</w:t>
            </w:r>
          </w:p>
        </w:tc>
        <w:tc>
          <w:tcPr>
            <w:tcW w:w="620" w:type="dxa"/>
            <w:vAlign w:val="bottom"/>
            <w:tcBorders>
              <w:top w:val="single" w:sz="8" w:color="auto"/>
              <w:right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w w:val="95"/>
              </w:rPr>
              <w:t>Amount</w:t>
            </w:r>
          </w:p>
        </w:tc>
        <w:tc>
          <w:tcPr>
            <w:tcW w:w="40" w:type="dxa"/>
            <w:vAlign w:val="bottom"/>
          </w:tcPr>
          <w:p>
            <w:pPr>
              <w:spacing w:after="0"/>
              <w:rPr>
                <w:sz w:val="14"/>
                <w:szCs w:val="14"/>
                <w:color w:val="auto"/>
              </w:rPr>
            </w:pPr>
          </w:p>
        </w:tc>
        <w:tc>
          <w:tcPr>
            <w:tcW w:w="6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5"/>
                <w:szCs w:val="15"/>
                <w:b w:val="1"/>
                <w:bCs w:val="1"/>
                <w:color w:val="auto"/>
                <w:w w:val="99"/>
              </w:rPr>
              <w:t>Shares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right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w w:val="91"/>
              </w:rPr>
              <w:t>Amount</w:t>
            </w:r>
          </w:p>
        </w:tc>
        <w:tc>
          <w:tcPr>
            <w:tcW w:w="40" w:type="dxa"/>
            <w:vAlign w:val="bottom"/>
          </w:tcPr>
          <w:p>
            <w:pPr>
              <w:spacing w:after="0"/>
              <w:rPr>
                <w:sz w:val="14"/>
                <w:szCs w:val="14"/>
                <w:color w:val="auto"/>
              </w:rPr>
            </w:pPr>
          </w:p>
        </w:tc>
        <w:tc>
          <w:tcPr>
            <w:tcW w:w="5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w w:val="99"/>
              </w:rPr>
              <w:t>Shares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right w:val="single" w:sz="8" w:color="auto"/>
            </w:tcBorders>
            <w:gridSpan w:val="2"/>
          </w:tcPr>
          <w:p>
            <w:pPr>
              <w:jc w:val="right"/>
              <w:ind w:right="5"/>
              <w:spacing w:after="0" w:line="170" w:lineRule="exact"/>
              <w:rPr>
                <w:sz w:val="20"/>
                <w:szCs w:val="20"/>
                <w:color w:val="auto"/>
              </w:rPr>
            </w:pPr>
            <w:r>
              <w:rPr>
                <w:rFonts w:ascii="Arial" w:cs="Arial" w:eastAsia="Arial" w:hAnsi="Arial"/>
                <w:sz w:val="15"/>
                <w:szCs w:val="15"/>
                <w:b w:val="1"/>
                <w:bCs w:val="1"/>
                <w:color w:val="auto"/>
                <w:w w:val="91"/>
              </w:rPr>
              <w:t>Amount</w:t>
            </w:r>
          </w:p>
        </w:tc>
        <w:tc>
          <w:tcPr>
            <w:tcW w:w="40" w:type="dxa"/>
            <w:vAlign w:val="bottom"/>
          </w:tcPr>
          <w:p>
            <w:pPr>
              <w:spacing w:after="0"/>
              <w:rPr>
                <w:sz w:val="14"/>
                <w:szCs w:val="14"/>
                <w:color w:val="auto"/>
              </w:rPr>
            </w:pPr>
          </w:p>
        </w:tc>
        <w:tc>
          <w:tcPr>
            <w:tcW w:w="840" w:type="dxa"/>
            <w:vAlign w:val="bottom"/>
            <w:tcBorders>
              <w:top w:val="single" w:sz="8" w:color="auto"/>
            </w:tcBorders>
            <w:gridSpan w:val="2"/>
          </w:tcPr>
          <w:p>
            <w:pPr>
              <w:ind w:left="200"/>
              <w:spacing w:after="0" w:line="170" w:lineRule="exact"/>
              <w:rPr>
                <w:sz w:val="20"/>
                <w:szCs w:val="20"/>
                <w:color w:val="auto"/>
              </w:rPr>
            </w:pPr>
            <w:r>
              <w:rPr>
                <w:rFonts w:ascii="Arial" w:cs="Arial" w:eastAsia="Arial" w:hAnsi="Arial"/>
                <w:sz w:val="15"/>
                <w:szCs w:val="15"/>
                <w:b w:val="1"/>
                <w:bCs w:val="1"/>
                <w:color w:val="auto"/>
              </w:rPr>
              <w:t>Shares</w:t>
            </w:r>
          </w:p>
        </w:tc>
        <w:tc>
          <w:tcPr>
            <w:tcW w:w="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1"/>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60"/>
              <w:spacing w:after="0" w:line="170" w:lineRule="exact"/>
              <w:rPr>
                <w:sz w:val="20"/>
                <w:szCs w:val="20"/>
                <w:color w:val="auto"/>
              </w:rPr>
            </w:pPr>
            <w:r>
              <w:rPr>
                <w:rFonts w:ascii="Arial" w:cs="Arial" w:eastAsia="Arial" w:hAnsi="Arial"/>
                <w:sz w:val="15"/>
                <w:szCs w:val="15"/>
                <w:b w:val="1"/>
                <w:bCs w:val="1"/>
                <w:color w:val="auto"/>
                <w:w w:val="95"/>
              </w:rPr>
              <w:t>Capital</w:t>
            </w:r>
          </w:p>
        </w:tc>
        <w:tc>
          <w:tcPr>
            <w:tcW w:w="800" w:type="dxa"/>
            <w:vAlign w:val="bottom"/>
            <w:gridSpan w:val="2"/>
          </w:tcPr>
          <w:p>
            <w:pPr>
              <w:jc w:val="center"/>
              <w:ind w:right="80"/>
              <w:spacing w:after="0" w:line="170" w:lineRule="exact"/>
              <w:rPr>
                <w:sz w:val="20"/>
                <w:szCs w:val="20"/>
                <w:color w:val="auto"/>
              </w:rPr>
            </w:pPr>
            <w:r>
              <w:rPr>
                <w:rFonts w:ascii="Arial" w:cs="Arial" w:eastAsia="Arial" w:hAnsi="Arial"/>
                <w:sz w:val="15"/>
                <w:szCs w:val="15"/>
                <w:b w:val="1"/>
                <w:bCs w:val="1"/>
                <w:color w:val="auto"/>
                <w:w w:val="88"/>
              </w:rPr>
              <w:t>Stock</w:t>
            </w:r>
          </w:p>
        </w:tc>
        <w:tc>
          <w:tcPr>
            <w:tcW w:w="20" w:type="dxa"/>
            <w:vAlign w:val="bottom"/>
          </w:tcPr>
          <w:p>
            <w:pPr>
              <w:spacing w:after="0"/>
              <w:rPr>
                <w:sz w:val="14"/>
                <w:szCs w:val="14"/>
                <w:color w:val="auto"/>
              </w:rPr>
            </w:pPr>
          </w:p>
        </w:tc>
        <w:tc>
          <w:tcPr>
            <w:tcW w:w="960" w:type="dxa"/>
            <w:vAlign w:val="bottom"/>
            <w:gridSpan w:val="2"/>
          </w:tcPr>
          <w:p>
            <w:pPr>
              <w:ind w:left="220"/>
              <w:spacing w:after="0" w:line="170" w:lineRule="exact"/>
              <w:rPr>
                <w:sz w:val="20"/>
                <w:szCs w:val="20"/>
                <w:color w:val="auto"/>
              </w:rPr>
            </w:pPr>
            <w:r>
              <w:rPr>
                <w:rFonts w:ascii="Arial" w:cs="Arial" w:eastAsia="Arial" w:hAnsi="Arial"/>
                <w:sz w:val="15"/>
                <w:szCs w:val="15"/>
                <w:b w:val="1"/>
                <w:bCs w:val="1"/>
                <w:color w:val="auto"/>
              </w:rPr>
              <w:t>Deficit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Balances at</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March 31,</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92"/>
              </w:rPr>
              <w:t>500,000</w:t>
            </w:r>
          </w:p>
        </w:tc>
        <w:tc>
          <w:tcPr>
            <w:tcW w:w="660" w:type="dxa"/>
            <w:vAlign w:val="bottom"/>
            <w:tcBorders>
              <w:right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   500</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98"/>
              </w:rPr>
              <w:t>1,160,240</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  1,200</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86"/>
              </w:rPr>
              <w:t>2,318,012</w:t>
            </w:r>
          </w:p>
        </w:tc>
        <w:tc>
          <w:tcPr>
            <w:tcW w:w="70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2,300</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b w:val="1"/>
                <w:bCs w:val="1"/>
                <w:color w:val="auto"/>
              </w:rPr>
              <w:t>$</w:t>
            </w:r>
          </w:p>
        </w:tc>
        <w:tc>
          <w:tcPr>
            <w:tcW w:w="3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49,348,707</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$ 49,300</w:t>
            </w:r>
          </w:p>
        </w:tc>
        <w:tc>
          <w:tcPr>
            <w:tcW w:w="980" w:type="dxa"/>
            <w:vAlign w:val="bottom"/>
            <w:gridSpan w:val="3"/>
            <w:shd w:val="clear" w:color="auto" w:fill="CCEEFF"/>
          </w:tcPr>
          <w:p>
            <w:pPr>
              <w:jc w:val="center"/>
              <w:ind w:right="60"/>
              <w:spacing w:after="0"/>
              <w:rPr>
                <w:sz w:val="20"/>
                <w:szCs w:val="20"/>
                <w:color w:val="auto"/>
              </w:rPr>
            </w:pPr>
            <w:r>
              <w:rPr>
                <w:rFonts w:ascii="Arial" w:cs="Arial" w:eastAsia="Arial" w:hAnsi="Arial"/>
                <w:sz w:val="15"/>
                <w:szCs w:val="15"/>
                <w:b w:val="1"/>
                <w:bCs w:val="1"/>
                <w:color w:val="auto"/>
                <w:w w:val="91"/>
              </w:rPr>
              <w:t>$200,092,800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86"/>
              </w:rPr>
              <w:t>$(3,968,100)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2"/>
              </w:rPr>
              <w:t>$(201,907,400)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(5,729,400)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Proceeds</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from sale of</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units of</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common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 and</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warrants</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for cash in</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private</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placement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125,000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200</w:t>
            </w:r>
          </w:p>
        </w:tc>
        <w:tc>
          <w:tcPr>
            <w:tcW w:w="4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5"/>
                <w:szCs w:val="15"/>
                <w:color w:val="auto"/>
              </w:rPr>
              <w:t>49,800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6"/>
              </w:rPr>
              <w:t>Net proceeds</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from sale of</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common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 under</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equity line</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6,201,995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6,200</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2,741,300</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2,747,500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Issuance of</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stock at fair</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value for</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professional</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services</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233,645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200</w:t>
            </w:r>
          </w:p>
        </w:tc>
        <w:tc>
          <w:tcPr>
            <w:tcW w:w="4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5"/>
                <w:szCs w:val="15"/>
                <w:color w:val="auto"/>
              </w:rPr>
              <w:t>124,800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Sale of</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common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pursuant to</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Employee</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Purchase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Plan</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28,125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5"/>
                <w:szCs w:val="15"/>
                <w:color w:val="auto"/>
              </w:rPr>
              <w:t>12,600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12,600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Expenses</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w w:val="95"/>
              </w:rPr>
              <w:t>related to S-3</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registration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w w:val="98"/>
              </w:rPr>
              <w:t>statement for</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warrant</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shares</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(29,400)</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(29,400)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Accrued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dividends 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Series B</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Preferred</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stock</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(335,800)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(335,800)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Stock-based</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w w:val="92"/>
              </w:rPr>
              <w:t>compensation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674,600</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674,600</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 for</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the quarter</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ended June</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30, 2020</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(3,126,800)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(3,126,800)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Balances at</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June 30,</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92"/>
              </w:rPr>
              <w:t>500,000</w:t>
            </w: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420" w:type="dxa"/>
            <w:vAlign w:val="bottom"/>
            <w:tcBorders>
              <w:right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500</w:t>
            </w:r>
          </w:p>
        </w:tc>
        <w:tc>
          <w:tcPr>
            <w:tcW w:w="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5"/>
              </w:rPr>
              <w:t>1,160,240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1,200</w:t>
            </w:r>
          </w:p>
        </w:tc>
        <w:tc>
          <w:tcPr>
            <w:tcW w:w="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2,318,012</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4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2,300</w:t>
            </w:r>
          </w:p>
        </w:tc>
        <w:tc>
          <w:tcPr>
            <w:tcW w:w="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95"/>
              </w:rPr>
              <w:t>$</w:t>
            </w:r>
          </w:p>
        </w:tc>
        <w:tc>
          <w:tcPr>
            <w:tcW w:w="440" w:type="dxa"/>
            <w:vAlign w:val="bottom"/>
            <w:tcBorders>
              <w:right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55,937,472</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55,900</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203,330,700</w:t>
            </w:r>
          </w:p>
        </w:tc>
        <w:tc>
          <w:tcPr>
            <w:tcW w:w="2600" w:type="dxa"/>
            <w:vAlign w:val="bottom"/>
            <w:gridSpan w:val="8"/>
            <w:vMerge w:val="restart"/>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 xml:space="preserve">(3,968,100) </w:t>
            </w: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(205,034,200) $ (5,611,700)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2020</w:t>
            </w:r>
          </w:p>
        </w:tc>
        <w:tc>
          <w:tcPr>
            <w:tcW w:w="5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420" w:type="dxa"/>
            <w:vAlign w:val="bottom"/>
            <w:tcBorders>
              <w:right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8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46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44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600" w:type="dxa"/>
            <w:vAlign w:val="bottom"/>
            <w:gridSpan w:val="8"/>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right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right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right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right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Balances at</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March 31,</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92"/>
              </w:rPr>
              <w:t>500,000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500</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5"/>
              </w:rPr>
              <w:t>1,131,669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1,100</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2,318,012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2,300</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402,149</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95"/>
              </w:rPr>
              <w:t>$</w:t>
            </w: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400</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93"/>
              </w:rPr>
              <w:t>180,751,234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180,800</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93"/>
              </w:rPr>
              <w:t>$315,603,100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86"/>
              </w:rPr>
              <w:t>$(3,968,100)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92"/>
              </w:rPr>
              <w:t>$(219,841,700)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91"/>
              </w:rPr>
              <w:t>$91,978,400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dividends 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Series B</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Preferred</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(361,800)</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(361,800)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Stock-based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w w:val="94"/>
              </w:rPr>
              <w:t>compensation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expense</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(including</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ESPP)</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5"/>
                <w:szCs w:val="15"/>
                <w:color w:val="auto"/>
              </w:rPr>
              <w:t>590,400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590,400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Proceeds</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w w:val="95"/>
              </w:rPr>
              <w:t>from exercise</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of warrants</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1,516,768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1,108,200</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1,109,700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Conversion</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of Series D</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Preferred</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stock into</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00" w:type="dxa"/>
            <w:vAlign w:val="bottom"/>
            <w:gridSpan w:val="2"/>
          </w:tcPr>
          <w:p>
            <w:pPr>
              <w:spacing w:after="0"/>
              <w:rPr>
                <w:sz w:val="20"/>
                <w:szCs w:val="20"/>
                <w:color w:val="auto"/>
              </w:rPr>
            </w:pPr>
            <w:r>
              <w:rPr>
                <w:rFonts w:ascii="Arial" w:cs="Arial" w:eastAsia="Arial" w:hAnsi="Arial"/>
                <w:sz w:val="15"/>
                <w:szCs w:val="15"/>
                <w:color w:val="auto"/>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stock</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w w:val="96"/>
              </w:rPr>
              <w:t>(402,149)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(400)</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9,249,427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9,200</w:t>
            </w:r>
          </w:p>
        </w:tc>
        <w:tc>
          <w:tcPr>
            <w:tcW w:w="4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(8,800)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Sale of</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common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pursuant to</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Employee</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Purchase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Plan</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16,251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5"/>
                <w:szCs w:val="15"/>
                <w:color w:val="auto"/>
              </w:rPr>
              <w:t>31,600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5"/>
                <w:szCs w:val="15"/>
                <w:color w:val="auto"/>
              </w:rPr>
              <w:t>31,600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Issuance of</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common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stock upon</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cashless</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exercise of</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options</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82,504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Arial" w:cs="Arial" w:eastAsia="Arial" w:hAnsi="Arial"/>
                <w:sz w:val="15"/>
                <w:szCs w:val="15"/>
                <w:color w:val="auto"/>
              </w:rPr>
              <w:t>Issuance of</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right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right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8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15,824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98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12,900</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12,900</w:t>
            </w:r>
          </w:p>
        </w:tc>
        <w:tc>
          <w:tcPr>
            <w:tcW w:w="0" w:type="dxa"/>
            <w:vAlign w:val="bottom"/>
          </w:tcPr>
          <w:p>
            <w:pPr>
              <w:spacing w:after="0"/>
              <w:rPr>
                <w:sz w:val="1"/>
                <w:szCs w:val="1"/>
                <w:color w:val="auto"/>
              </w:rPr>
            </w:pPr>
          </w:p>
        </w:tc>
      </w:tr>
      <w:tr>
        <w:trPr>
          <w:trHeight w:val="189"/>
        </w:trPr>
        <w:tc>
          <w:tcPr>
            <w:tcW w:w="900" w:type="dxa"/>
            <w:vAlign w:val="bottom"/>
            <w:gridSpan w:val="2"/>
          </w:tcPr>
          <w:p>
            <w:pPr>
              <w:spacing w:after="0"/>
              <w:rPr>
                <w:sz w:val="20"/>
                <w:szCs w:val="20"/>
                <w:color w:val="auto"/>
              </w:rPr>
            </w:pPr>
            <w:r>
              <w:rPr>
                <w:rFonts w:ascii="Arial" w:cs="Arial" w:eastAsia="Arial" w:hAnsi="Arial"/>
                <w:sz w:val="15"/>
                <w:szCs w:val="15"/>
                <w:color w:val="auto"/>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35" w:right="239" w:bottom="0" w:gutter="0" w:footer="0" w:header="0"/>
        </w:sectPr>
      </w:pPr>
    </w:p>
    <w:bookmarkStart w:id="4" w:name="page5"/>
    <w:bookmarkEnd w:id="4"/>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stock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-102235</wp:posOffset>
            </wp:positionV>
            <wp:extent cx="6985" cy="447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447040"/>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-102235</wp:posOffset>
            </wp:positionV>
            <wp:extent cx="6985" cy="447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5" cy="44704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-102235</wp:posOffset>
            </wp:positionV>
            <wp:extent cx="6985" cy="447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 cy="44704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-102235</wp:posOffset>
            </wp:positionV>
            <wp:extent cx="6985" cy="447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5" cy="4470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exercise of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options for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cash</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tcBorders>
              <w:right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 w:type="dxa"/>
            <w:vAlign w:val="bottom"/>
          </w:tcPr>
          <w:p>
            <w:pPr>
              <w:spacing w:after="0" w:line="169" w:lineRule="exact"/>
              <w:rPr>
                <w:sz w:val="20"/>
                <w:szCs w:val="20"/>
                <w:color w:val="auto"/>
              </w:rPr>
            </w:pPr>
            <w:r>
              <w:rPr>
                <w:rFonts w:ascii="Arial" w:cs="Arial" w:eastAsia="Arial" w:hAnsi="Arial"/>
                <w:sz w:val="15"/>
                <w:szCs w:val="15"/>
                <w:color w:val="auto"/>
              </w:rPr>
              <w:t>Net loss for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tcPr>
          <w:p>
            <w:pPr>
              <w:spacing w:after="0"/>
              <w:rPr>
                <w:sz w:val="20"/>
                <w:szCs w:val="20"/>
                <w:color w:val="auto"/>
              </w:rPr>
            </w:pPr>
            <w:r>
              <w:rPr>
                <w:rFonts w:ascii="Arial" w:cs="Arial" w:eastAsia="Arial" w:hAnsi="Arial"/>
                <w:sz w:val="15"/>
                <w:szCs w:val="15"/>
                <w:color w:val="auto"/>
                <w:w w:val="94"/>
              </w:rPr>
              <w:t>quarter ended</w:t>
            </w:r>
          </w:p>
        </w:tc>
        <w:tc>
          <w:tcPr>
            <w:tcW w:w="62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4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ind w:left="540"/>
              <w:spacing w:after="0"/>
              <w:rPr>
                <w:sz w:val="20"/>
                <w:szCs w:val="20"/>
                <w:color w:val="auto"/>
              </w:rPr>
            </w:pPr>
            <w:r>
              <w:rPr>
                <w:rFonts w:ascii="Arial" w:cs="Arial" w:eastAsia="Arial" w:hAnsi="Arial"/>
                <w:sz w:val="7"/>
                <w:szCs w:val="7"/>
                <w:color w:val="auto"/>
                <w:w w:val="83"/>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right w:val="single" w:sz="8" w:color="auto"/>
            </w:tcBorders>
            <w:vMerge w:val="restart"/>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80" w:type="dxa"/>
            <w:vAlign w:val="bottom"/>
            <w:gridSpan w:val="4"/>
            <w:vMerge w:val="restart"/>
          </w:tcPr>
          <w:p>
            <w:pPr>
              <w:jc w:val="right"/>
              <w:spacing w:after="0"/>
              <w:rPr>
                <w:sz w:val="20"/>
                <w:szCs w:val="20"/>
                <w:color w:val="auto"/>
              </w:rPr>
            </w:pPr>
            <w:r>
              <w:rPr>
                <w:rFonts w:ascii="Arial" w:cs="Arial" w:eastAsia="Arial" w:hAnsi="Arial"/>
                <w:sz w:val="15"/>
                <w:szCs w:val="15"/>
                <w:color w:val="auto"/>
              </w:rPr>
              <w:t>(7,744,500)  (7,744,500)</w:t>
            </w:r>
          </w:p>
        </w:tc>
        <w:tc>
          <w:tcPr>
            <w:tcW w:w="0" w:type="dxa"/>
            <w:vAlign w:val="bottom"/>
          </w:tcPr>
          <w:p>
            <w:pPr>
              <w:spacing w:after="0"/>
              <w:rPr>
                <w:sz w:val="1"/>
                <w:szCs w:val="1"/>
                <w:color w:val="auto"/>
              </w:rPr>
            </w:pPr>
          </w:p>
        </w:tc>
      </w:tr>
      <w:tr>
        <w:trPr>
          <w:trHeight w:val="178"/>
        </w:trPr>
        <w:tc>
          <w:tcPr>
            <w:tcW w:w="900" w:type="dxa"/>
            <w:vAlign w:val="bottom"/>
          </w:tcPr>
          <w:p>
            <w:pPr>
              <w:spacing w:after="0"/>
              <w:rPr>
                <w:sz w:val="20"/>
                <w:szCs w:val="20"/>
                <w:color w:val="auto"/>
              </w:rPr>
            </w:pPr>
            <w:r>
              <w:rPr>
                <w:rFonts w:ascii="Arial" w:cs="Arial" w:eastAsia="Arial" w:hAnsi="Arial"/>
                <w:sz w:val="15"/>
                <w:szCs w:val="15"/>
                <w:color w:val="auto"/>
                <w:w w:val="92"/>
              </w:rPr>
              <w:t>June 30, 2021</w:t>
            </w: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Balances at</w:t>
            </w: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right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right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right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right w:val="single" w:sz="8" w:color="auto"/>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June 30,</w:t>
            </w:r>
          </w:p>
        </w:tc>
        <w:tc>
          <w:tcPr>
            <w:tcW w:w="620" w:type="dxa"/>
            <w:vAlign w:val="bottom"/>
            <w:tcBorders>
              <w:right w:val="single" w:sz="8" w:color="CCEEFF"/>
            </w:tcBorders>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2"/>
              </w:rPr>
              <w:t>500,000</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right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500</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5"/>
              </w:rPr>
              <w:t>1,131,669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right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1,100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2,318,012</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500" w:type="dxa"/>
            <w:vAlign w:val="bottom"/>
            <w:tcBorders>
              <w:right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2,300</w:t>
            </w:r>
          </w:p>
        </w:tc>
        <w:tc>
          <w:tcPr>
            <w:tcW w:w="960" w:type="dxa"/>
            <w:vAlign w:val="bottom"/>
            <w:gridSpan w:val="3"/>
            <w:vMerge w:val="restart"/>
            <w:shd w:val="clear" w:color="auto" w:fill="CCEEFF"/>
          </w:tcPr>
          <w:p>
            <w:pPr>
              <w:ind w:left="540"/>
              <w:spacing w:after="0"/>
              <w:rPr>
                <w:sz w:val="20"/>
                <w:szCs w:val="20"/>
                <w:color w:val="auto"/>
              </w:rPr>
            </w:pPr>
            <w:r>
              <w:rPr>
                <w:rFonts w:ascii="Arial" w:cs="Arial" w:eastAsia="Arial" w:hAnsi="Arial"/>
                <w:sz w:val="15"/>
                <w:szCs w:val="15"/>
                <w:b w:val="1"/>
                <w:bCs w:val="1"/>
                <w:color w:val="auto"/>
              </w:rPr>
              <w:t>- $</w:t>
            </w:r>
          </w:p>
        </w:tc>
        <w:tc>
          <w:tcPr>
            <w:tcW w:w="380" w:type="dxa"/>
            <w:vAlign w:val="bottom"/>
            <w:tcBorders>
              <w:right w:val="single" w:sz="8" w:color="auto"/>
            </w:tcBorders>
            <w:vMerge w:val="restart"/>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w:t>
            </w:r>
          </w:p>
        </w:tc>
        <w:tc>
          <w:tcPr>
            <w:tcW w:w="88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3"/>
              </w:rPr>
              <w:t>191,632,008</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191,600</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w w:val="98"/>
              </w:rPr>
              <w:t>$</w:t>
            </w:r>
            <w:r>
              <w:rPr>
                <w:rFonts w:ascii="Arial" w:cs="Arial" w:eastAsia="Arial" w:hAnsi="Arial"/>
                <w:sz w:val="15"/>
                <w:szCs w:val="15"/>
                <w:b w:val="1"/>
                <w:bCs w:val="1"/>
                <w:color w:val="auto"/>
                <w:w w:val="98"/>
              </w:rPr>
              <w:t>316,975,600</w:t>
            </w:r>
          </w:p>
        </w:tc>
        <w:tc>
          <w:tcPr>
            <w:tcW w:w="2600" w:type="dxa"/>
            <w:vAlign w:val="bottom"/>
            <w:tcBorders>
              <w:right w:val="single" w:sz="8" w:color="CCEEFF"/>
            </w:tcBorders>
            <w:gridSpan w:val="5"/>
            <w:vMerge w:val="restart"/>
            <w:shd w:val="clear" w:color="auto" w:fill="CCEEFF"/>
          </w:tcPr>
          <w:p>
            <w:pPr>
              <w:jc w:val="right"/>
              <w:ind w:right="40"/>
              <w:spacing w:after="0"/>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 xml:space="preserve">(3,968,100) </w:t>
            </w: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 xml:space="preserve">(227,586,200) </w:t>
            </w: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85,616,800</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2021</w:t>
            </w:r>
          </w:p>
        </w:tc>
        <w:tc>
          <w:tcPr>
            <w:tcW w:w="620" w:type="dxa"/>
            <w:vAlign w:val="bottom"/>
            <w:tcBorders>
              <w:right w:val="single" w:sz="8" w:color="CCEEFF"/>
            </w:tcBorders>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440" w:type="dxa"/>
            <w:vAlign w:val="bottom"/>
            <w:tcBorders>
              <w:right w:val="single" w:sz="8" w:color="auto"/>
            </w:tcBorders>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20" w:type="dxa"/>
            <w:vAlign w:val="bottom"/>
            <w:tcBorders>
              <w:right w:val="single" w:sz="8" w:color="auto"/>
            </w:tcBorders>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00" w:type="dxa"/>
            <w:vAlign w:val="bottom"/>
            <w:tcBorders>
              <w:right w:val="single" w:sz="8" w:color="auto"/>
            </w:tcBorders>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380" w:type="dxa"/>
            <w:vAlign w:val="bottom"/>
            <w:tcBorders>
              <w:right w:val="single" w:sz="8" w:color="auto"/>
            </w:tcBorders>
            <w:vMerge w:val="continue"/>
            <w:shd w:val="clear" w:color="auto" w:fill="CCEEFF"/>
          </w:tcPr>
          <w:p>
            <w:pPr>
              <w:spacing w:after="0"/>
              <w:rPr>
                <w:sz w:val="15"/>
                <w:szCs w:val="15"/>
                <w:color w:val="auto"/>
              </w:rPr>
            </w:pPr>
          </w:p>
        </w:tc>
        <w:tc>
          <w:tcPr>
            <w:tcW w:w="880" w:type="dxa"/>
            <w:vAlign w:val="bottom"/>
            <w:tcBorders>
              <w:right w:val="single" w:sz="8" w:color="CCEEFF"/>
            </w:tcBorders>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2600" w:type="dxa"/>
            <w:vAlign w:val="bottom"/>
            <w:tcBorders>
              <w:right w:val="single" w:sz="8" w:color="CCEEFF"/>
            </w:tcBorders>
            <w:gridSpan w:val="5"/>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VISTAGEN THERAPEUTICS, INC.</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Description of Business</w:t>
      </w:r>
    </w:p>
    <w:p>
      <w:pPr>
        <w:spacing w:after="0" w:line="189" w:lineRule="exact"/>
        <w:rPr>
          <w:sz w:val="20"/>
          <w:szCs w:val="20"/>
          <w:color w:val="auto"/>
        </w:rPr>
      </w:pPr>
    </w:p>
    <w:p>
      <w:pPr>
        <w:jc w:val="both"/>
        <w:ind w:left="20" w:right="80"/>
        <w:spacing w:after="0" w:line="292" w:lineRule="auto"/>
        <w:rPr>
          <w:sz w:val="20"/>
          <w:szCs w:val="20"/>
          <w:color w:val="auto"/>
        </w:rPr>
      </w:pPr>
      <w:r>
        <w:rPr>
          <w:rFonts w:ascii="Arial" w:cs="Arial" w:eastAsia="Arial" w:hAnsi="Arial"/>
          <w:sz w:val="13"/>
          <w:szCs w:val="13"/>
          <w:color w:val="auto"/>
        </w:rPr>
        <w:t xml:space="preserve">VistaGen Therapeutics, Inc., a Nevada corporation (which may be referred to as </w:t>
      </w:r>
      <w:r>
        <w:rPr>
          <w:rFonts w:ascii="Arial" w:cs="Arial" w:eastAsia="Arial" w:hAnsi="Arial"/>
          <w:sz w:val="13"/>
          <w:szCs w:val="13"/>
          <w:i w:val="1"/>
          <w:iCs w:val="1"/>
          <w:color w:val="auto"/>
        </w:rPr>
        <w:t>VistaGen</w:t>
      </w:r>
      <w:r>
        <w:rPr>
          <w:rFonts w:ascii="Arial" w:cs="Arial" w:eastAsia="Arial" w:hAnsi="Arial"/>
          <w:sz w:val="13"/>
          <w:szCs w:val="13"/>
          <w:color w:val="auto"/>
        </w:rPr>
        <w:t xml:space="preserve">, the </w:t>
      </w:r>
      <w:r>
        <w:rPr>
          <w:rFonts w:ascii="Arial" w:cs="Arial" w:eastAsia="Arial" w:hAnsi="Arial"/>
          <w:sz w:val="13"/>
          <w:szCs w:val="13"/>
          <w:i w:val="1"/>
          <w:iCs w:val="1"/>
          <w:color w:val="auto"/>
        </w:rPr>
        <w:t>Company</w:t>
      </w:r>
      <w:r>
        <w:rPr>
          <w:rFonts w:ascii="Arial" w:cs="Arial" w:eastAsia="Arial" w:hAnsi="Arial"/>
          <w:sz w:val="13"/>
          <w:szCs w:val="13"/>
          <w:color w:val="auto"/>
        </w:rPr>
        <w:t xml:space="preserve">, </w:t>
      </w:r>
      <w:r>
        <w:rPr>
          <w:rFonts w:ascii="Arial" w:cs="Arial" w:eastAsia="Arial" w:hAnsi="Arial"/>
          <w:sz w:val="13"/>
          <w:szCs w:val="13"/>
          <w:i w:val="1"/>
          <w:iCs w:val="1"/>
          <w:color w:val="auto"/>
        </w:rPr>
        <w:t>we</w:t>
      </w:r>
      <w:r>
        <w:rPr>
          <w:rFonts w:ascii="Arial" w:cs="Arial" w:eastAsia="Arial" w:hAnsi="Arial"/>
          <w:sz w:val="13"/>
          <w:szCs w:val="13"/>
          <w:color w:val="auto"/>
        </w:rPr>
        <w:t xml:space="preserve">, </w:t>
      </w:r>
      <w:r>
        <w:rPr>
          <w:rFonts w:ascii="Arial" w:cs="Arial" w:eastAsia="Arial" w:hAnsi="Arial"/>
          <w:sz w:val="13"/>
          <w:szCs w:val="13"/>
          <w:i w:val="1"/>
          <w:iCs w:val="1"/>
          <w:color w:val="auto"/>
        </w:rPr>
        <w:t>our</w:t>
      </w:r>
      <w:r>
        <w:rPr>
          <w:rFonts w:ascii="Arial" w:cs="Arial" w:eastAsia="Arial" w:hAnsi="Arial"/>
          <w:sz w:val="13"/>
          <w:szCs w:val="13"/>
          <w:color w:val="auto"/>
        </w:rPr>
        <w:t xml:space="preserve">, or </w:t>
      </w:r>
      <w:r>
        <w:rPr>
          <w:rFonts w:ascii="Arial" w:cs="Arial" w:eastAsia="Arial" w:hAnsi="Arial"/>
          <w:sz w:val="13"/>
          <w:szCs w:val="13"/>
          <w:i w:val="1"/>
          <w:iCs w:val="1"/>
          <w:color w:val="auto"/>
        </w:rPr>
        <w:t>us</w:t>
      </w:r>
      <w:r>
        <w:rPr>
          <w:rFonts w:ascii="Arial" w:cs="Arial" w:eastAsia="Arial" w:hAnsi="Arial"/>
          <w:sz w:val="13"/>
          <w:szCs w:val="13"/>
          <w:color w:val="auto"/>
        </w:rPr>
        <w:t>), is a biopharmaceutical company committed to developing and commercializing a new generation of medicines with potential to go beyond the current standard of care for widespread anxiety, depression and other central nervous system (</w:t>
      </w:r>
      <w:r>
        <w:rPr>
          <w:rFonts w:ascii="Arial" w:cs="Arial" w:eastAsia="Arial" w:hAnsi="Arial"/>
          <w:sz w:val="13"/>
          <w:szCs w:val="13"/>
          <w:i w:val="1"/>
          <w:iCs w:val="1"/>
          <w:color w:val="auto"/>
        </w:rPr>
        <w:t>CNS</w:t>
      </w:r>
      <w:r>
        <w:rPr>
          <w:rFonts w:ascii="Arial" w:cs="Arial" w:eastAsia="Arial" w:hAnsi="Arial"/>
          <w:sz w:val="13"/>
          <w:szCs w:val="13"/>
          <w:color w:val="auto"/>
        </w:rPr>
        <w:t>) disorders. Our CNS pipeline includes three clinical-stage CNS product candidates, PH94B Nasal Spray, PH10 Nasal Spray and AV-101, each with a differentiated profile, favorable safety results observed in all clinical studies to date and therapeutic potential in multiple CNS indications. PH94B Nasal Spray (</w:t>
      </w:r>
      <w:r>
        <w:rPr>
          <w:rFonts w:ascii="Arial" w:cs="Arial" w:eastAsia="Arial" w:hAnsi="Arial"/>
          <w:sz w:val="13"/>
          <w:szCs w:val="13"/>
          <w:i w:val="1"/>
          <w:iCs w:val="1"/>
          <w:color w:val="auto"/>
        </w:rPr>
        <w:t>PH94B</w:t>
      </w:r>
      <w:r>
        <w:rPr>
          <w:rFonts w:ascii="Arial" w:cs="Arial" w:eastAsia="Arial" w:hAnsi="Arial"/>
          <w:sz w:val="13"/>
          <w:szCs w:val="13"/>
          <w:color w:val="auto"/>
        </w:rPr>
        <w:t>) is being developed for multiple anxiety disorders. We recently initiated our PH94B Phase 3 development program, which we refer to as the PALISADE Phase 3 Program, with PALISADE-1,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3"/>
          <w:szCs w:val="13"/>
          <w:i w:val="1"/>
          <w:iCs w:val="1"/>
          <w:color w:val="auto"/>
        </w:rPr>
        <w:t>SAD</w:t>
      </w:r>
      <w:r>
        <w:rPr>
          <w:rFonts w:ascii="Arial" w:cs="Arial" w:eastAsia="Arial" w:hAnsi="Arial"/>
          <w:sz w:val="13"/>
          <w:szCs w:val="13"/>
          <w:color w:val="auto"/>
        </w:rPr>
        <w:t>). We are also preparing to initiate the additional studies we believe are required to support a potential U.S. New Drug Application (</w:t>
      </w:r>
      <w:r>
        <w:rPr>
          <w:rFonts w:ascii="Arial" w:cs="Arial" w:eastAsia="Arial" w:hAnsi="Arial"/>
          <w:sz w:val="13"/>
          <w:szCs w:val="13"/>
          <w:i w:val="1"/>
          <w:iCs w:val="1"/>
          <w:color w:val="auto"/>
        </w:rPr>
        <w:t>NDA</w:t>
      </w:r>
      <w:r>
        <w:rPr>
          <w:rFonts w:ascii="Arial" w:cs="Arial" w:eastAsia="Arial" w:hAnsi="Arial"/>
          <w:sz w:val="13"/>
          <w:szCs w:val="13"/>
          <w:color w:val="auto"/>
        </w:rPr>
        <w:t>) for PH94B in that indication should the PALISADE Phase 3 Program be successful. In addition to the PALISADE Phase 3 Program, we are preparing for exploratory Phase 2A clinical studies of PH94B in adults experiencing several other anxiety disorders. PH10 Nasal Spray (</w:t>
      </w:r>
      <w:r>
        <w:rPr>
          <w:rFonts w:ascii="Arial" w:cs="Arial" w:eastAsia="Arial" w:hAnsi="Arial"/>
          <w:sz w:val="13"/>
          <w:szCs w:val="13"/>
          <w:i w:val="1"/>
          <w:iCs w:val="1"/>
          <w:color w:val="auto"/>
        </w:rPr>
        <w:t>PH10</w:t>
      </w:r>
      <w:r>
        <w:rPr>
          <w:rFonts w:ascii="Arial" w:cs="Arial" w:eastAsia="Arial" w:hAnsi="Arial"/>
          <w:sz w:val="13"/>
          <w:szCs w:val="13"/>
          <w:color w:val="auto"/>
        </w:rPr>
        <w:t>) is being developed as a stand-alone treatment for multiple depression disorders. Exploratory Phase 2A clinical development of PH10 for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has been completed. Based on the positive results demonstrated in that study, we are now preparing for planned Phase 2B clinical development of PH10 in MDD. We are preparing to initiate Phase 1B clinical development of AV-101 in combination with probenecid to further assess its potential in multiple neurological indications involving the NMDA (N-methyl-D-aspartate) receptor. 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Our Product Candidates</w:t>
      </w:r>
    </w:p>
    <w:p>
      <w:pPr>
        <w:spacing w:after="0" w:line="189"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PH94B is a synthetic investigational neurosteroid developed from proprietary compounds called pherines. With its novel mechanism of action, PH94B is an odorless nasal spray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for treatment of SAD, as well as all benzodiazepines and beta blockers prescribed for treatment of SAD on an off-label basis. PH94B engages peripheral chemosensory receptors in nasal passages that trigger a subset of neurons in the main olfactory bulbs (</w:t>
      </w:r>
      <w:r>
        <w:rPr>
          <w:rFonts w:ascii="Arial" w:cs="Arial" w:eastAsia="Arial" w:hAnsi="Arial"/>
          <w:sz w:val="14"/>
          <w:szCs w:val="14"/>
          <w:i w:val="1"/>
          <w:iCs w:val="1"/>
          <w:color w:val="auto"/>
        </w:rPr>
        <w:t>OB</w:t>
      </w:r>
      <w:r>
        <w:rPr>
          <w:rFonts w:ascii="Arial" w:cs="Arial" w:eastAsia="Arial" w:hAnsi="Arial"/>
          <w:sz w:val="14"/>
          <w:szCs w:val="14"/>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even at microgram-level doses,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adjustment disorder with anxiety, postpartum anxiety, post-traumatic stress disorder, procedural anxiety, panic and other anxiety disorders. PH94B has been granted Fast Track designation status by the FDA for development for the acute treatment of SAD.</w:t>
      </w:r>
    </w:p>
    <w:p>
      <w:pPr>
        <w:spacing w:after="0" w:line="150" w:lineRule="exact"/>
        <w:rPr>
          <w:sz w:val="20"/>
          <w:szCs w:val="20"/>
          <w:color w:val="auto"/>
        </w:rPr>
      </w:pPr>
    </w:p>
    <w:p>
      <w:pPr>
        <w:jc w:val="both"/>
        <w:ind w:right="80"/>
        <w:spacing w:after="0" w:line="296" w:lineRule="auto"/>
        <w:rPr>
          <w:sz w:val="20"/>
          <w:szCs w:val="20"/>
          <w:color w:val="auto"/>
        </w:rPr>
      </w:pPr>
      <w:r>
        <w:rPr>
          <w:rFonts w:ascii="Arial" w:cs="Arial" w:eastAsia="Arial" w:hAnsi="Arial"/>
          <w:sz w:val="13"/>
          <w:szCs w:val="13"/>
          <w:color w:val="auto"/>
        </w:rPr>
        <w:t>PH10 is a synthetic investigational neurosteroid, which also was developed from proprietary compounds called pherines. Its novel, rapid-onset mechanism of action (</w:t>
      </w:r>
      <w:r>
        <w:rPr>
          <w:rFonts w:ascii="Arial" w:cs="Arial" w:eastAsia="Arial" w:hAnsi="Arial"/>
          <w:sz w:val="13"/>
          <w:szCs w:val="13"/>
          <w:i w:val="1"/>
          <w:iCs w:val="1"/>
          <w:color w:val="auto"/>
        </w:rPr>
        <w:t>MOA</w:t>
      </w:r>
      <w:r>
        <w:rPr>
          <w:rFonts w:ascii="Arial" w:cs="Arial" w:eastAsia="Arial" w:hAnsi="Arial"/>
          <w:sz w:val="13"/>
          <w:szCs w:val="13"/>
          <w:color w:val="auto"/>
        </w:rPr>
        <w:t>) is fundamentally differentiated from the MOA of all currently approved treatments for depression disorders. PH10 is administered at microgram-level doses as an odorless nasal spray. PH10 engages and activates chemosensory cells in the nasal passages, connected to neural circuits in the brain that produce antidepressant effects. Specifically, PH10 is designed to engage peripheral chemosensory receptors in the nasal passages that trigger a subset of neurons in the main OB that stimulate neurons in the limbic amygdala. This is turn is believed to increase activity of the limbic-hypothalamic sympathetic nervous system and increase the release of catecholamines. Importantly, unlike all currently approved oral antidepressants (</w:t>
      </w:r>
      <w:r>
        <w:rPr>
          <w:rFonts w:ascii="Arial" w:cs="Arial" w:eastAsia="Arial" w:hAnsi="Arial"/>
          <w:sz w:val="13"/>
          <w:szCs w:val="13"/>
          <w:i w:val="1"/>
          <w:iCs w:val="1"/>
          <w:color w:val="auto"/>
        </w:rPr>
        <w:t>ADs</w:t>
      </w:r>
      <w:r>
        <w:rPr>
          <w:rFonts w:ascii="Arial" w:cs="Arial" w:eastAsia="Arial" w:hAnsi="Arial"/>
          <w:sz w:val="13"/>
          <w:szCs w:val="13"/>
          <w:color w:val="auto"/>
        </w:rPr>
        <w:t>) and rapid-onset ketamine-based therapy (</w:t>
      </w:r>
      <w:r>
        <w:rPr>
          <w:rFonts w:ascii="Arial" w:cs="Arial" w:eastAsia="Arial" w:hAnsi="Arial"/>
          <w:sz w:val="13"/>
          <w:szCs w:val="13"/>
          <w:i w:val="1"/>
          <w:iCs w:val="1"/>
          <w:color w:val="auto"/>
        </w:rPr>
        <w:t>KBT</w:t>
      </w:r>
      <w:r>
        <w:rPr>
          <w:rFonts w:ascii="Arial" w:cs="Arial" w:eastAsia="Arial" w:hAnsi="Arial"/>
          <w:sz w:val="13"/>
          <w:szCs w:val="13"/>
          <w:color w:val="auto"/>
        </w:rPr>
        <w:t>), including both intravenous ketamine and intranasal ketamine (esketamine), PH10 does not require systemic uptake and distribution to produce rapid-onset of antidepressant effects. In all clinical studies to date, PH10 has been well-tolerated and has not caused psychological side effects (such as dissociation and hallucinations) or other safety concerns that may be associated with KBT. We believe PH10 has potential to be a new stand-alone treatment for MDD and several other depression disorders.</w:t>
      </w:r>
    </w:p>
    <w:p>
      <w:pPr>
        <w:spacing w:after="0" w:line="135" w:lineRule="exact"/>
        <w:rPr>
          <w:sz w:val="20"/>
          <w:szCs w:val="20"/>
          <w:color w:val="auto"/>
        </w:rPr>
      </w:pPr>
    </w:p>
    <w:p>
      <w:pPr>
        <w:jc w:val="both"/>
        <w:ind w:left="20" w:right="80"/>
        <w:spacing w:after="0" w:line="273" w:lineRule="auto"/>
        <w:rPr>
          <w:sz w:val="20"/>
          <w:szCs w:val="20"/>
          <w:color w:val="auto"/>
        </w:rPr>
      </w:pPr>
      <w:r>
        <w:rPr>
          <w:rFonts w:ascii="Arial" w:cs="Arial" w:eastAsia="Arial" w:hAnsi="Arial"/>
          <w:sz w:val="14"/>
          <w:szCs w:val="14"/>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currently preparing to evaluate AV-101 in combination with probenecid in a Phase 1B clinical study. The FDA has granted Fast Track designation for development of AV-101 as a potential adjunctive treatment for MDD and as a non-opioid treatment for neuropathic pain (</w:t>
      </w:r>
      <w:r>
        <w:rPr>
          <w:rFonts w:ascii="Arial" w:cs="Arial" w:eastAsia="Arial" w:hAnsi="Arial"/>
          <w:sz w:val="14"/>
          <w:szCs w:val="14"/>
          <w:i w:val="1"/>
          <w:iCs w:val="1"/>
          <w:color w:val="auto"/>
        </w:rPr>
        <w:t>NP</w:t>
      </w:r>
      <w:r>
        <w:rPr>
          <w:rFonts w:ascii="Arial" w:cs="Arial" w:eastAsia="Arial" w:hAnsi="Arial"/>
          <w:sz w:val="14"/>
          <w:szCs w:val="14"/>
          <w:color w:val="auto"/>
        </w:rPr>
        <w:t>).</w:t>
      </w: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Subsidiaries</w:t>
      </w:r>
    </w:p>
    <w:p>
      <w:pPr>
        <w:spacing w:after="0" w:line="189" w:lineRule="exact"/>
        <w:rPr>
          <w:sz w:val="20"/>
          <w:szCs w:val="20"/>
          <w:color w:val="auto"/>
        </w:rPr>
      </w:pPr>
    </w:p>
    <w:p>
      <w:pPr>
        <w:jc w:val="both"/>
        <w:ind w:right="80"/>
        <w:spacing w:after="0" w:line="260" w:lineRule="auto"/>
        <w:rPr>
          <w:sz w:val="20"/>
          <w:szCs w:val="20"/>
          <w:color w:val="auto"/>
        </w:rPr>
      </w:pPr>
      <w:r>
        <w:rPr>
          <w:rFonts w:ascii="Arial" w:cs="Arial" w:eastAsia="Arial" w:hAnsi="Arial"/>
          <w:sz w:val="15"/>
          <w:szCs w:val="15"/>
          <w:color w:val="auto"/>
        </w:rPr>
        <w:t>VistaGen Therapeutics, Inc., a California corporation d/b/a VistaStem (</w:t>
      </w:r>
      <w:r>
        <w:rPr>
          <w:rFonts w:ascii="Arial" w:cs="Arial" w:eastAsia="Arial" w:hAnsi="Arial"/>
          <w:sz w:val="15"/>
          <w:szCs w:val="15"/>
          <w:i w:val="1"/>
          <w:iCs w:val="1"/>
          <w:color w:val="auto"/>
        </w:rPr>
        <w:t>VistaStem</w:t>
      </w:r>
      <w:r>
        <w:rPr>
          <w:rFonts w:ascii="Arial" w:cs="Arial" w:eastAsia="Arial" w:hAnsi="Arial"/>
          <w:sz w:val="15"/>
          <w:szCs w:val="15"/>
          <w:color w:val="auto"/>
        </w:rPr>
        <w:t>), is our wholly-owned subsidiary. Our Consolidated Financial Statements in this Quarterly Report on Form 10-Q (</w:t>
      </w:r>
      <w:r>
        <w:rPr>
          <w:rFonts w:ascii="Arial" w:cs="Arial" w:eastAsia="Arial" w:hAnsi="Arial"/>
          <w:sz w:val="15"/>
          <w:szCs w:val="15"/>
          <w:i w:val="1"/>
          <w:iCs w:val="1"/>
          <w:color w:val="auto"/>
        </w:rPr>
        <w:t>Quarterly Report</w:t>
      </w:r>
      <w:r>
        <w:rPr>
          <w:rFonts w:ascii="Arial" w:cs="Arial" w:eastAsia="Arial" w:hAnsi="Arial"/>
          <w:sz w:val="15"/>
          <w:szCs w:val="15"/>
          <w:color w:val="auto"/>
        </w:rPr>
        <w:t xml:space="preserve"> or </w:t>
      </w:r>
      <w:r>
        <w:rPr>
          <w:rFonts w:ascii="Arial" w:cs="Arial" w:eastAsia="Arial" w:hAnsi="Arial"/>
          <w:sz w:val="15"/>
          <w:szCs w:val="15"/>
          <w:i w:val="1"/>
          <w:iCs w:val="1"/>
          <w:color w:val="auto"/>
        </w:rPr>
        <w:t>Report</w:t>
      </w:r>
      <w:r>
        <w:rPr>
          <w:rFonts w:ascii="Arial" w:cs="Arial" w:eastAsia="Arial" w:hAnsi="Arial"/>
          <w:sz w:val="15"/>
          <w:szCs w:val="15"/>
          <w:color w:val="auto"/>
        </w:rPr>
        <w:t>) also include the accounts of VistaStem’s two wholly-owned inactive subsidiaries, Artemis Neuroscience, Inc., a Maryland corporation, and VistaStem Canada, Inc., a corporation organized under the laws of Ontario, Canada.</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Basis of Presentation</w:t>
      </w:r>
    </w:p>
    <w:p>
      <w:pPr>
        <w:spacing w:after="0" w:line="189" w:lineRule="exact"/>
        <w:rPr>
          <w:sz w:val="20"/>
          <w:szCs w:val="20"/>
          <w:color w:val="auto"/>
        </w:rPr>
      </w:pPr>
    </w:p>
    <w:p>
      <w:pPr>
        <w:jc w:val="both"/>
        <w:ind w:right="80"/>
        <w:spacing w:after="0" w:line="299"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accounting principles generally accepted in the United States (</w:t>
      </w:r>
      <w:r>
        <w:rPr>
          <w:rFonts w:ascii="Arial" w:cs="Arial" w:eastAsia="Arial" w:hAnsi="Arial"/>
          <w:sz w:val="13"/>
          <w:szCs w:val="13"/>
          <w:i w:val="1"/>
          <w:iCs w:val="1"/>
          <w:color w:val="auto"/>
        </w:rPr>
        <w:t>U.S.</w:t>
      </w:r>
      <w:r>
        <w:rPr>
          <w:rFonts w:ascii="Arial" w:cs="Arial" w:eastAsia="Arial" w:hAnsi="Arial"/>
          <w:sz w:val="13"/>
          <w:szCs w:val="13"/>
          <w:color w:val="auto"/>
        </w:rPr>
        <w:t xml:space="preserve"> </w:t>
      </w:r>
      <w:r>
        <w:rPr>
          <w:rFonts w:ascii="Arial" w:cs="Arial" w:eastAsia="Arial" w:hAnsi="Arial"/>
          <w:sz w:val="13"/>
          <w:szCs w:val="13"/>
          <w:i w:val="1"/>
          <w:iCs w:val="1"/>
          <w:color w:val="auto"/>
        </w:rPr>
        <w:t>GAAP</w:t>
      </w:r>
      <w:r>
        <w:rPr>
          <w:rFonts w:ascii="Arial" w:cs="Arial" w:eastAsia="Arial" w:hAnsi="Arial"/>
          <w:sz w:val="13"/>
          <w:szCs w:val="13"/>
          <w:color w:val="auto"/>
        </w:rPr>
        <w:t>) for interim financial information and with the instructions to Form 10-Q and Rule 8-03 of Regulation S-X. Accordingly, they do not contain all of the information and footnotes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2021 has been derived from our audited consolidated financial statements at that date but does not include all disclosures required by U.S. GAAP. The operating results for the three months ended June 30, 2021 are not necessarily indicative of the operating results to be expected for our fiscal year ending March 31, 2022, or for any other future interim or other period.</w:t>
      </w:r>
    </w:p>
    <w:p>
      <w:pPr>
        <w:spacing w:after="0" w:line="135" w:lineRule="exact"/>
        <w:rPr>
          <w:sz w:val="20"/>
          <w:szCs w:val="20"/>
          <w:color w:val="auto"/>
        </w:rPr>
      </w:pPr>
    </w:p>
    <w:p>
      <w:pPr>
        <w:jc w:val="both"/>
        <w:ind w:right="80"/>
        <w:spacing w:after="0" w:line="350" w:lineRule="auto"/>
        <w:rPr>
          <w:sz w:val="20"/>
          <w:szCs w:val="20"/>
          <w:color w:val="auto"/>
        </w:rPr>
      </w:pPr>
      <w:r>
        <w:rPr>
          <w:rFonts w:ascii="Arial" w:cs="Arial" w:eastAsia="Arial" w:hAnsi="Arial"/>
          <w:sz w:val="13"/>
          <w:szCs w:val="13"/>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2021 contained in our Annual Report on Form 10-K, as filed with the Securities and</w:t>
      </w:r>
    </w:p>
    <w:p>
      <w:pPr>
        <w:sectPr>
          <w:pgSz w:w="11900" w:h="16864" w:orient="portrait"/>
          <w:cols w:equalWidth="0" w:num="1">
            <w:col w:w="11360"/>
          </w:cols>
          <w:pgMar w:left="300" w:top="129" w:right="239" w:bottom="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Exchange Commission (</w:t>
      </w:r>
      <w:r>
        <w:rPr>
          <w:rFonts w:ascii="Arial" w:cs="Arial" w:eastAsia="Arial" w:hAnsi="Arial"/>
          <w:sz w:val="15"/>
          <w:szCs w:val="15"/>
          <w:i w:val="1"/>
          <w:iCs w:val="1"/>
          <w:color w:val="auto"/>
        </w:rPr>
        <w:t>SEC</w:t>
      </w:r>
      <w:r>
        <w:rPr>
          <w:rFonts w:ascii="Arial" w:cs="Arial" w:eastAsia="Arial" w:hAnsi="Arial"/>
          <w:sz w:val="15"/>
          <w:szCs w:val="15"/>
          <w:color w:val="auto"/>
        </w:rPr>
        <w:t>) on June 29, 2021 (</w:t>
      </w:r>
      <w:r>
        <w:rPr>
          <w:rFonts w:ascii="Arial" w:cs="Arial" w:eastAsia="Arial" w:hAnsi="Arial"/>
          <w:sz w:val="15"/>
          <w:szCs w:val="15"/>
          <w:i w:val="1"/>
          <w:iCs w:val="1"/>
          <w:color w:val="auto"/>
        </w:rPr>
        <w:t>Form 10-K</w:t>
      </w:r>
      <w:r>
        <w:rPr>
          <w:rFonts w:ascii="Arial" w:cs="Arial" w:eastAsia="Arial" w:hAnsi="Arial"/>
          <w:sz w:val="15"/>
          <w:szCs w:val="15"/>
          <w:color w:val="auto"/>
        </w:rPr>
        <w: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$227.6 million accumulated from inception (May 1998) through June 30, 2021. We expect losses and negative cash flows from operations to continue for the foreseeable future as we engage in further development of PH94B, PH10 and AV-101, execute our drug rescue programs and pursue potential drug development and regenerative medicine opportunities.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Since our inception in May 1998 through June 30, 2021, we have financed our operations and technology acquisitions primarily through the issuance and sale of our equity and debt securities for cash proceeds of approximately $199.0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Developments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In December 2020, we entered into an underwriting agreement pursuant to which we sold, in an underwritten public offering (the </w:t>
      </w:r>
      <w:r>
        <w:rPr>
          <w:rFonts w:ascii="Arial" w:cs="Arial" w:eastAsia="Arial" w:hAnsi="Arial"/>
          <w:sz w:val="14"/>
          <w:szCs w:val="14"/>
          <w:i w:val="1"/>
          <w:iCs w:val="1"/>
          <w:color w:val="auto"/>
        </w:rPr>
        <w:t>December 2020 Public Offering</w:t>
      </w:r>
      <w:r>
        <w:rPr>
          <w:rFonts w:ascii="Arial" w:cs="Arial" w:eastAsia="Arial" w:hAnsi="Arial"/>
          <w:sz w:val="14"/>
          <w:szCs w:val="14"/>
          <w:color w:val="auto"/>
        </w:rPr>
        <w:t>), 63.0 million shares of our common stock at a public offering price of $0.92 per share and 2.0 million shares of a newly issued series of convertible preferred stock (</w:t>
      </w:r>
      <w:r>
        <w:rPr>
          <w:rFonts w:ascii="Arial" w:cs="Arial" w:eastAsia="Arial" w:hAnsi="Arial"/>
          <w:sz w:val="14"/>
          <w:szCs w:val="14"/>
          <w:i w:val="1"/>
          <w:iCs w:val="1"/>
          <w:color w:val="auto"/>
        </w:rPr>
        <w:t>Series D Preferred</w:t>
      </w:r>
      <w:r>
        <w:rPr>
          <w:rFonts w:ascii="Arial" w:cs="Arial" w:eastAsia="Arial" w:hAnsi="Arial"/>
          <w:sz w:val="14"/>
          <w:szCs w:val="14"/>
          <w:color w:val="auto"/>
        </w:rPr>
        <w:t xml:space="preserve"> and, together with the common stock, the </w:t>
      </w:r>
      <w:r>
        <w:rPr>
          <w:rFonts w:ascii="Arial" w:cs="Arial" w:eastAsia="Arial" w:hAnsi="Arial"/>
          <w:sz w:val="14"/>
          <w:szCs w:val="14"/>
          <w:i w:val="1"/>
          <w:iCs w:val="1"/>
          <w:color w:val="auto"/>
        </w:rPr>
        <w:t>Securities</w:t>
      </w:r>
      <w:r>
        <w:rPr>
          <w:rFonts w:ascii="Arial" w:cs="Arial" w:eastAsia="Arial" w:hAnsi="Arial"/>
          <w:sz w:val="14"/>
          <w:szCs w:val="14"/>
          <w:color w:val="auto"/>
        </w:rPr>
        <w:t>) at a public offering price of $21.16 per share, resulting in gross proceeds to us of $100 million. The 2.0 million shares of Series D Preferred Stock were convertible into 46.0 million shares of common stock, all of which had been converted by June 30, 2021. Net proceeds to us from the Securities sold in the December 2020 Public Offering, after deducting underwriting discounts and commissions and offering expenses payable by us, was approximately $93.6 million.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 xml:space="preserve">Between December 2020 and March 31, 2021, holders of outstanding warrants to purchase an aggregate of 6,396,302 shares of our common stock exercised such warrants and we received cash proceeds of approximately $4.9 million. During the quarter ended June 30, 2021, holders of outstanding warrants to purchase an aggregate of 1,516,768 shares of our common stock exercised such warrants and we received cash proceeds of approximately $1.0 million. Refer to Note 12, </w:t>
      </w:r>
      <w:r>
        <w:rPr>
          <w:rFonts w:ascii="Arial" w:cs="Arial" w:eastAsia="Arial" w:hAnsi="Arial"/>
          <w:sz w:val="15"/>
          <w:szCs w:val="15"/>
          <w:i w:val="1"/>
          <w:iCs w:val="1"/>
          <w:color w:val="auto"/>
        </w:rPr>
        <w:t>Subsequent Events</w:t>
      </w:r>
      <w:r>
        <w:rPr>
          <w:rFonts w:ascii="Arial" w:cs="Arial" w:eastAsia="Arial" w:hAnsi="Arial"/>
          <w:sz w:val="15"/>
          <w:szCs w:val="15"/>
          <w:color w:val="auto"/>
        </w:rPr>
        <w:t>, for disclosure regarding additional warrant exercises since June 30, 2021.</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In August 2020, we entered into an underwriting agreement pursuant to which we sold, in an underwritten public offering (the </w:t>
      </w:r>
      <w:r>
        <w:rPr>
          <w:rFonts w:ascii="Arial" w:cs="Arial" w:eastAsia="Arial" w:hAnsi="Arial"/>
          <w:sz w:val="13"/>
          <w:szCs w:val="13"/>
          <w:i w:val="1"/>
          <w:iCs w:val="1"/>
          <w:color w:val="auto"/>
        </w:rPr>
        <w:t>August 2020 Public Offering</w:t>
      </w:r>
      <w:r>
        <w:rPr>
          <w:rFonts w:ascii="Arial" w:cs="Arial" w:eastAsia="Arial" w:hAnsi="Arial"/>
          <w:sz w:val="13"/>
          <w:szCs w:val="13"/>
          <w:color w:val="auto"/>
        </w:rPr>
        <w:t>), an aggregate of 15,625,000 shares of our common stock at a public offering price of $0.80 per share, resulting in gross proceeds to us of $12.5 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payable by us, were approximately $12.9 million.</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As more completely described in Note 11, </w:t>
      </w:r>
      <w:r>
        <w:rPr>
          <w:rFonts w:ascii="Arial" w:cs="Arial" w:eastAsia="Arial" w:hAnsi="Arial"/>
          <w:sz w:val="15"/>
          <w:szCs w:val="15"/>
          <w:i w:val="1"/>
          <w:iCs w:val="1"/>
          <w:color w:val="auto"/>
        </w:rPr>
        <w:t>Sublicensing and Collaboration Agreements</w:t>
      </w:r>
      <w:r>
        <w:rPr>
          <w:rFonts w:ascii="Arial" w:cs="Arial" w:eastAsia="Arial" w:hAnsi="Arial"/>
          <w:sz w:val="15"/>
          <w:szCs w:val="15"/>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Arial" w:cs="Arial" w:eastAsia="Arial" w:hAnsi="Arial"/>
          <w:sz w:val="15"/>
          <w:szCs w:val="15"/>
          <w:i w:val="1"/>
          <w:iCs w:val="1"/>
          <w:color w:val="auto"/>
        </w:rPr>
        <w:t>AffaMed Agreement</w:t>
      </w:r>
      <w:r>
        <w:rPr>
          <w:rFonts w:ascii="Arial" w:cs="Arial" w:eastAsia="Arial" w:hAnsi="Arial"/>
          <w:sz w:val="15"/>
          <w:szCs w:val="15"/>
          <w:color w:val="auto"/>
        </w:rPr>
        <w:t>) pursuant to which we received an upfront license payment of $5.0 million in August 2020. The upfront license payment resulted in net cash proceeds to us of approximately $4.655 million after the sublicense payment we agreed to make to Pherin Pharmaceuticals, Inc. (</w:t>
      </w:r>
      <w:r>
        <w:rPr>
          <w:rFonts w:ascii="Arial" w:cs="Arial" w:eastAsia="Arial" w:hAnsi="Arial"/>
          <w:sz w:val="15"/>
          <w:szCs w:val="15"/>
          <w:i w:val="1"/>
          <w:iCs w:val="1"/>
          <w:color w:val="auto"/>
        </w:rPr>
        <w:t>Pherin</w:t>
      </w:r>
      <w:r>
        <w:rPr>
          <w:rFonts w:ascii="Arial" w:cs="Arial" w:eastAsia="Arial" w:hAnsi="Arial"/>
          <w:sz w:val="15"/>
          <w:szCs w:val="15"/>
          <w:color w:val="auto"/>
        </w:rPr>
        <w:t>) pursuant to our PH94B license from Pherin, and payment for consulting services related to the consummation of the AffaMed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Liquidity and Capital Resources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During our fiscal year ended March 31, 2021, we received approximately $119 million in net cash proceeds, primarily from the transactions described above. As disclosed above, we have received an additional $1.1 million in cash proceeds from the exercise of outstanding warrants during the quarter ended June 30, 2021. At June 30, 2021, we had cash and cash equivalents of approximately $97.8 million, which we believe is sufficient to fund our planned operations for well beyond the twelve months following the issuance of these financial statements, and indicating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next twelve months, we plan to (i) continue our PH94B PALISADE Phase 3 Program with the furtherance of PALISADE-1 and the initiation of multiple additional clinical and nonclinical studies in our PALISADE Phase 3 Program for development and commercialization of PH94B as an acute treatment of anxiety in adult patients with SAD, (ii) prepare for and initiate multiple small exploratory Phase 2A studies of PH94B in additional anxiety disorders, (iii) prepare for and initiate a Phase 2B clinical study of PH10 as a potential stand-alone treatment for MDD, (iv) prepare for and initiate a Phase 1B clinical study of AV-101 in combination with probenecid to enable assessment of its potential in multiple neurological disorders, and (v) conduct nonclinical studies involving PH94B, PH10 and AV-101.</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Although we believe our current cash position is sufficient to fund our planned operations for more than the next twelve months following the issuance of these financial statements, when necessary and advantageous, we may raise additional capital through the sale of our equity securities in one or more (i) public offerings (ii) private placements to accredited investors, and/or (iii) in strategic licensing and development collaborations involving one or more of our drug candidates in markets outside the United States, similar to the AffaMed Agreement. Subject to certain restrictions, our Registration Statement on Form S-3 (the </w:t>
      </w:r>
      <w:r>
        <w:rPr>
          <w:rFonts w:ascii="Arial" w:cs="Arial" w:eastAsia="Arial" w:hAnsi="Arial"/>
          <w:sz w:val="15"/>
          <w:szCs w:val="15"/>
          <w:i w:val="1"/>
          <w:iCs w:val="1"/>
          <w:color w:val="auto"/>
        </w:rPr>
        <w:t>S-3 Shelf Registration Statement</w:t>
      </w:r>
      <w:r>
        <w:rPr>
          <w:rFonts w:ascii="Arial" w:cs="Arial" w:eastAsia="Arial" w:hAnsi="Arial"/>
          <w:sz w:val="15"/>
          <w:szCs w:val="15"/>
          <w:color w:val="auto"/>
        </w:rPr>
        <w:t>) remains available for future sales of our equity securities in one or more public offerings from time to time.</w:t>
      </w:r>
    </w:p>
    <w:p>
      <w:pPr>
        <w:spacing w:after="0" w:line="162" w:lineRule="exact"/>
        <w:rPr>
          <w:sz w:val="20"/>
          <w:szCs w:val="20"/>
          <w:color w:val="auto"/>
        </w:rPr>
      </w:pPr>
    </w:p>
    <w:p>
      <w:pPr>
        <w:jc w:val="both"/>
        <w:spacing w:after="0" w:line="223" w:lineRule="auto"/>
        <w:rPr>
          <w:sz w:val="20"/>
          <w:szCs w:val="20"/>
          <w:color w:val="auto"/>
        </w:rPr>
      </w:pPr>
      <w:r>
        <w:rPr>
          <w:rFonts w:ascii="Arial" w:cs="Arial" w:eastAsia="Arial" w:hAnsi="Arial"/>
          <w:sz w:val="15"/>
          <w:szCs w:val="15"/>
          <w:color w:val="auto"/>
        </w:rPr>
        <w:t xml:space="preserve">As described more completely in Note 8, </w:t>
      </w:r>
      <w:r>
        <w:rPr>
          <w:rFonts w:ascii="Arial" w:cs="Arial" w:eastAsia="Arial" w:hAnsi="Arial"/>
          <w:sz w:val="15"/>
          <w:szCs w:val="15"/>
          <w:i w:val="1"/>
          <w:iCs w:val="1"/>
          <w:color w:val="auto"/>
        </w:rPr>
        <w:t>Capital Stock</w:t>
      </w:r>
      <w:r>
        <w:rPr>
          <w:rFonts w:ascii="Arial" w:cs="Arial" w:eastAsia="Arial" w:hAnsi="Arial"/>
          <w:sz w:val="15"/>
          <w:szCs w:val="15"/>
          <w:color w:val="auto"/>
        </w:rPr>
        <w:t xml:space="preserve">, in May 2021, we entered into an Open Market Sale Agreement </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(the </w:t>
      </w:r>
      <w:r>
        <w:rPr>
          <w:rFonts w:ascii="Arial" w:cs="Arial" w:eastAsia="Arial" w:hAnsi="Arial"/>
          <w:sz w:val="15"/>
          <w:szCs w:val="15"/>
          <w:i w:val="1"/>
          <w:iCs w:val="1"/>
          <w:color w:val="auto"/>
        </w:rPr>
        <w:t>Sales Agreement</w:t>
      </w:r>
      <w:r>
        <w:rPr>
          <w:rFonts w:ascii="Arial" w:cs="Arial" w:eastAsia="Arial" w:hAnsi="Arial"/>
          <w:sz w:val="15"/>
          <w:szCs w:val="15"/>
          <w:color w:val="auto"/>
        </w:rPr>
        <w:t>) with Jefferies LLC, as sales agent (</w:t>
      </w:r>
      <w:r>
        <w:rPr>
          <w:rFonts w:ascii="Arial" w:cs="Arial" w:eastAsia="Arial" w:hAnsi="Arial"/>
          <w:sz w:val="15"/>
          <w:szCs w:val="15"/>
          <w:i w:val="1"/>
          <w:iCs w:val="1"/>
          <w:color w:val="auto"/>
        </w:rPr>
        <w:t>Jefferies</w:t>
      </w:r>
      <w:r>
        <w:rPr>
          <w:rFonts w:ascii="Arial" w:cs="Arial" w:eastAsia="Arial" w:hAnsi="Arial"/>
          <w:sz w:val="15"/>
          <w:szCs w:val="15"/>
          <w:color w:val="auto"/>
        </w:rPr>
        <w:t>), with respect to an at-the-market offering program (the ATM) under which we may offer and sell, from time to time, shares of our common stock having an aggregate offering price of up to $75.0 million through Jefferies as our sales agent.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While we may make additional sales of our equity securities under the S-3 Shelf Registration Statement and/or under the ATM with Jefferies, we do not have an obligation to do so.</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to the potential sale of our equity securities, we may also seek to enter research, development and/or commercialization collaborations similar to the AffaMed Agreement to provide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obtain, government grant awards and agreements, and our ability to enter into collaborations on terms acceptable to us. To further advance the clinical development of PH94B, PH10, and AV-101, as well as support our operating activities, we plan to continue to carefully manage our routine operating costs and our clinical and nonclinical programs.</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Notwithstanding the foregoing, there can be no assurance that our current strategic collaboration under the AffaMed Agreement will generate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ectPr>
          <w:pgSz w:w="11900" w:h="16838" w:orient="portrait"/>
          <w:cols w:equalWidth="0" w:num="1">
            <w:col w:w="11280"/>
          </w:cols>
          <w:pgMar w:left="300" w:top="129" w:right="319" w:bottom="0" w:gutter="0" w:footer="0" w:header="0"/>
        </w:sectPr>
      </w:pPr>
    </w:p>
    <w:p>
      <w:pPr>
        <w:spacing w:after="0" w:line="185" w:lineRule="exact"/>
        <w:rPr>
          <w:sz w:val="20"/>
          <w:szCs w:val="20"/>
          <w:color w:val="auto"/>
        </w:rPr>
      </w:pPr>
    </w:p>
    <w:p>
      <w:pPr>
        <w:spacing w:after="0"/>
        <w:rPr>
          <w:rFonts w:ascii="Arial" w:cs="Arial" w:eastAsia="Arial" w:hAnsi="Arial"/>
          <w:sz w:val="13"/>
          <w:szCs w:val="13"/>
          <w:i w:val="1"/>
          <w:iCs w:val="1"/>
          <w:u w:val="single" w:color="auto"/>
          <w:color w:val="0000EE"/>
        </w:rPr>
      </w:pPr>
      <w:hyperlink w:anchor="page1">
        <w:r>
          <w:rPr>
            <w:rFonts w:ascii="Arial" w:cs="Arial" w:eastAsia="Arial" w:hAnsi="Arial"/>
            <w:sz w:val="13"/>
            <w:szCs w:val="13"/>
            <w:i w:val="1"/>
            <w:iCs w:val="1"/>
            <w:u w:val="single" w:color="auto"/>
            <w:color w:val="0000EE"/>
          </w:rPr>
          <w:t>Table of Contents</w:t>
        </w:r>
      </w:hyperlink>
    </w:p>
    <w:p>
      <w:pPr>
        <w:sectPr>
          <w:pgSz w:w="11900" w:h="16838" w:orient="portrait"/>
          <w:cols w:equalWidth="0" w:num="1">
            <w:col w:w="11280"/>
          </w:cols>
          <w:pgMar w:left="300" w:top="129" w:right="319" w:bottom="0" w:gutter="0" w:footer="0" w:header="0"/>
          <w:type w:val="continuous"/>
        </w:sectPr>
      </w:pPr>
    </w:p>
    <w:bookmarkStart w:id="6" w:name="page7"/>
    <w:bookmarkEnd w:id="6"/>
    <w:p>
      <w:pPr>
        <w:spacing w:after="0"/>
        <w:rPr>
          <w:sz w:val="20"/>
          <w:szCs w:val="20"/>
          <w:color w:val="auto"/>
        </w:rPr>
      </w:pPr>
      <w:r>
        <w:rPr>
          <w:rFonts w:ascii="Arial" w:cs="Arial" w:eastAsia="Arial" w:hAnsi="Arial"/>
          <w:sz w:val="15"/>
          <w:szCs w:val="15"/>
          <w:b w:val="1"/>
          <w:bCs w:val="1"/>
          <w:color w:val="auto"/>
        </w:rPr>
        <w:t>Note 3.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generate revenue from collaborative research and development arrangements, licensing and technology transfer agreements, including strategic licenses or sublicenses, and government grants. Until such time as we commence commercial sales of any of our product candidates following successful development, clinical and regulatory approval, we expect that our primary source of revenue beginning from the quarter ended September 30, 2020 will be from the AffaMed Agreement involving clinical development and commercialization of PH94B for acute treatment of anxiety in adults with SAD, and potentially other anxiety-related disorders, in Greater China, South Korea, and Southeast Asia. The terms of the AffaMed Agreement include a $5.0 million non-refundable upfront license fee which we received in August 2020, potential payments based upon achievement of certain development and commercial milestones, and royalties on product sales. We also have the Bayer Agreement, pursuant to which we recorded sublicense revenue in the third quarter of our fiscal year ended March 31, 2017, as a potential revenue generating arrangement.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Under Accounting Standards Codification (</w:t>
      </w:r>
      <w:r>
        <w:rPr>
          <w:rFonts w:ascii="Arial" w:cs="Arial" w:eastAsia="Arial" w:hAnsi="Arial"/>
          <w:sz w:val="15"/>
          <w:szCs w:val="15"/>
          <w:i w:val="1"/>
          <w:iCs w:val="1"/>
          <w:color w:val="auto"/>
        </w:rPr>
        <w:t>ASC</w:t>
      </w:r>
      <w:r>
        <w:rPr>
          <w:rFonts w:ascii="Arial" w:cs="Arial" w:eastAsia="Arial" w:hAnsi="Arial"/>
          <w:sz w:val="15"/>
          <w:szCs w:val="15"/>
          <w:color w:val="auto"/>
        </w:rPr>
        <w:t xml:space="preserve">) Topic 606,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Performance Obligations</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components are separable from the other aspects of the contractual relationship.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Collaboration arrangements can have several promised goods or services including a license for our intellectual property, product supply and development and regulatory services. When the customer could not obtain the intended benefit of the contract from a promised good or service without one or more other promises in the contract, the promise is determined to be not distinct in the context of the contract and is combined with other promises until the combined promises are distinct to identify performance obligations. We have determined that the AffaMed Agreement includes a single combined performance obligation that includes both the license to intellectual property and development and regulatory services.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Arrangements can include promises for optional additional items, which are considered marketing offers and are accounted for as separate contracts when the customer elects such options. Arrangements that include a promise for future supply of product for either clinical development or commercial supply and optional research and development services at the customer’s or the Company’s discretion are generally considered as options. We assess whether these options provide a material right to the customer and if so, such material rights are accounted for as separate performance obligations. When the customer exercises an option, any additional payments related to the option are recorded in revenue when the customer obtains control of the goods or services.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Transaction Price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Arrangements may have both fixed and variable consideration. For collaboration agreements, the non-refundable upfront fees and product supply selling prices are considered fixed, while milestone payments are considered variable consideration when determining the transaction price. At the inception of each arrangement, we evaluate whether the development milestones are considered probable of being achieved and estimate an amount to be included in the transaction price using the most likely amount method. If it is probable that a significant revenue reversal would not occur, the value of the associated milestone is included in the transaction price. Milestone payments that are not within our control or the licensee’s control, such as approvals from regulators, are generally not considered probable of being achieved until such approvals are received.</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For sales-based royalties, including commercial milestone payments based on the level of sales, for which the license is deemed to be the predominant item to which the royalties relate, we recognize revenue at the later of when (a) the related sales occur, or (b) the performance obligation to which some or all of the royalty has been allocated has been satisfied (or partially satisfied).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Allocation of Consideration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part of the accounting for collaboration arrangements, we must develop assumptions that require judgment to determine the stand-alone selling price of each performance obligation identified in the contract. The transaction price is allocated to the identified performance obligations in proportion to their standalone selling prices (</w:t>
      </w:r>
      <w:r>
        <w:rPr>
          <w:rFonts w:ascii="Arial" w:cs="Arial" w:eastAsia="Arial" w:hAnsi="Arial"/>
          <w:sz w:val="15"/>
          <w:szCs w:val="15"/>
          <w:i w:val="1"/>
          <w:iCs w:val="1"/>
          <w:color w:val="auto"/>
        </w:rPr>
        <w:t>SSP</w:t>
      </w:r>
      <w:r>
        <w:rPr>
          <w:rFonts w:ascii="Arial" w:cs="Arial" w:eastAsia="Arial" w:hAnsi="Arial"/>
          <w:sz w:val="15"/>
          <w:szCs w:val="15"/>
          <w:color w:val="auto"/>
        </w:rPr>
        <w:t>) on a relative SSP basis. SSP is determined at contract inception and is not updated to reflect changes between contract inception and satisfaction of the performance obligations. In developing the SSP for a performance obligation, we consider applicable market conditions and relevant Company-specific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 Since the AffaMed Agreement includes a single combined performance obligation that is not distinct, there is no allocation of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Timing of Recognition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Significant management judgment is required to determine the level of effort required under collaboration arrangements and the period over which we expect to complete our performance obligations under the arrangement. The performance period or measure of progress is estimated at the inception of the arrangement and re-evaluated in each reporting period. This re-evaluation may shorten or lengthen the period over which revenue is recognized. Changes to these estimates are recorded on a cumulative catch up basis. Revenue is recognized for products at a point in time and for licenses of functional intellectual property at the point in time the customer can use and benefit from the license. For performance obligations that are services, revenue is recognized over time using an output or input method. For performance obligations that are a combination of licenses to intellectual property and interdependent services, the nature of the combined performance obligation is considered when determining the method and measure of progress that best represents the satisfaction of the performance obligation. For the single combined performance obligation of the AffaMed Agreement, the measure of progress is stand-ready straight-line over the period in which we expect to perform the services related to the license of PH94B.</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difference between revenue recognized to-date and the consideration invoiced or received to-date is recognized as either a contract asset/unbilled revenue (revenue earned exceeds cash received) or a contract liability/deferred revenue (cash received exceeds revenue earned). At June 30, 2021, we have recorded deferred revenue of $3,556,400. The following table presents changes in our contract liabilities for the three months ended June 30, 2021:</w:t>
      </w:r>
    </w:p>
    <w:p>
      <w:pPr>
        <w:spacing w:after="0" w:line="151" w:lineRule="exact"/>
        <w:rPr>
          <w:sz w:val="20"/>
          <w:szCs w:val="20"/>
          <w:color w:val="auto"/>
        </w:rPr>
      </w:pPr>
    </w:p>
    <w:p>
      <w:pPr>
        <w:ind w:left="6260"/>
        <w:spacing w:after="0"/>
        <w:tabs>
          <w:tab w:leader="none" w:pos="10260" w:val="left"/>
        </w:tabs>
        <w:rPr>
          <w:sz w:val="20"/>
          <w:szCs w:val="20"/>
          <w:color w:val="auto"/>
        </w:rPr>
      </w:pPr>
      <w:r>
        <w:rPr>
          <w:rFonts w:ascii="Arial" w:cs="Arial" w:eastAsia="Arial" w:hAnsi="Arial"/>
          <w:sz w:val="15"/>
          <w:szCs w:val="15"/>
          <w:b w:val="1"/>
          <w:bCs w:val="1"/>
          <w:color w:val="auto"/>
        </w:rPr>
        <w:t>Balance at</w:t>
      </w:r>
      <w:r>
        <w:rPr>
          <w:sz w:val="20"/>
          <w:szCs w:val="20"/>
          <w:color w:val="auto"/>
        </w:rPr>
        <w:tab/>
      </w:r>
      <w:r>
        <w:rPr>
          <w:rFonts w:ascii="Arial" w:cs="Arial" w:eastAsia="Arial" w:hAnsi="Arial"/>
          <w:sz w:val="13"/>
          <w:szCs w:val="13"/>
          <w:b w:val="1"/>
          <w:bCs w:val="1"/>
          <w:color w:val="auto"/>
        </w:rPr>
        <w:t>Balance at</w:t>
      </w:r>
    </w:p>
    <w:p>
      <w:pPr>
        <w:sectPr>
          <w:pgSz w:w="11900" w:h="16838" w:orient="portrait"/>
          <w:cols w:equalWidth="0" w:num="1">
            <w:col w:w="11280"/>
          </w:cols>
          <w:pgMar w:left="300" w:top="304" w:right="31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7"/>
              </w:rPr>
              <w:t>March 31, 2021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Additions</w:t>
            </w: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2"/>
              </w:rPr>
              <w:t>Deductions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8"/>
              </w:rPr>
              <w:t>June 30, 2021</w:t>
            </w:r>
          </w:p>
        </w:tc>
        <w:tc>
          <w:tcPr>
            <w:tcW w:w="120" w:type="dxa"/>
            <w:vAlign w:val="bottom"/>
          </w:tcPr>
          <w:p>
            <w:pPr>
              <w:spacing w:after="0"/>
              <w:rPr>
                <w:sz w:val="16"/>
                <w:szCs w:val="16"/>
                <w:color w:val="auto"/>
              </w:rPr>
            </w:pPr>
          </w:p>
        </w:tc>
      </w:tr>
      <w:tr>
        <w:trPr>
          <w:trHeight w:val="170"/>
        </w:trPr>
        <w:tc>
          <w:tcPr>
            <w:tcW w:w="60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Deferred Revenue - current portion</w:t>
            </w:r>
          </w:p>
        </w:tc>
        <w:tc>
          <w:tcPr>
            <w:tcW w:w="300" w:type="dxa"/>
            <w:vAlign w:val="bottom"/>
            <w:shd w:val="clear" w:color="auto" w:fill="CCEEFF"/>
          </w:tcPr>
          <w:p>
            <w:pPr>
              <w:jc w:val="right"/>
              <w:ind w:right="145"/>
              <w:spacing w:after="0" w:line="171"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1,420,200</w:t>
            </w:r>
          </w:p>
        </w:tc>
        <w:tc>
          <w:tcPr>
            <w:tcW w:w="1200" w:type="dxa"/>
            <w:vAlign w:val="bottom"/>
            <w:gridSpan w:val="2"/>
            <w:shd w:val="clear" w:color="auto" w:fill="CCEEFF"/>
          </w:tcPr>
          <w:p>
            <w:pPr>
              <w:jc w:val="right"/>
              <w:ind w:right="825"/>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1,420,200</w:t>
            </w:r>
          </w:p>
        </w:tc>
      </w:tr>
      <w:tr>
        <w:trPr>
          <w:trHeight w:val="179"/>
        </w:trPr>
        <w:tc>
          <w:tcPr>
            <w:tcW w:w="6020" w:type="dxa"/>
            <w:vAlign w:val="bottom"/>
          </w:tcPr>
          <w:p>
            <w:pPr>
              <w:spacing w:after="0"/>
              <w:rPr>
                <w:sz w:val="20"/>
                <w:szCs w:val="20"/>
                <w:color w:val="auto"/>
              </w:rPr>
            </w:pPr>
            <w:r>
              <w:rPr>
                <w:rFonts w:ascii="Arial" w:cs="Arial" w:eastAsia="Arial" w:hAnsi="Arial"/>
                <w:sz w:val="15"/>
                <w:szCs w:val="15"/>
                <w:color w:val="auto"/>
              </w:rPr>
              <w:t>Deferred Revenue - non-current portion</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2,490,300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(354,100)</w:t>
            </w: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2,136,200</w:t>
            </w:r>
          </w:p>
        </w:tc>
      </w:tr>
      <w:tr>
        <w:trPr>
          <w:trHeight w:val="20"/>
        </w:trPr>
        <w:tc>
          <w:tcPr>
            <w:tcW w:w="6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60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Total</w:t>
            </w:r>
          </w:p>
        </w:tc>
        <w:tc>
          <w:tcPr>
            <w:tcW w:w="300" w:type="dxa"/>
            <w:vAlign w:val="bottom"/>
            <w:shd w:val="clear" w:color="auto" w:fill="CCEEFF"/>
          </w:tcPr>
          <w:p>
            <w:pPr>
              <w:jc w:val="right"/>
              <w:ind w:right="145"/>
              <w:spacing w:after="0" w:line="170"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3,915,500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5"/>
              <w:spacing w:after="0" w:line="170" w:lineRule="exact"/>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(354,100)</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3,556,400</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For the single combined performance obligation under the AffaMed Agreement, the measure of progress is stand-ready straight-line over the period in which we expect to perform the services related to the license of PH94B. Accordingly, deferred revenue is being recognized on a straight-line basis over the period in which we expect to perform the services.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June 30, 2021, we recognized $354,100 as revenue related to the AffaMed Agreement, compared to none for the three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Acquisition Costs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During the quarter ended September 30, 2020, we made cash payments aggregating $345,000 for sublicense fees, which we were obligated to make pursuant to our PH94B license from Pherin, and fees for consulting services exclusively related to the AffaMed Agreement. Additionally, on June 24, 2020, we issued 233,645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 Capitalized contract acquisition costs are amortized over the period in which we expect to satisfy the performance obligations under the AffaMed Agreement and the amortization expense has been included in general and administrative expenses in our Condensed Consolidated Statement of Operations and Comprehensive Loss. In the three months ended June 30, 2021, we amortized $33,300 to general and administrative expense in recognition of the services performed under the arrangement. We amortized no expense for the quarter ended June 30, 2020. There has been no impairment loss in relation to the costs capitalized.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contract acquisition costs for the three months ended June 30,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Balance at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Balance at</w:t>
            </w:r>
          </w:p>
        </w:tc>
      </w:tr>
      <w:tr>
        <w:trPr>
          <w:trHeight w:val="193"/>
        </w:trPr>
        <w:tc>
          <w:tcPr>
            <w:tcW w:w="602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7"/>
              </w:rPr>
              <w:t>March 31, 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Additions</w:t>
            </w: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2"/>
              </w:rPr>
              <w:t>Deductions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8"/>
              </w:rPr>
              <w:t>June 30, 2021</w:t>
            </w:r>
          </w:p>
        </w:tc>
        <w:tc>
          <w:tcPr>
            <w:tcW w:w="120" w:type="dxa"/>
            <w:vAlign w:val="bottom"/>
          </w:tcPr>
          <w:p>
            <w:pPr>
              <w:spacing w:after="0"/>
              <w:rPr>
                <w:sz w:val="16"/>
                <w:szCs w:val="16"/>
                <w:color w:val="auto"/>
              </w:rPr>
            </w:pPr>
          </w:p>
        </w:tc>
      </w:tr>
      <w:tr>
        <w:trPr>
          <w:trHeight w:val="170"/>
        </w:trPr>
        <w:tc>
          <w:tcPr>
            <w:tcW w:w="60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Deferred Contract Acquisition Costs - current portion</w:t>
            </w:r>
          </w:p>
        </w:tc>
        <w:tc>
          <w:tcPr>
            <w:tcW w:w="160" w:type="dxa"/>
            <w:vAlign w:val="bottom"/>
            <w:shd w:val="clear" w:color="auto" w:fill="CCEEFF"/>
          </w:tcPr>
          <w:p>
            <w:pPr>
              <w:jc w:val="right"/>
              <w:ind w:right="5"/>
              <w:spacing w:after="0" w:line="171"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133,500</w:t>
            </w:r>
          </w:p>
        </w:tc>
        <w:tc>
          <w:tcPr>
            <w:tcW w:w="1080" w:type="dxa"/>
            <w:vAlign w:val="bottom"/>
            <w:gridSpan w:val="2"/>
            <w:shd w:val="clear" w:color="auto" w:fill="CCEEFF"/>
          </w:tcPr>
          <w:p>
            <w:pPr>
              <w:jc w:val="right"/>
              <w:ind w:right="825"/>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133,500</w:t>
            </w:r>
          </w:p>
        </w:tc>
      </w:tr>
      <w:tr>
        <w:trPr>
          <w:trHeight w:val="179"/>
        </w:trPr>
        <w:tc>
          <w:tcPr>
            <w:tcW w:w="6020" w:type="dxa"/>
            <w:vAlign w:val="bottom"/>
          </w:tcPr>
          <w:p>
            <w:pPr>
              <w:spacing w:after="0"/>
              <w:rPr>
                <w:sz w:val="20"/>
                <w:szCs w:val="20"/>
                <w:color w:val="auto"/>
              </w:rPr>
            </w:pPr>
            <w:r>
              <w:rPr>
                <w:rFonts w:ascii="Arial" w:cs="Arial" w:eastAsia="Arial" w:hAnsi="Arial"/>
                <w:sz w:val="15"/>
                <w:szCs w:val="15"/>
                <w:color w:val="auto"/>
              </w:rPr>
              <w:t>Deferred Contract Acquisition Costs - non-current portion</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234,100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(33,300)</w:t>
            </w: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200,800</w:t>
            </w:r>
          </w:p>
        </w:tc>
      </w:tr>
      <w:tr>
        <w:trPr>
          <w:trHeight w:val="20"/>
        </w:trPr>
        <w:tc>
          <w:tcPr>
            <w:tcW w:w="6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60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Total</w:t>
            </w:r>
          </w:p>
        </w:tc>
        <w:tc>
          <w:tcPr>
            <w:tcW w:w="160" w:type="dxa"/>
            <w:vAlign w:val="bottom"/>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367,600</w:t>
            </w:r>
          </w:p>
        </w:tc>
        <w:tc>
          <w:tcPr>
            <w:tcW w:w="1080" w:type="dxa"/>
            <w:vAlign w:val="bottom"/>
            <w:gridSpan w:val="2"/>
            <w:shd w:val="clear" w:color="auto" w:fill="CCEEFF"/>
          </w:tcPr>
          <w:p>
            <w:pPr>
              <w:jc w:val="right"/>
              <w:ind w:right="825"/>
              <w:spacing w:after="0" w:line="170"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(33,300)</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334,300</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Expenses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other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4"/>
          <w:szCs w:val="14"/>
          <w:i w:val="1"/>
          <w:iCs w:val="1"/>
          <w:color w:val="auto"/>
        </w:rPr>
        <w:t>CRO</w:t>
      </w:r>
      <w:r>
        <w:rPr>
          <w:rFonts w:ascii="Arial" w:cs="Arial" w:eastAsia="Arial" w:hAnsi="Arial"/>
          <w:sz w:val="14"/>
          <w:szCs w:val="14"/>
          <w:color w:val="auto"/>
        </w:rPr>
        <w:t>s) and clinical trial sites. Progress payments are generally made to contract research and development organizations,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recognize compensation cost for all stock-based awards to employees, independent directors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stock-based compensation expense included in the accompanying Condensed Consolidated Statements of Operations and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5"/>
                <w:szCs w:val="15"/>
                <w:b w:val="1"/>
                <w:bCs w:val="1"/>
                <w:color w:val="auto"/>
                <w:w w:val="95"/>
              </w:rPr>
              <w:t>Three Months Ended June 30,</w:t>
            </w:r>
          </w:p>
        </w:tc>
      </w:tr>
      <w:tr>
        <w:trPr>
          <w:trHeight w:val="170"/>
        </w:trPr>
        <w:tc>
          <w:tcPr>
            <w:tcW w:w="5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25"/>
              <w:spacing w:after="0" w:line="171" w:lineRule="exact"/>
              <w:rPr>
                <w:sz w:val="20"/>
                <w:szCs w:val="20"/>
                <w:color w:val="auto"/>
              </w:rPr>
            </w:pPr>
            <w:r>
              <w:rPr>
                <w:rFonts w:ascii="Arial" w:cs="Arial" w:eastAsia="Arial" w:hAnsi="Arial"/>
                <w:sz w:val="15"/>
                <w:szCs w:val="15"/>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25"/>
              <w:spacing w:after="0" w:line="171" w:lineRule="exact"/>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4"/>
                <w:szCs w:val="14"/>
                <w:color w:val="auto"/>
              </w:rPr>
            </w:pPr>
          </w:p>
        </w:tc>
      </w:tr>
      <w:tr>
        <w:trPr>
          <w:trHeight w:val="170"/>
        </w:trPr>
        <w:tc>
          <w:tcPr>
            <w:tcW w:w="5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5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Research and development expense</w:t>
            </w:r>
          </w:p>
        </w:tc>
        <w:tc>
          <w:tcPr>
            <w:tcW w:w="33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240,800</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226,600</w:t>
            </w:r>
          </w:p>
        </w:tc>
      </w:tr>
      <w:tr>
        <w:trPr>
          <w:trHeight w:val="179"/>
        </w:trPr>
        <w:tc>
          <w:tcPr>
            <w:tcW w:w="55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5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 expense</w:t>
            </w: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349,600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448,000</w:t>
            </w:r>
          </w:p>
        </w:tc>
      </w:tr>
      <w:tr>
        <w:trPr>
          <w:trHeight w:val="170"/>
        </w:trPr>
        <w:tc>
          <w:tcPr>
            <w:tcW w:w="5580" w:type="dxa"/>
            <w:vAlign w:val="bottom"/>
            <w:tcBorders>
              <w:top w:val="single" w:sz="8" w:color="CCEEFF"/>
            </w:tcBorders>
          </w:tcPr>
          <w:p>
            <w:pPr>
              <w:spacing w:after="0"/>
              <w:rPr>
                <w:sz w:val="14"/>
                <w:szCs w:val="14"/>
                <w:color w:val="auto"/>
              </w:rPr>
            </w:pPr>
          </w:p>
        </w:tc>
        <w:tc>
          <w:tcPr>
            <w:tcW w:w="3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9"/>
        </w:trPr>
        <w:tc>
          <w:tcPr>
            <w:tcW w:w="5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stock-based compensation expense</w:t>
            </w:r>
          </w:p>
        </w:tc>
        <w:tc>
          <w:tcPr>
            <w:tcW w:w="3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590,400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674,600</w:t>
            </w: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jc w:val="both"/>
        <w:ind w:right="20"/>
        <w:spacing w:after="0" w:line="350" w:lineRule="auto"/>
        <w:rPr>
          <w:sz w:val="20"/>
          <w:szCs w:val="20"/>
          <w:color w:val="auto"/>
        </w:rPr>
      </w:pPr>
      <w:r>
        <w:rPr>
          <w:rFonts w:ascii="Arial" w:cs="Arial" w:eastAsia="Arial" w:hAnsi="Arial"/>
          <w:sz w:val="13"/>
          <w:szCs w:val="13"/>
          <w:color w:val="auto"/>
        </w:rPr>
        <w:t xml:space="preserve">Expense amounts reported above include $2,300 and $2,500 in research and development expense for the three months ended June 30, 2021 and 2020, respectively, and $2,700 and $1,500 in general and administrative expense for the three months ended June 30, 2021 and 2020, respectively, attributable to our 2019 Employee Stock Purchase Plan (the </w:t>
      </w:r>
      <w:r>
        <w:rPr>
          <w:rFonts w:ascii="Arial" w:cs="Arial" w:eastAsia="Arial" w:hAnsi="Arial"/>
          <w:sz w:val="13"/>
          <w:szCs w:val="13"/>
          <w:i w:val="1"/>
          <w:iCs w:val="1"/>
          <w:color w:val="auto"/>
        </w:rPr>
        <w:t>2019 ESPP</w:t>
      </w:r>
      <w:r>
        <w:rPr>
          <w:rFonts w:ascii="Arial" w:cs="Arial" w:eastAsia="Arial" w:hAnsi="Arial"/>
          <w:sz w:val="13"/>
          <w:szCs w:val="13"/>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During the three months ended June 30, 2021, we granted from our 2019 Omnibus Equity Incentive Plan (the </w:t>
      </w:r>
      <w:r>
        <w:rPr>
          <w:rFonts w:ascii="Arial" w:cs="Arial" w:eastAsia="Arial" w:hAnsi="Arial"/>
          <w:sz w:val="14"/>
          <w:szCs w:val="14"/>
          <w:i w:val="1"/>
          <w:iCs w:val="1"/>
          <w:color w:val="auto"/>
        </w:rPr>
        <w:t>2019 Plan</w:t>
      </w:r>
      <w:r>
        <w:rPr>
          <w:rFonts w:ascii="Arial" w:cs="Arial" w:eastAsia="Arial" w:hAnsi="Arial"/>
          <w:sz w:val="14"/>
          <w:szCs w:val="14"/>
          <w:color w:val="auto"/>
        </w:rPr>
        <w:t>) options to purchase an aggregate of 575,000 shares of our common stock at exercise prices at or above the closing market price of our common stock on the date of grant primarily to newly-hired employees and to a new independent member of our Board. The options to newly hired employees vested 25% on the first anniversary of the grant date with the remaining shares vesting ratably monthly over the next three years. We valued the options granted during the three months ended June 30, 2021 using the Black-Scholes Option Pricing Model and the following assumptions:</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4"/>
              </w:rPr>
              <w:t>Weighted</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Assumption: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Average</w:t>
            </w:r>
          </w:p>
        </w:tc>
        <w:tc>
          <w:tcPr>
            <w:tcW w:w="11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Market price per share at grant date</w:t>
            </w:r>
          </w:p>
        </w:tc>
        <w:tc>
          <w:tcPr>
            <w:tcW w:w="22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2.48</w:t>
            </w:r>
          </w:p>
        </w:tc>
        <w:tc>
          <w:tcPr>
            <w:tcW w:w="110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w w:val="88"/>
              </w:rPr>
              <w:t>$ 2.04 to $ 2.60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60" w:type="dxa"/>
            <w:vAlign w:val="bottom"/>
          </w:tcPr>
          <w:p>
            <w:pPr>
              <w:spacing w:after="0"/>
              <w:rPr>
                <w:sz w:val="20"/>
                <w:szCs w:val="20"/>
                <w:color w:val="auto"/>
              </w:rPr>
            </w:pPr>
            <w:r>
              <w:rPr>
                <w:rFonts w:ascii="Arial" w:cs="Arial" w:eastAsia="Arial" w:hAnsi="Arial"/>
                <w:sz w:val="15"/>
                <w:szCs w:val="15"/>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2.48</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$ 2.04 to $ 2.60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0.98% to 1.12%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60" w:type="dxa"/>
            <w:vAlign w:val="bottom"/>
          </w:tcPr>
          <w:p>
            <w:pPr>
              <w:spacing w:after="0"/>
              <w:rPr>
                <w:sz w:val="20"/>
                <w:szCs w:val="20"/>
                <w:color w:val="auto"/>
              </w:rPr>
            </w:pPr>
            <w:r>
              <w:rPr>
                <w:rFonts w:ascii="Arial" w:cs="Arial" w:eastAsia="Arial" w:hAnsi="Arial"/>
                <w:sz w:val="15"/>
                <w:szCs w:val="15"/>
                <w:color w:val="auto"/>
              </w:rPr>
              <w:t>Expected term in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6.08</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5.79 to 6.16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Volatility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82.64% to</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82.76%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83.48%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60" w:type="dxa"/>
            <w:vAlign w:val="bottom"/>
          </w:tcPr>
          <w:p>
            <w:pPr>
              <w:spacing w:after="0"/>
              <w:rPr>
                <w:sz w:val="20"/>
                <w:szCs w:val="20"/>
                <w:color w:val="auto"/>
              </w:rPr>
            </w:pPr>
            <w:r>
              <w:rPr>
                <w:rFonts w:ascii="Arial" w:cs="Arial" w:eastAsia="Arial" w:hAnsi="Arial"/>
                <w:sz w:val="15"/>
                <w:szCs w:val="15"/>
                <w:color w:val="auto"/>
              </w:rPr>
              <w:t>Dividend 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0.0%</w:t>
            </w:r>
          </w:p>
        </w:tc>
        <w:tc>
          <w:tcPr>
            <w:tcW w:w="110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Shares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575,000</w:t>
            </w: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80"/>
          </w:cols>
          <w:pgMar w:left="300" w:top="125" w:right="319" w:bottom="0" w:gutter="0" w:footer="0" w:header="0"/>
        </w:sectPr>
      </w:pPr>
    </w:p>
    <w:bookmarkStart w:id="8" w:name="page9"/>
    <w:bookmarkEnd w:id="8"/>
    <w:p>
      <w:pPr>
        <w:ind w:left="860"/>
        <w:spacing w:after="0"/>
        <w:tabs>
          <w:tab w:leader="none" w:pos="8120" w:val="left"/>
          <w:tab w:leader="none" w:pos="8800" w:val="left"/>
        </w:tabs>
        <w:rPr>
          <w:sz w:val="20"/>
          <w:szCs w:val="20"/>
          <w:color w:val="auto"/>
        </w:rPr>
      </w:pPr>
      <w:r>
        <w:rPr>
          <w:rFonts w:ascii="Arial" w:cs="Arial" w:eastAsia="Arial" w:hAnsi="Arial"/>
          <w:sz w:val="15"/>
          <w:szCs w:val="15"/>
          <w:b w:val="1"/>
          <w:bCs w:val="1"/>
          <w:color w:val="auto"/>
        </w:rPr>
        <w:t>Fair Value per share</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-99695</wp:posOffset>
            </wp:positionV>
            <wp:extent cx="6076950" cy="113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6950" cy="113665"/>
                    </a:xfrm>
                    <a:prstGeom prst="rect">
                      <a:avLst/>
                    </a:prstGeom>
                    <a:noFill/>
                  </pic:spPr>
                </pic:pic>
              </a:graphicData>
            </a:graphic>
          </wp:anchor>
        </w:drawing>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 xml:space="preserve">At June 30, 2021, there were stock options outstanding under our 2016 Equity Incentive Plan (the </w:t>
      </w:r>
      <w:r>
        <w:rPr>
          <w:rFonts w:ascii="Arial" w:cs="Arial" w:eastAsia="Arial" w:hAnsi="Arial"/>
          <w:sz w:val="15"/>
          <w:szCs w:val="15"/>
          <w:i w:val="1"/>
          <w:iCs w:val="1"/>
          <w:color w:val="auto"/>
        </w:rPr>
        <w:t>2016 Plan</w:t>
      </w:r>
      <w:r>
        <w:rPr>
          <w:rFonts w:ascii="Arial" w:cs="Arial" w:eastAsia="Arial" w:hAnsi="Arial"/>
          <w:sz w:val="15"/>
          <w:szCs w:val="15"/>
          <w:color w:val="auto"/>
        </w:rPr>
        <w:t>) and our 2019 Plan to purchase 15,071,639 shares of our common stock at a weighted average exercise price of $1.39 per share. At that date, there were also 1,311,279 shares of our common stock available for future issuance under the 2019 Plan. There are no additional shares available for issuance under our 2016 Plan.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 Right-of-Use Assets and Lease Liabilities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account for our leases in accordance with Financial Accounting Standards Board (</w:t>
      </w:r>
      <w:r>
        <w:rPr>
          <w:rFonts w:ascii="Arial" w:cs="Arial" w:eastAsia="Arial" w:hAnsi="Arial"/>
          <w:sz w:val="14"/>
          <w:szCs w:val="14"/>
          <w:i w:val="1"/>
          <w:iCs w:val="1"/>
          <w:color w:val="auto"/>
        </w:rPr>
        <w:t>FASB</w:t>
      </w:r>
      <w:r>
        <w:rPr>
          <w:rFonts w:ascii="Arial" w:cs="Arial" w:eastAsia="Arial" w:hAnsi="Arial"/>
          <w:sz w:val="14"/>
          <w:szCs w:val="14"/>
          <w:color w:val="auto"/>
        </w:rPr>
        <w:t>) Accounting Standards Update No. 2016-02 – Leases (Topic 842) (</w:t>
      </w:r>
      <w:r>
        <w:rPr>
          <w:rFonts w:ascii="Arial" w:cs="Arial" w:eastAsia="Arial" w:hAnsi="Arial"/>
          <w:sz w:val="14"/>
          <w:szCs w:val="14"/>
          <w:i w:val="1"/>
          <w:iCs w:val="1"/>
          <w:color w:val="auto"/>
        </w:rPr>
        <w:t>ASC 842</w:t>
      </w:r>
      <w:r>
        <w:rPr>
          <w:rFonts w:ascii="Arial" w:cs="Arial" w:eastAsia="Arial" w:hAnsi="Arial"/>
          <w:sz w:val="14"/>
          <w:szCs w:val="14"/>
          <w:color w:val="auto"/>
        </w:rPr>
        <w:t>). 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 xml:space="preserve">Our accounting for financing leases, previously referred to as “capital leases” under earlier guidance, remained substantially unchanged with our adoption of ASC 842. Financing leases are included in property and equipment, net and as current and non-current financing lease liabilities in our condensed consolidated balance sheets. Refer to Note 10, </w:t>
      </w:r>
      <w:r>
        <w:rPr>
          <w:rFonts w:ascii="Arial" w:cs="Arial" w:eastAsia="Arial" w:hAnsi="Arial"/>
          <w:sz w:val="15"/>
          <w:szCs w:val="15"/>
          <w:i w:val="1"/>
          <w:iCs w:val="1"/>
          <w:color w:val="auto"/>
        </w:rPr>
        <w:t>Commitments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Contingencies, </w:t>
      </w:r>
      <w:r>
        <w:rPr>
          <w:rFonts w:ascii="Arial" w:cs="Arial" w:eastAsia="Arial" w:hAnsi="Arial"/>
          <w:sz w:val="15"/>
          <w:szCs w:val="15"/>
          <w:color w:val="auto"/>
        </w:rPr>
        <w:t>for additional information regarding ASC 842 and its impact on our condensed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 have no components of other comprehensive loss other than net loss, and accordingly our comprehensive loss is equivalent to our net loss for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per Common Share</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our net loss for all periods presented, potentially dilutive securities were excluded from the computation of diluted net loss per share, as their effect would be antidilutive.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Potentially dilutive securities excluded in determining diluted net loss attributable to common stockholders per common share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At June 30,</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6"/>
              </w:rPr>
              <w:t>At 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1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8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 xml:space="preserve">Series A Preferred stock issued and outstanding </w:t>
            </w:r>
            <w:r>
              <w:rPr>
                <w:rFonts w:ascii="Arial" w:cs="Arial" w:eastAsia="Arial" w:hAnsi="Arial"/>
                <w:sz w:val="24"/>
                <w:szCs w:val="24"/>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 xml:space="preserve">Series B Preferred stock issued and outstanding </w:t>
            </w:r>
            <w:r>
              <w:rPr>
                <w:rFonts w:ascii="Arial" w:cs="Arial" w:eastAsia="Arial" w:hAnsi="Arial"/>
                <w:sz w:val="24"/>
                <w:szCs w:val="24"/>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1,131,669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1,131,669</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 xml:space="preserve">Series C Preferred stock issued and outstanding </w:t>
            </w:r>
            <w:r>
              <w:rPr>
                <w:rFonts w:ascii="Arial" w:cs="Arial" w:eastAsia="Arial" w:hAnsi="Arial"/>
                <w:sz w:val="24"/>
                <w:szCs w:val="24"/>
                <w:color w:val="auto"/>
                <w:vertAlign w:val="superscript"/>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2,318,012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2,318,012</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 xml:space="preserve">Series D Preferred stock issued and outstanding </w:t>
            </w:r>
            <w:r>
              <w:rPr>
                <w:rFonts w:ascii="Arial" w:cs="Arial" w:eastAsia="Arial" w:hAnsi="Arial"/>
                <w:sz w:val="24"/>
                <w:szCs w:val="24"/>
                <w:color w:val="auto"/>
                <w:vertAlign w:val="superscript"/>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9,249,427</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6"/>
              </w:rPr>
              <w:t>Outstanding options under the Company's Amended and Restated 2016 (formerly 2008) Stock Incentive Plan and 2019 Omnibus Equity</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5"/>
                <w:szCs w:val="15"/>
                <w:color w:val="auto"/>
              </w:rPr>
              <w:t>Incentive Plan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15,071,639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14,638,088</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5"/>
                <w:szCs w:val="15"/>
                <w:color w:val="auto"/>
              </w:rPr>
              <w:t>Outstanding warrants to purchase common stock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15,139,881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19,362,532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868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34,411,201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47,449,728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680" w:type="dxa"/>
            <w:vAlign w:val="bottom"/>
            <w:tcBorders>
              <w:top w:val="single" w:sz="8" w:color="CCEEFF"/>
            </w:tcBorders>
          </w:tcPr>
          <w:p>
            <w:pPr>
              <w:spacing w:after="0" w:line="154" w:lineRule="exact"/>
              <w:rPr>
                <w:sz w:val="20"/>
                <w:szCs w:val="20"/>
                <w:color w:val="auto"/>
              </w:rPr>
            </w:pPr>
            <w:r>
              <w:rPr>
                <w:rFonts w:ascii="Arial" w:cs="Arial" w:eastAsia="Arial" w:hAnsi="Arial"/>
                <w:sz w:val="15"/>
                <w:szCs w:val="15"/>
                <w:color w:val="auto"/>
              </w:rPr>
              <w:t>__________</w:t>
            </w: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ind w:left="460" w:hanging="451"/>
        <w:spacing w:after="0" w:line="184" w:lineRule="auto"/>
        <w:tabs>
          <w:tab w:leader="none" w:pos="46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Assumes exchange under the terms of the October 11, 2012 Note Exchange and Purchase Agreement, as amended</w:t>
      </w:r>
    </w:p>
    <w:p>
      <w:pPr>
        <w:spacing w:after="0" w:line="169" w:lineRule="exact"/>
        <w:rPr>
          <w:rFonts w:ascii="Arial" w:cs="Arial" w:eastAsia="Arial" w:hAnsi="Arial"/>
          <w:sz w:val="20"/>
          <w:szCs w:val="20"/>
          <w:color w:val="auto"/>
          <w:vertAlign w:val="superscript"/>
        </w:rPr>
      </w:pPr>
    </w:p>
    <w:p>
      <w:pPr>
        <w:ind w:left="460" w:hanging="451"/>
        <w:spacing w:after="0" w:line="191" w:lineRule="auto"/>
        <w:tabs>
          <w:tab w:leader="none" w:pos="46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B 10% Convertible Preferred Stock, effective May 5, 2015; excludes shares of unregistered common stock issuable in payment of dividends on Series B Preferred upon conversion</w:t>
      </w:r>
    </w:p>
    <w:p>
      <w:pPr>
        <w:spacing w:after="0" w:line="106" w:lineRule="exact"/>
        <w:rPr>
          <w:rFonts w:ascii="Arial" w:cs="Arial" w:eastAsia="Arial" w:hAnsi="Arial"/>
          <w:sz w:val="25"/>
          <w:szCs w:val="25"/>
          <w:color w:val="auto"/>
          <w:vertAlign w:val="superscript"/>
        </w:rPr>
      </w:pPr>
    </w:p>
    <w:p>
      <w:pPr>
        <w:ind w:left="460" w:hanging="451"/>
        <w:spacing w:after="0"/>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3"/>
          <w:szCs w:val="13"/>
          <w:color w:val="auto"/>
        </w:rPr>
        <w:t>Assumes exchange under the terms of the Certificate of Designation of the Relative Rights and Preferences of the Series C Convertible Preferred Stock, effective January 25, 2016</w:t>
      </w:r>
    </w:p>
    <w:p>
      <w:pPr>
        <w:spacing w:after="0" w:line="168" w:lineRule="exact"/>
        <w:rPr>
          <w:rFonts w:ascii="Arial" w:cs="Arial" w:eastAsia="Arial" w:hAnsi="Arial"/>
          <w:sz w:val="22"/>
          <w:szCs w:val="22"/>
          <w:color w:val="auto"/>
          <w:vertAlign w:val="superscript"/>
        </w:rPr>
      </w:pPr>
    </w:p>
    <w:p>
      <w:pPr>
        <w:ind w:left="460" w:hanging="451"/>
        <w:spacing w:after="0" w:line="191" w:lineRule="auto"/>
        <w:tabs>
          <w:tab w:leader="none" w:pos="46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Based on exchanges under the terms of the Certificate of Designation of the Relative Rights and Preferences of the Series D Convertible Preferred Stock, effective December 21, 2020.</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We do not use derivative instruments for hedging of market risks or for trading or speculative purposes. We carried no assets or liabilities that are measured on a recurring basis at fair value at June 30, 2021 or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following recent accounting pronouncement is of significance or potential significance to the Company.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August 2020, the FASB issued ASU 2020-06, Debt – Debt with Conversion and Other Options (Subtopic 470- 20) and Derivatives and Hedging – Contracts in Entity’s Own Equity (Subtopic 815-40): Accounting for Convertible Instruments and Contracts in an Entity’s Own Equity (</w:t>
      </w:r>
      <w:r>
        <w:rPr>
          <w:rFonts w:ascii="Arial" w:cs="Arial" w:eastAsia="Arial" w:hAnsi="Arial"/>
          <w:sz w:val="15"/>
          <w:szCs w:val="15"/>
          <w:i w:val="1"/>
          <w:iCs w:val="1"/>
          <w:color w:val="auto"/>
        </w:rPr>
        <w:t>ASU 2020-06</w:t>
      </w:r>
      <w:r>
        <w:rPr>
          <w:rFonts w:ascii="Arial" w:cs="Arial" w:eastAsia="Arial" w:hAnsi="Arial"/>
          <w:sz w:val="15"/>
          <w:szCs w:val="15"/>
          <w:color w:val="auto"/>
        </w:rPr>
        <w:t>), to reduce complexity in applying GAAP to certain financial instruments with characteristics of liabilities and equity.</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ectPr>
          <w:pgSz w:w="11900" w:h="16838" w:orient="portrait"/>
          <w:cols w:equalWidth="0" w:num="1">
            <w:col w:w="11280"/>
          </w:cols>
          <w:pgMar w:left="300" w:top="125" w:right="319" w:bottom="0" w:gutter="0" w:footer="0" w:header="0"/>
        </w:sectPr>
      </w:pPr>
    </w:p>
    <w:bookmarkStart w:id="9" w:name="page10"/>
    <w:bookmarkEnd w:id="9"/>
    <w:p>
      <w:pPr>
        <w:spacing w:after="0" w:line="1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The amendments in ASU 2020-06 further revise the guidance in ASC 260, Earnings Per Share, to require entities to calculate diluted earnings per share (</w:t>
      </w:r>
      <w:r>
        <w:rPr>
          <w:rFonts w:ascii="Arial" w:cs="Arial" w:eastAsia="Arial" w:hAnsi="Arial"/>
          <w:sz w:val="13"/>
          <w:szCs w:val="13"/>
          <w:i w:val="1"/>
          <w:iCs w:val="1"/>
          <w:color w:val="auto"/>
        </w:rPr>
        <w:t>EPS</w:t>
      </w:r>
      <w:r>
        <w:rPr>
          <w:rFonts w:ascii="Arial" w:cs="Arial" w:eastAsia="Arial" w:hAnsi="Arial"/>
          <w:sz w:val="13"/>
          <w:szCs w:val="13"/>
          <w:color w:val="auto"/>
        </w:rPr>
        <w:t>) for convertible instruments by using the if-converted method. In addition, entities must presume share settlement for purposes of calculating diluted EPS when an instrument may be settled in cash or shares.</w:t>
      </w:r>
    </w:p>
    <w:p>
      <w:pPr>
        <w:spacing w:after="0" w:line="101"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Receivable from Collaboration Partner</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These amounts reflect payment we make from time to time to a contract manufacturing organization for certain drug substance manufacturing services on behalf of our collaboration partner. Our collaboration partner reimbursed us for the outstanding payment at June 30, 2021 in July 2021 and for the outstanding payment at March 31, 2021 in May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gridSpan w:val="3"/>
          </w:tcPr>
          <w:p>
            <w:pPr>
              <w:spacing w:after="0"/>
              <w:rPr>
                <w:sz w:val="20"/>
                <w:szCs w:val="20"/>
                <w:color w:val="auto"/>
              </w:rPr>
            </w:pPr>
            <w:r>
              <w:rPr>
                <w:rFonts w:ascii="Arial" w:cs="Arial" w:eastAsia="Arial" w:hAnsi="Arial"/>
                <w:sz w:val="15"/>
                <w:szCs w:val="15"/>
                <w:b w:val="1"/>
                <w:bCs w:val="1"/>
                <w:color w:val="auto"/>
              </w:rPr>
              <w:t>Note 5. Prepaid Expenses and Other Current Assets</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4980" w:type="dxa"/>
            <w:vAlign w:val="bottom"/>
            <w:gridSpan w:val="3"/>
          </w:tcPr>
          <w:p>
            <w:pPr>
              <w:spacing w:after="0"/>
              <w:rPr>
                <w:sz w:val="20"/>
                <w:szCs w:val="20"/>
                <w:color w:val="auto"/>
              </w:rPr>
            </w:pPr>
            <w:r>
              <w:rPr>
                <w:rFonts w:ascii="Arial" w:cs="Arial" w:eastAsia="Arial" w:hAnsi="Arial"/>
                <w:sz w:val="15"/>
                <w:szCs w:val="15"/>
                <w:color w:val="auto"/>
              </w:rPr>
              <w:t>Prepaid expenses and other current assets are composed of the following:</w:t>
            </w: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Clinical and nonclinical materials and contract services</w:t>
            </w:r>
          </w:p>
        </w:tc>
        <w:tc>
          <w:tcPr>
            <w:tcW w:w="392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1,332,800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686,900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Insurance</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503,000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121,800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other</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35,600</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26,400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920" w:type="dxa"/>
            <w:vAlign w:val="bottom"/>
            <w:tcBorders>
              <w:top w:val="single" w:sz="8" w:color="CCEEFF"/>
            </w:tcBorders>
          </w:tcPr>
          <w:p>
            <w:pPr>
              <w:spacing w:after="0"/>
              <w:rPr>
                <w:sz w:val="14"/>
                <w:szCs w:val="14"/>
                <w:color w:val="auto"/>
              </w:rPr>
            </w:pPr>
          </w:p>
        </w:tc>
        <w:tc>
          <w:tcPr>
            <w:tcW w:w="3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1,871,400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835,100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80" w:type="dxa"/>
            <w:vAlign w:val="bottom"/>
            <w:gridSpan w:val="3"/>
          </w:tcPr>
          <w:p>
            <w:pPr>
              <w:spacing w:after="0"/>
              <w:rPr>
                <w:sz w:val="20"/>
                <w:szCs w:val="20"/>
                <w:color w:val="auto"/>
              </w:rPr>
            </w:pPr>
            <w:r>
              <w:rPr>
                <w:rFonts w:ascii="Arial" w:cs="Arial" w:eastAsia="Arial" w:hAnsi="Arial"/>
                <w:sz w:val="15"/>
                <w:szCs w:val="15"/>
                <w:b w:val="1"/>
                <w:bCs w:val="1"/>
                <w:color w:val="auto"/>
              </w:rPr>
              <w:t>Note 6. Property and Equipment</w:t>
            </w: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gridSpan w:val="3"/>
          </w:tcPr>
          <w:p>
            <w:pPr>
              <w:spacing w:after="0"/>
              <w:rPr>
                <w:sz w:val="20"/>
                <w:szCs w:val="20"/>
                <w:color w:val="auto"/>
              </w:rPr>
            </w:pPr>
            <w:r>
              <w:rPr>
                <w:rFonts w:ascii="Arial" w:cs="Arial" w:eastAsia="Arial" w:hAnsi="Arial"/>
                <w:sz w:val="15"/>
                <w:szCs w:val="15"/>
                <w:color w:val="auto"/>
              </w:rPr>
              <w:t>Property and equipment is composed of the following:</w:t>
            </w: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392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1,007,000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1,003,800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Tenant improvements</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214,400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214,400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Office furniture and equipment</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92,100</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92,100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Manufacturing equipment</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211,200</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211,200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Construction in progress</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146,700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5"/>
                <w:szCs w:val="15"/>
                <w:color w:val="auto"/>
              </w:rPr>
              <w:t>1,671,400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1,521,500</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Accumulated depreciation and amortization</w:t>
            </w: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(1,188,600)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(1,154,100)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392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482,800</w:t>
            </w:r>
          </w:p>
        </w:tc>
        <w:tc>
          <w:tcPr>
            <w:tcW w:w="22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367,400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20" w:type="dxa"/>
            <w:vAlign w:val="bottom"/>
            <w:vMerge w:val="restart"/>
          </w:tcPr>
          <w:p>
            <w:pPr>
              <w:jc w:val="right"/>
              <w:ind w:right="2905"/>
              <w:spacing w:after="0"/>
              <w:rPr>
                <w:sz w:val="20"/>
                <w:szCs w:val="20"/>
                <w:color w:val="auto"/>
              </w:rPr>
            </w:pPr>
            <w:r>
              <w:rPr>
                <w:rFonts w:ascii="Arial" w:cs="Arial" w:eastAsia="Arial" w:hAnsi="Arial"/>
                <w:sz w:val="15"/>
                <w:szCs w:val="15"/>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60" w:type="dxa"/>
            <w:vAlign w:val="bottom"/>
            <w:tcBorders>
              <w:bottom w:val="single" w:sz="8" w:color="0000EE"/>
            </w:tcBorders>
            <w:gridSpan w:val="2"/>
          </w:tcPr>
          <w:p>
            <w:pPr>
              <w:spacing w:after="0"/>
              <w:rPr>
                <w:rFonts w:ascii="Arial" w:cs="Arial" w:eastAsia="Arial" w:hAnsi="Arial"/>
                <w:sz w:val="15"/>
                <w:szCs w:val="15"/>
                <w:i w:val="1"/>
                <w:iCs w:val="1"/>
                <w:color w:val="0000EE"/>
                <w:w w:val="87"/>
              </w:rPr>
            </w:pPr>
            <w:hyperlink w:anchor="page1">
              <w:r>
                <w:rPr>
                  <w:rFonts w:ascii="Arial" w:cs="Arial" w:eastAsia="Arial" w:hAnsi="Arial"/>
                  <w:sz w:val="15"/>
                  <w:szCs w:val="15"/>
                  <w:i w:val="1"/>
                  <w:iCs w:val="1"/>
                  <w:color w:val="0000EE"/>
                  <w:w w:val="87"/>
                </w:rPr>
                <w:t>Table of Contents</w:t>
              </w:r>
            </w:hyperlink>
          </w:p>
        </w:tc>
        <w:tc>
          <w:tcPr>
            <w:tcW w:w="3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recorded depreciation and amortization expense of $34,500 and $25,400 for the three-month periods ended June 30, 2021 and 2020, respectively. The amount reported above as construction in progress at June 30, 2021 reflects the cost of certain laboratory analytical equipment acquired in connection with the development and manufacture of PH94B drug product. The equipment has not yet been fully validated or placed in service at June 30, 2021. Included in amounts reported above for office furniture and equipment is the right-of-use asset related to a financing lease of certain office equipment. Amounts associated with assets subject to the financing lease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8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 subject to financing lease</w:t>
            </w:r>
          </w:p>
        </w:tc>
        <w:tc>
          <w:tcPr>
            <w:tcW w:w="306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14,700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14,700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Accumulated depreciation</w:t>
            </w: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(13,100)</w:t>
            </w: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(12,400)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8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Net book value of office equipment subject to</w:t>
            </w: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financing lease</w:t>
            </w:r>
          </w:p>
        </w:tc>
        <w:tc>
          <w:tcPr>
            <w:tcW w:w="2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40" w:type="dxa"/>
            <w:vAlign w:val="bottom"/>
            <w:gridSpan w:val="2"/>
          </w:tcPr>
          <w:p>
            <w:pPr>
              <w:spacing w:after="0"/>
              <w:rPr>
                <w:sz w:val="20"/>
                <w:szCs w:val="20"/>
                <w:color w:val="auto"/>
              </w:rPr>
            </w:pPr>
            <w:r>
              <w:rPr>
                <w:rFonts w:ascii="Arial" w:cs="Arial" w:eastAsia="Arial" w:hAnsi="Arial"/>
                <w:sz w:val="15"/>
                <w:szCs w:val="15"/>
                <w:b w:val="1"/>
                <w:bCs w:val="1"/>
                <w:color w:val="auto"/>
              </w:rPr>
              <w:t>Note 7. Accrued Expenses</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40" w:type="dxa"/>
            <w:vAlign w:val="bottom"/>
            <w:gridSpan w:val="2"/>
          </w:tcPr>
          <w:p>
            <w:pPr>
              <w:spacing w:after="0"/>
              <w:rPr>
                <w:sz w:val="20"/>
                <w:szCs w:val="20"/>
                <w:color w:val="auto"/>
              </w:rPr>
            </w:pPr>
            <w:r>
              <w:rPr>
                <w:rFonts w:ascii="Arial" w:cs="Arial" w:eastAsia="Arial" w:hAnsi="Arial"/>
                <w:sz w:val="15"/>
                <w:szCs w:val="15"/>
                <w:color w:val="auto"/>
              </w:rPr>
              <w:t>Accrued expenses are composed of the following:</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5840" w:type="dxa"/>
            <w:vAlign w:val="bottom"/>
            <w:gridSpan w:val="2"/>
          </w:tcPr>
          <w:p>
            <w:pPr>
              <w:spacing w:after="0"/>
              <w:rPr>
                <w:sz w:val="20"/>
                <w:szCs w:val="20"/>
                <w:color w:val="auto"/>
              </w:rPr>
            </w:pPr>
            <w:r>
              <w:rPr>
                <w:rFonts w:ascii="Arial" w:cs="Arial" w:eastAsia="Arial" w:hAnsi="Arial"/>
                <w:sz w:val="15"/>
                <w:szCs w:val="15"/>
                <w:color w:val="auto"/>
              </w:rPr>
              <w:t>Accrued expenses for clinical and nonclinical</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materials, development and contract services</w:t>
            </w:r>
          </w:p>
        </w:tc>
        <w:tc>
          <w:tcPr>
            <w:tcW w:w="306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1,185,300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1,449,400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Accrued compensation</w:t>
            </w: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750,000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Accrued professional services</w:t>
            </w:r>
          </w:p>
        </w:tc>
        <w:tc>
          <w:tcPr>
            <w:tcW w:w="2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85,500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All other</w:t>
            </w: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20,700</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27,800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06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2,150,000</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1,562,700</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Note 8. Capital Stock</w:t>
            </w:r>
          </w:p>
        </w:tc>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4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2" w:orient="portrait"/>
          <w:cols w:equalWidth="0" w:num="1">
            <w:col w:w="11280"/>
          </w:cols>
          <w:pgMar w:left="300" w:top="308" w:right="319" w:bottom="0" w:gutter="0" w:footer="0" w:header="0"/>
        </w:sectPr>
      </w:pPr>
    </w:p>
    <w:bookmarkStart w:id="10" w:name="page11"/>
    <w:bookmarkEnd w:id="10"/>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Purchase Agreement with Lincoln Park Capital Fund</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In March 2020, we entered into a purchase agreement and a registration rights agreement with Lincoln Park Capital Fund (Lincoln Park) pursuant to which Lincoln Park committed to purchase up to $10,250,000 of our common stock at market-based prices over a period of 24 months (the LPC Agreement). On March 24, 2020, we sold 500,000 unregistered shares of our common stock (the </w:t>
      </w:r>
      <w:r>
        <w:rPr>
          <w:rFonts w:ascii="Arial" w:cs="Arial" w:eastAsia="Arial" w:hAnsi="Arial"/>
          <w:sz w:val="14"/>
          <w:szCs w:val="14"/>
          <w:i w:val="1"/>
          <w:iCs w:val="1"/>
          <w:color w:val="auto"/>
        </w:rPr>
        <w:t>Initial Purchase Shares</w:t>
      </w:r>
      <w:r>
        <w:rPr>
          <w:rFonts w:ascii="Arial" w:cs="Arial" w:eastAsia="Arial" w:hAnsi="Arial"/>
          <w:sz w:val="14"/>
          <w:szCs w:val="14"/>
          <w:color w:val="auto"/>
        </w:rPr>
        <w:t xml:space="preserve">) to Lincoln Park under the purchase agreement at a price of $0.50 per share for gross cash proceeds of $250,000 (the </w:t>
      </w:r>
      <w:r>
        <w:rPr>
          <w:rFonts w:ascii="Arial" w:cs="Arial" w:eastAsia="Arial" w:hAnsi="Arial"/>
          <w:sz w:val="14"/>
          <w:szCs w:val="14"/>
          <w:i w:val="1"/>
          <w:iCs w:val="1"/>
          <w:color w:val="auto"/>
        </w:rPr>
        <w:t>Initial Purchase</w:t>
      </w:r>
      <w:r>
        <w:rPr>
          <w:rFonts w:ascii="Arial" w:cs="Arial" w:eastAsia="Arial" w:hAnsi="Arial"/>
          <w:sz w:val="14"/>
          <w:szCs w:val="14"/>
          <w:color w:val="auto"/>
        </w:rPr>
        <w:t xml:space="preserve">) and we also issued 750,000 unregistered shares of our common stock to Lincoln Park under the terms of the LPC Agreement for its purchase commitments under the LPC Agreement (the </w:t>
      </w:r>
      <w:r>
        <w:rPr>
          <w:rFonts w:ascii="Arial" w:cs="Arial" w:eastAsia="Arial" w:hAnsi="Arial"/>
          <w:sz w:val="14"/>
          <w:szCs w:val="14"/>
          <w:i w:val="1"/>
          <w:iCs w:val="1"/>
          <w:color w:val="auto"/>
        </w:rPr>
        <w:t>Commitment Shares</w:t>
      </w:r>
      <w:r>
        <w:rPr>
          <w:rFonts w:ascii="Arial" w:cs="Arial" w:eastAsia="Arial" w:hAnsi="Arial"/>
          <w:sz w:val="14"/>
          <w:szCs w:val="14"/>
          <w:color w:val="auto"/>
        </w:rPr>
        <w:t>). To satisfy our obligations under the registration rights agreement associated with the LPC Agreement, we filed a Registration Statement on Form S-1 (the</w:t>
      </w:r>
      <w:r>
        <w:rPr>
          <w:rFonts w:ascii="Arial" w:cs="Arial" w:eastAsia="Arial" w:hAnsi="Arial"/>
          <w:sz w:val="14"/>
          <w:szCs w:val="14"/>
          <w:i w:val="1"/>
          <w:iCs w:val="1"/>
          <w:color w:val="auto"/>
        </w:rPr>
        <w:t xml:space="preserve"> LPC Registration Statement</w:t>
      </w:r>
      <w:r>
        <w:rPr>
          <w:rFonts w:ascii="Arial" w:cs="Arial" w:eastAsia="Arial" w:hAnsi="Arial"/>
          <w:sz w:val="14"/>
          <w:szCs w:val="14"/>
          <w:color w:val="auto"/>
        </w:rPr>
        <w:t>) with the SEC on March 31, 2020, which the SEC declared effective on April 14, 2020 (the</w:t>
      </w:r>
      <w:r>
        <w:rPr>
          <w:rFonts w:ascii="Arial" w:cs="Arial" w:eastAsia="Arial" w:hAnsi="Arial"/>
          <w:sz w:val="14"/>
          <w:szCs w:val="14"/>
          <w:i w:val="1"/>
          <w:iCs w:val="1"/>
          <w:color w:val="auto"/>
        </w:rPr>
        <w:t xml:space="preserve"> Commencement Date</w:t>
      </w:r>
      <w:r>
        <w:rPr>
          <w:rFonts w:ascii="Arial" w:cs="Arial" w:eastAsia="Arial" w:hAnsi="Arial"/>
          <w:sz w:val="14"/>
          <w:szCs w:val="14"/>
          <w:color w:val="auto"/>
        </w:rPr>
        <w:t>). The LPC Registration Statement included</w:t>
      </w:r>
      <w:r>
        <w:rPr>
          <w:rFonts w:ascii="Arial" w:cs="Arial" w:eastAsia="Arial" w:hAnsi="Arial"/>
          <w:sz w:val="14"/>
          <w:szCs w:val="14"/>
          <w:i w:val="1"/>
          <w:iCs w:val="1"/>
          <w:color w:val="auto"/>
        </w:rPr>
        <w:t xml:space="preserve"> </w:t>
      </w:r>
      <w:r>
        <w:rPr>
          <w:rFonts w:ascii="Arial" w:cs="Arial" w:eastAsia="Arial" w:hAnsi="Arial"/>
          <w:sz w:val="14"/>
          <w:szCs w:val="14"/>
          <w:color w:val="auto"/>
        </w:rPr>
        <w:t>registration of the Initial Purchase Shares and the Commitment Shares. The fair value of the Commitment Shares, $284,400, determined based on the quoted closing market price of our common stock on March 24, 2020, was a component of deferred offering costs attributable to this offering, which costs were amortized ratably to additional paid-in capital as we sold shares of our common stock to Lincoln Park under the LPC Agreement. Subsequent to the Commencement Date and through July 2020, we sold an additional 6,301,995 registered shares of our common stock to Lincoln Park and received aggregate gross cash proceeds of $2,891,200. We sold no shares of our common stock under the LPC Agreement after July 2020 and through June 2021, when we terminated the LPC Agreement. Upon termination of the LPC Agreement, we expensed the remaining $232,100 of deferred offering costs associated with the LPC Agreement. The expense is reflected as a noncash component of our general and administrative expenses for the quarter ended June 30, 2021 in the accompanying Condensed Consolidated Statements of Operations and Comprehensive Loss.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Series D Preferred Stock</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 xml:space="preserve">As described in Note 2, </w:t>
      </w:r>
      <w:r>
        <w:rPr>
          <w:rFonts w:ascii="Arial" w:cs="Arial" w:eastAsia="Arial" w:hAnsi="Arial"/>
          <w:sz w:val="15"/>
          <w:szCs w:val="15"/>
          <w:i w:val="1"/>
          <w:iCs w:val="1"/>
          <w:color w:val="auto"/>
        </w:rPr>
        <w:t>Basis of Presentation</w:t>
      </w:r>
      <w:r>
        <w:rPr>
          <w:rFonts w:ascii="Arial" w:cs="Arial" w:eastAsia="Arial" w:hAnsi="Arial"/>
          <w:sz w:val="15"/>
          <w:szCs w:val="15"/>
          <w:color w:val="auto"/>
        </w:rPr>
        <w:t>, in connection with the December 2020 Public Offering, we issued an aggregate of 2.0 million shares of Series D Preferred which shares were convertible into an aggregate of 46.0 million shares of common stock. At March 31, 2021, there were 402,149 shares of Series D Preferred outstanding. During April 2021, the remaining investors in the December 2020 Public Offering converted their outstanding shares of Series D Preferred into an aggregate of 9,249,427 shares of common stock. As a result, there are no shares of Series D Preferred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ATM Agreement</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In May 2021, we entered into an Open Market Sale Agreement </w:t>
      </w:r>
      <w:r>
        <w:rPr>
          <w:rFonts w:ascii="Arial" w:cs="Arial" w:eastAsia="Arial" w:hAnsi="Arial"/>
          <w:sz w:val="23"/>
          <w:szCs w:val="23"/>
          <w:color w:val="auto"/>
          <w:vertAlign w:val="superscript"/>
        </w:rPr>
        <w:t>SM</w:t>
      </w:r>
      <w:r>
        <w:rPr>
          <w:rFonts w:ascii="Arial" w:cs="Arial" w:eastAsia="Arial" w:hAnsi="Arial"/>
          <w:sz w:val="14"/>
          <w:szCs w:val="14"/>
          <w:color w:val="auto"/>
        </w:rPr>
        <w:t xml:space="preserve"> (the </w:t>
      </w:r>
      <w:r>
        <w:rPr>
          <w:rFonts w:ascii="Arial" w:cs="Arial" w:eastAsia="Arial" w:hAnsi="Arial"/>
          <w:sz w:val="14"/>
          <w:szCs w:val="14"/>
          <w:i w:val="1"/>
          <w:iCs w:val="1"/>
          <w:color w:val="auto"/>
        </w:rPr>
        <w:t>Sales Agreement</w:t>
      </w:r>
      <w:r>
        <w:rPr>
          <w:rFonts w:ascii="Arial" w:cs="Arial" w:eastAsia="Arial" w:hAnsi="Arial"/>
          <w:sz w:val="14"/>
          <w:szCs w:val="14"/>
          <w:color w:val="auto"/>
        </w:rPr>
        <w:t>) with Jefferies LLC, as sales agent (</w:t>
      </w:r>
      <w:r>
        <w:rPr>
          <w:rFonts w:ascii="Arial" w:cs="Arial" w:eastAsia="Arial" w:hAnsi="Arial"/>
          <w:sz w:val="14"/>
          <w:szCs w:val="14"/>
          <w:i w:val="1"/>
          <w:iCs w:val="1"/>
          <w:color w:val="auto"/>
        </w:rPr>
        <w:t>Jefferies</w:t>
      </w:r>
      <w:r>
        <w:rPr>
          <w:rFonts w:ascii="Arial" w:cs="Arial" w:eastAsia="Arial" w:hAnsi="Arial"/>
          <w:sz w:val="14"/>
          <w:szCs w:val="14"/>
          <w:color w:val="auto"/>
        </w:rPr>
        <w:t xml:space="preserve">), with respect to an at-the-market offering program (the </w:t>
      </w:r>
      <w:r>
        <w:rPr>
          <w:rFonts w:ascii="Arial" w:cs="Arial" w:eastAsia="Arial" w:hAnsi="Arial"/>
          <w:sz w:val="14"/>
          <w:szCs w:val="14"/>
          <w:i w:val="1"/>
          <w:iCs w:val="1"/>
          <w:color w:val="auto"/>
        </w:rPr>
        <w:t>ATM</w:t>
      </w:r>
      <w:r>
        <w:rPr>
          <w:rFonts w:ascii="Arial" w:cs="Arial" w:eastAsia="Arial" w:hAnsi="Arial"/>
          <w:sz w:val="14"/>
          <w:szCs w:val="14"/>
          <w:color w:val="auto"/>
        </w:rPr>
        <w:t xml:space="preserve">) under which we may offer and sell, from time to time, shares of our common stock having an aggregate offering price of up to $75.0 million (the </w:t>
      </w:r>
      <w:r>
        <w:rPr>
          <w:rFonts w:ascii="Arial" w:cs="Arial" w:eastAsia="Arial" w:hAnsi="Arial"/>
          <w:sz w:val="14"/>
          <w:szCs w:val="14"/>
          <w:i w:val="1"/>
          <w:iCs w:val="1"/>
          <w:color w:val="auto"/>
        </w:rPr>
        <w:t>Shares</w:t>
      </w:r>
      <w:r>
        <w:rPr>
          <w:rFonts w:ascii="Arial" w:cs="Arial" w:eastAsia="Arial" w:hAnsi="Arial"/>
          <w:sz w:val="14"/>
          <w:szCs w:val="14"/>
          <w:color w:val="auto"/>
        </w:rPr>
        <w:t>) through Jefferies as our sales agent. Under the Sales Agreement, if and when we direct, Jefferies may sell the Shares by any method permitted by law and deemed to be an “at the market offering” as defined in Rule 415(a)(4) promulgated under the Securities Act of 1933, as amended, including block transactions, sales made directly on the Nasdaq Capital Market or any other trading market for our common stock. In addition, under the Sales Agreement, Jefferies may sell the Shares in negotiated transactions with our consent. Under certain circumstances, we may instruct Jefferies not to sell the Shares if the sales cannot be effected at or above the price we designate from time to 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will pay Jefferies a commission equal to three percent (3.0%) of the aggregate gross proceeds from each sale of the Shares that we direct and that are sold through Jefferies under the Sales Agreement, if any. The Sales Agreement will terminate upon the earlier of (i) the sale of all Shares subject to the Sales Agreement or (ii) the termination of the Sales Agreement by Jefferies or by us, as permitted.</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Any Shares to be offered and sold under the Sales Agreement will be issued and sold pursuant to the S-3 Shelf Registration Statement filed with the SEC on March 15, 2021 and declared effective on March 26, 2021.</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Exercise and Expiration of Warrants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During the quarter ended June 30, 2021, holders of outstanding warrants exercised such warrants to purchase an aggregate of 1,516,768 shares of our common stock and we received cash proceeds of approximately $1,109,700. On May 16, 2021, outstanding warrants to purchase 2,705,883 shares of our common stock at an exercise price of $5.30 per share expired unexercised. There were no warrant exercises during the quarter ended June 30, 2020.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Exercises and ESPP Purchases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quarter ended June 30, 2021, holders of outstanding stock options exercised options to purchase an aggregate of 141,449 shares of our common stock and we received cash proceeds of $12,900. Certain of the options were exercised on a net exercise basis and we issued an aggregate of 98,328 shares of our common stock pursuant to the exercises. There were no option exercises during the quarter ended June 30, 2020. On June 30, 2021, our 2019 ESPP completed a purchase period pursuant to which we issued 16,251 shares of common stock and received proceeds of $31,600. On June 30, 2020, our 2019 ESPP completed a purchase period pursuant to which we issued 28,125 shares of common stock and received proceeds of $12,600.</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Warrants Outstanding</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following table summarizes warrants outstanding and exercisable as of June 30, 2021. All outstanding warrants are currently exercisable and the weighted average exercise price of such warrants at June 30, 2021 is $1.25 per share.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79"/>
        </w:trPr>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1"/>
              </w:rPr>
              <w:t>Warrants Outstanding</w:t>
            </w:r>
          </w:p>
        </w:tc>
      </w:tr>
      <w:tr>
        <w:trPr>
          <w:trHeight w:val="179"/>
        </w:trPr>
        <w:tc>
          <w:tcPr>
            <w:tcW w:w="1620" w:type="dxa"/>
            <w:vAlign w:val="bottom"/>
          </w:tcPr>
          <w:p>
            <w:pPr>
              <w:jc w:val="center"/>
              <w:ind w:left="485"/>
              <w:spacing w:after="0"/>
              <w:rPr>
                <w:sz w:val="20"/>
                <w:szCs w:val="20"/>
                <w:color w:val="auto"/>
              </w:rPr>
            </w:pPr>
            <w:r>
              <w:rPr>
                <w:rFonts w:ascii="Arial" w:cs="Arial" w:eastAsia="Arial" w:hAnsi="Arial"/>
                <w:sz w:val="15"/>
                <w:szCs w:val="15"/>
                <w:b w:val="1"/>
                <w:bCs w:val="1"/>
                <w:color w:val="auto"/>
                <w:w w:val="87"/>
              </w:rPr>
              <w:t>Exercise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and Exercisable at</w:t>
            </w:r>
          </w:p>
        </w:tc>
      </w:tr>
      <w:tr>
        <w:trPr>
          <w:trHeight w:val="179"/>
        </w:trPr>
        <w:tc>
          <w:tcPr>
            <w:tcW w:w="1620" w:type="dxa"/>
            <w:vAlign w:val="bottom"/>
          </w:tcPr>
          <w:p>
            <w:pPr>
              <w:jc w:val="center"/>
              <w:ind w:left="485"/>
              <w:spacing w:after="0"/>
              <w:rPr>
                <w:sz w:val="20"/>
                <w:szCs w:val="20"/>
                <w:color w:val="auto"/>
              </w:rPr>
            </w:pPr>
            <w:r>
              <w:rPr>
                <w:rFonts w:ascii="Arial" w:cs="Arial" w:eastAsia="Arial" w:hAnsi="Arial"/>
                <w:sz w:val="15"/>
                <w:szCs w:val="15"/>
                <w:b w:val="1"/>
                <w:bCs w:val="1"/>
                <w:color w:val="auto"/>
                <w:w w:val="92"/>
              </w:rPr>
              <w:t>Price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ind w:left="720"/>
              <w:spacing w:after="0"/>
              <w:rPr>
                <w:sz w:val="20"/>
                <w:szCs w:val="20"/>
                <w:color w:val="auto"/>
              </w:rPr>
            </w:pPr>
            <w:r>
              <w:rPr>
                <w:rFonts w:ascii="Arial" w:cs="Arial" w:eastAsia="Arial" w:hAnsi="Arial"/>
                <w:sz w:val="15"/>
                <w:szCs w:val="15"/>
                <w:b w:val="1"/>
                <w:bCs w:val="1"/>
                <w:color w:val="auto"/>
              </w:rPr>
              <w:t>Expiration</w:t>
            </w:r>
          </w:p>
        </w:tc>
        <w:tc>
          <w:tcPr>
            <w:tcW w:w="80" w:type="dxa"/>
            <w:vAlign w:val="bottom"/>
          </w:tcPr>
          <w:p>
            <w:pPr>
              <w:spacing w:after="0"/>
              <w:rPr>
                <w:sz w:val="15"/>
                <w:szCs w:val="15"/>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June 30,</w:t>
            </w:r>
          </w:p>
        </w:tc>
      </w:tr>
      <w:tr>
        <w:trPr>
          <w:trHeight w:val="193"/>
        </w:trPr>
        <w:tc>
          <w:tcPr>
            <w:tcW w:w="1620" w:type="dxa"/>
            <w:vAlign w:val="bottom"/>
          </w:tcPr>
          <w:p>
            <w:pPr>
              <w:jc w:val="center"/>
              <w:ind w:left="485"/>
              <w:spacing w:after="0"/>
              <w:rPr>
                <w:sz w:val="20"/>
                <w:szCs w:val="20"/>
                <w:color w:val="auto"/>
              </w:rPr>
            </w:pPr>
            <w:r>
              <w:rPr>
                <w:rFonts w:ascii="Arial" w:cs="Arial" w:eastAsia="Arial" w:hAnsi="Arial"/>
                <w:sz w:val="15"/>
                <w:szCs w:val="15"/>
                <w:b w:val="1"/>
                <w:bCs w:val="1"/>
                <w:color w:val="auto"/>
                <w:w w:val="89"/>
              </w:rPr>
              <w:t>per Share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ind w:left="920"/>
              <w:spacing w:after="0"/>
              <w:rPr>
                <w:sz w:val="20"/>
                <w:szCs w:val="20"/>
                <w:color w:val="auto"/>
              </w:rPr>
            </w:pPr>
            <w:r>
              <w:rPr>
                <w:rFonts w:ascii="Arial" w:cs="Arial" w:eastAsia="Arial" w:hAnsi="Arial"/>
                <w:sz w:val="15"/>
                <w:szCs w:val="15"/>
                <w:b w:val="1"/>
                <w:bCs w:val="1"/>
                <w:color w:val="auto"/>
              </w:rPr>
              <w:t>Date</w:t>
            </w:r>
          </w:p>
        </w:tc>
        <w:tc>
          <w:tcPr>
            <w:tcW w:w="224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2021</w:t>
            </w:r>
          </w:p>
        </w:tc>
        <w:tc>
          <w:tcPr>
            <w:tcW w:w="60" w:type="dxa"/>
            <w:vAlign w:val="bottom"/>
          </w:tcPr>
          <w:p>
            <w:pPr>
              <w:spacing w:after="0"/>
              <w:rPr>
                <w:sz w:val="16"/>
                <w:szCs w:val="16"/>
                <w:color w:val="auto"/>
              </w:rPr>
            </w:pPr>
          </w:p>
        </w:tc>
      </w:tr>
      <w:tr>
        <w:trPr>
          <w:trHeight w:val="170"/>
        </w:trPr>
        <w:tc>
          <w:tcPr>
            <w:tcW w:w="16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9"/>
        </w:trPr>
        <w:tc>
          <w:tcPr>
            <w:tcW w:w="1620" w:type="dxa"/>
            <w:vAlign w:val="bottom"/>
            <w:shd w:val="clear" w:color="auto" w:fill="CCEEFF"/>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0.50</w:t>
            </w: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2/28/2022 to 3/31/2024</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4,252,514</w:t>
            </w:r>
          </w:p>
        </w:tc>
      </w:tr>
      <w:tr>
        <w:trPr>
          <w:trHeight w:val="179"/>
        </w:trPr>
        <w:tc>
          <w:tcPr>
            <w:tcW w:w="1620" w:type="dxa"/>
            <w:vAlign w:val="bottom"/>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0.73</w:t>
            </w:r>
          </w:p>
        </w:tc>
        <w:tc>
          <w:tcPr>
            <w:tcW w:w="2140" w:type="dxa"/>
            <w:vAlign w:val="bottom"/>
          </w:tcPr>
          <w:p>
            <w:pPr>
              <w:spacing w:after="0"/>
              <w:rPr>
                <w:sz w:val="20"/>
                <w:szCs w:val="20"/>
                <w:color w:val="auto"/>
              </w:rPr>
            </w:pPr>
            <w:r>
              <w:rPr>
                <w:rFonts w:ascii="Arial" w:cs="Arial" w:eastAsia="Arial" w:hAnsi="Arial"/>
                <w:sz w:val="15"/>
                <w:szCs w:val="15"/>
                <w:color w:val="auto"/>
              </w:rPr>
              <w:t>7/25/2025</w:t>
            </w:r>
          </w:p>
        </w:tc>
        <w:tc>
          <w:tcPr>
            <w:tcW w:w="2300" w:type="dxa"/>
            <w:vAlign w:val="bottom"/>
            <w:gridSpan w:val="3"/>
          </w:tcPr>
          <w:p>
            <w:pPr>
              <w:jc w:val="right"/>
              <w:ind w:right="60"/>
              <w:spacing w:after="0"/>
              <w:rPr>
                <w:sz w:val="20"/>
                <w:szCs w:val="20"/>
                <w:color w:val="auto"/>
              </w:rPr>
            </w:pPr>
            <w:r>
              <w:rPr>
                <w:rFonts w:ascii="Arial" w:cs="Arial" w:eastAsia="Arial" w:hAnsi="Arial"/>
                <w:sz w:val="15"/>
                <w:szCs w:val="15"/>
                <w:color w:val="auto"/>
              </w:rPr>
              <w:t>1,055,475</w:t>
            </w:r>
          </w:p>
        </w:tc>
      </w:tr>
      <w:tr>
        <w:trPr>
          <w:trHeight w:val="179"/>
        </w:trPr>
        <w:tc>
          <w:tcPr>
            <w:tcW w:w="1620" w:type="dxa"/>
            <w:vAlign w:val="bottom"/>
            <w:shd w:val="clear" w:color="auto" w:fill="CCEEFF"/>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0.805</w:t>
            </w: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12/31/2022</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80,431</w:t>
            </w:r>
          </w:p>
        </w:tc>
      </w:tr>
      <w:tr>
        <w:trPr>
          <w:trHeight w:val="179"/>
        </w:trPr>
        <w:tc>
          <w:tcPr>
            <w:tcW w:w="1620" w:type="dxa"/>
            <w:vAlign w:val="bottom"/>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1.50</w:t>
            </w:r>
          </w:p>
        </w:tc>
        <w:tc>
          <w:tcPr>
            <w:tcW w:w="2140" w:type="dxa"/>
            <w:vAlign w:val="bottom"/>
          </w:tcPr>
          <w:p>
            <w:pPr>
              <w:spacing w:after="0"/>
              <w:rPr>
                <w:sz w:val="20"/>
                <w:szCs w:val="20"/>
                <w:color w:val="auto"/>
              </w:rPr>
            </w:pPr>
            <w:r>
              <w:rPr>
                <w:rFonts w:ascii="Arial" w:cs="Arial" w:eastAsia="Arial" w:hAnsi="Arial"/>
                <w:sz w:val="15"/>
                <w:szCs w:val="15"/>
                <w:color w:val="auto"/>
              </w:rPr>
              <w:t>12/13/2022</w:t>
            </w:r>
          </w:p>
        </w:tc>
        <w:tc>
          <w:tcPr>
            <w:tcW w:w="2300" w:type="dxa"/>
            <w:vAlign w:val="bottom"/>
            <w:gridSpan w:val="3"/>
          </w:tcPr>
          <w:p>
            <w:pPr>
              <w:jc w:val="right"/>
              <w:ind w:right="60"/>
              <w:spacing w:after="0"/>
              <w:rPr>
                <w:sz w:val="20"/>
                <w:szCs w:val="20"/>
                <w:color w:val="auto"/>
              </w:rPr>
            </w:pPr>
            <w:r>
              <w:rPr>
                <w:rFonts w:ascii="Arial" w:cs="Arial" w:eastAsia="Arial" w:hAnsi="Arial"/>
                <w:sz w:val="15"/>
                <w:szCs w:val="15"/>
                <w:color w:val="auto"/>
              </w:rPr>
              <w:t>8,165,530</w:t>
            </w:r>
          </w:p>
        </w:tc>
      </w:tr>
      <w:tr>
        <w:trPr>
          <w:trHeight w:val="179"/>
        </w:trPr>
        <w:tc>
          <w:tcPr>
            <w:tcW w:w="1620" w:type="dxa"/>
            <w:vAlign w:val="bottom"/>
            <w:shd w:val="clear" w:color="auto" w:fill="CCEEFF"/>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w:t>
            </w: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3/7/2023</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1,388,931</w:t>
            </w:r>
          </w:p>
        </w:tc>
      </w:tr>
      <w:tr>
        <w:trPr>
          <w:trHeight w:val="179"/>
        </w:trPr>
        <w:tc>
          <w:tcPr>
            <w:tcW w:w="1620" w:type="dxa"/>
            <w:vAlign w:val="bottom"/>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3.51</w:t>
            </w:r>
          </w:p>
        </w:tc>
        <w:tc>
          <w:tcPr>
            <w:tcW w:w="2140" w:type="dxa"/>
            <w:vAlign w:val="bottom"/>
          </w:tcPr>
          <w:p>
            <w:pPr>
              <w:spacing w:after="0"/>
              <w:rPr>
                <w:sz w:val="20"/>
                <w:szCs w:val="20"/>
                <w:color w:val="auto"/>
              </w:rPr>
            </w:pPr>
            <w:r>
              <w:rPr>
                <w:rFonts w:ascii="Arial" w:cs="Arial" w:eastAsia="Arial" w:hAnsi="Arial"/>
                <w:sz w:val="15"/>
                <w:szCs w:val="15"/>
                <w:color w:val="auto"/>
              </w:rPr>
              <w:t>12/31/2021</w:t>
            </w:r>
          </w:p>
        </w:tc>
        <w:tc>
          <w:tcPr>
            <w:tcW w:w="2300" w:type="dxa"/>
            <w:vAlign w:val="bottom"/>
            <w:gridSpan w:val="3"/>
          </w:tcPr>
          <w:p>
            <w:pPr>
              <w:jc w:val="right"/>
              <w:ind w:right="60"/>
              <w:spacing w:after="0"/>
              <w:rPr>
                <w:sz w:val="20"/>
                <w:szCs w:val="20"/>
                <w:color w:val="auto"/>
              </w:rPr>
            </w:pPr>
            <w:r>
              <w:rPr>
                <w:rFonts w:ascii="Arial" w:cs="Arial" w:eastAsia="Arial" w:hAnsi="Arial"/>
                <w:sz w:val="15"/>
                <w:szCs w:val="15"/>
                <w:color w:val="auto"/>
              </w:rPr>
              <w:t>50,000</w:t>
            </w:r>
          </w:p>
        </w:tc>
      </w:tr>
      <w:tr>
        <w:trPr>
          <w:trHeight w:val="179"/>
        </w:trPr>
        <w:tc>
          <w:tcPr>
            <w:tcW w:w="1620" w:type="dxa"/>
            <w:vAlign w:val="bottom"/>
            <w:shd w:val="clear" w:color="auto" w:fill="CCEEFF"/>
          </w:tcPr>
          <w:p>
            <w:pPr>
              <w:jc w:val="right"/>
              <w:ind w:right="14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7.00</w:t>
            </w: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3/3/2023</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147,000</w:t>
            </w:r>
          </w:p>
        </w:tc>
      </w:tr>
      <w:tr>
        <w:trPr>
          <w:trHeight w:val="179"/>
        </w:trPr>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16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15,139,881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At June 30, 2021, the shares of common stock underlying all of the outstanding warrants except those having an exercise price of $7.00 per share have been registered for resale by the warrant holders. Additionally, no outstanding warrant is subject to any down round anti-dilution protection features and all of the outstanding warrants are exercisable by the holders only by payment in cash of the stated exercise price per share. Approximately 3.2 million of the warrants indicated as exercisable at $0.50 per share were the subject of a modification in December 2019 to reduce the exercise price to $0.50 per share for a period of two years. If such warrants are not exercised prior to December 4, 2021, the exercise price will revert to pre-modification exercise prices ranging from $1.50 per share to $2.24 per share.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Consulting Agreement</w:t>
      </w:r>
    </w:p>
    <w:p>
      <w:pPr>
        <w:spacing w:after="0" w:line="185"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During the quarter ended June 30, 2020, we engaged a consulting firm headed by one of the then-independent members of our Board to provide various market research studies, competitive analyses, and commercial advisory projects for certain of our CNS pipeline candidates pursuant to which we recorded research and development expense of $15,000 for the quarter ended June 30, 2020. In May 2021, that Board member ceased to be independent upon acceptance of a position as our Chief Commercial Officer while remaining a member of our Board. We had</w:t>
      </w:r>
    </w:p>
    <w:p>
      <w:pPr>
        <w:sectPr>
          <w:pgSz w:w="11900" w:h="16933" w:orient="portrait"/>
          <w:cols w:equalWidth="0" w:num="1">
            <w:col w:w="11280"/>
          </w:cols>
          <w:pgMar w:left="300" w:top="308" w:right="319" w:bottom="0" w:gutter="0" w:footer="0" w:header="0"/>
        </w:sectPr>
      </w:pPr>
    </w:p>
    <w:bookmarkStart w:id="11" w:name="page12"/>
    <w:bookmarkEnd w:id="11"/>
    <w:p>
      <w:pPr>
        <w:spacing w:after="0" w:line="1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not engaged in business with the related consulting firm in the current fiscal year prior to the acceptance of employment. We recorded accounts payable and accrued expenses to the consulting firm of $15,000 at June 30, 2020 and no amounts payable at March 31, 2021 or June 30, 2021 related to the subject projects and services.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We lease our headquarters office and laboratory space in South San Francisco, California under the terms of a lease that expires on July 31, 2022 and that provides an option to renew for an additional five years at then-current market rates. Consistent with the guidance in </w:t>
      </w:r>
      <w:r>
        <w:rPr>
          <w:rFonts w:ascii="Arial" w:cs="Arial" w:eastAsia="Arial" w:hAnsi="Arial"/>
          <w:sz w:val="13"/>
          <w:szCs w:val="13"/>
          <w:i w:val="1"/>
          <w:iCs w:val="1"/>
          <w:color w:val="auto"/>
        </w:rPr>
        <w:t>ASC 842</w:t>
      </w:r>
      <w:r>
        <w:rPr>
          <w:rFonts w:ascii="Arial" w:cs="Arial" w:eastAsia="Arial" w:hAnsi="Arial"/>
          <w:sz w:val="13"/>
          <w:szCs w:val="13"/>
          <w:color w:val="auto"/>
        </w:rPr>
        <w:t>, beginning April 1, 2019, we recorded this lease in our Condensed Consolidated Balance Sheet as an operating lease. For the purpose of determining the right-of-use asset and associated lease liability, we determined that the renewal of this lease was reasonably probable at the time we adopted ASC 842. The lease of our South San Francisco facilities does not include any restrictions or covenants requiring special treatment under ASC 842.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gridSpan w:val="2"/>
          </w:tcPr>
          <w:p>
            <w:pPr>
              <w:spacing w:after="0"/>
              <w:rPr>
                <w:sz w:val="20"/>
                <w:szCs w:val="20"/>
                <w:color w:val="auto"/>
              </w:rPr>
            </w:pPr>
            <w:r>
              <w:rPr>
                <w:rFonts w:ascii="Arial" w:cs="Arial" w:eastAsia="Arial" w:hAnsi="Arial"/>
                <w:sz w:val="15"/>
                <w:szCs w:val="15"/>
                <w:color w:val="auto"/>
              </w:rPr>
              <w:t>The following table summarizes the presentation of the operating lease in our Condensed Consolidated Balance Sheet: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rPr>
              <w:t>As of June 30,</w:t>
            </w:r>
          </w:p>
        </w:tc>
        <w:tc>
          <w:tcPr>
            <w:tcW w:w="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5"/>
                <w:szCs w:val="15"/>
                <w:b w:val="1"/>
                <w:bCs w:val="1"/>
                <w:color w:val="auto"/>
              </w:rPr>
              <w:t>As of March</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60" w:type="dxa"/>
            <w:vAlign w:val="bottom"/>
            <w:gridSpan w:val="2"/>
          </w:tcPr>
          <w:p>
            <w:pPr>
              <w:ind w:left="860"/>
              <w:spacing w:after="0" w:line="170" w:lineRule="exact"/>
              <w:rPr>
                <w:sz w:val="20"/>
                <w:szCs w:val="20"/>
                <w:color w:val="auto"/>
              </w:rPr>
            </w:pPr>
            <w:r>
              <w:rPr>
                <w:rFonts w:ascii="Arial" w:cs="Arial" w:eastAsia="Arial" w:hAnsi="Arial"/>
                <w:sz w:val="15"/>
                <w:szCs w:val="15"/>
                <w:i w:val="1"/>
                <w:iCs w:val="1"/>
                <w:color w:val="auto"/>
              </w:rPr>
              <w:t>Assets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Right of use asset – operating lease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3,125,300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3,219,600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vMerge w:val="restart"/>
          </w:tcPr>
          <w:p>
            <w:pPr>
              <w:spacing w:after="0"/>
              <w:rPr>
                <w:sz w:val="13"/>
                <w:szCs w:val="13"/>
                <w:color w:val="auto"/>
              </w:rPr>
            </w:pPr>
          </w:p>
        </w:tc>
        <w:tc>
          <w:tcPr>
            <w:tcW w:w="7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Liabilities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400" w:type="dxa"/>
            <w:vAlign w:val="bottom"/>
          </w:tcPr>
          <w:p>
            <w:pPr>
              <w:ind w:left="200"/>
              <w:spacing w:after="0"/>
              <w:rPr>
                <w:sz w:val="20"/>
                <w:szCs w:val="20"/>
                <w:color w:val="auto"/>
              </w:rPr>
            </w:pPr>
            <w:r>
              <w:rPr>
                <w:rFonts w:ascii="Arial" w:cs="Arial" w:eastAsia="Arial" w:hAnsi="Arial"/>
                <w:sz w:val="15"/>
                <w:szCs w:val="15"/>
                <w:color w:val="auto"/>
              </w:rPr>
              <w:t>Current operating lease obligation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378,400</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364,800</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Non-current operating lease obligation</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3,252,700</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3,350,800</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60" w:type="dxa"/>
            <w:vAlign w:val="bottom"/>
          </w:tcPr>
          <w:p>
            <w:pPr>
              <w:spacing w:after="0"/>
              <w:rPr>
                <w:sz w:val="14"/>
                <w:szCs w:val="14"/>
                <w:color w:val="auto"/>
              </w:rPr>
            </w:pPr>
          </w:p>
        </w:tc>
        <w:tc>
          <w:tcPr>
            <w:tcW w:w="7400" w:type="dxa"/>
            <w:vAlign w:val="bottom"/>
          </w:tcPr>
          <w:p>
            <w:pPr>
              <w:spacing w:after="0" w:line="170" w:lineRule="exact"/>
              <w:rPr>
                <w:sz w:val="20"/>
                <w:szCs w:val="20"/>
                <w:color w:val="auto"/>
              </w:rPr>
            </w:pPr>
            <w:r>
              <w:rPr>
                <w:rFonts w:ascii="Arial" w:cs="Arial" w:eastAsia="Arial" w:hAnsi="Arial"/>
                <w:sz w:val="15"/>
                <w:szCs w:val="15"/>
                <w:color w:val="auto"/>
              </w:rPr>
              <w:t>Total operating lease liability</w:t>
            </w:r>
          </w:p>
        </w:tc>
        <w:tc>
          <w:tcPr>
            <w:tcW w:w="200" w:type="dxa"/>
            <w:vAlign w:val="bottom"/>
            <w:tcBorders>
              <w:bottom w:val="single" w:sz="8" w:color="auto"/>
            </w:tcBorders>
          </w:tcPr>
          <w:p>
            <w:pPr>
              <w:jc w:val="right"/>
              <w:ind w:right="45"/>
              <w:spacing w:after="0" w:line="170"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3,631,100</w:t>
            </w:r>
          </w:p>
        </w:tc>
        <w:tc>
          <w:tcPr>
            <w:tcW w:w="16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3,715,600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effect of operating lease costs in the Company’s Condensed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920" w:type="dxa"/>
            <w:vAlign w:val="bottom"/>
            <w:gridSpan w:val="5"/>
          </w:tcPr>
          <w:p>
            <w:pPr>
              <w:ind w:left="1860"/>
              <w:spacing w:after="0"/>
              <w:rPr>
                <w:sz w:val="20"/>
                <w:szCs w:val="20"/>
                <w:color w:val="auto"/>
              </w:rPr>
            </w:pPr>
            <w:r>
              <w:rPr>
                <w:rFonts w:ascii="Arial" w:cs="Arial" w:eastAsia="Arial" w:hAnsi="Arial"/>
                <w:sz w:val="15"/>
                <w:szCs w:val="15"/>
                <w:b w:val="1"/>
                <w:bCs w:val="1"/>
                <w:color w:val="auto"/>
              </w:rPr>
              <w:t>For the Three Months Ended</w:t>
            </w:r>
          </w:p>
        </w:tc>
        <w:tc>
          <w:tcPr>
            <w:tcW w:w="1960" w:type="dxa"/>
            <w:vAlign w:val="bottom"/>
            <w:gridSpan w:val="6"/>
          </w:tcPr>
          <w:p>
            <w:pPr>
              <w:spacing w:after="0"/>
              <w:rPr>
                <w:sz w:val="20"/>
                <w:szCs w:val="20"/>
                <w:color w:val="auto"/>
              </w:rPr>
            </w:pPr>
            <w:r>
              <w:rPr>
                <w:rFonts w:ascii="Arial" w:cs="Arial" w:eastAsia="Arial" w:hAnsi="Arial"/>
                <w:sz w:val="15"/>
                <w:szCs w:val="15"/>
                <w:b w:val="1"/>
                <w:bCs w:val="1"/>
                <w:color w:val="auto"/>
                <w:w w:val="95"/>
              </w:rPr>
              <w:t>For the Three Months Ended</w:t>
            </w:r>
          </w:p>
        </w:tc>
      </w:tr>
      <w:tr>
        <w:trPr>
          <w:trHeight w:val="193"/>
        </w:trPr>
        <w:tc>
          <w:tcPr>
            <w:tcW w:w="8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b w:val="1"/>
                <w:bCs w:val="1"/>
                <w:color w:val="auto"/>
              </w:rPr>
              <w:t>June 30, 2021</w:t>
            </w:r>
          </w:p>
        </w:tc>
        <w:tc>
          <w:tcPr>
            <w:tcW w:w="22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6"/>
                <w:szCs w:val="16"/>
                <w:color w:val="auto"/>
              </w:rPr>
            </w:pPr>
          </w:p>
        </w:tc>
      </w:tr>
      <w:tr>
        <w:trPr>
          <w:trHeight w:val="170"/>
        </w:trPr>
        <w:tc>
          <w:tcPr>
            <w:tcW w:w="54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Operating lease cost</w:t>
            </w:r>
          </w:p>
        </w:tc>
        <w:tc>
          <w:tcPr>
            <w:tcW w:w="2180" w:type="dxa"/>
            <w:vAlign w:val="bottom"/>
            <w:gridSpan w:val="2"/>
            <w:shd w:val="clear" w:color="auto" w:fill="CCEEFF"/>
          </w:tcPr>
          <w:p>
            <w:pPr>
              <w:ind w:left="1860"/>
              <w:spacing w:after="0" w:line="171" w:lineRule="exact"/>
              <w:rPr>
                <w:sz w:val="20"/>
                <w:szCs w:val="20"/>
                <w:color w:val="auto"/>
              </w:rPr>
            </w:pPr>
            <w:r>
              <w:rPr>
                <w:rFonts w:ascii="Arial" w:cs="Arial" w:eastAsia="Arial" w:hAnsi="Arial"/>
                <w:sz w:val="15"/>
                <w:szCs w:val="15"/>
                <w:color w:val="auto"/>
              </w:rPr>
              <w:t>$</w:t>
            </w:r>
          </w:p>
        </w:tc>
        <w:tc>
          <w:tcPr>
            <w:tcW w:w="17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235,700</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1700" w:type="dxa"/>
            <w:vAlign w:val="bottom"/>
            <w:gridSpan w:val="4"/>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212,800</w:t>
            </w:r>
          </w:p>
        </w:tc>
      </w:tr>
      <w:tr>
        <w:trPr>
          <w:trHeight w:val="357"/>
        </w:trPr>
        <w:tc>
          <w:tcPr>
            <w:tcW w:w="7580" w:type="dxa"/>
            <w:vAlign w:val="bottom"/>
            <w:gridSpan w:val="4"/>
          </w:tcPr>
          <w:p>
            <w:pPr>
              <w:spacing w:after="0"/>
              <w:rPr>
                <w:sz w:val="20"/>
                <w:szCs w:val="20"/>
                <w:color w:val="auto"/>
              </w:rPr>
            </w:pPr>
            <w:r>
              <w:rPr>
                <w:rFonts w:ascii="Arial" w:cs="Arial" w:eastAsia="Arial" w:hAnsi="Arial"/>
                <w:sz w:val="15"/>
                <w:szCs w:val="15"/>
                <w:color w:val="auto"/>
                <w:w w:val="90"/>
              </w:rPr>
              <w:t>The minimum (base rental) lease payments related to our South San Francisco operating lease are expected to be as follows:</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5400" w:type="dxa"/>
            <w:vAlign w:val="bottom"/>
            <w:gridSpan w:val="2"/>
          </w:tcPr>
          <w:p>
            <w:pPr>
              <w:ind w:left="860"/>
              <w:spacing w:after="0"/>
              <w:rPr>
                <w:sz w:val="20"/>
                <w:szCs w:val="20"/>
                <w:color w:val="auto"/>
              </w:rPr>
            </w:pPr>
            <w:r>
              <w:rPr>
                <w:rFonts w:ascii="Arial" w:cs="Arial" w:eastAsia="Arial" w:hAnsi="Arial"/>
                <w:sz w:val="15"/>
                <w:szCs w:val="15"/>
                <w:b w:val="1"/>
                <w:bCs w:val="1"/>
                <w:color w:val="auto"/>
              </w:rPr>
              <w:t>Fiscal Years Ending March 31,</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860" w:type="dxa"/>
            <w:vAlign w:val="bottom"/>
          </w:tcPr>
          <w:p>
            <w:pPr>
              <w:spacing w:after="0"/>
              <w:rPr>
                <w:sz w:val="14"/>
                <w:szCs w:val="14"/>
                <w:color w:val="auto"/>
              </w:rPr>
            </w:pPr>
          </w:p>
        </w:tc>
        <w:tc>
          <w:tcPr>
            <w:tcW w:w="4540" w:type="dxa"/>
            <w:vAlign w:val="bottom"/>
            <w:tcBorders>
              <w:top w:val="single" w:sz="8" w:color="auto"/>
            </w:tcBorders>
            <w:shd w:val="clear" w:color="auto" w:fill="CCEEFF"/>
          </w:tcPr>
          <w:p>
            <w:pPr>
              <w:spacing w:after="0" w:line="171" w:lineRule="exact"/>
              <w:rPr>
                <w:sz w:val="20"/>
                <w:szCs w:val="20"/>
                <w:color w:val="auto"/>
              </w:rPr>
            </w:pPr>
            <w:r>
              <w:rPr>
                <w:rFonts w:ascii="Arial" w:cs="Arial" w:eastAsia="Arial" w:hAnsi="Arial"/>
                <w:sz w:val="15"/>
                <w:szCs w:val="15"/>
                <w:color w:val="auto"/>
              </w:rPr>
              <w:t>2022 (remaining nine months)</w:t>
            </w:r>
          </w:p>
        </w:tc>
        <w:tc>
          <w:tcPr>
            <w:tcW w:w="18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5"/>
              <w:spacing w:after="0" w:line="171"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505,100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86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2023</w:t>
            </w: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726,000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86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1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766,000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86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2025</w:t>
            </w: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789,000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86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1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812,700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86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Thereafter</w:t>
            </w: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1,118,700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0"/>
        </w:trPr>
        <w:tc>
          <w:tcPr>
            <w:tcW w:w="860" w:type="dxa"/>
            <w:vAlign w:val="bottom"/>
          </w:tcPr>
          <w:p>
            <w:pPr>
              <w:spacing w:after="0"/>
              <w:rPr>
                <w:sz w:val="14"/>
                <w:szCs w:val="14"/>
                <w:color w:val="auto"/>
              </w:rPr>
            </w:pPr>
          </w:p>
        </w:tc>
        <w:tc>
          <w:tcPr>
            <w:tcW w:w="4540" w:type="dxa"/>
            <w:vAlign w:val="bottom"/>
            <w:shd w:val="clear" w:color="auto" w:fill="CCEEFF"/>
          </w:tcPr>
          <w:p>
            <w:pPr>
              <w:ind w:left="200"/>
              <w:spacing w:after="0" w:line="170" w:lineRule="exact"/>
              <w:rPr>
                <w:sz w:val="20"/>
                <w:szCs w:val="20"/>
                <w:color w:val="auto"/>
              </w:rPr>
            </w:pPr>
            <w:r>
              <w:rPr>
                <w:rFonts w:ascii="Arial" w:cs="Arial" w:eastAsia="Arial" w:hAnsi="Arial"/>
                <w:sz w:val="15"/>
                <w:szCs w:val="15"/>
                <w:color w:val="auto"/>
              </w:rPr>
              <w:t>Total lease expense</w:t>
            </w:r>
          </w:p>
        </w:tc>
        <w:tc>
          <w:tcPr>
            <w:tcW w:w="1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4,717,500</w:t>
            </w:r>
          </w:p>
        </w:tc>
        <w:tc>
          <w:tcPr>
            <w:tcW w:w="80" w:type="dxa"/>
            <w:vAlign w:val="bottom"/>
            <w:shd w:val="clear" w:color="auto" w:fill="CCEEFF"/>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86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Less imputed interest</w:t>
            </w: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(1,086,400)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86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5"/>
                <w:szCs w:val="15"/>
                <w:color w:val="auto"/>
              </w:rPr>
              <w:t>Present value of operating lease liabilities</w:t>
            </w:r>
          </w:p>
        </w:tc>
        <w:tc>
          <w:tcPr>
            <w:tcW w:w="1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line="170"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3,631,100</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68"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The remaining lease term, including the assumed five-year extension at the expiration of the current lease period, and the discount rate assumption for our South San Francisco operating lease is as follows: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848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As of June 30,</w:t>
            </w:r>
          </w:p>
        </w:tc>
      </w:tr>
      <w:tr>
        <w:trPr>
          <w:trHeight w:val="193"/>
        </w:trPr>
        <w:tc>
          <w:tcPr>
            <w:tcW w:w="8480" w:type="dxa"/>
            <w:vAlign w:val="bottom"/>
          </w:tcPr>
          <w:p>
            <w:pPr>
              <w:spacing w:after="0"/>
              <w:rPr>
                <w:sz w:val="16"/>
                <w:szCs w:val="16"/>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r>
      <w:tr>
        <w:trPr>
          <w:trHeight w:val="170"/>
        </w:trPr>
        <w:tc>
          <w:tcPr>
            <w:tcW w:w="84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Assumed remaining lease term in years</w:t>
            </w:r>
          </w:p>
        </w:tc>
        <w:tc>
          <w:tcPr>
            <w:tcW w:w="1080" w:type="dxa"/>
            <w:vAlign w:val="bottom"/>
            <w:gridSpan w:val="2"/>
            <w:shd w:val="clear" w:color="auto" w:fill="CCEEFF"/>
          </w:tcPr>
          <w:p>
            <w:pPr>
              <w:ind w:left="700"/>
              <w:spacing w:after="0" w:line="171" w:lineRule="exact"/>
              <w:rPr>
                <w:sz w:val="20"/>
                <w:szCs w:val="20"/>
                <w:color w:val="auto"/>
              </w:rPr>
            </w:pPr>
            <w:r>
              <w:rPr>
                <w:rFonts w:ascii="Arial" w:cs="Arial" w:eastAsia="Arial" w:hAnsi="Arial"/>
                <w:sz w:val="15"/>
                <w:szCs w:val="15"/>
                <w:color w:val="auto"/>
              </w:rPr>
              <w:t>6.08</w:t>
            </w:r>
          </w:p>
        </w:tc>
      </w:tr>
      <w:tr>
        <w:trPr>
          <w:trHeight w:val="189"/>
        </w:trPr>
        <w:tc>
          <w:tcPr>
            <w:tcW w:w="8480" w:type="dxa"/>
            <w:vAlign w:val="bottom"/>
          </w:tcPr>
          <w:p>
            <w:pPr>
              <w:spacing w:after="0"/>
              <w:rPr>
                <w:sz w:val="20"/>
                <w:szCs w:val="20"/>
                <w:color w:val="auto"/>
              </w:rPr>
            </w:pPr>
            <w:r>
              <w:rPr>
                <w:rFonts w:ascii="Arial" w:cs="Arial" w:eastAsia="Arial" w:hAnsi="Arial"/>
                <w:sz w:val="15"/>
                <w:szCs w:val="15"/>
                <w:color w:val="auto"/>
              </w:rPr>
              <w:t>Assumed discount rate</w:t>
            </w:r>
          </w:p>
        </w:tc>
        <w:tc>
          <w:tcPr>
            <w:tcW w:w="1080" w:type="dxa"/>
            <w:vAlign w:val="bottom"/>
            <w:gridSpan w:val="2"/>
          </w:tcPr>
          <w:p>
            <w:pPr>
              <w:ind w:left="700"/>
              <w:spacing w:after="0"/>
              <w:rPr>
                <w:sz w:val="20"/>
                <w:szCs w:val="20"/>
                <w:color w:val="auto"/>
              </w:rPr>
            </w:pPr>
            <w:r>
              <w:rPr>
                <w:rFonts w:ascii="Arial" w:cs="Arial" w:eastAsia="Arial" w:hAnsi="Arial"/>
                <w:sz w:val="15"/>
                <w:szCs w:val="15"/>
                <w:color w:val="auto"/>
                <w:w w:val="84"/>
              </w:rPr>
              <w:t>8.54%</w:t>
            </w:r>
          </w:p>
        </w:tc>
      </w:tr>
    </w:tbl>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Supplemental disclosure of cash flow information related to our operating lease included in cash flows used by operating activities in the condensed consolidated statements of cash flows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20" w:type="dxa"/>
            <w:vAlign w:val="bottom"/>
          </w:tcPr>
          <w:p>
            <w:pPr>
              <w:spacing w:after="0"/>
              <w:rPr>
                <w:sz w:val="15"/>
                <w:szCs w:val="15"/>
                <w:color w:val="auto"/>
              </w:rPr>
            </w:pPr>
          </w:p>
        </w:tc>
        <w:tc>
          <w:tcPr>
            <w:tcW w:w="3600" w:type="dxa"/>
            <w:vAlign w:val="bottom"/>
            <w:gridSpan w:val="4"/>
          </w:tcPr>
          <w:p>
            <w:pPr>
              <w:ind w:left="1540"/>
              <w:spacing w:after="0"/>
              <w:rPr>
                <w:sz w:val="20"/>
                <w:szCs w:val="20"/>
                <w:color w:val="auto"/>
              </w:rPr>
            </w:pPr>
            <w:r>
              <w:rPr>
                <w:rFonts w:ascii="Arial" w:cs="Arial" w:eastAsia="Arial" w:hAnsi="Arial"/>
                <w:sz w:val="15"/>
                <w:szCs w:val="15"/>
                <w:b w:val="1"/>
                <w:bCs w:val="1"/>
                <w:color w:val="auto"/>
              </w:rPr>
              <w:t>For the Three Months Ended</w:t>
            </w:r>
          </w:p>
        </w:tc>
        <w:tc>
          <w:tcPr>
            <w:tcW w:w="1960" w:type="dxa"/>
            <w:vAlign w:val="bottom"/>
            <w:gridSpan w:val="3"/>
          </w:tcPr>
          <w:p>
            <w:pPr>
              <w:spacing w:after="0"/>
              <w:rPr>
                <w:sz w:val="20"/>
                <w:szCs w:val="20"/>
                <w:color w:val="auto"/>
              </w:rPr>
            </w:pPr>
            <w:r>
              <w:rPr>
                <w:rFonts w:ascii="Arial" w:cs="Arial" w:eastAsia="Arial" w:hAnsi="Arial"/>
                <w:sz w:val="15"/>
                <w:szCs w:val="15"/>
                <w:b w:val="1"/>
                <w:bCs w:val="1"/>
                <w:color w:val="auto"/>
                <w:w w:val="95"/>
              </w:rPr>
              <w:t>For the Three Months Ended</w:t>
            </w:r>
          </w:p>
        </w:tc>
      </w:tr>
      <w:tr>
        <w:trPr>
          <w:trHeight w:val="193"/>
        </w:trPr>
        <w:tc>
          <w:tcPr>
            <w:tcW w:w="57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6"/>
                <w:szCs w:val="16"/>
                <w:color w:val="auto"/>
              </w:rPr>
            </w:pPr>
          </w:p>
        </w:tc>
      </w:tr>
      <w:tr>
        <w:trPr>
          <w:trHeight w:val="170"/>
        </w:trPr>
        <w:tc>
          <w:tcPr>
            <w:tcW w:w="57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Cash paid for amounts included in the measurement of lease liabilities</w:t>
            </w:r>
          </w:p>
        </w:tc>
        <w:tc>
          <w:tcPr>
            <w:tcW w:w="1820" w:type="dxa"/>
            <w:vAlign w:val="bottom"/>
            <w:gridSpan w:val="2"/>
            <w:shd w:val="clear" w:color="auto" w:fill="CCEEFF"/>
          </w:tcPr>
          <w:p>
            <w:pPr>
              <w:ind w:left="1540"/>
              <w:spacing w:after="0" w:line="171" w:lineRule="exact"/>
              <w:rPr>
                <w:sz w:val="20"/>
                <w:szCs w:val="20"/>
                <w:color w:val="auto"/>
              </w:rPr>
            </w:pPr>
            <w:r>
              <w:rPr>
                <w:rFonts w:ascii="Arial" w:cs="Arial" w:eastAsia="Arial" w:hAnsi="Arial"/>
                <w:sz w:val="15"/>
                <w:szCs w:val="15"/>
                <w:color w:val="auto"/>
              </w:rPr>
              <w:t>$</w:t>
            </w:r>
          </w:p>
        </w:tc>
        <w:tc>
          <w:tcPr>
            <w:tcW w:w="178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225,900</w:t>
            </w:r>
          </w:p>
        </w:tc>
        <w:tc>
          <w:tcPr>
            <w:tcW w:w="2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1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197,500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months ended June 30, 2021, we recorded no new right of use assets arising from new lease liabilities.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$3,600 and $3,500 for the three months ended June 30, 2021 and 2020, respectively, attributable to this lease.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Sublicensing and Collaborative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PH94B Sublicense Agreement with EverInsight</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 xml:space="preserve">On June 24, 2020, we entered into a license and collaboration agreement (the </w:t>
      </w:r>
      <w:r>
        <w:rPr>
          <w:rFonts w:ascii="Arial" w:cs="Arial" w:eastAsia="Arial" w:hAnsi="Arial"/>
          <w:sz w:val="14"/>
          <w:szCs w:val="14"/>
          <w:i w:val="1"/>
          <w:iCs w:val="1"/>
          <w:color w:val="auto"/>
        </w:rPr>
        <w:t>EverInsight Agreement</w:t>
      </w:r>
      <w:r>
        <w:rPr>
          <w:rFonts w:ascii="Arial" w:cs="Arial" w:eastAsia="Arial" w:hAnsi="Arial"/>
          <w:sz w:val="14"/>
          <w:szCs w:val="14"/>
          <w:color w:val="auto"/>
        </w:rPr>
        <w:t xml:space="preserve">) with EverInsight Therapeutics Inc. Subsequent to entering into the EverInsight Agreement, in October 2020, EverInsight merged with AffaMed Therapeutics, Inc., which as a combined entity is focusing on developing and commercializing therapeutics to address ophthalmologic and CNS disorders in Greater China (which includes Mainland China, Hong Kong, Macau and Taiwan) and beyond. Accordingly, we are now referring to EverInsight and the EverInsight Agreement as AffaMed and the AffaMed Agreement, respectively.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Arial" w:cs="Arial" w:eastAsia="Arial" w:hAnsi="Arial"/>
          <w:sz w:val="14"/>
          <w:szCs w:val="14"/>
          <w:i w:val="1"/>
          <w:iCs w:val="1"/>
          <w:color w:val="auto"/>
        </w:rPr>
        <w:t>Territory</w:t>
      </w:r>
      <w:r>
        <w:rPr>
          <w:rFonts w:ascii="Arial" w:cs="Arial" w:eastAsia="Arial" w:hAnsi="Arial"/>
          <w:sz w:val="14"/>
          <w:szCs w:val="14"/>
          <w:color w:val="auto"/>
        </w:rPr>
        <w:t>). We retain exclusive development and commercialization rights for PH94B in the U.S. and throughout the rest of the world.</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w:t>
      </w:r>
    </w:p>
    <w:p>
      <w:pPr>
        <w:sectPr>
          <w:pgSz w:w="11900" w:h="16853" w:orient="portrait"/>
          <w:cols w:equalWidth="0" w:num="1">
            <w:col w:w="11280"/>
          </w:cols>
          <w:pgMar w:left="300" w:top="129" w:right="319" w:bottom="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development and commercialization plans with respect to PH94B in the Territory.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AffaMed has the option to participate in the global Phase 3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recognize revenue as the combined performance obligation is satisfied over time using an output method. The measure of progress is stand-ready straight-line over the period in which we expect to perform the services related to the license of PH94B.</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During the three months ended June 30, 2021 and 2020, we recognized $354,100 and $0, respectively, as sublicense revenue under the AffaMed Agreement. At June 30, 2021, the aggregate amount of the transaction price allocated to the remaining performance obligation is $3,556,400 which will be recognized as revenue as the services are completed. Significant management judgment is required to determine the level of effort attributable to the AffaMed Agreement and the period over which we expect to complete our performance obligations under the arrangement. The performance period or measure of progress is estimated at the inception of the arrangement and re-evaluated in subsequent reporting periods. This re-evaluation may shorten or lengthen the period over which we recognize revenue. Changes to these estimates are recorded on a cumulative catch-up basis. We currently estimate that we will complete our performance obligations at the end of calendar 2023.</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 have evaluated subsequent events through the date of this Report and have identified the following matters requiring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Exercise of Warrants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From July 1, 2021 through the date of this Report, holders of outstanding warrants have exercised such warrants to purchase an aggregate of 1,330,931 shares of our common stock and we have received cash proceeds of approximately $923,000.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Grant of Options from 2019 Plan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From July 1, 2021 through the date of this Report, we have granted options to purchase 400,000 shares of our common stock under the terms of our 2019 Plan to newly-hired employees and to two newly-appointed independent directors on our Board. The options have an exercise price equal to the quoted closing market price of our common stock on the Nasdaq Capital Market on the date of grant, a term of ten years and the employee grants vest 25% on the first anniversary of the grant date and ratably on a monthly basis for three years thereafter and the director grants vest ratably monthly over a period of one year.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We are a biopharmaceutical company committed to developing and commercializing a new generation of medicines with potential to go beyond the current standard of care for widespread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anxiety, depression and other central nervous system (</w:t>
      </w:r>
      <w:r>
        <w:rPr>
          <w:rFonts w:ascii="Arial" w:cs="Arial" w:eastAsia="Arial" w:hAnsi="Arial"/>
          <w:sz w:val="13"/>
          <w:szCs w:val="13"/>
          <w:i w:val="1"/>
          <w:iCs w:val="1"/>
          <w:color w:val="auto"/>
        </w:rPr>
        <w:t>CNS</w:t>
      </w:r>
      <w:r>
        <w:rPr>
          <w:rFonts w:ascii="Arial" w:cs="Arial" w:eastAsia="Arial" w:hAnsi="Arial"/>
          <w:sz w:val="13"/>
          <w:szCs w:val="13"/>
          <w:color w:val="auto"/>
        </w:rPr>
        <w:t>) disorders. Our CNS pipeline includes three clinical-stage CNS product candidates, PH94B Nasal Spray, PH10 Nasal Spray and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AV-101, each with a differentiated profile, favorable safety results observed in all clinical studies to date and therapeutic potential in multiple CNS indications. PH94B Nasal Spray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PH94B</w:t>
      </w:r>
      <w:r>
        <w:rPr>
          <w:rFonts w:ascii="Arial" w:cs="Arial" w:eastAsia="Arial" w:hAnsi="Arial"/>
          <w:sz w:val="13"/>
          <w:szCs w:val="13"/>
          <w:color w:val="auto"/>
        </w:rPr>
        <w:t>) is being developed for multiple anxiety disorders. We recently initiated our PH94B Phase 3 development program, which we refer to as the PALISADE Phase 3 Program, with</w:t>
      </w:r>
    </w:p>
    <w:p>
      <w:pPr>
        <w:sectPr>
          <w:pgSz w:w="11900" w:h="16838" w:orient="portrait"/>
          <w:cols w:equalWidth="0" w:num="1">
            <w:col w:w="11280"/>
          </w:cols>
          <w:pgMar w:left="300" w:top="129" w:right="319" w:bottom="0" w:gutter="0" w:footer="0" w:header="0"/>
        </w:sectPr>
      </w:pPr>
    </w:p>
    <w:bookmarkStart w:id="13" w:name="page14"/>
    <w:bookmarkEnd w:id="13"/>
    <w:p>
      <w:pPr>
        <w:spacing w:after="0" w:line="5"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PALISADE-1,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5"/>
          <w:szCs w:val="15"/>
          <w:i w:val="1"/>
          <w:iCs w:val="1"/>
          <w:color w:val="auto"/>
        </w:rPr>
        <w:t>SAD</w:t>
      </w:r>
      <w:r>
        <w:rPr>
          <w:rFonts w:ascii="Arial" w:cs="Arial" w:eastAsia="Arial" w:hAnsi="Arial"/>
          <w:sz w:val="15"/>
          <w:szCs w:val="15"/>
          <w:color w:val="auto"/>
        </w:rPr>
        <w:t>). We are also preparing to initiate the additional studies we believe are required to support a potential U.S. New Drug Application (</w:t>
      </w:r>
      <w:r>
        <w:rPr>
          <w:rFonts w:ascii="Arial" w:cs="Arial" w:eastAsia="Arial" w:hAnsi="Arial"/>
          <w:sz w:val="15"/>
          <w:szCs w:val="15"/>
          <w:i w:val="1"/>
          <w:iCs w:val="1"/>
          <w:color w:val="auto"/>
        </w:rPr>
        <w:t>NDA</w:t>
      </w:r>
      <w:r>
        <w:rPr>
          <w:rFonts w:ascii="Arial" w:cs="Arial" w:eastAsia="Arial" w:hAnsi="Arial"/>
          <w:sz w:val="15"/>
          <w:szCs w:val="15"/>
          <w:color w:val="auto"/>
        </w:rPr>
        <w:t>) for PH94B in that indication should the PALISADE Phase 3 Program be successful. In addition to the PALISADE Phase 3 Program, we are preparing for exploratory Phase 2A clinical studies of PH94B in adults experiencing several other anxiety disorders. PH10 Nasal Spray (</w:t>
      </w:r>
      <w:r>
        <w:rPr>
          <w:rFonts w:ascii="Arial" w:cs="Arial" w:eastAsia="Arial" w:hAnsi="Arial"/>
          <w:sz w:val="15"/>
          <w:szCs w:val="15"/>
          <w:i w:val="1"/>
          <w:iCs w:val="1"/>
          <w:color w:val="auto"/>
        </w:rPr>
        <w:t>PH10</w:t>
      </w:r>
      <w:r>
        <w:rPr>
          <w:rFonts w:ascii="Arial" w:cs="Arial" w:eastAsia="Arial" w:hAnsi="Arial"/>
          <w:sz w:val="15"/>
          <w:szCs w:val="15"/>
          <w:color w:val="auto"/>
        </w:rPr>
        <w:t>) is being developed as a stand-alone treatment for multiple depression disorders. Exploratory Phase 2A clinical development of PH10 for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has been completed. Based on the positive results demonstrated in that study, we are now preparing for planned Phase 2B clinical development of PH10 in MDD. We are preparing to initiate Phase 1B clinical development of AV-101 in combination with probenecid to further assess its potential in multiple neurological indications involving the NMDA (N-methyl-D-aspartate) receptor. 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PH94B is a synthetic investigational neurosteroid developed from proprietary compounds called pherines. With its novel mechanism of action, PH94B is an odorless nasal spray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for treatment of SAD, as well as all benzodiazepines and beta blockers prescribed for treatment of SAD on an off-label basis. PH94B engages peripheral chemosensory receptors in nasal passages that trigger a subset of neurons in the main olfactory bulbs (</w:t>
      </w:r>
      <w:r>
        <w:rPr>
          <w:rFonts w:ascii="Arial" w:cs="Arial" w:eastAsia="Arial" w:hAnsi="Arial"/>
          <w:sz w:val="14"/>
          <w:szCs w:val="14"/>
          <w:i w:val="1"/>
          <w:iCs w:val="1"/>
          <w:color w:val="auto"/>
        </w:rPr>
        <w:t>OB</w:t>
      </w:r>
      <w:r>
        <w:rPr>
          <w:rFonts w:ascii="Arial" w:cs="Arial" w:eastAsia="Arial" w:hAnsi="Arial"/>
          <w:sz w:val="14"/>
          <w:szCs w:val="14"/>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even at microgram-level doses,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adjustment disorder with anxiety, postpartum anxiety, post-traumatic stress disorder, procedural anxiety, panic and other anxiety disorders. PH94B has been granted Fast Track designation status by the FDA for development for the acute treatment of SAD.</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PH10 is a synthetic investigational neurosteroid, which also was developed from proprietary compounds called pherines. Its novel, rapid-onset mechanism of action (</w:t>
      </w:r>
      <w:r>
        <w:rPr>
          <w:rFonts w:ascii="Arial" w:cs="Arial" w:eastAsia="Arial" w:hAnsi="Arial"/>
          <w:sz w:val="13"/>
          <w:szCs w:val="13"/>
          <w:i w:val="1"/>
          <w:iCs w:val="1"/>
          <w:color w:val="auto"/>
        </w:rPr>
        <w:t>MOA</w:t>
      </w:r>
      <w:r>
        <w:rPr>
          <w:rFonts w:ascii="Arial" w:cs="Arial" w:eastAsia="Arial" w:hAnsi="Arial"/>
          <w:sz w:val="13"/>
          <w:szCs w:val="13"/>
          <w:color w:val="auto"/>
        </w:rPr>
        <w:t>) is fundamentally differentiated from the MOA of all currently approved treatments for depression disorders. PH10 is administered at microgram-level doses as an odorless nasal spray. PH10 engages and activates chemosensory cells in the nasal passages, connected to neural circuits in the brain that produce antidepressant effects. Specifically, PH10 is designed to engage peripheral chemosensory receptors in the nasal passages that trigger a subset of neurons in the main OB that stimulate neurons in the limbic amygdala. This is turn is believed to increase activity of the limbic-hypothalamic sympathetic nervous system and increase the release of catecholamines. Importantly, unlike all currently approved oral antidepressants (</w:t>
      </w:r>
      <w:r>
        <w:rPr>
          <w:rFonts w:ascii="Arial" w:cs="Arial" w:eastAsia="Arial" w:hAnsi="Arial"/>
          <w:sz w:val="13"/>
          <w:szCs w:val="13"/>
          <w:i w:val="1"/>
          <w:iCs w:val="1"/>
          <w:color w:val="auto"/>
        </w:rPr>
        <w:t>ADs</w:t>
      </w:r>
      <w:r>
        <w:rPr>
          <w:rFonts w:ascii="Arial" w:cs="Arial" w:eastAsia="Arial" w:hAnsi="Arial"/>
          <w:sz w:val="13"/>
          <w:szCs w:val="13"/>
          <w:color w:val="auto"/>
        </w:rPr>
        <w:t>) and rapid-onset ketamine-based therapy (</w:t>
      </w:r>
      <w:r>
        <w:rPr>
          <w:rFonts w:ascii="Arial" w:cs="Arial" w:eastAsia="Arial" w:hAnsi="Arial"/>
          <w:sz w:val="13"/>
          <w:szCs w:val="13"/>
          <w:i w:val="1"/>
          <w:iCs w:val="1"/>
          <w:color w:val="auto"/>
        </w:rPr>
        <w:t>KBT</w:t>
      </w:r>
      <w:r>
        <w:rPr>
          <w:rFonts w:ascii="Arial" w:cs="Arial" w:eastAsia="Arial" w:hAnsi="Arial"/>
          <w:sz w:val="13"/>
          <w:szCs w:val="13"/>
          <w:color w:val="auto"/>
        </w:rPr>
        <w:t>), including both intravenous ketamine and intranasal ketamine (esketamine), PH10 does not require systemic uptake and distribution to produce rapid-onset of antidepressant effects. In all clinical studies to date, PH10 has been well-tolerated and has not caused psychological side effects (such as dissociation and hallucinations) or other safety concerns that may be associated with KBT. We believe PH10 has potential to be a new stand-alone treatment for MDD and several other depression disorders.</w:t>
      </w:r>
    </w:p>
    <w:p>
      <w:pPr>
        <w:spacing w:after="0" w:line="135"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currently preparing to evaluate AV-101 in combination with probenecid in a Phase 1B clinical study. The FDA has granted Fast Track designation for development of AV-101 as a potential adjunctive treatment for MDD and as a non-opioid treatment for neuropathic pain (</w:t>
      </w:r>
      <w:r>
        <w:rPr>
          <w:rFonts w:ascii="Arial" w:cs="Arial" w:eastAsia="Arial" w:hAnsi="Arial"/>
          <w:sz w:val="14"/>
          <w:szCs w:val="14"/>
          <w:i w:val="1"/>
          <w:iCs w:val="1"/>
          <w:color w:val="auto"/>
        </w:rPr>
        <w:t>NP</w:t>
      </w:r>
      <w:r>
        <w:rPr>
          <w:rFonts w:ascii="Arial" w:cs="Arial" w:eastAsia="Arial" w:hAnsi="Arial"/>
          <w:sz w:val="14"/>
          <w:szCs w:val="14"/>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Subsidiaries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noted above, VistaStem Therapeutics,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Operations Overview and Results of Operations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Our critical accounting policies and estimates and recent accounting pronouncements are disclosed in our Annual Report on Form 10-K for the fiscal year ended March 31, 2021, as filed with the SEC on June 29, 2021, and in Note 3 to the accompanying unaudited Condensed Consolidated Financial Statements included in Part 1, Item 1 of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Summary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Loss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Although we entered into the AffaMed Agreement in June 2020 and the Bayer Agreement in December 2016, we have not yet achieved recurring revenue-generating status in amounts from any of our product candidates or technologies sufficient to sustain our operations and enable our strategic business plans. Since acquiring our exclusive worldwide licenses to PH94B and PH10 in 2018, we have devoted substantial resources to advance initiatives related to research, development, and contract manufacturing of our intranasal investigational product candidates, PH94B and PH10, including initiatives related to manufacturing processes, analytical methods and production programs for drug substance and finished drug product, as well as for preclinical studies and clinical studies focused on potential commercialization of these product candidate for neuropsychiatry indications. For example, with respect to PH94B, we recently initiated our PALISADE Phase 3 Program for the acute treatment of anxiety in adults with SAD. In addition, we have devoted substantial resources to advance initiatives related to research, development and contract manufacturing of our oral prodrug candidate, AV-101, including initiatives related to manufacturing processes, analytical methods and production programs for drug substance and finished drug product, as well as several preclinical studies and clinical studies focused on potential commercialization of AV-101 in several CNS indications. For example, our current focus on AV-101 is in combination with probenecid which may provide the potential for a new oral treatment alternative for certain CNS indications involving the NMDAR. Also, from-time-to-time, we have devoted resources to VistaStem’s stem cell technology research and development, bioassay development and small molecule drug rescue-related initiatives, as well as creating, protecting and patenting intellectual property (</w:t>
      </w:r>
      <w:r>
        <w:rPr>
          <w:rFonts w:ascii="Arial" w:cs="Arial" w:eastAsia="Arial" w:hAnsi="Arial"/>
          <w:sz w:val="14"/>
          <w:szCs w:val="14"/>
          <w:i w:val="1"/>
          <w:iCs w:val="1"/>
          <w:color w:val="auto"/>
        </w:rPr>
        <w:t>IP</w:t>
      </w:r>
      <w:r>
        <w:rPr>
          <w:rFonts w:ascii="Arial" w:cs="Arial" w:eastAsia="Arial" w:hAnsi="Arial"/>
          <w:sz w:val="14"/>
          <w:szCs w:val="14"/>
          <w:color w:val="auto"/>
        </w:rPr>
        <w:t>) related to our product candidates and technologies, with the corollary initiatives of recruiting and retaining personnel and raising working capital. At June 30, 2021, we had an accumulated deficit of approximately $227.6 million. Our net loss for the three months ended June 30, 2021 and 2020 was approximately $7.7 million and $3.1 million, respectively. We expect losses to continue for the foreseeable future, primarily as we engage in further research, development and commercialization activities related to PH94B, PH10 and AV-101.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Summary of the Three Months Ended June 30, 2021</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 xml:space="preserve">In December 2020, we completed a $100 million underwritten public offering (the </w:t>
      </w:r>
      <w:r>
        <w:rPr>
          <w:rFonts w:ascii="Arial" w:cs="Arial" w:eastAsia="Arial" w:hAnsi="Arial"/>
          <w:sz w:val="14"/>
          <w:szCs w:val="14"/>
          <w:i w:val="1"/>
          <w:iCs w:val="1"/>
          <w:color w:val="auto"/>
        </w:rPr>
        <w:t>December 2020 Public Offering</w:t>
      </w:r>
      <w:r>
        <w:rPr>
          <w:rFonts w:ascii="Arial" w:cs="Arial" w:eastAsia="Arial" w:hAnsi="Arial"/>
          <w:sz w:val="14"/>
          <w:szCs w:val="14"/>
          <w:color w:val="auto"/>
        </w:rPr>
        <w:t>) of our securities, from which, after deducting underwriting discounts and commissions and offering expenses payable by us, we received net proceeds of approximately $93.6 million. Combined with financing and development and commercialization partnering transactions completed earlier in our fiscal year ended March 31, 2021 (</w:t>
      </w:r>
      <w:r>
        <w:rPr>
          <w:rFonts w:ascii="Arial" w:cs="Arial" w:eastAsia="Arial" w:hAnsi="Arial"/>
          <w:sz w:val="14"/>
          <w:szCs w:val="14"/>
          <w:i w:val="1"/>
          <w:iCs w:val="1"/>
          <w:color w:val="auto"/>
        </w:rPr>
        <w:t>Fiscal 2021</w:t>
      </w:r>
      <w:r>
        <w:rPr>
          <w:rFonts w:ascii="Arial" w:cs="Arial" w:eastAsia="Arial" w:hAnsi="Arial"/>
          <w:sz w:val="14"/>
          <w:szCs w:val="14"/>
          <w:color w:val="auto"/>
        </w:rPr>
        <w:t>) , aggregating an additional approximately $25 million, our cash position has permitted us to advance and accelerate an important stream of potential catalysts across our CNS pipeline, including, among others, our PALISADE Phase 3 Program for PH94B for the acute treatment of anxiety in adults with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and, if Phase 3 development is successful, potential submission of a PH94B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to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and potential U.S. market approval of PH94B for that indication.</w:t>
      </w:r>
    </w:p>
    <w:p>
      <w:pPr>
        <w:spacing w:after="0" w:line="14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From an operational perspective, during the fourth quarter of Fiscal 2021 through the quarter ended June 30, 2021, we have continued to advance our manufacturing, preclinical and clinical development, and regulatory initiatives necessary for (i) Phase 3 clinical development of PH94B as a potential acute treatment of anxiety in adults with SAD, (ii) Phase 2B development of PH10 as a potential stand-alone treatment of MDD and (iii) Phase 1B development of AV-101 in combination with probenecid as a potential treatment for multiple CNS indications.</w:t>
      </w:r>
    </w:p>
    <w:p>
      <w:pPr>
        <w:sectPr>
          <w:pgSz w:w="11900" w:h="16843" w:orient="portrait"/>
          <w:cols w:equalWidth="0" w:num="1">
            <w:col w:w="11280"/>
          </w:cols>
          <w:pgMar w:left="300" w:top="129" w:right="319" w:bottom="0" w:gutter="0" w:footer="0" w:header="0"/>
        </w:sectPr>
      </w:pPr>
    </w:p>
    <w:bookmarkStart w:id="14" w:name="page15"/>
    <w:bookmarkEnd w:id="14"/>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Notably, in May 2021, we initiated our PALISADE Phase 3 Program for PH94B with the commencement of PALISADE-1, our U.S. multi-center, randomized, double-blind, placebo-controlled Phase 3 clinical trial to evaluate the efficacy, safety and tolerability of PH94B for the acute treatment of anxiety in adults with SAD. PALISADE-1 is being conducted across 15 sites in the U.S., with a target of approximately 208 randomized subjects. Dr. Michael Liebowitz, a Columbia University psychiatrist, former director and founder of the Anxiety Disorders Clinic at the New York State Psychiatric Institute, director of the Medical Research Network in New York City, and creator of the Liebowitz Social Anxiety Scale (</w:t>
      </w:r>
      <w:r>
        <w:rPr>
          <w:rFonts w:ascii="Arial" w:cs="Arial" w:eastAsia="Arial" w:hAnsi="Arial"/>
          <w:sz w:val="14"/>
          <w:szCs w:val="14"/>
          <w:i w:val="1"/>
          <w:iCs w:val="1"/>
          <w:color w:val="auto"/>
        </w:rPr>
        <w:t>LSAS</w:t>
      </w:r>
      <w:r>
        <w:rPr>
          <w:rFonts w:ascii="Arial" w:cs="Arial" w:eastAsia="Arial" w:hAnsi="Arial"/>
          <w:sz w:val="14"/>
          <w:szCs w:val="14"/>
          <w:color w:val="auto"/>
        </w:rPr>
        <w:t>), is serving as Principal Investigator of the trial. Topline results from PALISADE-1 are anticipated in mid-2022. We are actively continuing preparations for additional clinical trials of PH94B and PH10 that we plan to commence later in calendar 2021 and during the first half of calendar 2022. Additionally, we continue to expand our regulatory and intellectual property foundation to support broad clinical development and, ultimately, commercialization of our CNS product candidates in the U.S. and foreign markets.</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To advance these initiatives, during calendar 2021, we have significantly expanded our employee infrastructure with experienced personnel additions across multiple functional areas, including biostatistics and clinical analytics, chemistry, manufacturing and controls (</w:t>
      </w:r>
      <w:r>
        <w:rPr>
          <w:rFonts w:ascii="Arial" w:cs="Arial" w:eastAsia="Arial" w:hAnsi="Arial"/>
          <w:sz w:val="13"/>
          <w:szCs w:val="13"/>
          <w:i w:val="1"/>
          <w:iCs w:val="1"/>
          <w:color w:val="auto"/>
        </w:rPr>
        <w:t>CMC</w:t>
      </w:r>
      <w:r>
        <w:rPr>
          <w:rFonts w:ascii="Arial" w:cs="Arial" w:eastAsia="Arial" w:hAnsi="Arial"/>
          <w:sz w:val="13"/>
          <w:szCs w:val="13"/>
          <w:color w:val="auto"/>
        </w:rPr>
        <w:t>) and quality assurance, clinical operations, commercial operations, contracts and corporate affairs, development operations, human resources, investor and public relations, regulatory affairs and translational medicine. Between April 2021 and July 2021, we filled vacancies on our Board created, in part by the departure of two of our long-term Board members, by appointing three new independent members to our Board. We believe these appointments increase our Board’s diversity and expand its expertise in multiple areas, including among others, communications, drug development, regulatory affairs, product commercialization and marketing.</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Throughout Fiscal 2021 and through the date of this Report, strains of SARS-CoV-2, commonly referred to as COVID-19, have spread to many countries in the world and the outbreak was declared a pandemic by the World Health Organization. The U.S. Secretary of Health and Human Services also declared a public health emergency in the U.S. in response to the outbreak. Although operations at our headquarters in South San Francisco were significantly curtailed during Fiscal 2021 and throughout the quarter ended June 30, 2021, our employees have generally worked efficiently and productively while remotely-located and working from home since the beginning of the COVID-19 pandemic. However, from time to time during the COVID-19 pandemic, the efficiency and productivity of certain of our contract research and development organizations (</w:t>
      </w:r>
      <w:r>
        <w:rPr>
          <w:rFonts w:ascii="Arial" w:cs="Arial" w:eastAsia="Arial" w:hAnsi="Arial"/>
          <w:sz w:val="15"/>
          <w:szCs w:val="15"/>
          <w:i w:val="1"/>
          <w:iCs w:val="1"/>
          <w:color w:val="auto"/>
        </w:rPr>
        <w:t>CROs</w:t>
      </w:r>
      <w:r>
        <w:rPr>
          <w:rFonts w:ascii="Arial" w:cs="Arial" w:eastAsia="Arial" w:hAnsi="Arial"/>
          <w:sz w:val="15"/>
          <w:szCs w:val="15"/>
          <w:color w:val="auto"/>
        </w:rPr>
        <w:t>) and contract manufacturing organizations (</w:t>
      </w:r>
      <w:r>
        <w:rPr>
          <w:rFonts w:ascii="Arial" w:cs="Arial" w:eastAsia="Arial" w:hAnsi="Arial"/>
          <w:sz w:val="15"/>
          <w:szCs w:val="15"/>
          <w:i w:val="1"/>
          <w:iCs w:val="1"/>
          <w:color w:val="auto"/>
        </w:rPr>
        <w:t>CMOs</w:t>
      </w:r>
      <w:r>
        <w:rPr>
          <w:rFonts w:ascii="Arial" w:cs="Arial" w:eastAsia="Arial" w:hAnsi="Arial"/>
          <w:sz w:val="15"/>
          <w:szCs w:val="15"/>
          <w:color w:val="auto"/>
        </w:rPr>
        <w:t>) has been and still may be impacted by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Arial" w:cs="Arial" w:eastAsia="Arial" w:hAnsi="Arial"/>
          <w:sz w:val="15"/>
          <w:szCs w:val="15"/>
          <w:i w:val="1"/>
          <w:iCs w:val="1"/>
          <w:color w:val="auto"/>
        </w:rPr>
        <w:t>API</w:t>
      </w:r>
      <w:r>
        <w:rPr>
          <w:rFonts w:ascii="Arial" w:cs="Arial" w:eastAsia="Arial" w:hAnsi="Arial"/>
          <w:sz w:val="15"/>
          <w:szCs w:val="15"/>
          <w:color w:val="auto"/>
        </w:rPr>
        <w:t>) or other key materials required to continue development of PH94B and PH10. Future unexpected delays may result in a significant, material delay or disruption to our current clinical development plans, programs, and operations.</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 xml:space="preserve">From a financial perspective, between December 2020 and June 30, 2021, holders of outstanding warrants to purchase an aggregate of 7,913,070 shares of our common stock exercised such warrants and we received cash proceeds of approximately $6,034,600, including exercises of 1,516,768 shares for cash proceeds of $1,109,700 during the quarter ended June 30, 2021. Refer to Note 12,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accompanying Condensed Consolidated Financial Statements included in Part I of this Report for disclosure regarding additional warrant</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 xml:space="preserve">exercises since June 30, 2021. Additionally, in May 2021, we entered into an Open Market Sale Agreement </w:t>
      </w:r>
      <w:r>
        <w:rPr>
          <w:rFonts w:ascii="Arial" w:cs="Arial" w:eastAsia="Arial" w:hAnsi="Arial"/>
          <w:sz w:val="21"/>
          <w:szCs w:val="21"/>
          <w:color w:val="auto"/>
          <w:vertAlign w:val="superscript"/>
        </w:rPr>
        <w:t>SM</w:t>
      </w:r>
      <w:r>
        <w:rPr>
          <w:rFonts w:ascii="Arial" w:cs="Arial" w:eastAsia="Arial" w:hAnsi="Arial"/>
          <w:sz w:val="13"/>
          <w:szCs w:val="13"/>
          <w:color w:val="auto"/>
        </w:rPr>
        <w:t xml:space="preserve"> (the </w:t>
      </w:r>
      <w:r>
        <w:rPr>
          <w:rFonts w:ascii="Arial" w:cs="Arial" w:eastAsia="Arial" w:hAnsi="Arial"/>
          <w:sz w:val="13"/>
          <w:szCs w:val="13"/>
          <w:i w:val="1"/>
          <w:iCs w:val="1"/>
          <w:color w:val="auto"/>
        </w:rPr>
        <w:t>Sales Agreement</w:t>
      </w:r>
      <w:r>
        <w:rPr>
          <w:rFonts w:ascii="Arial" w:cs="Arial" w:eastAsia="Arial" w:hAnsi="Arial"/>
          <w:sz w:val="13"/>
          <w:szCs w:val="13"/>
          <w:color w:val="auto"/>
        </w:rPr>
        <w:t>) with Jefferies LLC, as sales agent (</w:t>
      </w:r>
      <w:r>
        <w:rPr>
          <w:rFonts w:ascii="Arial" w:cs="Arial" w:eastAsia="Arial" w:hAnsi="Arial"/>
          <w:sz w:val="13"/>
          <w:szCs w:val="13"/>
          <w:i w:val="1"/>
          <w:iCs w:val="1"/>
          <w:color w:val="auto"/>
        </w:rPr>
        <w:t>Jefferies</w:t>
      </w:r>
      <w:r>
        <w:rPr>
          <w:rFonts w:ascii="Arial" w:cs="Arial" w:eastAsia="Arial" w:hAnsi="Arial"/>
          <w:sz w:val="13"/>
          <w:szCs w:val="13"/>
          <w:color w:val="auto"/>
        </w:rPr>
        <w:t xml:space="preserve">), with respect to an at-the-market offering program (the </w:t>
      </w:r>
      <w:r>
        <w:rPr>
          <w:rFonts w:ascii="Arial" w:cs="Arial" w:eastAsia="Arial" w:hAnsi="Arial"/>
          <w:sz w:val="13"/>
          <w:szCs w:val="13"/>
          <w:i w:val="1"/>
          <w:iCs w:val="1"/>
          <w:color w:val="auto"/>
        </w:rPr>
        <w:t>ATM</w:t>
      </w:r>
      <w:r>
        <w:rPr>
          <w:rFonts w:ascii="Arial" w:cs="Arial" w:eastAsia="Arial" w:hAnsi="Arial"/>
          <w:sz w:val="13"/>
          <w:szCs w:val="13"/>
          <w:color w:val="auto"/>
        </w:rPr>
        <w:t xml:space="preserve">) under which we may, at our option, offer and sell, from time to time, shares of our common stock having an aggregate offering price of up to $75.0 million through Jefferies as our sales agent. Subject to certain restrictions, our Registration Statement on Form S-3 (the </w:t>
      </w:r>
      <w:r>
        <w:rPr>
          <w:rFonts w:ascii="Arial" w:cs="Arial" w:eastAsia="Arial" w:hAnsi="Arial"/>
          <w:sz w:val="13"/>
          <w:szCs w:val="13"/>
          <w:i w:val="1"/>
          <w:iCs w:val="1"/>
          <w:color w:val="auto"/>
        </w:rPr>
        <w:t>S-3 Shelf Registration Statement</w:t>
      </w:r>
      <w:r>
        <w:rPr>
          <w:rFonts w:ascii="Arial" w:cs="Arial" w:eastAsia="Arial" w:hAnsi="Arial"/>
          <w:sz w:val="13"/>
          <w:szCs w:val="13"/>
          <w:color w:val="auto"/>
        </w:rPr>
        <w:t>) remains available for future sales of our equity securities in one or more public offerings, including under the ATM with Jefferies, from time to time. Further, we were added to the Russell 2000® Index at the conclusion of the 2021 Russell Indexes annual reconstitution at the end of June 2021. The Russell 2000® Index is one of the most cited performance benchmarks for small-cap companies and is widely used by investment managers and institutional investors as the basis for index funds and as a benchmark for active investment strategies. We believe our inclusion in the Russell 2000® Index has increased and will continue to increase overall awareness and exposure of the Company by introducing us to a wider investor audience.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and AV-101, as well as support our operating activities, we continue to carefully manage our routine internal operating costs and our external costs, including regulatory consulting, contract research and development, investor relations and corporate development, legal, acquisition and protection of intellectual property, public company compliance and other professional services.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Three Months Ended June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results of our operations for the three months ended June 30, 2021 and 2020 (amounts in thousands).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5"/>
                <w:szCs w:val="15"/>
                <w:b w:val="1"/>
                <w:bCs w:val="1"/>
                <w:color w:val="auto"/>
                <w:w w:val="89"/>
              </w:rPr>
              <w:t>Three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65"/>
              <w:spacing w:after="0" w:line="171" w:lineRule="exact"/>
              <w:rPr>
                <w:sz w:val="20"/>
                <w:szCs w:val="20"/>
                <w:color w:val="auto"/>
              </w:rPr>
            </w:pPr>
            <w:r>
              <w:rPr>
                <w:rFonts w:ascii="Arial" w:cs="Arial" w:eastAsia="Arial" w:hAnsi="Arial"/>
                <w:sz w:val="15"/>
                <w:szCs w:val="15"/>
                <w:b w:val="1"/>
                <w:bCs w:val="1"/>
                <w:color w:val="auto"/>
              </w:rPr>
              <w:t>2021</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5"/>
              <w:spacing w:after="0" w:line="171"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Sublicense 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Borders>
              <w:top w:val="single" w:sz="8" w:color="CCEEFF"/>
            </w:tcBorders>
          </w:tcPr>
          <w:p>
            <w:pPr>
              <w:spacing w:after="0" w:line="170" w:lineRule="exact"/>
              <w:rPr>
                <w:sz w:val="20"/>
                <w:szCs w:val="20"/>
                <w:color w:val="auto"/>
              </w:rPr>
            </w:pPr>
            <w:r>
              <w:rPr>
                <w:rFonts w:ascii="Arial" w:cs="Arial" w:eastAsia="Arial" w:hAnsi="Arial"/>
                <w:sz w:val="15"/>
                <w:szCs w:val="15"/>
                <w:color w:val="auto"/>
              </w:rPr>
              <w:t>Operating expenses:</w:t>
            </w:r>
          </w:p>
        </w:tc>
        <w:tc>
          <w:tcPr>
            <w:tcW w:w="23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Research and development</w:t>
            </w: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5,604</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2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Total operating expenses</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8,100</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5"/>
                <w:szCs w:val="15"/>
                <w:color w:val="auto"/>
              </w:rPr>
              <w:t>3,122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080" w:type="dxa"/>
            <w:vAlign w:val="bottom"/>
            <w:tcBorders>
              <w:top w:val="single" w:sz="8" w:color="CCEEFF"/>
            </w:tcBorders>
          </w:tcPr>
          <w:p>
            <w:pPr>
              <w:spacing w:after="0"/>
              <w:rPr>
                <w:sz w:val="14"/>
                <w:szCs w:val="14"/>
                <w:color w:val="auto"/>
              </w:rPr>
            </w:pPr>
          </w:p>
        </w:tc>
        <w:tc>
          <w:tcPr>
            <w:tcW w:w="23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(7,746)</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(3,122)</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(expense), net</w:t>
            </w: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5"/>
                <w:szCs w:val="15"/>
                <w:color w:val="auto"/>
              </w:rPr>
              <w:t>Other income</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(7,741)</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(3,124)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Income taxes</w:t>
            </w: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080" w:type="dxa"/>
            <w:vAlign w:val="bottom"/>
            <w:tcBorders>
              <w:top w:val="single" w:sz="8" w:color="CCEEFF"/>
            </w:tcBorders>
          </w:tcPr>
          <w:p>
            <w:pPr>
              <w:spacing w:after="0"/>
              <w:rPr>
                <w:sz w:val="14"/>
                <w:szCs w:val="14"/>
                <w:color w:val="auto"/>
              </w:rPr>
            </w:pPr>
          </w:p>
        </w:tc>
        <w:tc>
          <w:tcPr>
            <w:tcW w:w="23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(7,744)</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(3,127)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5"/>
                <w:szCs w:val="15"/>
                <w:color w:val="auto"/>
              </w:rPr>
              <w:t>Accrued dividends on Series B Preferred Stock</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(362)</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0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Net loss attributable to common stockholders</w:t>
            </w:r>
          </w:p>
        </w:tc>
        <w:tc>
          <w:tcPr>
            <w:tcW w:w="2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(8,106)</w:t>
            </w:r>
          </w:p>
        </w:tc>
        <w:tc>
          <w:tcPr>
            <w:tcW w:w="200" w:type="dxa"/>
            <w:vAlign w:val="bottom"/>
            <w:shd w:val="clear" w:color="auto" w:fill="CCEEFF"/>
          </w:tcPr>
          <w:p>
            <w:pPr>
              <w:jc w:val="right"/>
              <w:ind w:right="45"/>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(3,463)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We recognized $354,100 in sublicense revenue pursuant to the AffaMed Agreement in the quarter ended June 30, 2021, compared to none in the quarter ended June 30, 2020. As described more completely in Note 11, </w:t>
      </w:r>
      <w:r>
        <w:rPr>
          <w:rFonts w:ascii="Arial" w:cs="Arial" w:eastAsia="Arial" w:hAnsi="Arial"/>
          <w:sz w:val="14"/>
          <w:szCs w:val="14"/>
          <w:i w:val="1"/>
          <w:iCs w:val="1"/>
          <w:color w:val="auto"/>
        </w:rPr>
        <w:t>Sublicensing and Collaboration Agreements</w:t>
      </w:r>
      <w:r>
        <w:rPr>
          <w:rFonts w:ascii="Arial" w:cs="Arial" w:eastAsia="Arial" w:hAnsi="Arial"/>
          <w:sz w:val="14"/>
          <w:szCs w:val="14"/>
          <w:color w:val="auto"/>
        </w:rPr>
        <w:t>, to our Condensed Consolidated Financial Statements in Part I of this Report (</w:t>
      </w:r>
      <w:r>
        <w:rPr>
          <w:rFonts w:ascii="Arial" w:cs="Arial" w:eastAsia="Arial" w:hAnsi="Arial"/>
          <w:sz w:val="14"/>
          <w:szCs w:val="14"/>
          <w:i w:val="1"/>
          <w:iCs w:val="1"/>
          <w:color w:val="auto"/>
        </w:rPr>
        <w:t>Note 11</w:t>
      </w:r>
      <w:r>
        <w:rPr>
          <w:rFonts w:ascii="Arial" w:cs="Arial" w:eastAsia="Arial" w:hAnsi="Arial"/>
          <w:sz w:val="14"/>
          <w:szCs w:val="14"/>
          <w:color w:val="auto"/>
        </w:rPr>
        <w:t>), on June 24, 2020, we entered into the AffaMed Agreement, pursuant to which we received a non-refundable upfront license fee payment of $5.0 million on August 3, 2020, which payment permitted the commencement of our revenue recognition under the AffaMed Agreement. We expect to continue to recognize revenue pursuant to this payment in future periods during our current fiscal year and thereafter, as described in Note 11. While we may potentially receive additional cash payments and royalties in the future under the AffaMed Agreement or the 2016 Bayer Agreement in the event certain performance-based milestones and commercial sales are achieved, there can be no assurance that the AffaMed Agreement or the Bayer Agreement will provide any additional revenue beyond that noted or cash payments to us in the near term, or at all.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Research and development (</w:t>
      </w:r>
      <w:r>
        <w:rPr>
          <w:rFonts w:ascii="Arial" w:cs="Arial" w:eastAsia="Arial" w:hAnsi="Arial"/>
          <w:sz w:val="13"/>
          <w:szCs w:val="13"/>
          <w:i w:val="1"/>
          <w:iCs w:val="1"/>
          <w:color w:val="auto"/>
        </w:rPr>
        <w:t>R&amp;D</w:t>
      </w:r>
      <w:r>
        <w:rPr>
          <w:rFonts w:ascii="Arial" w:cs="Arial" w:eastAsia="Arial" w:hAnsi="Arial"/>
          <w:sz w:val="13"/>
          <w:szCs w:val="13"/>
          <w:color w:val="auto"/>
        </w:rPr>
        <w:t>) expense increased by $3.9 million, from $1.7 million to $5.6 million for the quarters ended June 30, 2020 and 2021, respectively. Expenses related to the commencement of our PALISADE Phase 3 Program for PH94B with the initiation of PALISADE-1, as well as nonclinical development and outsourced manufacturing activities for both</w:t>
      </w:r>
    </w:p>
    <w:p>
      <w:pPr>
        <w:sectPr>
          <w:pgSz w:w="11900" w:h="16842" w:orient="portrait"/>
          <w:cols w:equalWidth="0" w:num="1">
            <w:col w:w="11280"/>
          </w:cols>
          <w:pgMar w:left="300" w:top="129" w:right="319" w:bottom="0" w:gutter="0" w:footer="0" w:header="0"/>
        </w:sectPr>
      </w:pPr>
    </w:p>
    <w:bookmarkStart w:id="15" w:name="page16"/>
    <w:bookmarkEnd w:id="15"/>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PH94B and PH10, accounted for increased expenses of approximately $2.7 million during the quarter ended June 30, 2021 in relation to the comparable quarter in the prior year. Salaries and benefits expense for the quarter ended June 30, 2021 increased by approximately $1.0 million versus the comparable prior-year quarter primarily due to the hiring of senior management personnel and an accrual for estimated additional compensation expense resulting from the achievement of certain corporate objectives during the 2021 calendar year. Noncash research and development expenses, primarily stock-based compensation and depreciation in both periods, accounted for approximately $267,000 and $249,000 for the quarters ended June 30, 2021 and 2020, respectively. The following table indicates the primary components of research and development expense for each of the periods (amounts in thousands):</w:t>
      </w:r>
    </w:p>
    <w:p>
      <w:pPr>
        <w:spacing w:after="0" w:line="129"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5"/>
          </w:tcPr>
          <w:p>
            <w:pPr>
              <w:spacing w:after="0"/>
              <w:rPr>
                <w:sz w:val="20"/>
                <w:szCs w:val="20"/>
                <w:color w:val="auto"/>
              </w:rPr>
            </w:pPr>
            <w:r>
              <w:rPr>
                <w:rFonts w:ascii="Arial" w:cs="Arial" w:eastAsia="Arial" w:hAnsi="Arial"/>
                <w:sz w:val="15"/>
                <w:szCs w:val="15"/>
                <w:b w:val="1"/>
                <w:bCs w:val="1"/>
                <w:color w:val="auto"/>
                <w:w w:val="96"/>
              </w:rPr>
              <w:t>Three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65"/>
              <w:spacing w:after="0" w:line="171" w:lineRule="exact"/>
              <w:rPr>
                <w:sz w:val="20"/>
                <w:szCs w:val="20"/>
                <w:color w:val="auto"/>
              </w:rPr>
            </w:pPr>
            <w:r>
              <w:rPr>
                <w:rFonts w:ascii="Arial" w:cs="Arial" w:eastAsia="Arial" w:hAnsi="Arial"/>
                <w:sz w:val="15"/>
                <w:szCs w:val="15"/>
                <w:b w:val="1"/>
                <w:bCs w:val="1"/>
                <w:color w:val="auto"/>
              </w:rPr>
              <w:t>2021</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5"/>
              <w:spacing w:after="0" w:line="171"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Salaries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Consulting and other professional services</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Technology licenses and royalties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Project-related research, licenses and supplies:</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tcPr>
          <w:p>
            <w:pPr>
              <w:ind w:left="140"/>
              <w:spacing w:after="0"/>
              <w:rPr>
                <w:sz w:val="20"/>
                <w:szCs w:val="20"/>
                <w:color w:val="auto"/>
              </w:rPr>
            </w:pPr>
            <w:r>
              <w:rPr>
                <w:rFonts w:ascii="Arial" w:cs="Arial" w:eastAsia="Arial" w:hAnsi="Arial"/>
                <w:sz w:val="15"/>
                <w:szCs w:val="15"/>
                <w:color w:val="auto"/>
              </w:rPr>
              <w:t>AV-101 expenses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PH94B and PH10 development expenses</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tcPr>
          <w:p>
            <w:pPr>
              <w:ind w:left="140"/>
              <w:spacing w:after="0"/>
              <w:rPr>
                <w:sz w:val="20"/>
                <w:szCs w:val="20"/>
                <w:color w:val="auto"/>
              </w:rPr>
            </w:pPr>
            <w:r>
              <w:rPr>
                <w:rFonts w:ascii="Arial" w:cs="Arial" w:eastAsia="Arial" w:hAnsi="Arial"/>
                <w:sz w:val="15"/>
                <w:szCs w:val="15"/>
                <w:color w:val="auto"/>
              </w:rPr>
              <w:t>Stem cell and all other</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3,599</w:t>
            </w: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805</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80" w:type="dxa"/>
            <w:vAlign w:val="bottom"/>
          </w:tcPr>
          <w:p>
            <w:pPr>
              <w:spacing w:after="0" w:line="170" w:lineRule="exact"/>
              <w:rPr>
                <w:sz w:val="20"/>
                <w:szCs w:val="20"/>
                <w:color w:val="auto"/>
              </w:rPr>
            </w:pPr>
            <w:r>
              <w:rPr>
                <w:rFonts w:ascii="Arial" w:cs="Arial" w:eastAsia="Arial" w:hAnsi="Arial"/>
                <w:sz w:val="15"/>
                <w:szCs w:val="15"/>
                <w:color w:val="auto"/>
              </w:rPr>
              <w:t>Rent</w:t>
            </w:r>
          </w:p>
        </w:tc>
        <w:tc>
          <w:tcPr>
            <w:tcW w:w="8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5"/>
                <w:szCs w:val="15"/>
                <w:color w:val="auto"/>
              </w:rPr>
              <w:t>153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80"/>
              <w:spacing w:after="0" w:line="170" w:lineRule="exact"/>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All other</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Total Research and Development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5,604</w:t>
            </w:r>
          </w:p>
        </w:tc>
        <w:tc>
          <w:tcPr>
            <w:tcW w:w="16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increase in salaries and benefits expense for the quarter ended June 30, 2021 primarily reflects the addition of two senior vice president-level and four vice-president level management positions across multiple functional areas, including biostatistics and clinical analytics, clinical operations, development operations, chemistry, manufacturing and controls, regulatory affairs and translational medicine, as well as other senior R&amp;D personnel during the period from December 2020 through June 2021. Also contributing to the increase are the impacts of salary increases effective beginning in January 2021 granted to our Chief Medical Officer (</w:t>
      </w:r>
      <w:r>
        <w:rPr>
          <w:rFonts w:ascii="Arial" w:cs="Arial" w:eastAsia="Arial" w:hAnsi="Arial"/>
          <w:sz w:val="15"/>
          <w:szCs w:val="15"/>
          <w:i w:val="1"/>
          <w:iCs w:val="1"/>
          <w:color w:val="auto"/>
        </w:rPr>
        <w:t>CMO</w:t>
      </w:r>
      <w:r>
        <w:rPr>
          <w:rFonts w:ascii="Arial" w:cs="Arial" w:eastAsia="Arial" w:hAnsi="Arial"/>
          <w:sz w:val="15"/>
          <w:szCs w:val="15"/>
          <w:color w:val="auto"/>
        </w:rPr>
        <w:t>), Chief Scientific Officer (</w:t>
      </w:r>
      <w:r>
        <w:rPr>
          <w:rFonts w:ascii="Arial" w:cs="Arial" w:eastAsia="Arial" w:hAnsi="Arial"/>
          <w:sz w:val="15"/>
          <w:szCs w:val="15"/>
          <w:i w:val="1"/>
          <w:iCs w:val="1"/>
          <w:color w:val="auto"/>
        </w:rPr>
        <w:t>CSO</w:t>
      </w:r>
      <w:r>
        <w:rPr>
          <w:rFonts w:ascii="Arial" w:cs="Arial" w:eastAsia="Arial" w:hAnsi="Arial"/>
          <w:sz w:val="15"/>
          <w:szCs w:val="15"/>
          <w:color w:val="auto"/>
        </w:rPr>
        <w:t>), and legacy members of our scientific staff, as well as the accrual of approximately $426,000 for estimated additional compensation expense for R&amp;D officers and employees pursuant to achievement of calendar year 2021 corporate operational objectives.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Current year stock-based compensation expense reflects the amortization of option grants made to our CMO, CSO, members of our legacy scientific staff and certain clinical and scientific consultants since May 2019, in addition to grants to new officers and employees as indicated above. All outstanding options granted to R&amp;D employees and consultants prior to May 2019 have become fully vested and amortized prior to the quarter ended June 30, 2021. Grants awarded after June 30, 2020, including those granted to new employees, account for approximately $160,900 of expense in the quarter ended June 30, 2021, offset by the expense reduction of approximately $104,800 attributable to certain options granted between June 2016 and October 2018 that became fully vested and amortized prior to the quarter ended June 30, 2021. Additionally, expense related to options granted in April 2020 through June 2020 as 25% vested at grant was reduced by $39,800 in the quarter ended June 30, 2021.</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including by members of our CNS Clinical and Regulatory Advisory Board, especially in support of our PH94B and PH10 development initiatives. Current year expense includes nominal contract recruiting services for certain R&amp;D employee and consultant positions. Prior year expense included the final development support payment to Pherin which terminated in April 2020 under the terms of our PH94B and PH10 license agreements.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Technology license and royalties expense reflects primarily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both periods, AV-101 project expense includes costs for certain preclinical studies related to the use of AV-101 with adjunctive probenecid and certain AV-101 manufacturing stability studies. Current year expense also includes the cost of nonclinical studies related to the effect of AV-101 on transporter mechanisms.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PH94B and PH10 project expenses for the quarters ended June 30, 2021 and 2020 primarily reflect development, manufacturing and regulatory initiatives necessary to advance and facilitate the PALISADE Phase 3 Program and, in the current year, the initiation of PALISADE-1 and Phase 2B development of PH10 for MDD. In addition to initiating PALISADE-1, as part of the PALISADE Phase 3 Program we are actively taking steps to launch other clinical and nonclinical studies for PH94B in SAD and other anxiety disorders. Manufacturing, formulation, validation and analysis of sufficient quantities of drug substance and drug product for both clinical trials and other developmental requirements continue to be significant initiatives for advancing both PH94B and PH10. Due to its later stage of development, costs for PH94B initiatives have significantly exceeded those for PH10 in the each of the periods presented.</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Stem cell related expenses reflect costs associated with potential drug rescue applications of our stem cell technology. These expenses have historically been incurred by our in-house scientific personnel. As a result of shelter-in-place and remote working requirements related to the ongoing COVID-19 pandemic, such expenses were reduced to an insignificant level in the quarter ended June 30, 2020. During the quarter ended June 30, 2021, internal scientific personnel primarily supported PH94B-related research and development initiatives, and that is expected to continue in future periods.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in the accompanying Condensed Consolidated Financial Statements in Part I of this Report for additional information. Following our implementation of ASC 842, changes in rent expense between periods are primarily related to changes in such items as common area maintenance fees, taxes and insurance which are generally assessed to us by our landlord.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 Expense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General and administrative (</w:t>
      </w:r>
      <w:r>
        <w:rPr>
          <w:rFonts w:ascii="Arial" w:cs="Arial" w:eastAsia="Arial" w:hAnsi="Arial"/>
          <w:sz w:val="14"/>
          <w:szCs w:val="14"/>
          <w:i w:val="1"/>
          <w:iCs w:val="1"/>
          <w:color w:val="auto"/>
        </w:rPr>
        <w:t>G&amp;A</w:t>
      </w:r>
      <w:r>
        <w:rPr>
          <w:rFonts w:ascii="Arial" w:cs="Arial" w:eastAsia="Arial" w:hAnsi="Arial"/>
          <w:sz w:val="14"/>
          <w:szCs w:val="14"/>
          <w:color w:val="auto"/>
        </w:rPr>
        <w:t>) expense increased by approximately $1.1 million to approximately $2.5 million for the quarter ended June 30, 2021, compared to approximately $1.4 million for the quarter ended June 30, 2020. Salaries and benefits expense for the quarter ended June 30, 2021 increased by approximately $0.6 million versus the comparable prior-year quarter primarily due to the hiring of senior management personnel, including our Chief Commercial Officer and Vice President, Investor Relations, as well as senior personnel in contracts, corporate affairs and human resources, and an accrual for estimated additional compensation expense resulting from the achievement of certain corporate objectives during the 2021 calendar year. Further, we incurred approximately $102,000 of consulting expenses in connection with various customary pre-commercialization market research studies and analyses. Additionally, we expensed, as a noncash charge, $232,000 of deferred offering costs attributable to a previous financing arrangement that we terminated in June 2021. Noncash general and administrative expense, approximately $632,000 in the quarter ended June 30, 2021, increased from approximately $466,000 in the quarter ended June 30, 2020, primarily due to the noncash write-off of the deferred offering costs offset by a modest decrease in current year stock-based compensation. The following table indicates the primary components of general and administrative expense for each of the periods (amounts in thousands):</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60" w:type="dxa"/>
            <w:vAlign w:val="bottom"/>
            <w:gridSpan w:val="6"/>
          </w:tcPr>
          <w:p>
            <w:pPr>
              <w:ind w:left="80"/>
              <w:spacing w:after="0"/>
              <w:rPr>
                <w:sz w:val="20"/>
                <w:szCs w:val="20"/>
                <w:color w:val="auto"/>
              </w:rPr>
            </w:pPr>
            <w:r>
              <w:rPr>
                <w:rFonts w:ascii="Arial" w:cs="Arial" w:eastAsia="Arial" w:hAnsi="Arial"/>
                <w:sz w:val="15"/>
                <w:szCs w:val="15"/>
                <w:b w:val="1"/>
                <w:bCs w:val="1"/>
                <w:color w:val="auto"/>
                <w:w w:val="96"/>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2021</w:t>
            </w:r>
          </w:p>
        </w:tc>
        <w:tc>
          <w:tcPr>
            <w:tcW w:w="2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5"/>
              <w:spacing w:after="0" w:line="171"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3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Salaries and benefits</w:t>
            </w:r>
          </w:p>
        </w:tc>
        <w:tc>
          <w:tcPr>
            <w:tcW w:w="3760" w:type="dxa"/>
            <w:vAlign w:val="bottom"/>
            <w:gridSpan w:val="2"/>
            <w:shd w:val="clear" w:color="auto" w:fill="CCEEFF"/>
          </w:tcPr>
          <w:p>
            <w:pPr>
              <w:jc w:val="right"/>
              <w:ind w:right="525"/>
              <w:spacing w:after="0" w:line="171" w:lineRule="exact"/>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951</w:t>
            </w:r>
          </w:p>
        </w:tc>
        <w:tc>
          <w:tcPr>
            <w:tcW w:w="200" w:type="dxa"/>
            <w:vAlign w:val="bottom"/>
            <w:shd w:val="clear" w:color="auto" w:fill="CCEEFF"/>
          </w:tcPr>
          <w:p>
            <w:pPr>
              <w:jc w:val="right"/>
              <w:ind w:right="45"/>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bl>
    <w:p>
      <w:pPr>
        <w:sectPr>
          <w:pgSz w:w="11900" w:h="16900" w:orient="portrait"/>
          <w:cols w:equalWidth="0" w:num="1">
            <w:col w:w="11280"/>
          </w:cols>
          <w:pgMar w:left="300" w:top="129" w:right="31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gridSpan w:val="3"/>
          </w:tcPr>
          <w:p>
            <w:pPr>
              <w:ind w:left="860"/>
              <w:spacing w:after="0"/>
              <w:rPr>
                <w:sz w:val="20"/>
                <w:szCs w:val="20"/>
                <w:color w:val="auto"/>
              </w:rPr>
            </w:pPr>
            <w:r>
              <w:rPr>
                <w:rFonts w:ascii="Arial" w:cs="Arial" w:eastAsia="Arial" w:hAnsi="Arial"/>
                <w:sz w:val="15"/>
                <w:szCs w:val="15"/>
                <w:color w:val="auto"/>
              </w:rPr>
              <w:t>Stock-based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350</w:t>
            </w:r>
          </w:p>
        </w:tc>
        <w:tc>
          <w:tcPr>
            <w:tcW w:w="3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448</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Board fees and other consulting services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81</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tcPr>
          <w:p>
            <w:pPr>
              <w:spacing w:after="0"/>
              <w:rPr>
                <w:sz w:val="20"/>
                <w:szCs w:val="20"/>
                <w:color w:val="auto"/>
              </w:rPr>
            </w:pPr>
            <w:r>
              <w:rPr>
                <w:rFonts w:ascii="Arial" w:cs="Arial" w:eastAsia="Arial" w:hAnsi="Arial"/>
                <w:sz w:val="15"/>
                <w:szCs w:val="15"/>
                <w:color w:val="auto"/>
              </w:rPr>
              <w:t>Legal, accounting and other professional fees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328</w:t>
            </w:r>
          </w:p>
        </w:tc>
        <w:tc>
          <w:tcPr>
            <w:tcW w:w="3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195</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Investor and public relations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136</w:t>
            </w: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112</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tcPr>
          <w:p>
            <w:pPr>
              <w:spacing w:after="0"/>
              <w:rPr>
                <w:sz w:val="20"/>
                <w:szCs w:val="20"/>
                <w:color w:val="auto"/>
              </w:rPr>
            </w:pPr>
            <w:r>
              <w:rPr>
                <w:rFonts w:ascii="Arial" w:cs="Arial" w:eastAsia="Arial" w:hAnsi="Arial"/>
                <w:sz w:val="15"/>
                <w:szCs w:val="15"/>
                <w:color w:val="auto"/>
              </w:rPr>
              <w:t>Pre-launch marketing studies and analyses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102</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Insurance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122</w:t>
            </w: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102</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tcPr>
          <w:p>
            <w:pPr>
              <w:spacing w:after="0"/>
              <w:rPr>
                <w:sz w:val="20"/>
                <w:szCs w:val="20"/>
                <w:color w:val="auto"/>
              </w:rPr>
            </w:pPr>
            <w:r>
              <w:rPr>
                <w:rFonts w:ascii="Arial" w:cs="Arial" w:eastAsia="Arial" w:hAnsi="Arial"/>
                <w:sz w:val="15"/>
                <w:szCs w:val="15"/>
                <w:color w:val="auto"/>
              </w:rPr>
              <w:t>Travel expenses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3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4</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Sublicense contract amortized acquisition expense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33</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tcPr>
          <w:p>
            <w:pPr>
              <w:spacing w:after="0"/>
              <w:rPr>
                <w:sz w:val="20"/>
                <w:szCs w:val="20"/>
                <w:color w:val="auto"/>
              </w:rPr>
            </w:pPr>
            <w:r>
              <w:rPr>
                <w:rFonts w:ascii="Arial" w:cs="Arial" w:eastAsia="Arial" w:hAnsi="Arial"/>
                <w:sz w:val="15"/>
                <w:szCs w:val="15"/>
                <w:color w:val="auto"/>
              </w:rPr>
              <w:t>Rent and utilities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117</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Write off of deferred offering costs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232</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740" w:type="dxa"/>
            <w:vAlign w:val="bottom"/>
            <w:gridSpan w:val="2"/>
          </w:tcPr>
          <w:p>
            <w:pPr>
              <w:spacing w:after="0"/>
              <w:rPr>
                <w:sz w:val="20"/>
                <w:szCs w:val="20"/>
                <w:color w:val="auto"/>
              </w:rPr>
            </w:pPr>
            <w:r>
              <w:rPr>
                <w:rFonts w:ascii="Arial" w:cs="Arial" w:eastAsia="Arial" w:hAnsi="Arial"/>
                <w:sz w:val="15"/>
                <w:szCs w:val="15"/>
                <w:color w:val="auto"/>
              </w:rPr>
              <w:t>All other expenses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43</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60" w:type="dxa"/>
            <w:vAlign w:val="bottom"/>
            <w:vMerge w:val="restart"/>
          </w:tcPr>
          <w:p>
            <w:pPr>
              <w:spacing w:after="0"/>
              <w:rPr>
                <w:sz w:val="14"/>
                <w:szCs w:val="14"/>
                <w:color w:val="auto"/>
              </w:rPr>
            </w:pPr>
          </w:p>
        </w:tc>
        <w:tc>
          <w:tcPr>
            <w:tcW w:w="740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7740" w:type="dxa"/>
            <w:vAlign w:val="bottom"/>
            <w:gridSpan w:val="2"/>
          </w:tcPr>
          <w:p>
            <w:pPr>
              <w:ind w:left="74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2,496</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1,391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jc w:val="right"/>
              <w:ind w:right="2465"/>
              <w:spacing w:after="0"/>
              <w:rPr>
                <w:sz w:val="20"/>
                <w:szCs w:val="20"/>
                <w:color w:val="auto"/>
              </w:rPr>
            </w:pPr>
            <w:r>
              <w:rPr>
                <w:rFonts w:ascii="Arial" w:cs="Arial" w:eastAsia="Arial" w:hAnsi="Arial"/>
                <w:sz w:val="15"/>
                <w:szCs w:val="15"/>
                <w:color w:val="auto"/>
              </w:rPr>
              <w:t>26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826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increase in salaries and benefits expense for the quarter ended June 30, 2021 primarily results from the addition of our Chief Commercial Officer in May 2021 and our Vice President, Investor Relations and two other senior administrative employees during the quarter ended March 31, 2021. Also contributing to the increase are the impacts of salary increases effective beginning in January 2021 granted to our Chief Executive Officer (</w:t>
      </w:r>
      <w:r>
        <w:rPr>
          <w:rFonts w:ascii="Arial" w:cs="Arial" w:eastAsia="Arial" w:hAnsi="Arial"/>
          <w:sz w:val="15"/>
          <w:szCs w:val="15"/>
          <w:i w:val="1"/>
          <w:iCs w:val="1"/>
          <w:color w:val="auto"/>
        </w:rPr>
        <w:t>CEO</w:t>
      </w:r>
      <w:r>
        <w:rPr>
          <w:rFonts w:ascii="Arial" w:cs="Arial" w:eastAsia="Arial" w:hAnsi="Arial"/>
          <w:sz w:val="15"/>
          <w:szCs w:val="15"/>
          <w:color w:val="auto"/>
        </w:rPr>
        <w:t>), Chief Financial Officer (</w:t>
      </w:r>
      <w:r>
        <w:rPr>
          <w:rFonts w:ascii="Arial" w:cs="Arial" w:eastAsia="Arial" w:hAnsi="Arial"/>
          <w:sz w:val="15"/>
          <w:szCs w:val="15"/>
          <w:i w:val="1"/>
          <w:iCs w:val="1"/>
          <w:color w:val="auto"/>
        </w:rPr>
        <w:t>CFO</w:t>
      </w:r>
      <w:r>
        <w:rPr>
          <w:rFonts w:ascii="Arial" w:cs="Arial" w:eastAsia="Arial" w:hAnsi="Arial"/>
          <w:sz w:val="15"/>
          <w:szCs w:val="15"/>
          <w:color w:val="auto"/>
        </w:rPr>
        <w:t>), Vice President-Corporate Development (</w:t>
      </w:r>
      <w:r>
        <w:rPr>
          <w:rFonts w:ascii="Arial" w:cs="Arial" w:eastAsia="Arial" w:hAnsi="Arial"/>
          <w:sz w:val="15"/>
          <w:szCs w:val="15"/>
          <w:i w:val="1"/>
          <w:iCs w:val="1"/>
          <w:color w:val="auto"/>
        </w:rPr>
        <w:t>VP Corporate Development</w:t>
      </w:r>
      <w:r>
        <w:rPr>
          <w:rFonts w:ascii="Arial" w:cs="Arial" w:eastAsia="Arial" w:hAnsi="Arial"/>
          <w:sz w:val="15"/>
          <w:szCs w:val="15"/>
          <w:color w:val="auto"/>
        </w:rPr>
        <w:t>) and a non-officer member of our administrative staff, as well as the accrual of approximately $324,000 for estimated additional compensation expense for certain executive officers and administrative employees pursuant to achievement of calendar year 2021 corporate operational objectives.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Current year stock-based compensation expense reflects the amortization of option grants made to our CEO, CFO, VP Corporate Development, administrative staff, independent members of our Board and certain consultants since May 2019, in addition to grants to new officers and employees as indicated above. All outstanding options granted to G&amp;A employees, Board members and consultants prior to May 2019 have become fully vested and amortized prior to the quarter ended June 30, 2021. Grants awarded after June 30, 2020, including those granted to new employees, account for approximately $184,100 of expense in the quarter ended June 30, 2021, offset by the expense reduction of approximately $193,700 attributable to certain options granted between June 2016 and January 2019 that became fully vested and amortized prior to the quarter ended June 30, 2021. Additionally, expense related to options granted in January 2020 through June 2020 as 25% vested was reduced by $86,200 in the quarter ended June 30, 2021.</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the current fiscal year, increasing payments to reflect current market conditions, and, as noted previously, added one new independent Board member during the quarter ended June 30, 2021 and two additional independent members during July 2021.</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Legal, accounting and other professional fees for both periods include expenses related to routine legal services as well as accounting services related to the quarterly review of our current year financial statements. Expense for the quarter ended June 30, 2021 also includes the cost of certain outsourced financial and accounting services and implementation of new accounting software as well as an expanded service level from our information technology service provider.</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Investor and public relations expense in both periods include the fees of our various external service providers for a broad spectrum of investor relations, public relations and social media services, and well as market awareness and strategic advisory and support functions and initiatives. In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During the quarter ended June 30, 2021, we incurred expenses for a number of customary pre-commercialization studies, analyses, projections, strategic modeling and awareness services, primarily attributable to PH94B as a potential acute treatment of anxiety in adults with SAD. We plan to continue such studies and initiatives in parallel with our clinical and regulatory initiatives.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increase in insurance expense is primarily attributable to the market-rate increase in the premium for our directors’ and officers’ liability insurance upon renewal of our policy in May 2021.</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a result of periodic shelter-in-place restrictions and travel and workplace precautions and restrictions associated with the ongoing COVID-19 pandemic, during both periods presented,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in the accompanying Condensed Consolidated Financial Statements in Part I of this Report for additional information. Following our implementation of ASC 842, changes in rent expense between periods are primarily related to changes in such items as common area maintenance fees, taxes and insurance which are generally assessed to us by our landlord.</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During the quarter ended June 30, 2021, we amortized $33,300 of contract acquisition costs.</w:t>
      </w:r>
    </w:p>
    <w:p>
      <w:pPr>
        <w:spacing w:after="0" w:line="143"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in the accompanying Condensed Consolidated Financial Statements in Part I of this Report, in June 2021, we terminated the LPC Agreement. Upon termination of the LPC Agreement, we expensed the remaining $232,100 of deferred offering costs related to the agreement as a noncash charge to G&amp;A expense.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and Other Expenses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Interest income, net totaled $5,100 for the quarter ended June 30, 2021, compared to interest expense, net of $3,200 for the quarter ended June 30, 2020. The following table indicates the primary components of interest income and expense for each of the periods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5"/>
                <w:szCs w:val="15"/>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tcBorders>
              <w:bottom w:val="single" w:sz="8" w:color="auto"/>
            </w:tcBorders>
          </w:tcPr>
          <w:p>
            <w:pPr>
              <w:jc w:val="right"/>
              <w:ind w:right="85"/>
              <w:spacing w:after="0" w:line="171" w:lineRule="exact"/>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145"/>
              <w:spacing w:after="0" w:line="171" w:lineRule="exact"/>
              <w:rPr>
                <w:sz w:val="20"/>
                <w:szCs w:val="20"/>
                <w:color w:val="auto"/>
              </w:rPr>
            </w:pPr>
            <w:r>
              <w:rPr>
                <w:rFonts w:ascii="Arial" w:cs="Arial" w:eastAsia="Arial" w:hAnsi="Arial"/>
                <w:sz w:val="15"/>
                <w:szCs w:val="15"/>
                <w:b w:val="1"/>
                <w:bCs w:val="1"/>
                <w:color w:val="auto"/>
              </w:rPr>
              <w:t>2020</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3100" w:type="dxa"/>
            <w:vAlign w:val="bottom"/>
            <w:gridSpan w:val="2"/>
            <w:shd w:val="clear" w:color="auto" w:fill="CCEEFF"/>
          </w:tcPr>
          <w:p>
            <w:pPr>
              <w:jc w:val="right"/>
              <w:ind w:right="725"/>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Interest expense on financing lease, insurance premium financing notes</w:t>
            </w:r>
          </w:p>
        </w:tc>
        <w:tc>
          <w:tcPr>
            <w:tcW w:w="2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60" w:type="dxa"/>
            <w:vAlign w:val="bottom"/>
            <w:shd w:val="clear" w:color="auto" w:fill="CCEEFF"/>
          </w:tcPr>
          <w:p>
            <w:pPr>
              <w:ind w:left="60"/>
              <w:spacing w:after="0"/>
              <w:rPr>
                <w:sz w:val="20"/>
                <w:szCs w:val="20"/>
                <w:color w:val="auto"/>
              </w:rPr>
            </w:pPr>
            <w:r>
              <w:rPr>
                <w:rFonts w:ascii="Arial" w:cs="Arial" w:eastAsia="Arial" w:hAnsi="Arial"/>
                <w:sz w:val="15"/>
                <w:szCs w:val="15"/>
                <w:color w:val="auto"/>
              </w:rPr>
              <w:t>and Payroll Protection Program loan (2020)</w:t>
            </w:r>
          </w:p>
        </w:tc>
        <w:tc>
          <w:tcPr>
            <w:tcW w:w="2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60" w:type="dxa"/>
            <w:vAlign w:val="bottom"/>
            <w:tcBorders>
              <w:top w:val="single" w:sz="8" w:color="CCEEFF"/>
            </w:tcBorders>
          </w:tcPr>
          <w:p>
            <w:pPr>
              <w:spacing w:after="0"/>
              <w:rPr>
                <w:sz w:val="14"/>
                <w:szCs w:val="14"/>
                <w:color w:val="auto"/>
              </w:rPr>
            </w:pPr>
          </w:p>
        </w:tc>
        <w:tc>
          <w:tcPr>
            <w:tcW w:w="2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(expense), net</w:t>
            </w:r>
          </w:p>
        </w:tc>
        <w:tc>
          <w:tcPr>
            <w:tcW w:w="2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w:t>
            </w: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1">
            <w:col w:w="11280"/>
          </w:cols>
          <w:pgMar w:left="300" w:top="129" w:right="319" w:bottom="0" w:gutter="0" w:footer="0" w:header="0"/>
        </w:sectPr>
      </w:pPr>
    </w:p>
    <w:bookmarkStart w:id="17" w:name="page18"/>
    <w:bookmarkEnd w:id="17"/>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For the quarter ended June 30, 2021, interest income relates to cash deposits in interest-bearing cash equivalent accounts. We did not hold any cash balances in interest-bearing accounts during the quarter ended June 30, 2020. Interest expense for the quarter ended June 30, 2020 relates to interest paid on insurance premium financing notes and on our financing lease of office equipment subject to ASC 842, and to interest accrued on the Payroll Protection Program loan we received in April 2020. Following the closing of the December 2020 Public Offering, in December 2020, we voluntarily repaid in full the principal and accrued interest on the Payroll Protection Program loan. Further, we did not finance insurance premiums for policies that renewed in February 2021 or May 2021 as we had in prior years.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We recognized $361,800 and $335,800 for the quarters ended June 30, 2021 and 2020, respectively, representing the 10% cumulative dividend accrued on outstanding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as an additional deduction in arriving at net loss attributable to common stockholders in the accompanying Condensed Consolidated Statement of Operations and Comprehensive Loss included in Part I of this Report.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Since our inception in May 1998 through June 30, 2021, we have financed our operations and technology acquisitions primarily through the issuance and sale of our equity and debt securities for cash proceeds of approximately $199.0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Developments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 xml:space="preserve">As described more completely above and in Note 8, </w:t>
      </w:r>
      <w:r>
        <w:rPr>
          <w:rFonts w:ascii="Arial" w:cs="Arial" w:eastAsia="Arial" w:hAnsi="Arial"/>
          <w:sz w:val="14"/>
          <w:szCs w:val="14"/>
          <w:i w:val="1"/>
          <w:iCs w:val="1"/>
          <w:color w:val="auto"/>
        </w:rPr>
        <w:t>Capital Stock</w:t>
      </w:r>
      <w:r>
        <w:rPr>
          <w:rFonts w:ascii="Arial" w:cs="Arial" w:eastAsia="Arial" w:hAnsi="Arial"/>
          <w:sz w:val="14"/>
          <w:szCs w:val="14"/>
          <w:color w:val="auto"/>
        </w:rPr>
        <w:t>, to the accompanying Condensed Consolidated Financial Statements included in Part I of this Report (</w:t>
      </w:r>
      <w:r>
        <w:rPr>
          <w:rFonts w:ascii="Arial" w:cs="Arial" w:eastAsia="Arial" w:hAnsi="Arial"/>
          <w:sz w:val="14"/>
          <w:szCs w:val="14"/>
          <w:i w:val="1"/>
          <w:iCs w:val="1"/>
          <w:color w:val="auto"/>
        </w:rPr>
        <w:t>Note 8</w:t>
      </w:r>
      <w:r>
        <w:rPr>
          <w:rFonts w:ascii="Arial" w:cs="Arial" w:eastAsia="Arial" w:hAnsi="Arial"/>
          <w:sz w:val="14"/>
          <w:szCs w:val="14"/>
          <w:color w:val="auto"/>
        </w:rPr>
        <w:t xml:space="preserve">), in December 2020, we entered into an underwriting agreement pursuant to which we sold, in an underwritten public offering (the </w:t>
      </w:r>
      <w:r>
        <w:rPr>
          <w:rFonts w:ascii="Arial" w:cs="Arial" w:eastAsia="Arial" w:hAnsi="Arial"/>
          <w:sz w:val="14"/>
          <w:szCs w:val="14"/>
          <w:i w:val="1"/>
          <w:iCs w:val="1"/>
          <w:color w:val="auto"/>
        </w:rPr>
        <w:t>December 2020 Public Offering</w:t>
      </w:r>
      <w:r>
        <w:rPr>
          <w:rFonts w:ascii="Arial" w:cs="Arial" w:eastAsia="Arial" w:hAnsi="Arial"/>
          <w:sz w:val="14"/>
          <w:szCs w:val="14"/>
          <w:color w:val="auto"/>
        </w:rPr>
        <w:t>), 63,000,000 shares of our common stock at a public offering price of $0.92 per share and 2,000,000 shares of a newly issued series of convertible preferred stock (</w:t>
      </w:r>
      <w:r>
        <w:rPr>
          <w:rFonts w:ascii="Arial" w:cs="Arial" w:eastAsia="Arial" w:hAnsi="Arial"/>
          <w:sz w:val="14"/>
          <w:szCs w:val="14"/>
          <w:i w:val="1"/>
          <w:iCs w:val="1"/>
          <w:color w:val="auto"/>
        </w:rPr>
        <w:t>Series D Preferred</w:t>
      </w:r>
      <w:r>
        <w:rPr>
          <w:rFonts w:ascii="Arial" w:cs="Arial" w:eastAsia="Arial" w:hAnsi="Arial"/>
          <w:sz w:val="14"/>
          <w:szCs w:val="14"/>
          <w:color w:val="auto"/>
        </w:rPr>
        <w:t xml:space="preserve"> and, together with the common stock, the </w:t>
      </w:r>
      <w:r>
        <w:rPr>
          <w:rFonts w:ascii="Arial" w:cs="Arial" w:eastAsia="Arial" w:hAnsi="Arial"/>
          <w:sz w:val="14"/>
          <w:szCs w:val="14"/>
          <w:i w:val="1"/>
          <w:iCs w:val="1"/>
          <w:color w:val="auto"/>
        </w:rPr>
        <w:t>Securities</w:t>
      </w:r>
      <w:r>
        <w:rPr>
          <w:rFonts w:ascii="Arial" w:cs="Arial" w:eastAsia="Arial" w:hAnsi="Arial"/>
          <w:sz w:val="14"/>
          <w:szCs w:val="14"/>
          <w:color w:val="auto"/>
        </w:rPr>
        <w:t>) at a public offering price of $21.16 per share, resulting in gross proceeds to us of $100 million. The 2.0 million shares of Series D Preferred Stock were convertible into 46.0 million shares of common stock, all of which had been converted by June 30, 2021. Net proceeds to us from the Securities sold in the December 2020 Public Offering, after deducting underwriting discounts and commissions and offering expenses payable by us, was approximately $93.6 million.</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 xml:space="preserve">Between December 2020 and June 30, 2021, holders of outstanding warrants to purchase an aggregate of 7,913,070 shares of our common stock exercised such warrants and we received cash proceeds of approximately $6.0 million, including exercises of 1,516,768 shares for cash proceeds of approximately $1.1 million during the quarter ended June 30, 2021. Refer to Note 12, </w:t>
      </w:r>
      <w:r>
        <w:rPr>
          <w:rFonts w:ascii="Arial" w:cs="Arial" w:eastAsia="Arial" w:hAnsi="Arial"/>
          <w:sz w:val="15"/>
          <w:szCs w:val="15"/>
          <w:i w:val="1"/>
          <w:iCs w:val="1"/>
          <w:color w:val="auto"/>
        </w:rPr>
        <w:t>Subsequent Events</w:t>
      </w:r>
      <w:r>
        <w:rPr>
          <w:rFonts w:ascii="Arial" w:cs="Arial" w:eastAsia="Arial" w:hAnsi="Arial"/>
          <w:sz w:val="15"/>
          <w:szCs w:val="15"/>
          <w:color w:val="auto"/>
        </w:rPr>
        <w:t>, to the accompanying Condensed Consolidated Financial Statements included in Part I of this Report for disclosure regarding additional warrant exercises since June 30, 2021.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In August 2020, we entered into an underwriting agreement pursuant to which we sold, in an underwritten public offering (the </w:t>
      </w:r>
      <w:r>
        <w:rPr>
          <w:rFonts w:ascii="Arial" w:cs="Arial" w:eastAsia="Arial" w:hAnsi="Arial"/>
          <w:sz w:val="13"/>
          <w:szCs w:val="13"/>
          <w:i w:val="1"/>
          <w:iCs w:val="1"/>
          <w:color w:val="auto"/>
        </w:rPr>
        <w:t>August 2020 Public Offering</w:t>
      </w:r>
      <w:r>
        <w:rPr>
          <w:rFonts w:ascii="Arial" w:cs="Arial" w:eastAsia="Arial" w:hAnsi="Arial"/>
          <w:sz w:val="13"/>
          <w:szCs w:val="13"/>
          <w:color w:val="auto"/>
        </w:rPr>
        <w:t>), an aggregate of 15,625,000 shares of our common stock at a public offering price of $0.80 per share, resulting in gross proceeds to us of $12.5 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payable by us, were approximately $12.9 million.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As more completely described in Note 11, </w:t>
      </w:r>
      <w:r>
        <w:rPr>
          <w:rFonts w:ascii="Arial" w:cs="Arial" w:eastAsia="Arial" w:hAnsi="Arial"/>
          <w:sz w:val="14"/>
          <w:szCs w:val="14"/>
          <w:i w:val="1"/>
          <w:iCs w:val="1"/>
          <w:color w:val="auto"/>
        </w:rPr>
        <w:t>Sublicensing and Collaboration Agreements</w:t>
      </w:r>
      <w:r>
        <w:rPr>
          <w:rFonts w:ascii="Arial" w:cs="Arial" w:eastAsia="Arial" w:hAnsi="Arial"/>
          <w:sz w:val="14"/>
          <w:szCs w:val="14"/>
          <w:color w:val="auto"/>
        </w:rPr>
        <w:t>, to the accompanying Condensed Consolidated Financial Statements included in Part I of this Report, in June 2020, we entered into the AffaMed Agreement, a strategic licensing and collaboration agreement for the clinical development and commercialization of PH94B for acute treatment of anxiety in adults with SAD and other potential anxiety-related disorders, pursuant to which we received a non-refundable upfront license payment of $5.0 million in August 2020. The upfront license payment resulted in net cash proceeds to us of approximately $4.655 million after the sublicense payment we agreed to make to Pherin Pharmaceuticals, Inc. (</w:t>
      </w:r>
      <w:r>
        <w:rPr>
          <w:rFonts w:ascii="Arial" w:cs="Arial" w:eastAsia="Arial" w:hAnsi="Arial"/>
          <w:sz w:val="14"/>
          <w:szCs w:val="14"/>
          <w:i w:val="1"/>
          <w:iCs w:val="1"/>
          <w:color w:val="auto"/>
        </w:rPr>
        <w:t>Pherin</w:t>
      </w:r>
      <w:r>
        <w:rPr>
          <w:rFonts w:ascii="Arial" w:cs="Arial" w:eastAsia="Arial" w:hAnsi="Arial"/>
          <w:sz w:val="14"/>
          <w:szCs w:val="14"/>
          <w:color w:val="auto"/>
        </w:rPr>
        <w:t>) pursuant to our PH94B license from Pherin, and payment for consulting services related to the consummation of the AffaMed Agreement.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Liquidity and Capital Resources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During our fiscal year ended March 31, 2021, we received approximately $119 million in net cash proceeds, primarily from the transactions described above. As also noted above, we have received an additional $1.1 million in cash proceeds from the exercise of outstanding warrants during the quarter ended June 30, 2021. At June 30, 2021, we had cash and cash equivalents of approximately $97.8 million, which we believe is sufficient to fund our planned operations for well beyond the twelve months following the issuance of these financial statements, and indicating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next twelve months, we plan to (i) continue our PALISADE Phase 3 Program with the furtherance of PALISADE-1 and the initiation of multiple additional clinical and nonclinical studies in our PALISADE Phase 3 Program focused on development and potential commercialization of PH94B as an acute treatment of anxiety in adult patients with SAD, (ii) prepare for and initiate multiple small exploratory Phase 2A clinical studies of PH94B in additional anxiety disorders, (iii) prepare for and initiate a Phase 2B clinical study of PH10 as a potential stand-alone treatment for MDD, (iv) prepare for and initiate a Phase 1B clinical study of AV-101 in combination with probenecid to enable assessment of its potential in multiple CNS disorders, and (v) conduct nonclinical studies involving PH94B, PH10 and AV-101.</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Although we believe our current cash position is sufficient to fund our planned operations for more than the next twelve months following the issuance of these financial statements, when necessary and advantageous, we may raise additional capital through the sale of our equity securities in one or more (i) public offerings (ii) private placements to accredited investors, and/or (iii) in strategic licensing and development collaborations involving one or more of our drug candidates in markets outside the United States, similar to the AffaMed Agreement. Subject to certain restrictions, our Registration Statement on Form S-3 (the </w:t>
      </w:r>
      <w:r>
        <w:rPr>
          <w:rFonts w:ascii="Arial" w:cs="Arial" w:eastAsia="Arial" w:hAnsi="Arial"/>
          <w:sz w:val="15"/>
          <w:szCs w:val="15"/>
          <w:i w:val="1"/>
          <w:iCs w:val="1"/>
          <w:color w:val="auto"/>
        </w:rPr>
        <w:t>S-3 Shelf Registration Statement</w:t>
      </w:r>
      <w:r>
        <w:rPr>
          <w:rFonts w:ascii="Arial" w:cs="Arial" w:eastAsia="Arial" w:hAnsi="Arial"/>
          <w:sz w:val="15"/>
          <w:szCs w:val="15"/>
          <w:color w:val="auto"/>
        </w:rPr>
        <w:t>) remains available for future sales of our equity securities in one or more public offerings from time to time.</w:t>
      </w:r>
    </w:p>
    <w:p>
      <w:pPr>
        <w:spacing w:after="0" w:line="162" w:lineRule="exact"/>
        <w:rPr>
          <w:sz w:val="20"/>
          <w:szCs w:val="20"/>
          <w:color w:val="auto"/>
        </w:rPr>
      </w:pPr>
    </w:p>
    <w:p>
      <w:pPr>
        <w:jc w:val="both"/>
        <w:spacing w:after="0" w:line="223" w:lineRule="auto"/>
        <w:rPr>
          <w:sz w:val="20"/>
          <w:szCs w:val="20"/>
          <w:color w:val="auto"/>
        </w:rPr>
      </w:pPr>
      <w:r>
        <w:rPr>
          <w:rFonts w:ascii="Arial" w:cs="Arial" w:eastAsia="Arial" w:hAnsi="Arial"/>
          <w:sz w:val="15"/>
          <w:szCs w:val="15"/>
          <w:color w:val="auto"/>
        </w:rPr>
        <w:t xml:space="preserve">As described more completely in Note 8, </w:t>
      </w:r>
      <w:r>
        <w:rPr>
          <w:rFonts w:ascii="Arial" w:cs="Arial" w:eastAsia="Arial" w:hAnsi="Arial"/>
          <w:sz w:val="15"/>
          <w:szCs w:val="15"/>
          <w:i w:val="1"/>
          <w:iCs w:val="1"/>
          <w:color w:val="auto"/>
        </w:rPr>
        <w:t>Capital Stock</w:t>
      </w:r>
      <w:r>
        <w:rPr>
          <w:rFonts w:ascii="Arial" w:cs="Arial" w:eastAsia="Arial" w:hAnsi="Arial"/>
          <w:sz w:val="15"/>
          <w:szCs w:val="15"/>
          <w:color w:val="auto"/>
        </w:rPr>
        <w:t xml:space="preserve">, in May 2021, we entered into an Open Market Sale Agreement </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(the </w:t>
      </w:r>
      <w:r>
        <w:rPr>
          <w:rFonts w:ascii="Arial" w:cs="Arial" w:eastAsia="Arial" w:hAnsi="Arial"/>
          <w:sz w:val="15"/>
          <w:szCs w:val="15"/>
          <w:i w:val="1"/>
          <w:iCs w:val="1"/>
          <w:color w:val="auto"/>
        </w:rPr>
        <w:t>Sales Agreement</w:t>
      </w:r>
      <w:r>
        <w:rPr>
          <w:rFonts w:ascii="Arial" w:cs="Arial" w:eastAsia="Arial" w:hAnsi="Arial"/>
          <w:sz w:val="15"/>
          <w:szCs w:val="15"/>
          <w:color w:val="auto"/>
        </w:rPr>
        <w:t>) with Jefferies LLC, as sales agent (</w:t>
      </w:r>
      <w:r>
        <w:rPr>
          <w:rFonts w:ascii="Arial" w:cs="Arial" w:eastAsia="Arial" w:hAnsi="Arial"/>
          <w:sz w:val="15"/>
          <w:szCs w:val="15"/>
          <w:i w:val="1"/>
          <w:iCs w:val="1"/>
          <w:color w:val="auto"/>
        </w:rPr>
        <w:t>Jefferies</w:t>
      </w:r>
      <w:r>
        <w:rPr>
          <w:rFonts w:ascii="Arial" w:cs="Arial" w:eastAsia="Arial" w:hAnsi="Arial"/>
          <w:sz w:val="15"/>
          <w:szCs w:val="15"/>
          <w:color w:val="auto"/>
        </w:rPr>
        <w:t xml:space="preserve">), with respect to an at-the-market offering program (the </w:t>
      </w:r>
      <w:r>
        <w:rPr>
          <w:rFonts w:ascii="Arial" w:cs="Arial" w:eastAsia="Arial" w:hAnsi="Arial"/>
          <w:sz w:val="15"/>
          <w:szCs w:val="15"/>
          <w:i w:val="1"/>
          <w:iCs w:val="1"/>
          <w:color w:val="auto"/>
        </w:rPr>
        <w:t>ATM</w:t>
      </w:r>
      <w:r>
        <w:rPr>
          <w:rFonts w:ascii="Arial" w:cs="Arial" w:eastAsia="Arial" w:hAnsi="Arial"/>
          <w:sz w:val="15"/>
          <w:szCs w:val="15"/>
          <w:color w:val="auto"/>
        </w:rPr>
        <w:t>) under which we may offer and sell, from time to time, shares of our common stock having an aggregate offering price of up to $75.0 million through Jefferies as our sales agent.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While we may make additional sales of our equity securities under the S-3 Shelf Registration Statement and/or under the ATM with Jefferies, we do not have an obligation to do so.</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addition to the potential sale of our equity securities, we may also seek to enter research, development and/or commercialization collaborations similar to the AffaMed Agreement to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obtain, government grant awards and agreements, and our ability to enter into collaborations on terms acceptable to us. To further advance the clinical development of PH94B, PH10, and AV-101, as well as support our operating activities, we plan to continue to carefully manage our routine operating costs and our clinical and nonclinical programs. We do not anticipate making significant investments in manufacturing or other capital equipment.</w:t>
      </w:r>
    </w:p>
    <w:p>
      <w:pPr>
        <w:spacing w:after="0" w:line="144"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Notwithstanding the foregoing, there can be no assurance that our current strategic collaboration under the AffaMed Agreement will generate revenue from future potential milestone payments, or that future financings or government or other strategic collaborations will be available to us in sufficient amounts, in a timely manner, or on terms acceptable to us, if at all. If</w:t>
      </w:r>
    </w:p>
    <w:p>
      <w:pPr>
        <w:sectPr>
          <w:pgSz w:w="11900" w:h="16898" w:orient="portrait"/>
          <w:cols w:equalWidth="0" w:num="1">
            <w:col w:w="11280"/>
          </w:cols>
          <w:pgMar w:left="300" w:top="308" w:right="319" w:bottom="0" w:gutter="0" w:footer="0" w:header="0"/>
        </w:sectPr>
      </w:pPr>
    </w:p>
    <w:bookmarkStart w:id="18" w:name="page19"/>
    <w:bookmarkEnd w:id="18"/>
    <w:p>
      <w:pPr>
        <w:jc w:val="both"/>
        <w:spacing w:after="0" w:line="308" w:lineRule="auto"/>
        <w:rPr>
          <w:sz w:val="20"/>
          <w:szCs w:val="20"/>
          <w:color w:val="auto"/>
        </w:rPr>
      </w:pPr>
      <w:r>
        <w:rPr>
          <w:rFonts w:ascii="Arial" w:cs="Arial" w:eastAsia="Arial" w:hAnsi="Arial"/>
          <w:sz w:val="14"/>
          <w:szCs w:val="14"/>
          <w:color w:val="auto"/>
        </w:rPr>
        <w:t>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EE"/>
            </w:tcBorders>
            <w:gridSpan w:val="2"/>
          </w:tcPr>
          <w:p>
            <w:pPr>
              <w:spacing w:after="0"/>
              <w:rPr>
                <w:rFonts w:ascii="Arial" w:cs="Arial" w:eastAsia="Arial" w:hAnsi="Arial"/>
                <w:sz w:val="15"/>
                <w:szCs w:val="15"/>
                <w:i w:val="1"/>
                <w:iCs w:val="1"/>
                <w:color w:val="0000EE"/>
                <w:w w:val="87"/>
              </w:rPr>
            </w:pPr>
            <w:hyperlink w:anchor="page1">
              <w:r>
                <w:rPr>
                  <w:rFonts w:ascii="Arial" w:cs="Arial" w:eastAsia="Arial" w:hAnsi="Arial"/>
                  <w:sz w:val="15"/>
                  <w:szCs w:val="15"/>
                  <w:i w:val="1"/>
                  <w:iCs w:val="1"/>
                  <w:color w:val="0000EE"/>
                  <w:w w:val="87"/>
                </w:rPr>
                <w:t>Table of Contents</w:t>
              </w:r>
            </w:hyperlink>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8260" w:type="dxa"/>
            <w:vAlign w:val="bottom"/>
            <w:gridSpan w:val="3"/>
          </w:tcPr>
          <w:p>
            <w:pPr>
              <w:spacing w:after="0"/>
              <w:rPr>
                <w:sz w:val="20"/>
                <w:szCs w:val="20"/>
                <w:color w:val="auto"/>
              </w:rPr>
            </w:pPr>
            <w:r>
              <w:rPr>
                <w:rFonts w:ascii="Arial" w:cs="Arial" w:eastAsia="Arial" w:hAnsi="Arial"/>
                <w:sz w:val="15"/>
                <w:szCs w:val="15"/>
                <w:i w:val="1"/>
                <w:iCs w:val="1"/>
                <w:color w:val="auto"/>
              </w:rPr>
              <w:t>Cash and Cash Equivalents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260" w:type="dxa"/>
            <w:vAlign w:val="bottom"/>
            <w:gridSpan w:val="3"/>
          </w:tcPr>
          <w:p>
            <w:pPr>
              <w:spacing w:after="0"/>
              <w:rPr>
                <w:sz w:val="20"/>
                <w:szCs w:val="20"/>
                <w:color w:val="auto"/>
              </w:rPr>
            </w:pPr>
            <w:r>
              <w:rPr>
                <w:rFonts w:ascii="Arial" w:cs="Arial" w:eastAsia="Arial" w:hAnsi="Arial"/>
                <w:sz w:val="15"/>
                <w:szCs w:val="15"/>
                <w:color w:val="auto"/>
              </w:rPr>
              <w:t>The following table summarizes changes in cash and cash equivalents for the periods stated (in thousands):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5"/>
                <w:szCs w:val="15"/>
                <w:b w:val="1"/>
                <w:bCs w:val="1"/>
                <w:color w:val="auto"/>
                <w:w w:val="89"/>
              </w:rPr>
              <w:t>Three Months Ended June 30,</w:t>
            </w:r>
          </w:p>
        </w:tc>
        <w:tc>
          <w:tcPr>
            <w:tcW w:w="0" w:type="dxa"/>
            <w:vAlign w:val="bottom"/>
          </w:tcPr>
          <w:p>
            <w:pPr>
              <w:spacing w:after="0"/>
              <w:rPr>
                <w:sz w:val="1"/>
                <w:szCs w:val="1"/>
                <w:color w:val="auto"/>
              </w:rPr>
            </w:pPr>
          </w:p>
        </w:tc>
      </w:tr>
      <w:tr>
        <w:trPr>
          <w:trHeight w:val="170"/>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65"/>
              <w:spacing w:after="0" w:line="171" w:lineRule="exact"/>
              <w:rPr>
                <w:sz w:val="20"/>
                <w:szCs w:val="20"/>
                <w:color w:val="auto"/>
              </w:rPr>
            </w:pPr>
            <w:r>
              <w:rPr>
                <w:rFonts w:ascii="Arial" w:cs="Arial" w:eastAsia="Arial" w:hAnsi="Arial"/>
                <w:sz w:val="15"/>
                <w:szCs w:val="15"/>
                <w:b w:val="1"/>
                <w:bCs w:val="1"/>
                <w:color w:val="auto"/>
              </w:rPr>
              <w:t>2021</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5"/>
              <w:spacing w:after="0" w:line="171" w:lineRule="exact"/>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(2,807)</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40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2,998</w:t>
            </w:r>
          </w:p>
        </w:tc>
        <w:tc>
          <w:tcPr>
            <w:tcW w:w="0" w:type="dxa"/>
            <w:vAlign w:val="bottom"/>
          </w:tcPr>
          <w:p>
            <w:pPr>
              <w:spacing w:after="0"/>
              <w:rPr>
                <w:sz w:val="1"/>
                <w:szCs w:val="1"/>
                <w:color w:val="auto"/>
              </w:rPr>
            </w:pPr>
          </w:p>
        </w:tc>
      </w:tr>
      <w:tr>
        <w:trPr>
          <w:trHeight w:val="170"/>
        </w:trPr>
        <w:tc>
          <w:tcPr>
            <w:tcW w:w="860" w:type="dxa"/>
            <w:vAlign w:val="bottom"/>
            <w:vMerge w:val="restart"/>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increase (decrease) in cash and cash equivalents</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(5,331)</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740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period</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103,108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1,355</w:t>
            </w:r>
          </w:p>
        </w:tc>
        <w:tc>
          <w:tcPr>
            <w:tcW w:w="0" w:type="dxa"/>
            <w:vAlign w:val="bottom"/>
          </w:tcPr>
          <w:p>
            <w:pPr>
              <w:spacing w:after="0"/>
              <w:rPr>
                <w:sz w:val="1"/>
                <w:szCs w:val="1"/>
                <w:color w:val="auto"/>
              </w:rPr>
            </w:pPr>
          </w:p>
        </w:tc>
      </w:tr>
      <w:tr>
        <w:trPr>
          <w:trHeight w:val="170"/>
        </w:trPr>
        <w:tc>
          <w:tcPr>
            <w:tcW w:w="860" w:type="dxa"/>
            <w:vAlign w:val="bottom"/>
            <w:vMerge w:val="restart"/>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7400" w:type="dxa"/>
            <w:vAlign w:val="bottom"/>
            <w:gridSpan w:val="2"/>
          </w:tcPr>
          <w:p>
            <w:pPr>
              <w:spacing w:after="0"/>
              <w:rPr>
                <w:sz w:val="20"/>
                <w:szCs w:val="20"/>
                <w:color w:val="auto"/>
              </w:rPr>
            </w:pPr>
            <w:r>
              <w:rPr>
                <w:rFonts w:ascii="Arial" w:cs="Arial" w:eastAsia="Arial" w:hAnsi="Arial"/>
                <w:sz w:val="15"/>
                <w:szCs w:val="15"/>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97,777</w:t>
            </w:r>
          </w:p>
        </w:tc>
        <w:tc>
          <w:tcPr>
            <w:tcW w:w="16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1,546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 xml:space="preserve">As described previously, the combination of the net proceeds we received from the December 2020 Public Offering and the August 2020 Public Offering have provided sufficint funds for us to significantly advance and accelerate an important stream of initiatives across our CNS pipeline, including, among others, our PALISADE Phase 3 Program, our PH10 Phase 2B development program and our AV-101 Phase 1B development program. The increase in cash used in operations during the quarter ended June 30, 2021 results from the initiation of our PALISADE Phase 3 Program, including PALISADE-1, as well as preparations for other clinical and nonclinical studies of our product candidates to be initiated later this calendar year and during 2022. Additionally, we have enhanced our internal capabilities with the addition of several senior personnel with significant expertise in disciplines critical to the advancement of our product pipeline. In parallel with our clinical and regulatory initiatives, we are actively engaging in customary and appropriately-timed pre-commercialization analyses, modeling, planning and awareness initiatives. Cash used in investing activities in the current fiscal year reflects primarily the cost of laboratory analytical equipment acquired for use by our CMO in connection with the development and production of PH94B drug product. The equipment has not yet been completely validated or placed in productive service at June 30, 2021. Cash provided by financing activities in the quarter ended June 30, 2021 is primarily the result of warrant exercises, net of expenditures related to the ATM transaction with Jefferies and recorded as deferred offering costs. Cash provided by financing activities in the quarter ended June 30, 2020 primarily reflects the cash proceeds received by us from sales of our common stock pursuant to the LPC Agreement (as defined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in the accompanying Condensed Consolidated Financial Statements in Part I of this Report) and from the Payroll Protection Program loan we received in April 2020, net of insurance premium financing note and financing lease payments. We did not finance insurance premiums for policies renewed in February 2021 or May 2021 as we had in the prior year. We voluntarily repaid the Payroll Protection Program loan and accrued interest in full in December 2020.</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 have no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Disclosure Controls and Procedures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our Annual Report on Form 10-K for our fiscal year ended March 31, 2021 filed with the Securities and Exchange Commission (</w:t>
      </w:r>
      <w:r>
        <w:rPr>
          <w:rFonts w:ascii="Arial" w:cs="Arial" w:eastAsia="Arial" w:hAnsi="Arial"/>
          <w:sz w:val="15"/>
          <w:szCs w:val="15"/>
          <w:i w:val="1"/>
          <w:iCs w:val="1"/>
          <w:color w:val="auto"/>
        </w:rPr>
        <w:t>SEC</w:t>
      </w:r>
      <w:r>
        <w:rPr>
          <w:rFonts w:ascii="Arial" w:cs="Arial" w:eastAsia="Arial" w:hAnsi="Arial"/>
          <w:sz w:val="15"/>
          <w:szCs w:val="15"/>
          <w:color w:val="auto"/>
        </w:rPr>
        <w:t>) on June 29, 2021, we identified two material weaknesses in our internal control over financial reporting relating to (i) segregation of duties and (ii) the functionality of our accounting software. 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auditing trail of entries made in the accounting software.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Company does not believe that the prior control weaknesses have resulted in any deficient financial reporting (as defined in Rule 13a-15(f) of the Exchange Act) because each of our CEO and CFO is aware of his responsibilities under the SEC's reporting requirements and personally certifies our financial reports.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 Factor Summary</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i w:val="1"/>
          <w:iCs w:val="1"/>
          <w:color w:val="auto"/>
        </w:rPr>
        <w:t>Our business is subject to substantial risk and an investment in our securities involves various risks. Some of the material risks include those set forth below. You should consider carefully these risks, and those discussed under “Risk Factors” below, before investing in our securities. These risks include, among others:</w:t>
      </w:r>
    </w:p>
    <w:p>
      <w:pPr>
        <w:spacing w:after="0" w:line="147" w:lineRule="exact"/>
        <w:rPr>
          <w:sz w:val="20"/>
          <w:szCs w:val="20"/>
          <w:color w:val="auto"/>
        </w:rPr>
      </w:pPr>
    </w:p>
    <w:p>
      <w:pPr>
        <w:ind w:left="460" w:hanging="291"/>
        <w:spacing w:after="0" w:line="271"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COVID-19 pandemic has, and may continue to have, an impact on our business, including delays in manufacturing of certain drug substance and drug products and potential delays in recruitment and enrollment in the PALISADE Phase 3 Program and other planned clinical studies of our product candidates;</w:t>
      </w:r>
    </w:p>
    <w:p>
      <w:pPr>
        <w:spacing w:after="0" w:line="147" w:lineRule="exact"/>
        <w:rPr>
          <w:rFonts w:ascii="Arial" w:cs="Arial" w:eastAsia="Arial" w:hAnsi="Arial"/>
          <w:sz w:val="15"/>
          <w:szCs w:val="15"/>
          <w:color w:val="auto"/>
        </w:rPr>
      </w:pPr>
    </w:p>
    <w:p>
      <w:pPr>
        <w:ind w:left="460" w:hanging="291"/>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are a development stage biopharmaceutical company with no recurring revenues from product sales or approved products, and limited experience developing or commercializing</w:t>
      </w:r>
    </w:p>
    <w:p>
      <w:pPr>
        <w:sectPr>
          <w:pgSz w:w="11900" w:h="16838" w:orient="portrait"/>
          <w:cols w:equalWidth="0" w:num="1">
            <w:col w:w="11280"/>
          </w:cols>
          <w:pgMar w:left="300" w:top="129" w:right="319" w:bottom="0" w:gutter="0" w:footer="0" w:header="0"/>
        </w:sectPr>
      </w:pPr>
    </w:p>
    <w:bookmarkStart w:id="19" w:name="page20"/>
    <w:bookmarkEnd w:id="19"/>
    <w:p>
      <w:pPr>
        <w:spacing w:after="0" w:line="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new drug candidates, which makes it difficult to assess our future viability;</w:t>
      </w:r>
    </w:p>
    <w:p>
      <w:pPr>
        <w:spacing w:after="0" w:line="185" w:lineRule="exact"/>
        <w:rPr>
          <w:sz w:val="20"/>
          <w:szCs w:val="20"/>
          <w:color w:val="auto"/>
        </w:rPr>
      </w:pPr>
    </w:p>
    <w:p>
      <w:pPr>
        <w:ind w:left="460" w:right="20" w:hanging="291"/>
        <w:spacing w:after="0" w:line="27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spacing w:after="0" w:line="147" w:lineRule="exact"/>
        <w:rPr>
          <w:rFonts w:ascii="Arial" w:cs="Arial" w:eastAsia="Arial" w:hAnsi="Arial"/>
          <w:sz w:val="15"/>
          <w:szCs w:val="15"/>
          <w:color w:val="auto"/>
        </w:rPr>
      </w:pPr>
    </w:p>
    <w:p>
      <w:pPr>
        <w:ind w:left="460" w:hanging="291"/>
        <w:spacing w:after="0" w:line="27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failures or delays in the commencement or completion of our planned clinical trials, including, among others, clinical studies in our PALISADE Phase 3 program, could delay, prevent or limit our ability to generate revenue and continue our business;</w:t>
      </w:r>
    </w:p>
    <w:p>
      <w:pPr>
        <w:spacing w:after="0" w:line="147" w:lineRule="exact"/>
        <w:rPr>
          <w:rFonts w:ascii="Arial" w:cs="Arial" w:eastAsia="Arial" w:hAnsi="Arial"/>
          <w:sz w:val="15"/>
          <w:szCs w:val="15"/>
          <w:color w:val="auto"/>
        </w:rPr>
      </w:pPr>
    </w:p>
    <w:p>
      <w:pPr>
        <w:ind w:left="460" w:right="20" w:hanging="291"/>
        <w:spacing w:after="0" w:line="27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face significant competition, and if we are unable to compete effectively, we may not be able to achieve or maintain significant market penetration or improve our results of operations;</w:t>
      </w:r>
    </w:p>
    <w:p>
      <w:pPr>
        <w:spacing w:after="0" w:line="147" w:lineRule="exact"/>
        <w:rPr>
          <w:rFonts w:ascii="Arial" w:cs="Arial" w:eastAsia="Arial" w:hAnsi="Arial"/>
          <w:sz w:val="15"/>
          <w:szCs w:val="15"/>
          <w:color w:val="auto"/>
        </w:rPr>
      </w:pPr>
    </w:p>
    <w:p>
      <w:pPr>
        <w:ind w:left="460" w:hanging="291"/>
        <w:spacing w:after="0" w:line="27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47" w:lineRule="exact"/>
        <w:rPr>
          <w:rFonts w:ascii="Arial" w:cs="Arial" w:eastAsia="Arial" w:hAnsi="Arial"/>
          <w:sz w:val="15"/>
          <w:szCs w:val="15"/>
          <w:color w:val="auto"/>
        </w:rPr>
      </w:pPr>
    </w:p>
    <w:p>
      <w:pPr>
        <w:ind w:left="460" w:hanging="291"/>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incurred significant net losses since inception and we will continue to incur substantial operating losses for the foreseeable future;</w:t>
      </w:r>
    </w:p>
    <w:p>
      <w:pPr>
        <w:spacing w:after="0" w:line="185" w:lineRule="exact"/>
        <w:rPr>
          <w:rFonts w:ascii="Arial" w:cs="Arial" w:eastAsia="Arial" w:hAnsi="Arial"/>
          <w:sz w:val="15"/>
          <w:szCs w:val="15"/>
          <w:color w:val="auto"/>
        </w:rPr>
      </w:pPr>
    </w:p>
    <w:p>
      <w:pPr>
        <w:jc w:val="both"/>
        <w:ind w:left="460" w:hanging="291"/>
        <w:spacing w:after="0" w:line="26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although we are taking steps to mitigate them, 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54" w:lineRule="exact"/>
        <w:rPr>
          <w:rFonts w:ascii="Arial" w:cs="Arial" w:eastAsia="Arial" w:hAnsi="Arial"/>
          <w:sz w:val="15"/>
          <w:szCs w:val="15"/>
          <w:color w:val="auto"/>
        </w:rPr>
      </w:pPr>
    </w:p>
    <w:p>
      <w:pPr>
        <w:ind w:left="460" w:right="200" w:hanging="291"/>
        <w:spacing w:after="0" w:line="27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require additional financing to execute our long-term business plan, including further development and commercialization of our CNS pipeline, and to continue to operate as a going concern;</w:t>
      </w:r>
    </w:p>
    <w:p>
      <w:pPr>
        <w:spacing w:after="0" w:line="147" w:lineRule="exact"/>
        <w:rPr>
          <w:rFonts w:ascii="Arial" w:cs="Arial" w:eastAsia="Arial" w:hAnsi="Arial"/>
          <w:sz w:val="15"/>
          <w:szCs w:val="15"/>
          <w:color w:val="auto"/>
        </w:rPr>
      </w:pPr>
    </w:p>
    <w:p>
      <w:pPr>
        <w:ind w:left="460" w:hanging="291"/>
        <w:spacing w:after="0" w:line="27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raising additional capital will cause substantial dilution to our existing stockholders, may restrict our operations or require us to relinquish rights, and may require us to seek stockholder approval to authorize additional shares of our common stock; and</w:t>
      </w:r>
    </w:p>
    <w:p>
      <w:pPr>
        <w:spacing w:after="0" w:line="147" w:lineRule="exact"/>
        <w:rPr>
          <w:rFonts w:ascii="Arial" w:cs="Arial" w:eastAsia="Arial" w:hAnsi="Arial"/>
          <w:sz w:val="15"/>
          <w:szCs w:val="15"/>
          <w:color w:val="auto"/>
        </w:rPr>
      </w:pPr>
    </w:p>
    <w:p>
      <w:pPr>
        <w:ind w:left="460" w:hanging="291"/>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other risks and uncertainties, including those described under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below.</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You should consider carefully the risks and uncertainties described below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has adversely impacted, and may continue to adversely impact our business.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Beginning in late-2019, a new strain of coronavirus (</w:t>
      </w:r>
      <w:r>
        <w:rPr>
          <w:rFonts w:ascii="Arial" w:cs="Arial" w:eastAsia="Arial" w:hAnsi="Arial"/>
          <w:sz w:val="13"/>
          <w:szCs w:val="13"/>
          <w:i w:val="1"/>
          <w:iCs w:val="1"/>
          <w:color w:val="auto"/>
        </w:rPr>
        <w:t>COVID-19</w:t>
      </w:r>
      <w:r>
        <w:rPr>
          <w:rFonts w:ascii="Arial" w:cs="Arial" w:eastAsia="Arial" w:hAnsi="Arial"/>
          <w:sz w:val="13"/>
          <w:szCs w:val="13"/>
          <w:color w:val="auto"/>
        </w:rPr>
        <w:t>)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resulted in significant negative economic impacts on a global basis.</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Due to the emergence of variant strains of the COVID-19 virus, we cannot at this time accurately predict the potential effects of the pandemic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the spread of 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49" w:lineRule="exact"/>
        <w:rPr>
          <w:sz w:val="20"/>
          <w:szCs w:val="20"/>
          <w:color w:val="auto"/>
        </w:rPr>
      </w:pPr>
    </w:p>
    <w:p>
      <w:pPr>
        <w:jc w:val="both"/>
        <w:ind w:left="460" w:hanging="272"/>
        <w:spacing w:after="0" w:line="274"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Delayed product development: </w:t>
      </w:r>
      <w:r>
        <w:rPr>
          <w:rFonts w:ascii="Arial" w:cs="Arial" w:eastAsia="Arial" w:hAnsi="Arial"/>
          <w:sz w:val="14"/>
          <w:szCs w:val="14"/>
          <w:color w:val="auto"/>
        </w:rPr>
        <w:t>We have faced, and may continue to face, delays and other disruptions to our ongoing development programs for PH94B, PH10 and AV-101 due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our research and development efforts may be impacted if our employees, our CROs and our CMOs are advised to continue to work remotely as part of social distancing measures. Additionally, social distancing measures, stay-at-home orders and other governmental restrictions designed to combat the COVID-19 pandemic may impair our ability to conduct studies in our PALISADE Phase 3 Program in a timely manner.</w:t>
      </w:r>
    </w:p>
    <w:p>
      <w:pPr>
        <w:spacing w:after="0" w:line="149" w:lineRule="exact"/>
        <w:rPr>
          <w:rFonts w:ascii="Arial" w:cs="Arial" w:eastAsia="Arial" w:hAnsi="Arial"/>
          <w:sz w:val="14"/>
          <w:szCs w:val="14"/>
          <w:color w:val="auto"/>
        </w:rPr>
      </w:pPr>
    </w:p>
    <w:p>
      <w:pPr>
        <w:jc w:val="both"/>
        <w:ind w:left="460" w:hanging="272"/>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Negative impacts on our suppliers and employees</w:t>
      </w:r>
      <w:r>
        <w:rPr>
          <w:rFonts w:ascii="Arial" w:cs="Arial" w:eastAsia="Arial" w:hAnsi="Arial"/>
          <w:sz w:val="14"/>
          <w:szCs w:val="14"/>
          <w:color w:val="auto"/>
        </w:rPr>
        <w:t>: COVID-19 has impacted, and variant strains of COVID-19 or another highly transmissible and pathogenic infectious disease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may impact or continue to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4"/>
          <w:szCs w:val="14"/>
          <w:i w:val="1"/>
          <w:iCs w:val="1"/>
          <w:color w:val="auto"/>
        </w:rPr>
        <w:t>API</w:t>
      </w:r>
      <w:r>
        <w:rPr>
          <w:rFonts w:ascii="Arial" w:cs="Arial" w:eastAsia="Arial" w:hAnsi="Arial"/>
          <w:sz w:val="14"/>
          <w:szCs w:val="14"/>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Product Development, Regulatory Approval and Commercialization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4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CNS drug candidates will require substantial additional nonclinical and clinical</w:t>
      </w:r>
    </w:p>
    <w:p>
      <w:pPr>
        <w:sectPr>
          <w:pgSz w:w="11900" w:h="16843" w:orient="portrait"/>
          <w:cols w:equalWidth="0" w:num="1">
            <w:col w:w="11280"/>
          </w:cols>
          <w:pgMar w:left="300" w:top="129" w:right="319" w:bottom="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4"/>
          <w:szCs w:val="14"/>
          <w:color w:val="auto"/>
        </w:rPr>
        <w:t>development, manufacturing and regulatory approval before any of them may be commercialized, and there can be no assurance that any of them will ever achieve regulatory approval. Any new chemical entity (</w:t>
      </w:r>
      <w:r>
        <w:rPr>
          <w:rFonts w:ascii="Arial" w:cs="Arial" w:eastAsia="Arial" w:hAnsi="Arial"/>
          <w:sz w:val="14"/>
          <w:szCs w:val="14"/>
          <w:i w:val="1"/>
          <w:iCs w:val="1"/>
          <w:color w:val="auto"/>
        </w:rPr>
        <w:t>NCE</w:t>
      </w:r>
      <w:r>
        <w:rPr>
          <w:rFonts w:ascii="Arial" w:cs="Arial" w:eastAsia="Arial" w:hAnsi="Arial"/>
          <w:sz w:val="14"/>
          <w:szCs w:val="14"/>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are not permitted to market our product candidates in the U.S. until we receive approval of a New Drug Application (</w:t>
      </w:r>
      <w:r>
        <w:rPr>
          <w:rFonts w:ascii="Arial" w:cs="Arial" w:eastAsia="Arial" w:hAnsi="Arial"/>
          <w:sz w:val="15"/>
          <w:szCs w:val="15"/>
          <w:i w:val="1"/>
          <w:iCs w:val="1"/>
          <w:color w:val="auto"/>
        </w:rPr>
        <w:t>NDA</w:t>
      </w:r>
      <w:r>
        <w:rPr>
          <w:rFonts w:ascii="Arial" w:cs="Arial" w:eastAsia="Arial" w:hAnsi="Arial"/>
          <w:sz w:val="15"/>
          <w:szCs w:val="15"/>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55" w:lineRule="exact"/>
        <w:rPr>
          <w:sz w:val="20"/>
          <w:szCs w:val="20"/>
          <w:color w:val="auto"/>
        </w:rPr>
      </w:pPr>
    </w:p>
    <w:p>
      <w:pPr>
        <w:jc w:val="both"/>
        <w:ind w:left="460" w:right="20" w:hanging="272"/>
        <w:spacing w:after="0" w:line="26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54"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FDA advisory committee may recommend, or the FDA may require, a Risk Evaluation and Mitigation Strategies (</w:t>
      </w:r>
      <w:r>
        <w:rPr>
          <w:rFonts w:ascii="Arial" w:cs="Arial" w:eastAsia="Arial" w:hAnsi="Arial"/>
          <w:sz w:val="15"/>
          <w:szCs w:val="15"/>
          <w:i w:val="1"/>
          <w:iCs w:val="1"/>
          <w:color w:val="auto"/>
        </w:rPr>
        <w:t>REMS</w:t>
      </w:r>
      <w:r>
        <w:rPr>
          <w:rFonts w:ascii="Arial" w:cs="Arial" w:eastAsia="Arial" w:hAnsi="Arial"/>
          <w:sz w:val="15"/>
          <w:szCs w:val="15"/>
          <w:color w:val="auto"/>
        </w:rPr>
        <w:t>) safety program as a condition of approval or post-approval;</w:t>
      </w:r>
    </w:p>
    <w:p>
      <w:pPr>
        <w:spacing w:after="0" w:line="147" w:lineRule="exact"/>
        <w:rPr>
          <w:rFonts w:ascii="Arial" w:cs="Arial" w:eastAsia="Arial" w:hAnsi="Arial"/>
          <w:sz w:val="15"/>
          <w:szCs w:val="15"/>
          <w:color w:val="auto"/>
        </w:rPr>
      </w:pPr>
    </w:p>
    <w:p>
      <w:pPr>
        <w:ind w:left="460" w:right="20" w:hanging="272"/>
        <w:spacing w:after="0" w:line="27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FDA advisory committee or the FDA or applicable regulatory agency may determine that there is insufficient evidence of overall effectiveness or safety in a NDA and require additional clinical studies;</w:t>
      </w:r>
    </w:p>
    <w:p>
      <w:pPr>
        <w:spacing w:after="0" w:line="147"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5"/>
          <w:szCs w:val="15"/>
          <w:i w:val="1"/>
          <w:iCs w:val="1"/>
          <w:color w:val="auto"/>
        </w:rPr>
        <w:t>cGMPs</w:t>
      </w:r>
      <w:r>
        <w:rPr>
          <w:rFonts w:ascii="Arial" w:cs="Arial" w:eastAsia="Arial" w:hAnsi="Arial"/>
          <w:sz w:val="15"/>
          <w:szCs w:val="15"/>
          <w:color w:val="auto"/>
        </w:rPr>
        <w:t>); or</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FDA or applicable foreign regulatory agency may change its approval policies or adopt new regulations.</w:t>
      </w:r>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3"/>
          <w:szCs w:val="13"/>
          <w:i w:val="1"/>
          <w:iCs w:val="1"/>
          <w:color w:val="auto"/>
        </w:rPr>
        <w:t>QS</w:t>
      </w:r>
      <w:r>
        <w:rPr>
          <w:rFonts w:ascii="Arial" w:cs="Arial" w:eastAsia="Arial" w:hAnsi="Arial"/>
          <w:sz w:val="13"/>
          <w:szCs w:val="13"/>
          <w:color w:val="auto"/>
        </w:rPr>
        <w:t>) regulations applicable to medical devices. Problems associated with the device component of the combination product candidate may delay or prevent approval.</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1"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of earlier clinical trials may not be predictive of the results of later-stage clinical trials.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PALISADE Phase 3 Program, including PALISADE-1, any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For example, the results of planned clinical trials have been affected by supply chain disruptions experienced by certain of our CMOs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w:t>
      </w:r>
    </w:p>
    <w:p>
      <w:pPr>
        <w:sectPr>
          <w:pgSz w:w="11900" w:h="16838" w:orient="portrait"/>
          <w:cols w:equalWidth="0" w:num="1">
            <w:col w:w="11280"/>
          </w:cols>
          <w:pgMar w:left="300" w:top="129" w:right="319" w:bottom="0" w:gutter="0" w:footer="0" w:header="0"/>
        </w:sectPr>
      </w:pPr>
    </w:p>
    <w:bookmarkStart w:id="21" w:name="page22"/>
    <w:bookmarkEnd w:id="21"/>
    <w:p>
      <w:pPr>
        <w:jc w:val="both"/>
        <w:ind w:right="20"/>
        <w:spacing w:after="0" w:line="271" w:lineRule="auto"/>
        <w:rPr>
          <w:sz w:val="20"/>
          <w:szCs w:val="20"/>
          <w:color w:val="auto"/>
        </w:rPr>
      </w:pPr>
      <w:r>
        <w:rPr>
          <w:rFonts w:ascii="Arial" w:cs="Arial" w:eastAsia="Arial" w:hAnsi="Arial"/>
          <w:sz w:val="15"/>
          <w:szCs w:val="15"/>
          <w:color w:val="auto"/>
        </w:rPr>
        <w:t>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nonclinical and clinical trials.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If serious adverse events or other undesirable side effects or safety concerns attributable to our product candidates occur, including PH94B in the PALISADE Phase 3 Program, they may adversely affect or delay our clinical development and commercialization of PH94B, PH10 or AV-101.</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4"/>
          <w:szCs w:val="14"/>
          <w:i w:val="1"/>
          <w:iCs w:val="1"/>
          <w:color w:val="auto"/>
        </w:rPr>
        <w:t>SAEs</w:t>
      </w:r>
      <w:r>
        <w:rPr>
          <w:rFonts w:ascii="Arial" w:cs="Arial" w:eastAsia="Arial" w:hAnsi="Arial"/>
          <w:sz w:val="14"/>
          <w:szCs w:val="14"/>
          <w:color w:val="auto"/>
        </w:rPr>
        <w:t>) were observed in any clinical trials of any of our product candidates to date, if treatment-related SAEs or other undesirable side effects or safety concerns, or unexpected characteristics attributable to PH94B, PH10 and/or AV-101, are observed in any future clinical trials, including clinical studies in the PALISADE Phase 3 Program, and/or other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7" w:lineRule="exact"/>
        <w:rPr>
          <w:sz w:val="20"/>
          <w:szCs w:val="20"/>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regulatory authorities may withdraw, suspend, or limit approvals of such product and require us to take them off the market;</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specific warnings, a contraindication or field alerts to physicians and pharmacies;</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may be required to change the way a product is distributed or administered, conduct additional clinical trials or change the labeling of a product;</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may be required to conduct additional post-marketing studies or surveillance;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may be subject to limitations on how we may promote the product;</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sales of the product may decrease significantly;</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may be subject to regulatory investigations, government enforcement actions, litigation or product liability claims;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products may become less competitive or our reputation may suffer.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addition to PALISADE-1, we will need to complete at least one additional adequate and well-controlled Phase 3 clinical study to assess the efficacy, safety and tolerability of PH94B, additional toxicology and other standard nonclinical and clinical safety studies, as well as certain other clinical studies prior to our submission of an NDA for regulatory approval of PH94B as an acute treatment of anxiety in adults with SAD, or for any other anxiety disorder or phobia. For PH10, at present, we believe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a stand-alone rapid-onset treatment for MDD, or any other depression disorder. For AV-101 in combination with probenecid, at present, for treatment of any CNS indication, we believe we will need to complete at least one Phase 1B clinical study, two Phase 2 clinical studies, two adequate and well-controlled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54" w:lineRule="exact"/>
        <w:rPr>
          <w:sz w:val="20"/>
          <w:szCs w:val="20"/>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delays due to events resulting from the ongoing COVID-19 pandemic;</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regulatory authority may deny permission to proceed with planned clinical trials or any other clinical trials we may initiate, or may place a planned or ongoing clinical trial on hold;</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delays in filing or receiving approvals from regulatory authorities of additional INDs that may be required;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negative or ambiguous results from nonclinical or clinical studies;</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7"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inability to manufacture or obtain clinical supplies of a product candidate meeting required quality standards;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difficulties obtaining Institutional Review Board (</w:t>
      </w:r>
      <w:r>
        <w:rPr>
          <w:rFonts w:ascii="Arial" w:cs="Arial" w:eastAsia="Arial" w:hAnsi="Arial"/>
          <w:sz w:val="15"/>
          <w:szCs w:val="15"/>
          <w:i w:val="1"/>
          <w:iCs w:val="1"/>
          <w:color w:val="auto"/>
        </w:rPr>
        <w:t>IRB</w:t>
      </w:r>
      <w:r>
        <w:rPr>
          <w:rFonts w:ascii="Arial" w:cs="Arial" w:eastAsia="Arial" w:hAnsi="Arial"/>
          <w:sz w:val="15"/>
          <w:szCs w:val="15"/>
          <w:color w:val="auto"/>
        </w:rPr>
        <w:t>) approval to conduct a clinical trial at a prospective clinical site or sites;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challenges in recruiting and enrolling patients to participate in clinical trials, including the proximity of patients to clinical trial sites;</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severe or unexpected adverse drug-related side effects experienced by patients in a clinical trial;</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delays in validating any endpoints utilized in a clinical trial;</w:t>
      </w:r>
    </w:p>
    <w:p>
      <w:pPr>
        <w:sectPr>
          <w:pgSz w:w="11900" w:h="16838" w:orient="portrait"/>
          <w:cols w:equalWidth="0" w:num="1">
            <w:col w:w="11280"/>
          </w:cols>
          <w:pgMar w:left="300" w:top="129" w:right="319" w:bottom="0" w:gutter="0" w:footer="0" w:header="0"/>
        </w:sectPr>
      </w:pPr>
    </w:p>
    <w:bookmarkStart w:id="22" w:name="page23"/>
    <w:bookmarkEnd w:id="22"/>
    <w:p>
      <w:pPr>
        <w:ind w:left="460" w:right="20" w:hanging="272"/>
        <w:spacing w:after="0" w:line="271"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reports from nonclinical or clinical testing of other CNS indications or therapies that raise safety or efficacy concerns; and</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retaining patients who have enrolled in a clinical trial but may be prone to withdraw due to rigors of the clinical trial, lack of efficacy, side effects, personal issues or loss of interest.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5"/>
          <w:szCs w:val="15"/>
          <w:i w:val="1"/>
          <w:iCs w:val="1"/>
          <w:color w:val="auto"/>
        </w:rPr>
        <w:t>DSMB</w:t>
      </w:r>
      <w:r>
        <w:rPr>
          <w:rFonts w:ascii="Arial" w:cs="Arial" w:eastAsia="Arial" w:hAnsi="Arial"/>
          <w:sz w:val="15"/>
          <w:szCs w:val="15"/>
          <w:color w:val="auto"/>
        </w:rPr>
        <w:t>), overseeing the clinical trial at issue or other regulatory authorities due to a number of factors, including, among others:</w:t>
      </w:r>
    </w:p>
    <w:p>
      <w:pPr>
        <w:spacing w:after="0" w:line="155" w:lineRule="exact"/>
        <w:rPr>
          <w:sz w:val="20"/>
          <w:szCs w:val="20"/>
          <w:color w:val="auto"/>
        </w:rPr>
      </w:pPr>
    </w:p>
    <w:p>
      <w:pPr>
        <w:ind w:left="460" w:hanging="27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failure to conduct the clinical trial in accordance with regulatory requirements or approved clinical protocols;</w:t>
      </w:r>
    </w:p>
    <w:p>
      <w:pPr>
        <w:spacing w:after="0" w:line="185" w:lineRule="exact"/>
        <w:rPr>
          <w:rFonts w:ascii="Arial" w:cs="Arial" w:eastAsia="Arial" w:hAnsi="Arial"/>
          <w:sz w:val="15"/>
          <w:szCs w:val="15"/>
          <w:color w:val="auto"/>
        </w:rPr>
      </w:pPr>
    </w:p>
    <w:p>
      <w:pPr>
        <w:ind w:left="460" w:right="20" w:hanging="272"/>
        <w:spacing w:after="0" w:line="271"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unforeseen safety issues, including any that could be identified in nonclinical carcinogenicity studies, adverse side effects or lack of effectiveness;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changes in government regulations or administrative actions;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problems with clinical supply materials that may lead to regulatory actions;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lack of adequate funding to continue nonclinical or clinical studies.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61" w:lineRule="exact"/>
        <w:rPr>
          <w:sz w:val="20"/>
          <w:szCs w:val="20"/>
          <w:color w:val="auto"/>
        </w:rPr>
      </w:pPr>
    </w:p>
    <w:p>
      <w:pPr>
        <w:ind w:left="460" w:hanging="27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experience disruptions to their operations, such as reduced staffing and supply chain disruptions, as a result of the ongoing COVID-19 pandemic;</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have staffing difficulties and/or undertake obligations beyond their anticipated capabilities and resources;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fail to comply with contractual obligations;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experience regulatory compliance issues;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undergo changes in priorities or become financially distressed; or</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relationships with other entities, some of which may be our competitors.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4"/>
          <w:szCs w:val="14"/>
          <w:i w:val="1"/>
          <w:iCs w:val="1"/>
          <w:color w:val="auto"/>
        </w:rPr>
        <w:t>cGCPs</w:t>
      </w:r>
      <w:r>
        <w:rPr>
          <w:rFonts w:ascii="Arial" w:cs="Arial" w:eastAsia="Arial" w:hAnsi="Arial"/>
          <w:sz w:val="14"/>
          <w:szCs w:val="14"/>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w:t>
      </w:r>
    </w:p>
    <w:p>
      <w:pPr>
        <w:sectPr>
          <w:pgSz w:w="11900" w:h="16838" w:orient="portrait"/>
          <w:cols w:equalWidth="0" w:num="1">
            <w:col w:w="11280"/>
          </w:cols>
          <w:pgMar w:left="300" w:top="308" w:right="319" w:bottom="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5"/>
          <w:szCs w:val="15"/>
          <w:color w:val="auto"/>
        </w:rPr>
        <w:t>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4"/>
          <w:szCs w:val="14"/>
          <w:b w:val="1"/>
          <w:bCs w:val="1"/>
          <w:i w:val="1"/>
          <w:iCs w:val="1"/>
          <w:color w:val="auto"/>
        </w:rPr>
        <w:t>We rely completely on third-parties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49"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4"/>
          <w:szCs w:val="14"/>
          <w:i w:val="1"/>
          <w:iCs w:val="1"/>
          <w:color w:val="auto"/>
        </w:rPr>
        <w:t>QSR</w:t>
      </w:r>
      <w:r>
        <w:rPr>
          <w:rFonts w:ascii="Arial" w:cs="Arial" w:eastAsia="Arial" w:hAnsi="Arial"/>
          <w:sz w:val="14"/>
          <w:szCs w:val="14"/>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Before we can commercialize our product candidates in the U.S. or any market outside the U.S., the U.S. Drug Enforcement Administration (</w:t>
      </w:r>
      <w:r>
        <w:rPr>
          <w:rFonts w:ascii="Arial" w:cs="Arial" w:eastAsia="Arial" w:hAnsi="Arial"/>
          <w:sz w:val="14"/>
          <w:szCs w:val="14"/>
          <w:i w:val="1"/>
          <w:iCs w:val="1"/>
          <w:color w:val="auto"/>
        </w:rPr>
        <w:t>DEA</w:t>
      </w:r>
      <w:r>
        <w:rPr>
          <w:rFonts w:ascii="Arial" w:cs="Arial" w:eastAsia="Arial" w:hAnsi="Arial"/>
          <w:sz w:val="14"/>
          <w:szCs w:val="14"/>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w:t>
      </w:r>
    </w:p>
    <w:p>
      <w:pPr>
        <w:sectPr>
          <w:pgSz w:w="11900" w:h="16838" w:orient="portrait"/>
          <w:cols w:equalWidth="0" w:num="1">
            <w:col w:w="11280"/>
          </w:cols>
          <w:pgMar w:left="300" w:top="129" w:right="319" w:bottom="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5"/>
          <w:szCs w:val="15"/>
          <w:color w:val="auto"/>
        </w:rPr>
        <w:t>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55" w:lineRule="exact"/>
        <w:rPr>
          <w:sz w:val="20"/>
          <w:szCs w:val="20"/>
          <w:color w:val="auto"/>
        </w:rPr>
      </w:pPr>
    </w:p>
    <w:p>
      <w:pPr>
        <w:ind w:left="460" w:hanging="272"/>
        <w:spacing w:after="0" w:line="271"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limitations or warnings contained in the labeling approved for our product candidates by the FDA or other applicable regulatory authorities;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availability of alternative treatments already approved or expected to be commercially launched in the near future;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 and timing of market introduction of competitive products;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publicity concerning our products or competing products and treatments;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pricing and cost effectiveness;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effectiveness of our sales and marketing strategies;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increase awareness of our product candidates through marketing efforts;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obtain sufficient third-party coverage or reimbursement; or</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willingness of patients to pay out-of-pocket in the absence of third-party coverage.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our CNS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8" w:lineRule="exact"/>
        <w:rPr>
          <w:sz w:val="20"/>
          <w:szCs w:val="20"/>
          <w:color w:val="auto"/>
        </w:rPr>
      </w:pPr>
    </w:p>
    <w:p>
      <w:pPr>
        <w:ind w:left="460" w:hanging="27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regulatory authorities may withdraw or limit their approval of such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such as a “black box” warning or a contraindication;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may be required to change the way such product candidates are distributed or administered, conduct additional clinical trials or change the labeling of the product candidates;</w:t>
      </w:r>
    </w:p>
    <w:p>
      <w:pPr>
        <w:spacing w:after="0" w:line="208" w:lineRule="exact"/>
        <w:rPr>
          <w:rFonts w:ascii="Arial" w:cs="Arial" w:eastAsia="Arial" w:hAnsi="Arial"/>
          <w:sz w:val="13"/>
          <w:szCs w:val="13"/>
          <w:color w:val="auto"/>
        </w:rPr>
      </w:pPr>
    </w:p>
    <w:p>
      <w:pPr>
        <w:ind w:left="460" w:hanging="27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may be subject to regulatory investigations and government enforcement actions;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may decide to remove such product candidates from the marketplace;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could be sued and held liable for injury caused to individuals exposed to or taking our product candidates;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reputation may suffer.</w:t>
      </w:r>
    </w:p>
    <w:p>
      <w:pPr>
        <w:sectPr>
          <w:pgSz w:w="11900" w:h="16838" w:orient="portrait"/>
          <w:cols w:equalWidth="0" w:num="1">
            <w:col w:w="11280"/>
          </w:cols>
          <w:pgMar w:left="300" w:top="129" w:right="319" w:bottom="0" w:gutter="0" w:footer="0" w:header="0"/>
        </w:sectPr>
      </w:pPr>
    </w:p>
    <w:bookmarkStart w:id="25" w:name="page26"/>
    <w:bookmarkEnd w:id="25"/>
    <w:p>
      <w:pPr>
        <w:spacing w:after="0" w:line="26"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we receive marketing approval for our CNS product candidates, we may still face future development and regulatory difficulties.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61" w:lineRule="exact"/>
        <w:rPr>
          <w:sz w:val="20"/>
          <w:szCs w:val="20"/>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issue warning letters or untitled letters;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seek an injunction or impose civil or criminal penalties or monetary fines;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suspend or withdraw marketing approval;</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suspend any ongoing clinical trials;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refuse to approve pending applications or supplements to applications submitted by us;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suspend or impose restrictions on operations, including costly new manufacturing requirements; or</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seize or detain products, refuse to permit the import or export of products, or require that we initiate a product recall.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Competing therapies could emerge adversely affecting our opportunity to generate revenue from the sale of our CNS product candidates.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Currently, management is unaware of any FDA-approved rapid-onset, acute treatment of anxiety in adults with SAD having the same mechanism of pharmacological action and safety profile as our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3"/>
          <w:szCs w:val="13"/>
          <w:i w:val="1"/>
          <w:iCs w:val="1"/>
          <w:color w:val="auto"/>
        </w:rPr>
        <w:t>ECT</w:t>
      </w:r>
      <w:r>
        <w:rPr>
          <w:rFonts w:ascii="Arial" w:cs="Arial" w:eastAsia="Arial" w:hAnsi="Arial"/>
          <w:sz w:val="13"/>
          <w:szCs w:val="13"/>
          <w:color w:val="auto"/>
        </w:rPr>
        <w:t>) are used before or instead of standard antidepressant medications to treat patients with MDD.</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AffaMed Therapeutics (formerly EverInsight Therapeutics) in June 2020 for the development and commercialization of PH94B in Greater China, South Korea and Southeast Asia.</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may derive revenue from research and development fees, license fees, milestone payments and royalties under any collaborative arrangement into which we enter, including the AffaMed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w:t>
      </w:r>
    </w:p>
    <w:p>
      <w:pPr>
        <w:sectPr>
          <w:pgSz w:w="11900" w:h="16864" w:orient="portrait"/>
          <w:cols w:equalWidth="0" w:num="1">
            <w:col w:w="11280"/>
          </w:cols>
          <w:pgMar w:left="300" w:top="129" w:right="319" w:bottom="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5"/>
          <w:szCs w:val="15"/>
          <w:color w:val="auto"/>
        </w:rPr>
        <w:t>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1" w:lineRule="exact"/>
        <w:rPr>
          <w:sz w:val="20"/>
          <w:szCs w:val="20"/>
          <w:color w:val="auto"/>
        </w:rPr>
      </w:pPr>
    </w:p>
    <w:p>
      <w:pPr>
        <w:jc w:val="both"/>
        <w:spacing w:after="0" w:line="350" w:lineRule="auto"/>
        <w:rPr>
          <w:sz w:val="20"/>
          <w:szCs w:val="20"/>
          <w:color w:val="auto"/>
        </w:rPr>
      </w:pPr>
      <w:r>
        <w:rPr>
          <w:rFonts w:ascii="Arial" w:cs="Arial" w:eastAsia="Arial" w:hAnsi="Arial"/>
          <w:sz w:val="13"/>
          <w:szCs w:val="13"/>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We strategically focus on a limited number of research and development programs and product candidates and are currently focused primarily on development of PH94B, PH10 and AV-</w:t>
      </w:r>
    </w:p>
    <w:p>
      <w:pPr>
        <w:spacing w:after="0" w:line="39" w:lineRule="exact"/>
        <w:rPr>
          <w:sz w:val="20"/>
          <w:szCs w:val="20"/>
          <w:color w:val="auto"/>
        </w:rPr>
      </w:pPr>
    </w:p>
    <w:p>
      <w:pPr>
        <w:jc w:val="both"/>
        <w:ind w:firstLine="9"/>
        <w:spacing w:after="0" w:line="298" w:lineRule="auto"/>
        <w:tabs>
          <w:tab w:leader="none" w:pos="308"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4" w:lineRule="exact"/>
        <w:rPr>
          <w:sz w:val="20"/>
          <w:szCs w:val="20"/>
          <w:color w:val="auto"/>
        </w:rPr>
      </w:pPr>
    </w:p>
    <w:p>
      <w:pPr>
        <w:jc w:val="both"/>
        <w:ind w:left="460" w:hanging="272"/>
        <w:spacing w:after="0" w:line="26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54" w:lineRule="exact"/>
        <w:rPr>
          <w:rFonts w:ascii="Arial" w:cs="Arial" w:eastAsia="Arial" w:hAnsi="Arial"/>
          <w:sz w:val="15"/>
          <w:szCs w:val="15"/>
          <w:color w:val="auto"/>
        </w:rPr>
      </w:pPr>
    </w:p>
    <w:p>
      <w:pPr>
        <w:jc w:val="both"/>
        <w:ind w:left="460" w:hanging="272"/>
        <w:spacing w:after="0" w:line="26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54" w:lineRule="exact"/>
        <w:rPr>
          <w:rFonts w:ascii="Arial" w:cs="Arial" w:eastAsia="Arial" w:hAnsi="Arial"/>
          <w:sz w:val="15"/>
          <w:szCs w:val="15"/>
          <w:color w:val="auto"/>
        </w:rPr>
      </w:pPr>
    </w:p>
    <w:p>
      <w:pPr>
        <w:jc w:val="both"/>
        <w:ind w:left="460" w:hanging="272"/>
        <w:spacing w:after="0" w:line="26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54"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47" w:lineRule="exact"/>
        <w:rPr>
          <w:rFonts w:ascii="Arial" w:cs="Arial" w:eastAsia="Arial" w:hAnsi="Arial"/>
          <w:sz w:val="15"/>
          <w:szCs w:val="15"/>
          <w:color w:val="auto"/>
        </w:rPr>
      </w:pPr>
    </w:p>
    <w:p>
      <w:pPr>
        <w:jc w:val="both"/>
        <w:ind w:left="460" w:hanging="272"/>
        <w:spacing w:after="0" w:line="287"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37" w:lineRule="exact"/>
        <w:rPr>
          <w:rFonts w:ascii="Arial" w:cs="Arial" w:eastAsia="Arial" w:hAnsi="Arial"/>
          <w:sz w:val="14"/>
          <w:szCs w:val="14"/>
          <w:color w:val="auto"/>
        </w:rPr>
      </w:pPr>
    </w:p>
    <w:p>
      <w:pPr>
        <w:jc w:val="both"/>
        <w:ind w:left="460" w:hanging="272"/>
        <w:spacing w:after="0" w:line="26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54"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Foreign Corrupt Practices Act and its application to marketing and selling practices as well as to clinical trials.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ectPr>
          <w:pgSz w:w="11900" w:h="16838" w:orient="portrait"/>
          <w:cols w:equalWidth="0" w:num="1">
            <w:col w:w="11280"/>
          </w:cols>
          <w:pgMar w:left="300" w:top="129" w:right="319" w:bottom="0" w:gutter="0" w:footer="0" w:header="0"/>
        </w:sectPr>
      </w:pPr>
    </w:p>
    <w:bookmarkStart w:id="27" w:name="page28"/>
    <w:bookmarkEnd w:id="27"/>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approved, reimbursement policies could limit our ability to sell our CNS product candidates.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55" w:lineRule="exact"/>
        <w:rPr>
          <w:sz w:val="20"/>
          <w:szCs w:val="20"/>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customers’ ability to obtain reimbursement for our product candidates in foreign markets;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inability to directly control commercial activities because we are relying on third parties;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burden of complying with complex and changing foreign regulatory, tax, accounting and legal requirements;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different medical practices and customs in foreign countries affecting acceptance in the marketplace;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import or export licensing requirements;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longer accounts receivable collection times;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longer lead times for shipping;</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language barriers for technical training;</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reduced protection of intellectual property rights, different standards of patentability and different availability of prior art in some foreign countries as compared with the U.S.;</w:t>
      </w:r>
    </w:p>
    <w:p>
      <w:pPr>
        <w:spacing w:after="0" w:line="196" w:lineRule="exact"/>
        <w:rPr>
          <w:rFonts w:ascii="Arial" w:cs="Arial" w:eastAsia="Arial" w:hAnsi="Arial"/>
          <w:sz w:val="14"/>
          <w:szCs w:val="14"/>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existence of additional potentially relevant third-party intellectual property rights;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foreign currency exchange rate fluctuations;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interpretation of contractual provisions governed by foreign laws in the event of a contract dispute.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Foreign sales of our product candidates could also be adversely affected by the imposition of governmental controls, political and economic instability, trade restrictions and changes in tariffs.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We are a development 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are a development 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ectPr>
          <w:pgSz w:w="11900" w:h="16838" w:orient="portrait"/>
          <w:cols w:equalWidth="0" w:num="1">
            <w:col w:w="11280"/>
          </w:cols>
          <w:pgMar w:left="300" w:top="129" w:right="319" w:bottom="0" w:gutter="0" w:footer="0" w:header="0"/>
        </w:sectPr>
      </w:pPr>
    </w:p>
    <w:bookmarkStart w:id="28" w:name="page29"/>
    <w:bookmarkEnd w:id="28"/>
    <w:p>
      <w:pPr>
        <w:spacing w:after="0" w:line="26" w:lineRule="exact"/>
        <w:rPr>
          <w:sz w:val="20"/>
          <w:szCs w:val="20"/>
          <w:color w:val="auto"/>
        </w:rPr>
      </w:pPr>
    </w:p>
    <w:p>
      <w:pPr>
        <w:ind w:left="460" w:hanging="27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develop and obtain required regulatory approvals for commercialization of PH94B, PH10, AV-101 and/or other CNS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maintain, leverage and expand our intellectual property portfolio;</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establish and maintain sales, distribution and marketing capabilities, and/or enter into strategic partnering arrangements to access such capabilities;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gain market acceptance for our product candidates; and</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obtain adequate capital resources and manage our spending as costs and expenses increase due to research, production, development, regulatory approval and commercialization of product candidates.</w:t>
      </w:r>
    </w:p>
    <w:p>
      <w:pPr>
        <w:spacing w:after="0" w:line="14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2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Financial Position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have incurred significant net losses in each fiscal year since our inception in 1998, including net losses of approximately $17.9 million and $20.8 million during our fiscal years ended March 31, 2021 and 2020, respectively, and approximately $7.7 million during the quarter ended June 30, 2021. At June 30, 2021, we had an accumulated deficit of approximately $227.6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planned nonclinical and clinical studies, and out-sourced manufacturing, of our product candidates. In addition, if we obtain marketing approval for our product candidates, we expect to incur significant commercial operations expenses, including medical education, sales and marketing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Our ability to become profitable depends upon our ability to generate recurring revenues. Through June 30, 2021, we have generated approximately $22.7 million in revenues, consisting of receipts of non-dilutive cash payments from collaborators, sublicense revenue, including the $5.0 million cash payment received under the AffaMed Agreement during the quarter ended September 30, 2020, the majority of which remains recorded as deferred revenue at June 30, 2021,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49" w:lineRule="exact"/>
        <w:rPr>
          <w:sz w:val="20"/>
          <w:szCs w:val="20"/>
          <w:color w:val="auto"/>
        </w:rPr>
      </w:pPr>
    </w:p>
    <w:p>
      <w:pPr>
        <w:ind w:left="460" w:hanging="27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initiate and successfully complete nonclinical and clinical trials that meet their prescribed endpoints;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initiate and successfully complete all safety studies required to obtain U.S. and foreign marketing approval for our CNS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timely complete and compose successful regulatory submissions such as NDAs or comparable documents for both the U.S. and foreign jurisdictions;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commercialize our CNS product candidates, if approved, by developing a sales force and/or entering into collaborations with third parties for sales and marketing capabilities; and</w:t>
      </w:r>
    </w:p>
    <w:p>
      <w:pPr>
        <w:spacing w:after="0" w:line="208" w:lineRule="exact"/>
        <w:rPr>
          <w:rFonts w:ascii="Arial" w:cs="Arial" w:eastAsia="Arial" w:hAnsi="Arial"/>
          <w:sz w:val="13"/>
          <w:szCs w:val="13"/>
          <w:color w:val="auto"/>
        </w:rPr>
      </w:pPr>
    </w:p>
    <w:p>
      <w:pPr>
        <w:ind w:left="460" w:hanging="27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achieve market acceptance of our CNS product candidates in the medical community and with third-party payors.</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If our PH94B PALISADE Phase 3 Program for the acute treatment of anxiety in adults with SAD is successful, unless we enter into a contractual arrangement for the commercialization of PH94B in the U.S., we expect to incur significant sales and marketing costs as we prepare to commercialize PH94B on our own in the U.S. Even if we initiate and successfully complete the PALISADE Phase 3 Program and similar programs for our other CNS product candidates, and all of our CNS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require additional financing to execute our long-term business plan.</w:t>
      </w:r>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Since our inception, a substantial portion of our resources have been dedicated to research and development of AV-101 and VistaStem’s stem cell technology platform. In particular, (i) for AV-101, we have expended substantial resources on research and development of methods and processes relating to the production of API and drug product, IND-enabling preclinical</w:t>
      </w:r>
    </w:p>
    <w:p>
      <w:pPr>
        <w:sectPr>
          <w:pgSz w:w="11900" w:h="16864" w:orient="portrait"/>
          <w:cols w:equalWidth="0" w:num="1">
            <w:col w:w="11280"/>
          </w:cols>
          <w:pgMar w:left="300" w:top="308" w:right="319" w:bottom="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5"/>
          <w:szCs w:val="15"/>
          <w:color w:val="auto"/>
        </w:rPr>
        <w:t>studies, Phase 1 clinical safety studies, and a Phase 2 clinical study completed in 2019 and (ii) for VistaStem, development of cardiac stem cell technology. In addition, beginning in 2018, we have expended a considerable portion of our resources for research, development, manufacturing and regulatory expenses related to the development and production of PH94B, including costs related to the PALISADE Phase 3 Program, and PH10. We expect to continue to expend substantial resources for the foreseeable future developing and commercializing our CNS product candidates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At June 30, 2021, we had cash and cash equivalents of approximately $97.8 million. We believe this amount is sufficient to enable us to fund our planned operations for at least the twelve months following the issuance of the financial statements included elsewhere in this Report.</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license arrangements involving our stem cell technology, or (iii) obtain approval from the FDA or other regulatory authorities and successfully commercialize PH94B, on our own or through a future collaboration, or one of our other product candidates.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current CNS product candidates, on our own or in collaboration with others. As in prior periods, we will continue to incur substantial costs associated with other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our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Our future capital requirements may depend on many factors, including:</w:t>
      </w:r>
    </w:p>
    <w:p>
      <w:pPr>
        <w:spacing w:after="0" w:line="185" w:lineRule="exact"/>
        <w:rPr>
          <w:sz w:val="20"/>
          <w:szCs w:val="20"/>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number and characteristics of the product candidates we pursue;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scope, progress, results and costs of researching and developing our product candidates, and conducting preclinical and clinical studies;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timing of, and the costs involved in, obtaining regulatory approvals for our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 of commercialization activities if any of our product candidates are approved for sale, including marketing, sales and distribution costs;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 of manufacturing and formulating our product candidates and any products we successfully commercialize;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establish and maintain strategic partnerships, licensing or other collaborative arrangements and the financial terms of such agreements;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market acceptance of our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obtain government funding for our research and development programs;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costs involved in obtaining, maintaining and enforcing patents to preserve our intellectual property;</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timing, receipt and amount of potential future licensee fees, milestone payments, and sales of, or royalties on, our future products, if any;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extent to which we may acquire or invest in additional businesses, product candidates and technologies.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Current volatile and/or recessionary economic conditions in the U.S. or abroad could adversely affect our business or our access to capital markets in a material manner.</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ectPr>
          <w:pgSz w:w="11900" w:h="16838" w:orient="portrait"/>
          <w:cols w:equalWidth="0" w:num="1">
            <w:col w:w="11280"/>
          </w:cols>
          <w:pgMar w:left="300" w:top="129" w:right="319" w:bottom="0" w:gutter="0" w:footer="0" w:header="0"/>
        </w:sectPr>
      </w:pPr>
    </w:p>
    <w:bookmarkStart w:id="30" w:name="page31"/>
    <w:bookmarkEnd w:id="30"/>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have identified and are now taking steps to correct material weaknesses in our internal control over financial reporting. In particular, we concluded that (i) the size of our staff has not allowed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have utilized accounting software that did not prevent erroneous or unauthorized changes to previous reporting periods and/or could be adjusted so as to not provide an adequate auditing trail of entries made in the accounting software. 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auditing trail of entries made in the accounting software.</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may pursue private and public equity offerings, debt financings, strategic collaborations and licensing arrangements in the future.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47"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We will require additional financing to fund future operations, including our research and development activities for our CNS product candidates and our anticipated pre-launch commercialization activities, assuming our clinical development programs are successful and we receive necessary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net operating losses to offset future taxable income is subject to certain limitations.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As of March 31, 2021, we had federal and state net operating loss carryforwards of approximately $139.2 million and $64.6 million, respectively, which have begun to expire in fiscal 2022 and will continue to expire in future periods. Under Section 382 of the Internal Revenue Code of 1986, as amended (the </w:t>
      </w:r>
      <w:r>
        <w:rPr>
          <w:rFonts w:ascii="Arial" w:cs="Arial" w:eastAsia="Arial" w:hAnsi="Arial"/>
          <w:sz w:val="15"/>
          <w:szCs w:val="15"/>
          <w:i w:val="1"/>
          <w:iCs w:val="1"/>
          <w:color w:val="auto"/>
        </w:rPr>
        <w:t>Code</w:t>
      </w:r>
      <w:r>
        <w:rPr>
          <w:rFonts w:ascii="Arial" w:cs="Arial" w:eastAsia="Arial" w:hAnsi="Arial"/>
          <w:sz w:val="15"/>
          <w:szCs w:val="15"/>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Company-Related Risks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and retain senior management and key scientific personnel, we may be unable to successfully produce, develop and commercialize our product candidates.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success depends in part on our continued ability to attract, retain and motivate highly qualified management and technical personnel across multiple key functions, including, but not limited to clinical operations, commercial operations, manufacturing, and regulatory affairs. We are highly dependent upon our Chief Executive Officer, President and Chief Scientific Officer, Chief Medical Officer, Chief Financial Officer, Chief Commercial Officer and Senior Vice President – Head of CMC, as well as our other employees, advisors, consultants and scientific and clinical collaborators. As of the date of this Report, we have 24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administrative, research and development, manufacturing, regulatory and commercial activities. We may not be able to attract and retain quality personnel on acceptable terms.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we seek to advance development of our product candidates, we will need to further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and commercial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w:t>
      </w:r>
    </w:p>
    <w:p>
      <w:pPr>
        <w:sectPr>
          <w:pgSz w:w="11900" w:h="16838" w:orient="portrait"/>
          <w:cols w:equalWidth="0" w:num="1">
            <w:col w:w="11280"/>
          </w:cols>
          <w:pgMar w:left="300" w:top="129" w:right="319" w:bottom="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5"/>
          <w:szCs w:val="15"/>
          <w:color w:val="auto"/>
        </w:rPr>
        <w:t>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55" w:lineRule="exact"/>
        <w:rPr>
          <w:sz w:val="20"/>
          <w:szCs w:val="20"/>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decreased demand for product candidates that we may develop;</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injury to our reputation;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costs to defend the related litigation;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diversion of management's time and our resources;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 or</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product recalls, withdrawals or labeling, marketing or promotional restrictions.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or political conditions could adversely affect our business, financial condition or results of operations.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politics in the U.S. could diminish the value of the pharmaceutical industry, thereby diminishing the value of our securities.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current political environment in the U.S. has led many incumbents and political candidates to propose various measures to reduce the prices for pharmaceuticals. As a result of the 2020 U.S. presidential election,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 Rights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ectPr>
          <w:pgSz w:w="11900" w:h="16838" w:orient="portrait"/>
          <w:cols w:equalWidth="0" w:num="1">
            <w:col w:w="11280"/>
          </w:cols>
          <w:pgMar w:left="300" w:top="129" w:right="319" w:bottom="0" w:gutter="0" w:footer="0" w:header="0"/>
        </w:sectPr>
      </w:pPr>
    </w:p>
    <w:bookmarkStart w:id="32" w:name="page33"/>
    <w:bookmarkEnd w:id="32"/>
    <w:p>
      <w:pPr>
        <w:jc w:val="both"/>
        <w:spacing w:after="0" w:line="308" w:lineRule="auto"/>
        <w:rPr>
          <w:sz w:val="20"/>
          <w:szCs w:val="20"/>
          <w:color w:val="auto"/>
        </w:rPr>
      </w:pPr>
      <w:r>
        <w:rPr>
          <w:rFonts w:ascii="Arial" w:cs="Arial" w:eastAsia="Arial" w:hAnsi="Arial"/>
          <w:sz w:val="13"/>
          <w:szCs w:val="13"/>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4"/>
          <w:szCs w:val="14"/>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4"/>
          <w:szCs w:val="14"/>
          <w:i w:val="1"/>
          <w:iCs w:val="1"/>
          <w:color w:val="auto"/>
        </w:rPr>
        <w:t>USPTO</w:t>
      </w:r>
      <w:r>
        <w:rPr>
          <w:rFonts w:ascii="Arial" w:cs="Arial" w:eastAsia="Arial" w:hAnsi="Arial"/>
          <w:sz w:val="14"/>
          <w:szCs w:val="14"/>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50" w:lineRule="exact"/>
        <w:rPr>
          <w:sz w:val="20"/>
          <w:szCs w:val="20"/>
          <w:color w:val="auto"/>
        </w:rPr>
      </w:pPr>
    </w:p>
    <w:p>
      <w:pPr>
        <w:jc w:val="both"/>
        <w:ind w:right="20"/>
        <w:spacing w:after="0" w:line="350" w:lineRule="auto"/>
        <w:rPr>
          <w:sz w:val="20"/>
          <w:szCs w:val="20"/>
          <w:color w:val="auto"/>
        </w:rPr>
      </w:pPr>
      <w:r>
        <w:rPr>
          <w:rFonts w:ascii="Arial" w:cs="Arial" w:eastAsia="Arial" w:hAnsi="Arial"/>
          <w:sz w:val="13"/>
          <w:szCs w:val="13"/>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01"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USPTO, the European Patent Office (</w:t>
      </w:r>
      <w:r>
        <w:rPr>
          <w:rFonts w:ascii="Arial" w:cs="Arial" w:eastAsia="Arial" w:hAnsi="Arial"/>
          <w:sz w:val="14"/>
          <w:szCs w:val="14"/>
          <w:i w:val="1"/>
          <w:iCs w:val="1"/>
          <w:color w:val="auto"/>
        </w:rPr>
        <w:t>EPO</w:t>
      </w:r>
      <w:r>
        <w:rPr>
          <w:rFonts w:ascii="Arial" w:cs="Arial" w:eastAsia="Arial" w:hAnsi="Arial"/>
          <w:sz w:val="14"/>
          <w:szCs w:val="14"/>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3"/>
          <w:szCs w:val="13"/>
          <w:i w:val="1"/>
          <w:iCs w:val="1"/>
          <w:color w:val="auto"/>
        </w:rPr>
        <w:t>ex</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parte </w:t>
      </w:r>
      <w:r>
        <w:rPr>
          <w:rFonts w:ascii="Arial" w:cs="Arial" w:eastAsia="Arial" w:hAnsi="Arial"/>
          <w:sz w:val="13"/>
          <w:szCs w:val="13"/>
          <w:color w:val="auto"/>
        </w:rPr>
        <w:t>reexamination,</w:t>
      </w:r>
      <w:r>
        <w:rPr>
          <w:rFonts w:ascii="Arial" w:cs="Arial" w:eastAsia="Arial" w:hAnsi="Arial"/>
          <w:sz w:val="13"/>
          <w:szCs w:val="13"/>
          <w:i w:val="1"/>
          <w:iCs w:val="1"/>
          <w:color w:val="auto"/>
        </w:rPr>
        <w:t xml:space="preserve"> inter partes </w:t>
      </w:r>
      <w:r>
        <w:rPr>
          <w:rFonts w:ascii="Arial" w:cs="Arial" w:eastAsia="Arial" w:hAnsi="Arial"/>
          <w:sz w:val="13"/>
          <w:szCs w:val="13"/>
          <w:color w:val="auto"/>
        </w:rPr>
        <w:t>review proceedings, supplemental examination and challenges in district court. Patents may be subjected to opposition, post-grant review, invalidity</w:t>
      </w:r>
      <w:r>
        <w:rPr>
          <w:rFonts w:ascii="Arial" w:cs="Arial" w:eastAsia="Arial" w:hAnsi="Arial"/>
          <w:sz w:val="13"/>
          <w:szCs w:val="13"/>
          <w:i w:val="1"/>
          <w:iCs w:val="1"/>
          <w:color w:val="auto"/>
        </w:rPr>
        <w:t xml:space="preserve"> </w:t>
      </w:r>
      <w:r>
        <w:rPr>
          <w:rFonts w:ascii="Arial" w:cs="Arial" w:eastAsia="Arial" w:hAnsi="Arial"/>
          <w:sz w:val="13"/>
          <w:szCs w:val="13"/>
          <w:color w:val="auto"/>
        </w:rPr>
        <w:t>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ectPr>
          <w:pgSz w:w="11900" w:h="16838" w:orient="portrait"/>
          <w:cols w:equalWidth="0" w:num="1">
            <w:col w:w="11280"/>
          </w:cols>
          <w:pgMar w:left="300" w:top="308" w:right="319" w:bottom="0" w:gutter="0" w:footer="0" w:header="0"/>
        </w:sectPr>
      </w:pPr>
    </w:p>
    <w:bookmarkStart w:id="33" w:name="page34"/>
    <w:bookmarkEnd w:id="33"/>
    <w:p>
      <w:pPr>
        <w:jc w:val="both"/>
        <w:spacing w:after="0" w:line="280" w:lineRule="auto"/>
        <w:rPr>
          <w:sz w:val="20"/>
          <w:szCs w:val="20"/>
          <w:color w:val="auto"/>
        </w:rPr>
      </w:pPr>
      <w:r>
        <w:rPr>
          <w:rFonts w:ascii="Arial" w:cs="Arial" w:eastAsia="Arial" w:hAnsi="Arial"/>
          <w:sz w:val="14"/>
          <w:szCs w:val="14"/>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Overall, the degree of future protection for our proprietary rights is uncertain, and we cannot ensure that:</w:t>
      </w:r>
    </w:p>
    <w:p>
      <w:pPr>
        <w:spacing w:after="0" w:line="185" w:lineRule="exact"/>
        <w:rPr>
          <w:sz w:val="20"/>
          <w:szCs w:val="20"/>
          <w:color w:val="auto"/>
        </w:rPr>
      </w:pPr>
    </w:p>
    <w:p>
      <w:pPr>
        <w:jc w:val="both"/>
        <w:ind w:left="460" w:hanging="272"/>
        <w:spacing w:after="0" w:line="260"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5"/>
          <w:szCs w:val="15"/>
          <w:i w:val="1"/>
          <w:iCs w:val="1"/>
          <w:color w:val="auto"/>
        </w:rPr>
        <w:t xml:space="preserve">per se </w:t>
      </w:r>
      <w:r>
        <w:rPr>
          <w:rFonts w:ascii="Arial" w:cs="Arial" w:eastAsia="Arial" w:hAnsi="Arial"/>
          <w:sz w:val="15"/>
          <w:szCs w:val="15"/>
          <w:color w:val="auto"/>
        </w:rPr>
        <w:t>have expired;</w:t>
      </w:r>
    </w:p>
    <w:p>
      <w:pPr>
        <w:spacing w:after="0" w:line="154"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of our pending patent applications will issue as patents at all;</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will be able to successfully commercialize our product candidates, if approved, before our relevant patents expire;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were the first to make the inventions covered by each of our patents and pending patent applications;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were the first to file patent applications for these inventions;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others will not develop similar or alternative technologies that do not infringe our patents;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others will not use pre-existing technology to effectively compete against us;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of our patents, if issued, will ultimately be found to be valid and enforceable, including on the basis of prior art relating to our patent applications and patents;</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will develop additional proprietary technologies or product candidates that are separately patentable; or</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commercial activities or products will not infringe upon the patents or proprietary rights of others.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reviews or derivation proceedings before the United States or other jurisdictions.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7"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ectPr>
          <w:pgSz w:w="11900" w:h="16838" w:orient="portrait"/>
          <w:cols w:equalWidth="0" w:num="1">
            <w:col w:w="11280"/>
          </w:cols>
          <w:pgMar w:left="300" w:top="308" w:right="319" w:bottom="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5"/>
          <w:szCs w:val="15"/>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185" w:lineRule="exact"/>
        <w:rPr>
          <w:sz w:val="20"/>
          <w:szCs w:val="20"/>
          <w:color w:val="auto"/>
        </w:rPr>
      </w:pPr>
    </w:p>
    <w:p>
      <w:pPr>
        <w:ind w:left="460" w:hanging="27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185" w:lineRule="exact"/>
        <w:rPr>
          <w:rFonts w:ascii="Arial" w:cs="Arial" w:eastAsia="Arial" w:hAnsi="Arial"/>
          <w:sz w:val="15"/>
          <w:szCs w:val="15"/>
          <w:color w:val="auto"/>
        </w:rPr>
      </w:pPr>
    </w:p>
    <w:p>
      <w:pPr>
        <w:ind w:left="460" w:hanging="272"/>
        <w:spacing w:after="0" w:line="271"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Any of these risks coming to fruition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jc w:val="both"/>
        <w:spacing w:after="0" w:line="355" w:lineRule="auto"/>
        <w:rPr>
          <w:sz w:val="20"/>
          <w:szCs w:val="20"/>
          <w:color w:val="auto"/>
        </w:rPr>
      </w:pPr>
      <w:r>
        <w:rPr>
          <w:rFonts w:ascii="Arial" w:cs="Arial" w:eastAsia="Arial" w:hAnsi="Arial"/>
          <w:sz w:val="12"/>
          <w:szCs w:val="12"/>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0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ectPr>
          <w:pgSz w:w="11900" w:h="16838" w:orient="portrait"/>
          <w:cols w:equalWidth="0" w:num="1">
            <w:col w:w="11280"/>
          </w:cols>
          <w:pgMar w:left="300" w:top="129" w:right="319" w:bottom="16" w:gutter="0" w:footer="0" w:header="0"/>
        </w:sectPr>
      </w:pPr>
    </w:p>
    <w:bookmarkStart w:id="35" w:name="page36"/>
    <w:bookmarkEnd w:id="35"/>
    <w:p>
      <w:pPr>
        <w:spacing w:after="0" w:line="2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47" w:lineRule="exact"/>
        <w:rPr>
          <w:sz w:val="20"/>
          <w:szCs w:val="20"/>
          <w:color w:val="auto"/>
        </w:rPr>
      </w:pPr>
    </w:p>
    <w:p>
      <w:pPr>
        <w:ind w:left="460" w:hanging="27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scope of rights granted under the license agreement and other interpretation-related issues;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right to sublicense patent and other rights to third parties under collaborative development relationships;</w:t>
      </w:r>
    </w:p>
    <w:p>
      <w:pPr>
        <w:spacing w:after="0" w:line="185" w:lineRule="exact"/>
        <w:rPr>
          <w:rFonts w:ascii="Arial" w:cs="Arial" w:eastAsia="Arial" w:hAnsi="Arial"/>
          <w:sz w:val="15"/>
          <w:szCs w:val="15"/>
          <w:color w:val="auto"/>
        </w:rPr>
      </w:pPr>
    </w:p>
    <w:p>
      <w:pPr>
        <w:ind w:left="460" w:right="20" w:hanging="272"/>
        <w:spacing w:after="0" w:line="271"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diligence obligations with respect to the use of the licensed technology in relation to our development and commercialization of our product candidates, and what activities satisfy those diligence obligations; and</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ownership of inventions and know-how resulting from the joint creation or use of intellectual property by our licensors and us and our partners.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50"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5"/>
          <w:szCs w:val="15"/>
          <w:i w:val="1"/>
          <w:iCs w:val="1"/>
          <w:color w:val="auto"/>
        </w:rPr>
        <w:t>Bayh-Dole Act</w:t>
      </w:r>
      <w:r>
        <w:rPr>
          <w:rFonts w:ascii="Arial" w:cs="Arial" w:eastAsia="Arial" w:hAnsi="Arial"/>
          <w:sz w:val="15"/>
          <w:szCs w:val="15"/>
          <w:color w:val="auto"/>
        </w:rPr>
        <w:t>). These U.S. government rights in certain inventions developed under a government-funded program include a non-exclusive, non-transferable, irrevocable worldwide license to use inventions for any governmental purpose.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U.S. government has the right to require us to grant exclusive, partially exclusive, or non-exclusive licenses to any of these inventions to a third party if it determines that:</w:t>
      </w:r>
    </w:p>
    <w:p>
      <w:pPr>
        <w:spacing w:after="0" w:line="39" w:lineRule="exact"/>
        <w:rPr>
          <w:sz w:val="20"/>
          <w:szCs w:val="20"/>
          <w:color w:val="auto"/>
        </w:rPr>
      </w:pPr>
    </w:p>
    <w:p>
      <w:pPr>
        <w:jc w:val="both"/>
        <w:ind w:firstLine="9"/>
        <w:spacing w:after="0" w:line="275" w:lineRule="auto"/>
        <w:tabs>
          <w:tab w:leader="none" w:pos="185"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patent law could diminish the value of patents in general, thereby impairing our ability to protect our products.</w:t>
      </w:r>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3"/>
          <w:szCs w:val="13"/>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w:t>
      </w:r>
    </w:p>
    <w:p>
      <w:pPr>
        <w:sectPr>
          <w:pgSz w:w="11900" w:h="16864" w:orient="portrait"/>
          <w:cols w:equalWidth="0" w:num="1">
            <w:col w:w="11280"/>
          </w:cols>
          <w:pgMar w:left="300" w:top="129" w:right="319" w:bottom="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5"/>
          <w:szCs w:val="15"/>
          <w:color w:val="auto"/>
        </w:rPr>
        <w:t>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5"/>
          <w:szCs w:val="15"/>
          <w:i w:val="1"/>
          <w:iCs w:val="1"/>
          <w:color w:val="auto"/>
        </w:rPr>
        <w:t>Mayo Collaborative Services, DBA Mayo Medical Laboratories, et al. v. Prometheus</w:t>
      </w:r>
      <w:r>
        <w:rPr>
          <w:rFonts w:ascii="Arial" w:cs="Arial" w:eastAsia="Arial" w:hAnsi="Arial"/>
          <w:sz w:val="15"/>
          <w:szCs w:val="15"/>
          <w:color w:val="auto"/>
        </w:rPr>
        <w:t xml:space="preserve"> </w:t>
      </w:r>
      <w:r>
        <w:rPr>
          <w:rFonts w:ascii="Arial" w:cs="Arial" w:eastAsia="Arial" w:hAnsi="Arial"/>
          <w:sz w:val="15"/>
          <w:szCs w:val="15"/>
          <w:i w:val="1"/>
          <w:iCs w:val="1"/>
          <w:color w:val="auto"/>
        </w:rPr>
        <w:t>Laboratories, Inc.</w:t>
      </w:r>
      <w:r>
        <w:rPr>
          <w:rFonts w:ascii="Arial" w:cs="Arial" w:eastAsia="Arial" w:hAnsi="Arial"/>
          <w:sz w:val="15"/>
          <w:szCs w:val="15"/>
          <w:color w:val="auto"/>
        </w:rPr>
        <w:t>, the Court held that several claims drawn to measuring drug metabolite levels from patient samples and correlating them to drug doses were not patentable subject matter.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5"/>
          <w:szCs w:val="15"/>
          <w:i w:val="1"/>
          <w:iCs w:val="1"/>
          <w:color w:val="auto"/>
        </w:rPr>
        <w:t>Association for Molecular Pathology v. Myriad Genetics, Inc</w:t>
      </w:r>
      <w:r>
        <w:rPr>
          <w:rFonts w:ascii="Arial" w:cs="Arial" w:eastAsia="Arial" w:hAnsi="Arial"/>
          <w:sz w:val="15"/>
          <w:szCs w:val="15"/>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63"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3"/>
          <w:szCs w:val="13"/>
          <w:i w:val="1"/>
          <w:iCs w:val="1"/>
          <w:color w:val="auto"/>
        </w:rPr>
        <w:t>Ariosa Diagnostics, Inc. v. Sequenom, Inc</w:t>
      </w:r>
      <w:r>
        <w:rPr>
          <w:rFonts w:ascii="Arial" w:cs="Arial" w:eastAsia="Arial" w:hAnsi="Arial"/>
          <w:sz w:val="13"/>
          <w:szCs w:val="13"/>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Numerous factors may limit any potential competitive advantage provided by our intellectual property rights.</w:t>
      </w:r>
    </w:p>
    <w:p>
      <w:pPr>
        <w:spacing w:after="0" w:line="185"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21" w:lineRule="exact"/>
        <w:rPr>
          <w:sz w:val="20"/>
          <w:szCs w:val="20"/>
          <w:color w:val="auto"/>
        </w:rPr>
      </w:pPr>
    </w:p>
    <w:p>
      <w:pPr>
        <w:ind w:left="460" w:right="20" w:hanging="272"/>
        <w:spacing w:after="0" w:line="271"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might not have been the first to make the inventions covered by a pending patent application that we own;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might not have been the first to file patent applications covering an invention;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without infringing our intellectual property rights;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pending patent applications that we own or license may not lead to issued patents;</w:t>
      </w:r>
    </w:p>
    <w:p>
      <w:pPr>
        <w:spacing w:after="0" w:line="185" w:lineRule="exact"/>
        <w:rPr>
          <w:rFonts w:ascii="Arial" w:cs="Arial" w:eastAsia="Arial" w:hAnsi="Arial"/>
          <w:sz w:val="15"/>
          <w:szCs w:val="15"/>
          <w:color w:val="auto"/>
        </w:rPr>
      </w:pPr>
    </w:p>
    <w:p>
      <w:pPr>
        <w:ind w:left="460" w:right="20" w:hanging="272"/>
        <w:spacing w:after="0" w:line="271"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patents, if issued, that we own or license may not provide us with any competitive advantages, or may be held invalid or unenforceable or be narrowed, as a result of legal challenges by our competitors;</w:t>
      </w:r>
    </w:p>
    <w:p>
      <w:pPr>
        <w:spacing w:after="0" w:line="147"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third parties may compete with us in jurisdictions where we do not pursue and obtain patent protection;</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not be able to obtain and/or maintain necessary or useful licenses on reasonable terms or at all;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Should any of these events occur, they could significantly harm our business and results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volatility may affect our stock price and the value of your investment.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7" w:lineRule="exact"/>
        <w:rPr>
          <w:sz w:val="20"/>
          <w:szCs w:val="20"/>
          <w:color w:val="auto"/>
        </w:rPr>
      </w:pPr>
    </w:p>
    <w:p>
      <w:pPr>
        <w:ind w:left="460" w:hanging="27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volatility resulting from uncertainty and general economic conditions caused by the ongoing COVID-19 pandemic;</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plans for, progress of or results from nonclinical and clinical development activities related to our product candidates;</w:t>
      </w:r>
    </w:p>
    <w:p>
      <w:pPr>
        <w:sectPr>
          <w:pgSz w:w="11900" w:h="16838" w:orient="portrait"/>
          <w:cols w:equalWidth="0" w:num="1">
            <w:col w:w="11280"/>
          </w:cols>
          <w:pgMar w:left="300" w:top="129" w:right="319" w:bottom="0" w:gutter="0" w:footer="0" w:header="0"/>
        </w:sectPr>
      </w:pPr>
    </w:p>
    <w:bookmarkStart w:id="37" w:name="page38"/>
    <w:bookmarkEnd w:id="37"/>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failure of the FDA or other regulatory authority to approve our product candidates;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announcements of new products, technologies, commercial relationships, acquisitions or other events by us or our competitors;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success or failure of other CNS therapies;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regulatory or legal developments in the U.S. and other countries;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announcements regarding our intellectual property portfolio;</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failure of our product candidates, if approved, to achieve commercial success;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fluctuations in stock market prices and trading volumes of similar companies;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general market conditions and overall fluctuations in U.S. equity markets;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variations in our quarterly operating results;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changes in our financial guidance or securities analysts’ estimates of our financial performance;</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changes in accounting principles;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ability to raise additional capital and the terms on which we can raise it;</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establishment of short positions by holders or non-holders of our stock or warrants;</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discussion of us or our stock price by the press and by online investor communities; and</w:t>
      </w:r>
    </w:p>
    <w:p>
      <w:pPr>
        <w:spacing w:after="0" w:line="185" w:lineRule="exact"/>
        <w:rPr>
          <w:rFonts w:ascii="Arial" w:cs="Arial" w:eastAsia="Arial" w:hAnsi="Arial"/>
          <w:sz w:val="15"/>
          <w:szCs w:val="15"/>
          <w:color w:val="auto"/>
        </w:rPr>
      </w:pPr>
    </w:p>
    <w:p>
      <w:pPr>
        <w:ind w:left="460" w:hanging="27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other risks and uncertainties described in these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and issuances of our common stock may cause our stock price to decline.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recent conversion of our Series A Preferred, Series B Preferred or Series C Preferred, and shares issued upon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may be additional issuances of shares of preferred stock in the future.</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Our Restated Articles of Incorporation, as amended (the </w:t>
      </w:r>
      <w:r>
        <w:rPr>
          <w:rFonts w:ascii="Arial" w:cs="Arial" w:eastAsia="Arial" w:hAnsi="Arial"/>
          <w:sz w:val="13"/>
          <w:szCs w:val="13"/>
          <w:i w:val="1"/>
          <w:iCs w:val="1"/>
          <w:color w:val="auto"/>
        </w:rPr>
        <w:t>Articles</w:t>
      </w:r>
      <w:r>
        <w:rPr>
          <w:rFonts w:ascii="Arial" w:cs="Arial" w:eastAsia="Arial" w:hAnsi="Arial"/>
          <w:sz w:val="13"/>
          <w:szCs w:val="13"/>
          <w:color w:val="auto"/>
        </w:rPr>
        <w:t>), permit us to issue up to 10.0 million shares of preferred stock. Our Board has authorized the issuance of (i) 500,000 shares of Series A Preferred, all of which shares are issued and outstanding as of the date of this Report; (ii) 4.0 million shares of Series B 10% Convertible Preferred stock, of which approximately 1.1 million shares remain issued and outstanding as of the date of this Report; (iii) 3.0 million shares of Series C Convertible Preferred Stock, and (iv) 2.0 million shares of Series D Convertible Preferred stock, of which no shares were issued or outstanding as of the date of this Report.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incur significant costs to ensure compliance with corporate governance, federal securities law and accounting requirements.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We are subject to the reporting requirements of the Securities Exchange Act of 1934, as amended (</w:t>
      </w:r>
      <w:r>
        <w:rPr>
          <w:rFonts w:ascii="Arial" w:cs="Arial" w:eastAsia="Arial" w:hAnsi="Arial"/>
          <w:sz w:val="13"/>
          <w:szCs w:val="13"/>
          <w:i w:val="1"/>
          <w:iCs w:val="1"/>
          <w:color w:val="auto"/>
        </w:rPr>
        <w:t>Exchange Act</w:t>
      </w:r>
      <w:r>
        <w:rPr>
          <w:rFonts w:ascii="Arial" w:cs="Arial" w:eastAsia="Arial" w:hAnsi="Arial"/>
          <w:sz w:val="13"/>
          <w:szCs w:val="13"/>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w:t>
      </w:r>
    </w:p>
    <w:p>
      <w:pPr>
        <w:sectPr>
          <w:pgSz w:w="11900" w:h="16838" w:orient="portrait"/>
          <w:cols w:equalWidth="0" w:num="1">
            <w:col w:w="11280"/>
          </w:cols>
          <w:pgMar w:left="300" w:top="129" w:right="319" w:bottom="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5"/>
          <w:szCs w:val="15"/>
          <w:color w:val="auto"/>
        </w:rPr>
        <w:t>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 w:type="dxa"/>
            <w:vAlign w:val="bottom"/>
            <w:gridSpan w:val="6"/>
          </w:tcPr>
          <w:p>
            <w:pPr>
              <w:spacing w:after="0"/>
              <w:rPr>
                <w:sz w:val="20"/>
                <w:szCs w:val="20"/>
                <w:color w:val="auto"/>
              </w:rPr>
            </w:pPr>
            <w:r>
              <w:rPr>
                <w:rFonts w:ascii="Arial" w:cs="Arial" w:eastAsia="Arial" w:hAnsi="Arial"/>
                <w:sz w:val="15"/>
                <w:szCs w:val="15"/>
                <w:b w:val="1"/>
                <w:bCs w:val="1"/>
                <w:color w:val="auto"/>
              </w:rPr>
              <w:t>Exhibit</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gridSpan w:val="6"/>
          </w:tcPr>
          <w:p>
            <w:pPr>
              <w:spacing w:after="0"/>
              <w:rPr>
                <w:sz w:val="20"/>
                <w:szCs w:val="20"/>
                <w:color w:val="auto"/>
              </w:rPr>
            </w:pPr>
            <w:r>
              <w:rPr>
                <w:rFonts w:ascii="Arial" w:cs="Arial" w:eastAsia="Arial" w:hAnsi="Arial"/>
                <w:sz w:val="15"/>
                <w:szCs w:val="15"/>
                <w:b w:val="1"/>
                <w:bCs w:val="1"/>
                <w:color w:val="auto"/>
              </w:rPr>
              <w:t>Number</w:t>
            </w:r>
          </w:p>
        </w:tc>
        <w:tc>
          <w:tcPr>
            <w:tcW w:w="10600" w:type="dxa"/>
            <w:vAlign w:val="bottom"/>
            <w:gridSpan w:val="7"/>
          </w:tcPr>
          <w:p>
            <w:pPr>
              <w:ind w:left="22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80" w:type="dxa"/>
            <w:vAlign w:val="bottom"/>
            <w:tcBorders>
              <w:bottom w:val="single" w:sz="8" w:color="0000EE"/>
            </w:tcBorders>
            <w:shd w:val="clear" w:color="auto" w:fill="CCEEFF"/>
          </w:tcPr>
          <w:p>
            <w:pPr>
              <w:spacing w:after="0" w:line="146" w:lineRule="exact"/>
              <w:rPr>
                <w:rFonts w:ascii="Arial" w:cs="Arial" w:eastAsia="Arial" w:hAnsi="Arial"/>
                <w:sz w:val="15"/>
                <w:szCs w:val="15"/>
                <w:color w:val="0000EE"/>
                <w:w w:val="76"/>
              </w:rPr>
            </w:pPr>
            <w:hyperlink r:id="rId75">
              <w:r>
                <w:rPr>
                  <w:rFonts w:ascii="Arial" w:cs="Arial" w:eastAsia="Arial" w:hAnsi="Arial"/>
                  <w:sz w:val="15"/>
                  <w:szCs w:val="15"/>
                  <w:color w:val="0000EE"/>
                  <w:w w:val="76"/>
                </w:rPr>
                <w:t>1.</w:t>
              </w:r>
              <w:r>
                <w:rPr>
                  <w:rFonts w:ascii="Arial" w:cs="Arial" w:eastAsia="Arial" w:hAnsi="Arial"/>
                  <w:sz w:val="15"/>
                  <w:szCs w:val="15"/>
                  <w:u w:val="single" w:color="auto"/>
                  <w:color w:val="0000EE"/>
                  <w:w w:val="76"/>
                </w:rPr>
                <w:t>1</w:t>
              </w:r>
            </w:hyperlink>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380" w:type="dxa"/>
            <w:vAlign w:val="bottom"/>
            <w:tcBorders>
              <w:bottom w:val="single" w:sz="8" w:color="0000EE"/>
            </w:tcBorders>
            <w:gridSpan w:val="6"/>
            <w:shd w:val="clear" w:color="auto" w:fill="CCEEFF"/>
          </w:tcPr>
          <w:p>
            <w:pPr>
              <w:spacing w:after="0" w:line="146" w:lineRule="exact"/>
              <w:rPr>
                <w:rFonts w:ascii="Arial" w:cs="Arial" w:eastAsia="Arial" w:hAnsi="Arial"/>
                <w:sz w:val="15"/>
                <w:szCs w:val="15"/>
                <w:color w:val="0000EE"/>
                <w:w w:val="93"/>
              </w:rPr>
            </w:pPr>
            <w:hyperlink r:id="rId75">
              <w:r>
                <w:rPr>
                  <w:rFonts w:ascii="Arial" w:cs="Arial" w:eastAsia="Arial" w:hAnsi="Arial"/>
                  <w:sz w:val="15"/>
                  <w:szCs w:val="15"/>
                  <w:color w:val="0000EE"/>
                  <w:w w:val="93"/>
                </w:rPr>
                <w:t>Open Market Sale Agreement SM, dated May 14, 2021, by and between VistaGen Therapeutics, Inc. and Jefferies LLC., incorporated by reference from the Company’s</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0" w:type="dxa"/>
            <w:vAlign w:val="bottom"/>
            <w:gridSpan w:val="7"/>
            <w:shd w:val="clear" w:color="auto" w:fill="CCEEFF"/>
          </w:tcPr>
          <w:p>
            <w:pPr>
              <w:ind w:left="220"/>
              <w:spacing w:after="0" w:line="159" w:lineRule="exact"/>
              <w:rPr>
                <w:rFonts w:ascii="Arial" w:cs="Arial" w:eastAsia="Arial" w:hAnsi="Arial"/>
                <w:sz w:val="15"/>
                <w:szCs w:val="15"/>
                <w:color w:val="0000EE"/>
              </w:rPr>
            </w:pPr>
            <w:hyperlink r:id="rId75">
              <w:r>
                <w:rPr>
                  <w:rFonts w:ascii="Arial" w:cs="Arial" w:eastAsia="Arial" w:hAnsi="Arial"/>
                  <w:sz w:val="15"/>
                  <w:szCs w:val="15"/>
                  <w:color w:val="0000EE"/>
                </w:rPr>
                <w:t>Current Report on Form 8-K dated May 14, 2021.</w:t>
              </w:r>
            </w:hyperlink>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260" w:type="dxa"/>
            <w:vAlign w:val="bottom"/>
            <w:tcBorders>
              <w:bottom w:val="single" w:sz="8" w:color="0000EE"/>
            </w:tcBorders>
            <w:gridSpan w:val="3"/>
            <w:shd w:val="clear" w:color="auto" w:fill="CCEEFF"/>
          </w:tcPr>
          <w:p>
            <w:pPr>
              <w:spacing w:after="0" w:line="146" w:lineRule="exact"/>
              <w:rPr>
                <w:rFonts w:ascii="Arial" w:cs="Arial" w:eastAsia="Arial" w:hAnsi="Arial"/>
                <w:sz w:val="15"/>
                <w:szCs w:val="15"/>
                <w:color w:val="0000EE"/>
                <w:w w:val="82"/>
              </w:rPr>
            </w:pPr>
            <w:hyperlink r:id="rId76">
              <w:r>
                <w:rPr>
                  <w:rFonts w:ascii="Arial" w:cs="Arial" w:eastAsia="Arial" w:hAnsi="Arial"/>
                  <w:sz w:val="15"/>
                  <w:szCs w:val="15"/>
                  <w:color w:val="0000EE"/>
                  <w:w w:val="82"/>
                </w:rPr>
                <w:t>10.</w:t>
              </w:r>
              <w:r>
                <w:rPr>
                  <w:rFonts w:ascii="Arial" w:cs="Arial" w:eastAsia="Arial" w:hAnsi="Arial"/>
                  <w:sz w:val="15"/>
                  <w:szCs w:val="15"/>
                  <w:u w:val="single" w:color="auto"/>
                  <w:color w:val="0000EE"/>
                  <w:w w:val="82"/>
                </w:rPr>
                <w:t>1</w:t>
              </w:r>
            </w:hyperlink>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380" w:type="dxa"/>
            <w:vAlign w:val="bottom"/>
            <w:tcBorders>
              <w:bottom w:val="single" w:sz="8" w:color="0000EE"/>
            </w:tcBorders>
            <w:gridSpan w:val="6"/>
            <w:shd w:val="clear" w:color="auto" w:fill="CCEEFF"/>
          </w:tcPr>
          <w:p>
            <w:pPr>
              <w:spacing w:after="0" w:line="146" w:lineRule="exact"/>
              <w:rPr>
                <w:rFonts w:ascii="Arial" w:cs="Arial" w:eastAsia="Arial" w:hAnsi="Arial"/>
                <w:sz w:val="15"/>
                <w:szCs w:val="15"/>
                <w:color w:val="0000EE"/>
                <w:w w:val="93"/>
              </w:rPr>
            </w:pPr>
            <w:hyperlink r:id="rId76">
              <w:r>
                <w:rPr>
                  <w:rFonts w:ascii="Arial" w:cs="Arial" w:eastAsia="Arial" w:hAnsi="Arial"/>
                  <w:sz w:val="15"/>
                  <w:szCs w:val="15"/>
                  <w:color w:val="0000EE"/>
                  <w:w w:val="93"/>
                </w:rPr>
                <w:t>Indemnification Agreement, dated July 6, 2021, by and between VistaGen Therapeutics, Inc. and Mary L. Rotunno J.D., incorporated by reference from the Company’s</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0" w:type="dxa"/>
            <w:vAlign w:val="bottom"/>
            <w:gridSpan w:val="7"/>
            <w:shd w:val="clear" w:color="auto" w:fill="CCEEFF"/>
          </w:tcPr>
          <w:p>
            <w:pPr>
              <w:ind w:left="220"/>
              <w:spacing w:after="0" w:line="159" w:lineRule="exact"/>
              <w:rPr>
                <w:rFonts w:ascii="Arial" w:cs="Arial" w:eastAsia="Arial" w:hAnsi="Arial"/>
                <w:sz w:val="15"/>
                <w:szCs w:val="15"/>
                <w:color w:val="0000EE"/>
              </w:rPr>
            </w:pPr>
            <w:hyperlink r:id="rId76">
              <w:r>
                <w:rPr>
                  <w:rFonts w:ascii="Arial" w:cs="Arial" w:eastAsia="Arial" w:hAnsi="Arial"/>
                  <w:sz w:val="15"/>
                  <w:szCs w:val="15"/>
                  <w:color w:val="0000EE"/>
                </w:rPr>
                <w:t>Current Report on Form 8-K dated July 8, 2021.</w:t>
              </w:r>
            </w:hyperlink>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260" w:type="dxa"/>
            <w:vAlign w:val="bottom"/>
            <w:tcBorders>
              <w:bottom w:val="single" w:sz="8" w:color="0000EE"/>
            </w:tcBorders>
            <w:gridSpan w:val="3"/>
            <w:shd w:val="clear" w:color="auto" w:fill="CCEEFF"/>
          </w:tcPr>
          <w:p>
            <w:pPr>
              <w:spacing w:after="0" w:line="146" w:lineRule="exact"/>
              <w:rPr>
                <w:rFonts w:ascii="Arial" w:cs="Arial" w:eastAsia="Arial" w:hAnsi="Arial"/>
                <w:sz w:val="15"/>
                <w:szCs w:val="15"/>
                <w:color w:val="0000EE"/>
                <w:w w:val="82"/>
              </w:rPr>
            </w:pPr>
            <w:hyperlink r:id="rId77">
              <w:r>
                <w:rPr>
                  <w:rFonts w:ascii="Arial" w:cs="Arial" w:eastAsia="Arial" w:hAnsi="Arial"/>
                  <w:sz w:val="15"/>
                  <w:szCs w:val="15"/>
                  <w:color w:val="0000EE"/>
                  <w:w w:val="82"/>
                </w:rPr>
                <w:t>10.</w:t>
              </w:r>
              <w:r>
                <w:rPr>
                  <w:rFonts w:ascii="Arial" w:cs="Arial" w:eastAsia="Arial" w:hAnsi="Arial"/>
                  <w:sz w:val="15"/>
                  <w:szCs w:val="15"/>
                  <w:u w:val="single" w:color="auto"/>
                  <w:color w:val="0000EE"/>
                  <w:w w:val="82"/>
                </w:rPr>
                <w:t>2</w:t>
              </w:r>
            </w:hyperlink>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380" w:type="dxa"/>
            <w:vAlign w:val="bottom"/>
            <w:tcBorders>
              <w:bottom w:val="single" w:sz="8" w:color="0000EE"/>
            </w:tcBorders>
            <w:gridSpan w:val="6"/>
            <w:shd w:val="clear" w:color="auto" w:fill="CCEEFF"/>
          </w:tcPr>
          <w:p>
            <w:pPr>
              <w:spacing w:after="0" w:line="146" w:lineRule="exact"/>
              <w:rPr>
                <w:rFonts w:ascii="Arial" w:cs="Arial" w:eastAsia="Arial" w:hAnsi="Arial"/>
                <w:sz w:val="15"/>
                <w:szCs w:val="15"/>
                <w:color w:val="0000EE"/>
                <w:w w:val="91"/>
              </w:rPr>
            </w:pPr>
            <w:hyperlink r:id="rId77">
              <w:r>
                <w:rPr>
                  <w:rFonts w:ascii="Arial" w:cs="Arial" w:eastAsia="Arial" w:hAnsi="Arial"/>
                  <w:sz w:val="15"/>
                  <w:szCs w:val="15"/>
                  <w:color w:val="0000EE"/>
                  <w:w w:val="91"/>
                </w:rPr>
                <w:t>Indemnification Agreement, dated July 21, 2021, by and between VistaGen Therapeutics, Inc. and Margaret M. FitzPatrick, incorporated by reference from the Company’s</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0" w:type="dxa"/>
            <w:vAlign w:val="bottom"/>
            <w:gridSpan w:val="7"/>
            <w:shd w:val="clear" w:color="auto" w:fill="CCEEFF"/>
          </w:tcPr>
          <w:p>
            <w:pPr>
              <w:ind w:left="220"/>
              <w:spacing w:after="0" w:line="159" w:lineRule="exact"/>
              <w:rPr>
                <w:rFonts w:ascii="Arial" w:cs="Arial" w:eastAsia="Arial" w:hAnsi="Arial"/>
                <w:sz w:val="15"/>
                <w:szCs w:val="15"/>
                <w:color w:val="0000EE"/>
              </w:rPr>
            </w:pPr>
            <w:hyperlink r:id="rId77">
              <w:r>
                <w:rPr>
                  <w:rFonts w:ascii="Arial" w:cs="Arial" w:eastAsia="Arial" w:hAnsi="Arial"/>
                  <w:sz w:val="15"/>
                  <w:szCs w:val="15"/>
                  <w:color w:val="0000EE"/>
                </w:rPr>
                <w:t>Current Report on Form 8-K dated July 22, 2021.</w:t>
              </w:r>
            </w:hyperlink>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46" w:lineRule="exact"/>
              <w:rPr>
                <w:rFonts w:ascii="Arial" w:cs="Arial" w:eastAsia="Arial" w:hAnsi="Arial"/>
                <w:sz w:val="15"/>
                <w:szCs w:val="15"/>
                <w:color w:val="0000EE"/>
              </w:rPr>
            </w:pPr>
            <w:hyperlink w:anchor="page40">
              <w:r>
                <w:rPr>
                  <w:rFonts w:ascii="Arial" w:cs="Arial" w:eastAsia="Arial" w:hAnsi="Arial"/>
                  <w:sz w:val="15"/>
                  <w:szCs w:val="15"/>
                  <w:color w:val="0000EE"/>
                </w:rPr>
                <w:t>31.</w:t>
              </w:r>
              <w:r>
                <w:rPr>
                  <w:rFonts w:ascii="Arial" w:cs="Arial" w:eastAsia="Arial" w:hAnsi="Arial"/>
                  <w:sz w:val="15"/>
                  <w:szCs w:val="15"/>
                  <w:u w:val="single" w:color="auto"/>
                  <w:color w:val="0000EE"/>
                </w:rPr>
                <w:t>1*</w:t>
              </w:r>
            </w:hyperlink>
          </w:p>
        </w:tc>
        <w:tc>
          <w:tcPr>
            <w:tcW w:w="10600" w:type="dxa"/>
            <w:vAlign w:val="bottom"/>
            <w:gridSpan w:val="7"/>
            <w:shd w:val="clear" w:color="auto" w:fill="CCEEFF"/>
          </w:tcPr>
          <w:p>
            <w:pPr>
              <w:ind w:left="220"/>
              <w:spacing w:after="0" w:line="146" w:lineRule="exact"/>
              <w:rPr>
                <w:rFonts w:ascii="Arial" w:cs="Arial" w:eastAsia="Arial" w:hAnsi="Arial"/>
                <w:sz w:val="15"/>
                <w:szCs w:val="15"/>
                <w:color w:val="0000EE"/>
                <w:w w:val="90"/>
              </w:rPr>
            </w:pPr>
            <w:hyperlink w:anchor="page40">
              <w:r>
                <w:rPr>
                  <w:rFonts w:ascii="Arial" w:cs="Arial" w:eastAsia="Arial" w:hAnsi="Arial"/>
                  <w:sz w:val="15"/>
                  <w:szCs w:val="15"/>
                  <w:color w:val="0000EE"/>
                  <w:w w:val="90"/>
                </w:rPr>
                <w:t>Certification of the Principal Executive Officer required by Rule 13a-14(a) under the Securities Exchange Act of 1934, as amended, as adopted pursuant to Section 302 of the</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380" w:type="dxa"/>
            <w:vAlign w:val="bottom"/>
            <w:tcBorders>
              <w:top w:val="single" w:sz="8" w:color="0000EE"/>
            </w:tcBorders>
            <w:gridSpan w:val="6"/>
            <w:shd w:val="clear" w:color="auto" w:fill="CCEEFF"/>
          </w:tcPr>
          <w:p>
            <w:pPr>
              <w:spacing w:after="0" w:line="159" w:lineRule="exact"/>
              <w:rPr>
                <w:rFonts w:ascii="Arial" w:cs="Arial" w:eastAsia="Arial" w:hAnsi="Arial"/>
                <w:sz w:val="15"/>
                <w:szCs w:val="15"/>
                <w:color w:val="0000EE"/>
              </w:rPr>
            </w:pPr>
            <w:hyperlink w:anchor="page40">
              <w:r>
                <w:rPr>
                  <w:rFonts w:ascii="Arial" w:cs="Arial" w:eastAsia="Arial" w:hAnsi="Arial"/>
                  <w:sz w:val="15"/>
                  <w:szCs w:val="15"/>
                  <w:color w:val="0000EE"/>
                </w:rPr>
                <w:t>Sarbanes-Oxley Act of 2002</w:t>
              </w:r>
            </w:hyperlink>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46" w:lineRule="exact"/>
              <w:rPr>
                <w:rFonts w:ascii="Arial" w:cs="Arial" w:eastAsia="Arial" w:hAnsi="Arial"/>
                <w:sz w:val="15"/>
                <w:szCs w:val="15"/>
                <w:color w:val="0000EE"/>
              </w:rPr>
            </w:pPr>
            <w:hyperlink w:anchor="page41">
              <w:r>
                <w:rPr>
                  <w:rFonts w:ascii="Arial" w:cs="Arial" w:eastAsia="Arial" w:hAnsi="Arial"/>
                  <w:sz w:val="15"/>
                  <w:szCs w:val="15"/>
                  <w:color w:val="0000EE"/>
                </w:rPr>
                <w:t>31.</w:t>
              </w:r>
              <w:r>
                <w:rPr>
                  <w:rFonts w:ascii="Arial" w:cs="Arial" w:eastAsia="Arial" w:hAnsi="Arial"/>
                  <w:sz w:val="15"/>
                  <w:szCs w:val="15"/>
                  <w:u w:val="single" w:color="auto"/>
                  <w:color w:val="0000EE"/>
                </w:rPr>
                <w:t>2*</w:t>
              </w:r>
            </w:hyperlink>
          </w:p>
        </w:tc>
        <w:tc>
          <w:tcPr>
            <w:tcW w:w="10600" w:type="dxa"/>
            <w:vAlign w:val="bottom"/>
            <w:gridSpan w:val="7"/>
            <w:shd w:val="clear" w:color="auto" w:fill="CCEEFF"/>
          </w:tcPr>
          <w:p>
            <w:pPr>
              <w:ind w:left="220"/>
              <w:spacing w:after="0" w:line="146" w:lineRule="exact"/>
              <w:rPr>
                <w:rFonts w:ascii="Arial" w:cs="Arial" w:eastAsia="Arial" w:hAnsi="Arial"/>
                <w:sz w:val="15"/>
                <w:szCs w:val="15"/>
                <w:color w:val="0000EE"/>
                <w:w w:val="90"/>
              </w:rPr>
            </w:pPr>
            <w:hyperlink w:anchor="page41">
              <w:r>
                <w:rPr>
                  <w:rFonts w:ascii="Arial" w:cs="Arial" w:eastAsia="Arial" w:hAnsi="Arial"/>
                  <w:sz w:val="15"/>
                  <w:szCs w:val="15"/>
                  <w:color w:val="0000EE"/>
                  <w:w w:val="90"/>
                </w:rPr>
                <w:t>Certification of the Principal Financial Officer required by Rule 13a-14(a) under the Securities Exchange Act of 1934, as amended, as adopted pursuant to Section 302 of the</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380" w:type="dxa"/>
            <w:vAlign w:val="bottom"/>
            <w:tcBorders>
              <w:top w:val="single" w:sz="8" w:color="0000EE"/>
            </w:tcBorders>
            <w:gridSpan w:val="6"/>
            <w:shd w:val="clear" w:color="auto" w:fill="CCEEFF"/>
          </w:tcPr>
          <w:p>
            <w:pPr>
              <w:spacing w:after="0" w:line="159" w:lineRule="exact"/>
              <w:rPr>
                <w:rFonts w:ascii="Arial" w:cs="Arial" w:eastAsia="Arial" w:hAnsi="Arial"/>
                <w:sz w:val="15"/>
                <w:szCs w:val="15"/>
                <w:color w:val="0000EE"/>
              </w:rPr>
            </w:pPr>
            <w:hyperlink w:anchor="page41">
              <w:r>
                <w:rPr>
                  <w:rFonts w:ascii="Arial" w:cs="Arial" w:eastAsia="Arial" w:hAnsi="Arial"/>
                  <w:sz w:val="15"/>
                  <w:szCs w:val="15"/>
                  <w:color w:val="0000EE"/>
                </w:rPr>
                <w:t>Sarbanes-Oxley Act of 2002</w:t>
              </w:r>
            </w:hyperlink>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220" w:type="dxa"/>
            <w:vAlign w:val="bottom"/>
            <w:tcBorders>
              <w:bottom w:val="single" w:sz="8" w:color="0000EE"/>
            </w:tcBorders>
            <w:gridSpan w:val="2"/>
            <w:shd w:val="clear" w:color="auto" w:fill="CCEEFF"/>
          </w:tcPr>
          <w:p>
            <w:pPr>
              <w:spacing w:after="0" w:line="146" w:lineRule="exact"/>
              <w:rPr>
                <w:rFonts w:ascii="Arial" w:cs="Arial" w:eastAsia="Arial" w:hAnsi="Arial"/>
                <w:sz w:val="15"/>
                <w:szCs w:val="15"/>
                <w:color w:val="0000EE"/>
                <w:w w:val="88"/>
              </w:rPr>
            </w:pPr>
            <w:hyperlink w:anchor="page42">
              <w:r>
                <w:rPr>
                  <w:rFonts w:ascii="Arial" w:cs="Arial" w:eastAsia="Arial" w:hAnsi="Arial"/>
                  <w:sz w:val="15"/>
                  <w:szCs w:val="15"/>
                  <w:color w:val="0000EE"/>
                  <w:w w:val="88"/>
                </w:rPr>
                <w:t>32*</w:t>
              </w:r>
            </w:hyperlink>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380" w:type="dxa"/>
            <w:vAlign w:val="bottom"/>
            <w:tcBorders>
              <w:bottom w:val="single" w:sz="8" w:color="0000EE"/>
            </w:tcBorders>
            <w:gridSpan w:val="6"/>
            <w:shd w:val="clear" w:color="auto" w:fill="CCEEFF"/>
          </w:tcPr>
          <w:p>
            <w:pPr>
              <w:spacing w:after="0" w:line="146" w:lineRule="exact"/>
              <w:rPr>
                <w:rFonts w:ascii="Arial" w:cs="Arial" w:eastAsia="Arial" w:hAnsi="Arial"/>
                <w:sz w:val="15"/>
                <w:szCs w:val="15"/>
                <w:color w:val="0000EE"/>
                <w:w w:val="91"/>
              </w:rPr>
            </w:pPr>
            <w:hyperlink w:anchor="page42">
              <w:r>
                <w:rPr>
                  <w:rFonts w:ascii="Arial" w:cs="Arial" w:eastAsia="Arial" w:hAnsi="Arial"/>
                  <w:sz w:val="15"/>
                  <w:szCs w:val="15"/>
                  <w:color w:val="0000EE"/>
                  <w:w w:val="91"/>
                </w:rPr>
                <w:t>Certification of the Principal Executive and Financial Officers required by Rule 13a-14(b) and Section 1350 of Chapter 63 of Title 18 of the United States Code, as adopted</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540" w:type="dxa"/>
            <w:vAlign w:val="bottom"/>
            <w:tcBorders>
              <w:bottom w:val="single" w:sz="8" w:color="0000EE"/>
            </w:tcBorders>
            <w:gridSpan w:val="5"/>
            <w:shd w:val="clear" w:color="auto" w:fill="CCEEFF"/>
          </w:tcPr>
          <w:p>
            <w:pPr>
              <w:spacing w:after="0" w:line="159" w:lineRule="exact"/>
              <w:rPr>
                <w:rFonts w:ascii="Arial" w:cs="Arial" w:eastAsia="Arial" w:hAnsi="Arial"/>
                <w:sz w:val="15"/>
                <w:szCs w:val="15"/>
                <w:color w:val="0000EE"/>
                <w:w w:val="89"/>
              </w:rPr>
            </w:pPr>
            <w:hyperlink w:anchor="page42">
              <w:r>
                <w:rPr>
                  <w:rFonts w:ascii="Arial" w:cs="Arial" w:eastAsia="Arial" w:hAnsi="Arial"/>
                  <w:sz w:val="15"/>
                  <w:szCs w:val="15"/>
                  <w:color w:val="0000EE"/>
                  <w:w w:val="89"/>
                </w:rPr>
                <w:t>pursuant to Section 906 of the Sarbanes-Oxley Act of 2002</w:t>
              </w:r>
            </w:hyperlink>
          </w:p>
        </w:tc>
        <w:tc>
          <w:tcPr>
            <w:tcW w:w="6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660" w:type="dxa"/>
            <w:vAlign w:val="bottom"/>
            <w:gridSpan w:val="5"/>
            <w:shd w:val="clear" w:color="auto" w:fill="CCEEFF"/>
          </w:tcPr>
          <w:p>
            <w:pPr>
              <w:spacing w:after="0"/>
              <w:rPr>
                <w:sz w:val="20"/>
                <w:szCs w:val="20"/>
                <w:color w:val="auto"/>
              </w:rPr>
            </w:pPr>
            <w:r>
              <w:rPr>
                <w:rFonts w:ascii="Arial" w:cs="Arial" w:eastAsia="Arial" w:hAnsi="Arial"/>
                <w:sz w:val="15"/>
                <w:szCs w:val="15"/>
                <w:color w:val="auto"/>
                <w:w w:val="99"/>
              </w:rPr>
              <w:t>101.INS *</w:t>
            </w:r>
          </w:p>
        </w:tc>
        <w:tc>
          <w:tcPr>
            <w:tcW w:w="10600" w:type="dxa"/>
            <w:vAlign w:val="bottom"/>
            <w:gridSpan w:val="7"/>
            <w:shd w:val="clear" w:color="auto" w:fill="CCEEFF"/>
          </w:tcPr>
          <w:p>
            <w:pPr>
              <w:ind w:left="220"/>
              <w:spacing w:after="0"/>
              <w:rPr>
                <w:sz w:val="20"/>
                <w:szCs w:val="20"/>
                <w:color w:val="auto"/>
              </w:rPr>
            </w:pPr>
            <w:r>
              <w:rPr>
                <w:rFonts w:ascii="Arial" w:cs="Arial" w:eastAsia="Arial" w:hAnsi="Arial"/>
                <w:sz w:val="15"/>
                <w:szCs w:val="15"/>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5"/>
          </w:tcPr>
          <w:p>
            <w:pPr>
              <w:spacing w:after="0"/>
              <w:rPr>
                <w:sz w:val="20"/>
                <w:szCs w:val="20"/>
                <w:color w:val="auto"/>
              </w:rPr>
            </w:pPr>
            <w:r>
              <w:rPr>
                <w:rFonts w:ascii="Arial" w:cs="Arial" w:eastAsia="Arial" w:hAnsi="Arial"/>
                <w:sz w:val="15"/>
                <w:szCs w:val="15"/>
                <w:color w:val="auto"/>
                <w:w w:val="95"/>
              </w:rPr>
              <w:t>101.SCH*</w:t>
            </w:r>
          </w:p>
        </w:tc>
        <w:tc>
          <w:tcPr>
            <w:tcW w:w="10600" w:type="dxa"/>
            <w:vAlign w:val="bottom"/>
            <w:gridSpan w:val="7"/>
          </w:tcPr>
          <w:p>
            <w:pPr>
              <w:ind w:left="220"/>
              <w:spacing w:after="0"/>
              <w:rPr>
                <w:sz w:val="20"/>
                <w:szCs w:val="20"/>
                <w:color w:val="auto"/>
              </w:rPr>
            </w:pPr>
            <w:r>
              <w:rPr>
                <w:rFonts w:ascii="Arial" w:cs="Arial" w:eastAsia="Arial" w:hAnsi="Arial"/>
                <w:sz w:val="15"/>
                <w:szCs w:val="15"/>
                <w:color w:val="auto"/>
              </w:rPr>
              <w:t>Inline XBRL Taxonomy Extension Schema</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5"/>
            <w:shd w:val="clear" w:color="auto" w:fill="CCEEFF"/>
          </w:tcPr>
          <w:p>
            <w:pPr>
              <w:spacing w:after="0"/>
              <w:rPr>
                <w:sz w:val="20"/>
                <w:szCs w:val="20"/>
                <w:color w:val="auto"/>
              </w:rPr>
            </w:pPr>
            <w:r>
              <w:rPr>
                <w:rFonts w:ascii="Arial" w:cs="Arial" w:eastAsia="Arial" w:hAnsi="Arial"/>
                <w:sz w:val="15"/>
                <w:szCs w:val="15"/>
                <w:color w:val="auto"/>
                <w:w w:val="99"/>
              </w:rPr>
              <w:t>101.CAL*</w:t>
            </w:r>
          </w:p>
        </w:tc>
        <w:tc>
          <w:tcPr>
            <w:tcW w:w="10600" w:type="dxa"/>
            <w:vAlign w:val="bottom"/>
            <w:gridSpan w:val="7"/>
            <w:shd w:val="clear" w:color="auto" w:fill="CCEEFF"/>
          </w:tcPr>
          <w:p>
            <w:pPr>
              <w:ind w:left="220"/>
              <w:spacing w:after="0"/>
              <w:rPr>
                <w:sz w:val="20"/>
                <w:szCs w:val="20"/>
                <w:color w:val="auto"/>
              </w:rPr>
            </w:pPr>
            <w:r>
              <w:rPr>
                <w:rFonts w:ascii="Arial" w:cs="Arial" w:eastAsia="Arial" w:hAnsi="Arial"/>
                <w:sz w:val="15"/>
                <w:szCs w:val="15"/>
                <w:color w:val="auto"/>
              </w:rPr>
              <w:t>Inline XBRL Taxonomy Extension Calculation Linkbase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5"/>
          </w:tcPr>
          <w:p>
            <w:pPr>
              <w:spacing w:after="0"/>
              <w:rPr>
                <w:sz w:val="20"/>
                <w:szCs w:val="20"/>
                <w:color w:val="auto"/>
              </w:rPr>
            </w:pPr>
            <w:r>
              <w:rPr>
                <w:rFonts w:ascii="Arial" w:cs="Arial" w:eastAsia="Arial" w:hAnsi="Arial"/>
                <w:sz w:val="15"/>
                <w:szCs w:val="15"/>
                <w:color w:val="auto"/>
                <w:w w:val="98"/>
              </w:rPr>
              <w:t>101.DEF*</w:t>
            </w:r>
          </w:p>
        </w:tc>
        <w:tc>
          <w:tcPr>
            <w:tcW w:w="10600" w:type="dxa"/>
            <w:vAlign w:val="bottom"/>
            <w:gridSpan w:val="7"/>
          </w:tcPr>
          <w:p>
            <w:pPr>
              <w:ind w:left="220"/>
              <w:spacing w:after="0"/>
              <w:rPr>
                <w:sz w:val="20"/>
                <w:szCs w:val="20"/>
                <w:color w:val="auto"/>
              </w:rPr>
            </w:pPr>
            <w:r>
              <w:rPr>
                <w:rFonts w:ascii="Arial" w:cs="Arial" w:eastAsia="Arial" w:hAnsi="Arial"/>
                <w:sz w:val="15"/>
                <w:szCs w:val="15"/>
                <w:color w:val="auto"/>
              </w:rPr>
              <w:t>Inline XBRL Taxonomy Extension Definition Linkbase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101.LAB*</w:t>
            </w:r>
          </w:p>
        </w:tc>
        <w:tc>
          <w:tcPr>
            <w:tcW w:w="10600" w:type="dxa"/>
            <w:vAlign w:val="bottom"/>
            <w:gridSpan w:val="7"/>
            <w:shd w:val="clear" w:color="auto" w:fill="CCEEFF"/>
          </w:tcPr>
          <w:p>
            <w:pPr>
              <w:ind w:left="220"/>
              <w:spacing w:after="0"/>
              <w:rPr>
                <w:sz w:val="20"/>
                <w:szCs w:val="20"/>
                <w:color w:val="auto"/>
              </w:rPr>
            </w:pPr>
            <w:r>
              <w:rPr>
                <w:rFonts w:ascii="Arial" w:cs="Arial" w:eastAsia="Arial" w:hAnsi="Arial"/>
                <w:sz w:val="15"/>
                <w:szCs w:val="15"/>
                <w:color w:val="auto"/>
              </w:rPr>
              <w:t>Inline XBRL Taxonomy Extension Label Linkbase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5"/>
          </w:tcPr>
          <w:p>
            <w:pPr>
              <w:spacing w:after="0"/>
              <w:rPr>
                <w:sz w:val="20"/>
                <w:szCs w:val="20"/>
                <w:color w:val="auto"/>
              </w:rPr>
            </w:pPr>
            <w:r>
              <w:rPr>
                <w:rFonts w:ascii="Arial" w:cs="Arial" w:eastAsia="Arial" w:hAnsi="Arial"/>
                <w:sz w:val="15"/>
                <w:szCs w:val="15"/>
                <w:color w:val="auto"/>
                <w:w w:val="97"/>
              </w:rPr>
              <w:t>101.PRE*</w:t>
            </w:r>
          </w:p>
        </w:tc>
        <w:tc>
          <w:tcPr>
            <w:tcW w:w="10600" w:type="dxa"/>
            <w:vAlign w:val="bottom"/>
            <w:gridSpan w:val="7"/>
          </w:tcPr>
          <w:p>
            <w:pPr>
              <w:ind w:left="220"/>
              <w:spacing w:after="0"/>
              <w:rPr>
                <w:sz w:val="20"/>
                <w:szCs w:val="20"/>
                <w:color w:val="auto"/>
              </w:rPr>
            </w:pPr>
            <w:r>
              <w:rPr>
                <w:rFonts w:ascii="Arial" w:cs="Arial" w:eastAsia="Arial" w:hAnsi="Arial"/>
                <w:sz w:val="15"/>
                <w:szCs w:val="15"/>
                <w:color w:val="auto"/>
              </w:rPr>
              <w:t>Inline XBRL Taxonomy Extension Presentation Linkbase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gridSpan w:val="4"/>
            <w:shd w:val="clear" w:color="auto" w:fill="CCEEFF"/>
          </w:tcPr>
          <w:p>
            <w:pPr>
              <w:spacing w:after="0"/>
              <w:rPr>
                <w:sz w:val="20"/>
                <w:szCs w:val="20"/>
                <w:color w:val="auto"/>
              </w:rPr>
            </w:pPr>
            <w:r>
              <w:rPr>
                <w:rFonts w:ascii="Arial" w:cs="Arial" w:eastAsia="Arial" w:hAnsi="Arial"/>
                <w:sz w:val="15"/>
                <w:szCs w:val="15"/>
                <w:color w:val="auto"/>
                <w:w w:val="97"/>
              </w:rPr>
              <w:t>104*</w:t>
            </w:r>
          </w:p>
        </w:tc>
        <w:tc>
          <w:tcPr>
            <w:tcW w:w="340" w:type="dxa"/>
            <w:vAlign w:val="bottom"/>
            <w:shd w:val="clear" w:color="auto" w:fill="CCEEFF"/>
          </w:tcPr>
          <w:p>
            <w:pPr>
              <w:spacing w:after="0"/>
              <w:rPr>
                <w:sz w:val="15"/>
                <w:szCs w:val="15"/>
                <w:color w:val="auto"/>
              </w:rPr>
            </w:pPr>
          </w:p>
        </w:tc>
        <w:tc>
          <w:tcPr>
            <w:tcW w:w="10600" w:type="dxa"/>
            <w:vAlign w:val="bottom"/>
            <w:gridSpan w:val="7"/>
            <w:shd w:val="clear" w:color="auto" w:fill="CCEEFF"/>
          </w:tcPr>
          <w:p>
            <w:pPr>
              <w:ind w:left="220"/>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15581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5815" cy="6985"/>
                    </a:xfrm>
                    <a:prstGeom prst="rect">
                      <a:avLst/>
                    </a:prstGeom>
                    <a:noFill/>
                  </pic:spPr>
                </pic:pic>
              </a:graphicData>
            </a:graphic>
          </wp:anchor>
        </w:drawing>
      </w:r>
    </w:p>
    <w:p>
      <w:pPr>
        <w:spacing w:after="0" w:line="165"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tcPr>
          <w:p>
            <w:pPr>
              <w:spacing w:after="0"/>
              <w:rPr>
                <w:sz w:val="16"/>
                <w:szCs w:val="16"/>
                <w:color w:val="auto"/>
              </w:rPr>
            </w:pPr>
          </w:p>
        </w:tc>
        <w:tc>
          <w:tcPr>
            <w:tcW w:w="6440" w:type="dxa"/>
            <w:vAlign w:val="bottom"/>
            <w:gridSpan w:val="2"/>
          </w:tcPr>
          <w:p>
            <w:pPr>
              <w:ind w:left="2160"/>
              <w:spacing w:after="0"/>
              <w:rPr>
                <w:sz w:val="20"/>
                <w:szCs w:val="20"/>
                <w:color w:val="auto"/>
              </w:rPr>
            </w:pPr>
            <w:r>
              <w:rPr>
                <w:rFonts w:ascii="Arial" w:cs="Arial" w:eastAsia="Arial" w:hAnsi="Arial"/>
                <w:sz w:val="15"/>
                <w:szCs w:val="15"/>
                <w:b w:val="1"/>
                <w:bCs w:val="1"/>
                <w:color w:val="auto"/>
              </w:rPr>
              <w:t>VISTAGEN THERAPEUTICS, INC.</w:t>
            </w:r>
          </w:p>
        </w:tc>
        <w:tc>
          <w:tcPr>
            <w:tcW w:w="1340" w:type="dxa"/>
            <w:vAlign w:val="bottom"/>
          </w:tcPr>
          <w:p>
            <w:pPr>
              <w:spacing w:after="0"/>
              <w:rPr>
                <w:sz w:val="16"/>
                <w:szCs w:val="16"/>
                <w:color w:val="auto"/>
              </w:rPr>
            </w:pPr>
          </w:p>
        </w:tc>
      </w:tr>
      <w:tr>
        <w:trPr>
          <w:trHeight w:val="358"/>
        </w:trPr>
        <w:tc>
          <w:tcPr>
            <w:tcW w:w="3500" w:type="dxa"/>
            <w:vAlign w:val="bottom"/>
          </w:tcPr>
          <w:p>
            <w:pPr>
              <w:spacing w:after="0"/>
              <w:rPr>
                <w:sz w:val="20"/>
                <w:szCs w:val="20"/>
                <w:color w:val="auto"/>
              </w:rPr>
            </w:pPr>
            <w:r>
              <w:rPr>
                <w:rFonts w:ascii="Arial" w:cs="Arial" w:eastAsia="Arial" w:hAnsi="Arial"/>
                <w:sz w:val="15"/>
                <w:szCs w:val="15"/>
                <w:color w:val="auto"/>
              </w:rPr>
              <w:t>Dated: August 12, 2021</w:t>
            </w:r>
          </w:p>
        </w:tc>
        <w:tc>
          <w:tcPr>
            <w:tcW w:w="250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Shawn K. Singh</w:t>
            </w:r>
          </w:p>
        </w:tc>
        <w:tc>
          <w:tcPr>
            <w:tcW w:w="1340" w:type="dxa"/>
            <w:vAlign w:val="bottom"/>
          </w:tcPr>
          <w:p>
            <w:pPr>
              <w:spacing w:after="0"/>
              <w:rPr>
                <w:sz w:val="24"/>
                <w:szCs w:val="24"/>
                <w:color w:val="auto"/>
              </w:rPr>
            </w:pPr>
          </w:p>
        </w:tc>
      </w:tr>
      <w:tr>
        <w:trPr>
          <w:trHeight w:val="160"/>
        </w:trPr>
        <w:tc>
          <w:tcPr>
            <w:tcW w:w="35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940" w:type="dxa"/>
            <w:vAlign w:val="bottom"/>
          </w:tcPr>
          <w:p>
            <w:pPr>
              <w:spacing w:after="0" w:line="160" w:lineRule="exact"/>
              <w:rPr>
                <w:sz w:val="20"/>
                <w:szCs w:val="20"/>
                <w:color w:val="auto"/>
              </w:rPr>
            </w:pPr>
            <w:r>
              <w:rPr>
                <w:rFonts w:ascii="Arial" w:cs="Arial" w:eastAsia="Arial" w:hAnsi="Arial"/>
                <w:sz w:val="15"/>
                <w:szCs w:val="15"/>
                <w:color w:val="auto"/>
              </w:rPr>
              <w:t>Shawn K. Singh</w:t>
            </w:r>
          </w:p>
        </w:tc>
        <w:tc>
          <w:tcPr>
            <w:tcW w:w="1340" w:type="dxa"/>
            <w:vAlign w:val="bottom"/>
          </w:tcPr>
          <w:p>
            <w:pPr>
              <w:spacing w:after="0"/>
              <w:rPr>
                <w:sz w:val="13"/>
                <w:szCs w:val="13"/>
                <w:color w:val="auto"/>
              </w:rPr>
            </w:pPr>
          </w:p>
        </w:tc>
      </w:tr>
      <w:tr>
        <w:trPr>
          <w:trHeight w:val="189"/>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5"/>
                <w:szCs w:val="15"/>
                <w:i w:val="1"/>
                <w:iCs w:val="1"/>
                <w:color w:val="auto"/>
              </w:rPr>
              <w:t>Chief Executive Officer (Principal Executive Officer)</w:t>
            </w:r>
          </w:p>
        </w:tc>
        <w:tc>
          <w:tcPr>
            <w:tcW w:w="1340" w:type="dxa"/>
            <w:vAlign w:val="bottom"/>
          </w:tcPr>
          <w:p>
            <w:pPr>
              <w:spacing w:after="0"/>
              <w:rPr>
                <w:sz w:val="16"/>
                <w:szCs w:val="16"/>
                <w:color w:val="auto"/>
              </w:rPr>
            </w:pPr>
          </w:p>
        </w:tc>
      </w:tr>
      <w:tr>
        <w:trPr>
          <w:trHeight w:val="358"/>
        </w:trPr>
        <w:tc>
          <w:tcPr>
            <w:tcW w:w="3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Jerrold D. Dotson</w:t>
            </w:r>
          </w:p>
        </w:tc>
        <w:tc>
          <w:tcPr>
            <w:tcW w:w="1340" w:type="dxa"/>
            <w:vAlign w:val="bottom"/>
          </w:tcPr>
          <w:p>
            <w:pPr>
              <w:spacing w:after="0"/>
              <w:rPr>
                <w:sz w:val="24"/>
                <w:szCs w:val="24"/>
                <w:color w:val="auto"/>
              </w:rPr>
            </w:pPr>
          </w:p>
        </w:tc>
      </w:tr>
      <w:tr>
        <w:trPr>
          <w:trHeight w:val="160"/>
        </w:trPr>
        <w:tc>
          <w:tcPr>
            <w:tcW w:w="35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940" w:type="dxa"/>
            <w:vAlign w:val="bottom"/>
          </w:tcPr>
          <w:p>
            <w:pPr>
              <w:spacing w:after="0" w:line="160" w:lineRule="exact"/>
              <w:rPr>
                <w:sz w:val="20"/>
                <w:szCs w:val="20"/>
                <w:color w:val="auto"/>
              </w:rPr>
            </w:pPr>
            <w:r>
              <w:rPr>
                <w:rFonts w:ascii="Arial" w:cs="Arial" w:eastAsia="Arial" w:hAnsi="Arial"/>
                <w:sz w:val="15"/>
                <w:szCs w:val="15"/>
                <w:color w:val="auto"/>
              </w:rPr>
              <w:t>Jerrold D. Dotson</w:t>
            </w:r>
          </w:p>
        </w:tc>
        <w:tc>
          <w:tcPr>
            <w:tcW w:w="1340" w:type="dxa"/>
            <w:vAlign w:val="bottom"/>
          </w:tcPr>
          <w:p>
            <w:pPr>
              <w:spacing w:after="0"/>
              <w:rPr>
                <w:sz w:val="13"/>
                <w:szCs w:val="13"/>
                <w:color w:val="auto"/>
              </w:rPr>
            </w:pPr>
          </w:p>
        </w:tc>
      </w:tr>
      <w:tr>
        <w:trPr>
          <w:trHeight w:val="179"/>
        </w:trPr>
        <w:tc>
          <w:tcPr>
            <w:tcW w:w="3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i w:val="1"/>
                <w:iCs w:val="1"/>
                <w:color w:val="auto"/>
              </w:rPr>
              <w:t>Chief Financial Officer (Principal Financial and Accounting</w:t>
            </w:r>
          </w:p>
        </w:tc>
        <w:tc>
          <w:tcPr>
            <w:tcW w:w="1340" w:type="dxa"/>
            <w:vAlign w:val="bottom"/>
          </w:tcPr>
          <w:p>
            <w:pPr>
              <w:spacing w:after="0"/>
              <w:rPr>
                <w:sz w:val="15"/>
                <w:szCs w:val="15"/>
                <w:color w:val="auto"/>
              </w:rPr>
            </w:pPr>
          </w:p>
        </w:tc>
      </w:tr>
      <w:tr>
        <w:trPr>
          <w:trHeight w:val="189"/>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5"/>
                <w:szCs w:val="15"/>
                <w:i w:val="1"/>
                <w:iCs w:val="1"/>
                <w:color w:val="auto"/>
              </w:rPr>
              <w:t>Officer)</w:t>
            </w:r>
          </w:p>
        </w:tc>
        <w:tc>
          <w:tcPr>
            <w:tcW w:w="1340" w:type="dxa"/>
            <w:vAlign w:val="bottom"/>
          </w:tcPr>
          <w:p>
            <w:pPr>
              <w:spacing w:after="0"/>
              <w:rPr>
                <w:sz w:val="16"/>
                <w:szCs w:val="16"/>
                <w:color w:val="auto"/>
              </w:rPr>
            </w:pPr>
          </w:p>
        </w:tc>
      </w:tr>
      <w:tr>
        <w:trPr>
          <w:trHeight w:val="537"/>
        </w:trPr>
        <w:tc>
          <w:tcPr>
            <w:tcW w:w="35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65</w:t>
            </w:r>
          </w:p>
        </w:tc>
        <w:tc>
          <w:tcPr>
            <w:tcW w:w="3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9" w:right="319" w:bottom="706"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 Shawn K. Singh, certify that;</w:t>
      </w:r>
    </w:p>
    <w:p>
      <w:pPr>
        <w:spacing w:after="0" w:line="175" w:lineRule="exact"/>
        <w:rPr>
          <w:sz w:val="20"/>
          <w:szCs w:val="20"/>
          <w:color w:val="auto"/>
        </w:rPr>
      </w:pPr>
    </w:p>
    <w:p>
      <w:pPr>
        <w:ind w:left="460" w:hanging="451"/>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VistaGen Therapeutics, Inc.;</w:t>
      </w:r>
    </w:p>
    <w:p>
      <w:pPr>
        <w:spacing w:after="0" w:line="185"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7" w:lineRule="exact"/>
        <w:rPr>
          <w:rFonts w:ascii="Arial" w:cs="Arial" w:eastAsia="Arial" w:hAnsi="Arial"/>
          <w:sz w:val="15"/>
          <w:szCs w:val="15"/>
          <w:color w:val="auto"/>
        </w:rPr>
      </w:pPr>
    </w:p>
    <w:p>
      <w:pPr>
        <w:jc w:val="both"/>
        <w:ind w:left="900" w:hanging="443"/>
        <w:spacing w:after="0" w:line="260"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5"/>
          <w:szCs w:val="15"/>
          <w:color w:val="auto"/>
        </w:rPr>
      </w:pPr>
    </w:p>
    <w:p>
      <w:pPr>
        <w:jc w:val="both"/>
        <w:ind w:left="900" w:right="20" w:hanging="443"/>
        <w:spacing w:after="0" w:line="260"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5"/>
          <w:szCs w:val="15"/>
          <w:color w:val="auto"/>
        </w:rPr>
      </w:pPr>
    </w:p>
    <w:p>
      <w:pPr>
        <w:ind w:left="900" w:hanging="443"/>
        <w:spacing w:after="0" w:line="271"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5"/>
          <w:szCs w:val="15"/>
          <w:color w:val="auto"/>
        </w:rPr>
      </w:pPr>
    </w:p>
    <w:p>
      <w:pPr>
        <w:jc w:val="both"/>
        <w:ind w:left="900" w:hanging="443"/>
        <w:spacing w:after="0" w:line="260"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5"/>
          <w:szCs w:val="15"/>
          <w:color w:val="auto"/>
        </w:rPr>
      </w:pPr>
    </w:p>
    <w:p>
      <w:pPr>
        <w:ind w:left="900" w:hanging="443"/>
        <w:spacing w:after="0" w:line="271"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5"/>
          <w:szCs w:val="15"/>
          <w:color w:val="auto"/>
        </w:rPr>
      </w:pPr>
    </w:p>
    <w:p>
      <w:pPr>
        <w:ind w:left="900" w:hanging="443"/>
        <w:spacing w:after="0"/>
        <w:tabs>
          <w:tab w:leader="none" w:pos="9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20"/>
                <w:szCs w:val="20"/>
                <w:color w:val="auto"/>
              </w:rPr>
            </w:pPr>
            <w:r>
              <w:rPr>
                <w:rFonts w:ascii="Arial" w:cs="Arial" w:eastAsia="Arial" w:hAnsi="Arial"/>
                <w:sz w:val="15"/>
                <w:szCs w:val="15"/>
                <w:color w:val="auto"/>
              </w:rPr>
              <w:t>August 12, 2021</w:t>
            </w:r>
          </w:p>
        </w:tc>
        <w:tc>
          <w:tcPr>
            <w:tcW w:w="3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Shawn K. Singh</w:t>
            </w:r>
          </w:p>
        </w:tc>
      </w:tr>
      <w:tr>
        <w:trPr>
          <w:trHeight w:val="160"/>
        </w:trPr>
        <w:tc>
          <w:tcPr>
            <w:tcW w:w="6000" w:type="dxa"/>
            <w:vAlign w:val="bottom"/>
          </w:tcPr>
          <w:p>
            <w:pPr>
              <w:spacing w:after="0"/>
              <w:rPr>
                <w:sz w:val="13"/>
                <w:szCs w:val="13"/>
                <w:color w:val="auto"/>
              </w:rPr>
            </w:pPr>
          </w:p>
        </w:tc>
        <w:tc>
          <w:tcPr>
            <w:tcW w:w="3940" w:type="dxa"/>
            <w:vAlign w:val="bottom"/>
          </w:tcPr>
          <w:p>
            <w:pPr>
              <w:spacing w:after="0" w:line="160" w:lineRule="exact"/>
              <w:rPr>
                <w:sz w:val="20"/>
                <w:szCs w:val="20"/>
                <w:color w:val="auto"/>
              </w:rPr>
            </w:pPr>
            <w:r>
              <w:rPr>
                <w:rFonts w:ascii="Arial" w:cs="Arial" w:eastAsia="Arial" w:hAnsi="Arial"/>
                <w:sz w:val="15"/>
                <w:szCs w:val="15"/>
                <w:color w:val="auto"/>
              </w:rPr>
              <w:t>Shawn K. Singh</w:t>
            </w:r>
          </w:p>
        </w:tc>
      </w:tr>
      <w:tr>
        <w:trPr>
          <w:trHeight w:val="189"/>
        </w:trPr>
        <w:tc>
          <w:tcPr>
            <w:tcW w:w="60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ectPr>
          <w:pgSz w:w="11900" w:h="16838" w:orient="portrait"/>
          <w:cols w:equalWidth="0" w:num="1">
            <w:col w:w="11280"/>
          </w:cols>
          <w:pgMar w:left="300" w:top="125"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5"/>
          <w:szCs w:val="15"/>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 Jerrold D. Dotson, certify that:</w:t>
      </w:r>
    </w:p>
    <w:p>
      <w:pPr>
        <w:spacing w:after="0" w:line="185" w:lineRule="exact"/>
        <w:rPr>
          <w:sz w:val="20"/>
          <w:szCs w:val="20"/>
          <w:color w:val="auto"/>
        </w:rPr>
      </w:pPr>
    </w:p>
    <w:p>
      <w:pPr>
        <w:ind w:left="460" w:hanging="451"/>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VistaGen Therapeutics, Inc.;</w:t>
      </w:r>
    </w:p>
    <w:p>
      <w:pPr>
        <w:spacing w:after="0" w:line="185"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7" w:lineRule="exact"/>
        <w:rPr>
          <w:rFonts w:ascii="Arial" w:cs="Arial" w:eastAsia="Arial" w:hAnsi="Arial"/>
          <w:sz w:val="15"/>
          <w:szCs w:val="15"/>
          <w:color w:val="auto"/>
        </w:rPr>
      </w:pPr>
    </w:p>
    <w:p>
      <w:pPr>
        <w:jc w:val="both"/>
        <w:ind w:left="900" w:hanging="443"/>
        <w:spacing w:after="0" w:line="260"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5"/>
          <w:szCs w:val="15"/>
          <w:color w:val="auto"/>
        </w:rPr>
      </w:pPr>
    </w:p>
    <w:p>
      <w:pPr>
        <w:jc w:val="both"/>
        <w:ind w:left="900" w:right="20" w:hanging="443"/>
        <w:spacing w:after="0" w:line="260"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5"/>
          <w:szCs w:val="15"/>
          <w:color w:val="auto"/>
        </w:rPr>
      </w:pPr>
    </w:p>
    <w:p>
      <w:pPr>
        <w:ind w:left="900" w:hanging="443"/>
        <w:spacing w:after="0" w:line="271"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5"/>
          <w:szCs w:val="15"/>
          <w:color w:val="auto"/>
        </w:rPr>
      </w:pPr>
    </w:p>
    <w:p>
      <w:pPr>
        <w:jc w:val="both"/>
        <w:ind w:left="900" w:hanging="443"/>
        <w:spacing w:after="0" w:line="260"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460" w:hanging="451"/>
        <w:spacing w:after="0" w:line="271"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5"/>
          <w:szCs w:val="15"/>
          <w:color w:val="auto"/>
        </w:rPr>
      </w:pPr>
    </w:p>
    <w:p>
      <w:pPr>
        <w:ind w:left="900" w:hanging="443"/>
        <w:spacing w:after="0" w:line="271"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5"/>
          <w:szCs w:val="15"/>
          <w:color w:val="auto"/>
        </w:rPr>
      </w:pPr>
    </w:p>
    <w:p>
      <w:pPr>
        <w:ind w:left="900" w:hanging="443"/>
        <w:spacing w:after="0"/>
        <w:tabs>
          <w:tab w:leader="none" w:pos="9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20"/>
                <w:szCs w:val="20"/>
                <w:color w:val="auto"/>
              </w:rPr>
            </w:pPr>
            <w:r>
              <w:rPr>
                <w:rFonts w:ascii="Arial" w:cs="Arial" w:eastAsia="Arial" w:hAnsi="Arial"/>
                <w:sz w:val="15"/>
                <w:szCs w:val="15"/>
                <w:color w:val="auto"/>
              </w:rPr>
              <w:t>August 12, 2021</w:t>
            </w:r>
          </w:p>
        </w:tc>
        <w:tc>
          <w:tcPr>
            <w:tcW w:w="3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Jerrold D. Dotson</w:t>
            </w:r>
          </w:p>
        </w:tc>
      </w:tr>
      <w:tr>
        <w:trPr>
          <w:trHeight w:val="160"/>
        </w:trPr>
        <w:tc>
          <w:tcPr>
            <w:tcW w:w="6000" w:type="dxa"/>
            <w:vAlign w:val="bottom"/>
          </w:tcPr>
          <w:p>
            <w:pPr>
              <w:spacing w:after="0"/>
              <w:rPr>
                <w:sz w:val="13"/>
                <w:szCs w:val="13"/>
                <w:color w:val="auto"/>
              </w:rPr>
            </w:pPr>
          </w:p>
        </w:tc>
        <w:tc>
          <w:tcPr>
            <w:tcW w:w="3940" w:type="dxa"/>
            <w:vAlign w:val="bottom"/>
          </w:tcPr>
          <w:p>
            <w:pPr>
              <w:spacing w:after="0" w:line="160" w:lineRule="exact"/>
              <w:rPr>
                <w:sz w:val="20"/>
                <w:szCs w:val="20"/>
                <w:color w:val="auto"/>
              </w:rPr>
            </w:pPr>
            <w:r>
              <w:rPr>
                <w:rFonts w:ascii="Arial" w:cs="Arial" w:eastAsia="Arial" w:hAnsi="Arial"/>
                <w:sz w:val="15"/>
                <w:szCs w:val="15"/>
                <w:color w:val="auto"/>
              </w:rPr>
              <w:t>Jerrold D. Dotson</w:t>
            </w:r>
          </w:p>
        </w:tc>
      </w:tr>
      <w:tr>
        <w:trPr>
          <w:trHeight w:val="189"/>
        </w:trPr>
        <w:tc>
          <w:tcPr>
            <w:tcW w:w="600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ectPr>
          <w:pgSz w:w="11900" w:h="16838" w:orient="portrait"/>
          <w:cols w:equalWidth="0" w:num="1">
            <w:col w:w="11280"/>
          </w:cols>
          <w:pgMar w:left="300" w:top="304"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5"/>
          <w:szCs w:val="15"/>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connection with the Quarterly Report on Form 10-Q of VistaGen Therapeutics, Inc. (the “</w:t>
      </w:r>
      <w:r>
        <w:rPr>
          <w:rFonts w:ascii="Arial" w:cs="Arial" w:eastAsia="Arial" w:hAnsi="Arial"/>
          <w:sz w:val="15"/>
          <w:szCs w:val="15"/>
          <w:i w:val="1"/>
          <w:iCs w:val="1"/>
          <w:color w:val="auto"/>
        </w:rPr>
        <w:t>Company</w:t>
      </w:r>
      <w:r>
        <w:rPr>
          <w:rFonts w:ascii="Arial" w:cs="Arial" w:eastAsia="Arial" w:hAnsi="Arial"/>
          <w:sz w:val="15"/>
          <w:szCs w:val="15"/>
          <w:color w:val="auto"/>
        </w:rPr>
        <w:t>”) for the quarter ended June 30, 2021, as filed with the Securities and Exchange Commission on the date hereof (the “</w:t>
      </w:r>
      <w:r>
        <w:rPr>
          <w:rFonts w:ascii="Arial" w:cs="Arial" w:eastAsia="Arial" w:hAnsi="Arial"/>
          <w:sz w:val="15"/>
          <w:szCs w:val="15"/>
          <w:i w:val="1"/>
          <w:iCs w:val="1"/>
          <w:color w:val="auto"/>
        </w:rPr>
        <w:t>Report</w:t>
      </w:r>
      <w:r>
        <w:rPr>
          <w:rFonts w:ascii="Arial" w:cs="Arial" w:eastAsia="Arial" w:hAnsi="Arial"/>
          <w:sz w:val="15"/>
          <w:szCs w:val="15"/>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55" w:lineRule="exact"/>
        <w:rPr>
          <w:sz w:val="20"/>
          <w:szCs w:val="20"/>
          <w:color w:val="auto"/>
        </w:rPr>
      </w:pPr>
    </w:p>
    <w:p>
      <w:pPr>
        <w:ind w:left="900" w:hanging="443"/>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Report fully complies with the requirement of Section 13(a) or Section 15 (d) of the Securities Exchange Act of 1934, and</w:t>
      </w:r>
    </w:p>
    <w:p>
      <w:pPr>
        <w:spacing w:after="0" w:line="185" w:lineRule="exact"/>
        <w:rPr>
          <w:rFonts w:ascii="Arial" w:cs="Arial" w:eastAsia="Arial" w:hAnsi="Arial"/>
          <w:sz w:val="15"/>
          <w:szCs w:val="15"/>
          <w:color w:val="auto"/>
        </w:rPr>
      </w:pPr>
    </w:p>
    <w:p>
      <w:pPr>
        <w:ind w:right="1720" w:firstLine="457"/>
        <w:spacing w:after="0" w:line="497" w:lineRule="auto"/>
        <w:tabs>
          <w:tab w:leader="none" w:pos="89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 August 12, 2021</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4987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49872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Shawn K. Singh</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Principal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4987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49872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Jerrold D. Dotson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0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Roman"/>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75" Type="http://schemas.openxmlformats.org/officeDocument/2006/relationships/hyperlink" Target="http://www.sec.gov/Archives/edgar/data/1411685/000165495421005701/ex1-1.htm" TargetMode="External"/><Relationship Id="rId76" Type="http://schemas.openxmlformats.org/officeDocument/2006/relationships/hyperlink" Target="http://www.sec.gov/Archives/edgar/data/1411685/000165495421007757/ex10-1.htm" TargetMode="External"/><Relationship Id="rId77" Type="http://schemas.openxmlformats.org/officeDocument/2006/relationships/hyperlink" Target="http://www.sec.gov/Archives/edgar/data/1411685/00016549542100812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2021-08-12T16:09:42Z</dcterms:created>
  <dcterms:modified xsi:type="dcterms:W3CDTF">2021-08-12T16:09:42Z</dcterms:modified>
</cp:coreProperties>
</file>