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October 29, 2018</w:t>
      </w:r>
    </w:p>
    <w:p>
      <w:pPr>
        <w:spacing w:after="0" w:line="21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020"/>
          </w:cols>
          <w:pgMar w:left="240" w:top="1138" w:right="639" w:bottom="1440" w:gutter="0" w:footer="0" w:header="0"/>
        </w:sectPr>
      </w:pPr>
    </w:p>
    <w:p>
      <w:pPr>
        <w:spacing w:after="0" w:line="205"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6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001-37761</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14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700" w:space="720"/>
            <w:col w:w="2840"/>
          </w:cols>
          <w:pgMar w:left="240" w:top="1138" w:right="6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020"/>
          </w:cols>
          <w:pgMar w:left="240" w:top="1138" w:right="639" w:bottom="1440" w:gutter="0" w:footer="0" w:header="0"/>
          <w:type w:val="continuous"/>
        </w:sectPr>
      </w:pPr>
    </w:p>
    <w:p>
      <w:pPr>
        <w:spacing w:after="0" w:line="24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113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8.01.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On October 29, 2018,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to announce the Company's financial results for its fiscal quarter ended September 30, 2018. A copy of the press release is attached hereto as Exhibit 99.1.</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herein and therein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otherwise subject to the liabilities of that Section, or incorporated by reference in any filing under the Exchange Act or the Securities Act of 1933, as amended, except as shall be expressly set forth by specific reference in such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19"/>
                <w:szCs w:val="19"/>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5"/>
                <w:szCs w:val="15"/>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October 29, 2018.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9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1228090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ind w:left="56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74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7700" w:type="dxa"/>
            <w:vAlign w:val="bottom"/>
            <w:gridSpan w:val="3"/>
          </w:tcPr>
          <w:p>
            <w:pPr>
              <w:ind w:left="2000"/>
              <w:spacing w:after="0"/>
              <w:rPr>
                <w:sz w:val="20"/>
                <w:szCs w:val="20"/>
                <w:color w:val="auto"/>
              </w:rPr>
            </w:pPr>
            <w:r>
              <w:rPr>
                <w:rFonts w:ascii="Arial" w:cs="Arial" w:eastAsia="Arial" w:hAnsi="Arial"/>
                <w:sz w:val="18"/>
                <w:szCs w:val="18"/>
                <w:color w:val="auto"/>
              </w:rPr>
              <w:t>VistaGen Therapeutics, Inc.</w:t>
            </w:r>
          </w:p>
        </w:tc>
      </w:tr>
      <w:tr>
        <w:trPr>
          <w:trHeight w:val="394"/>
        </w:trPr>
        <w:tc>
          <w:tcPr>
            <w:tcW w:w="3720" w:type="dxa"/>
            <w:vAlign w:val="bottom"/>
          </w:tcPr>
          <w:p>
            <w:pPr>
              <w:ind w:left="60"/>
              <w:spacing w:after="0"/>
              <w:rPr>
                <w:sz w:val="20"/>
                <w:szCs w:val="20"/>
                <w:color w:val="auto"/>
              </w:rPr>
            </w:pPr>
            <w:r>
              <w:rPr>
                <w:rFonts w:ascii="Arial" w:cs="Arial" w:eastAsia="Arial" w:hAnsi="Arial"/>
                <w:sz w:val="18"/>
                <w:szCs w:val="18"/>
                <w:color w:val="auto"/>
              </w:rPr>
              <w:t>Date: October 30, 2018</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6"/>
              </w:rPr>
              <w:t>/s/ Shawn K. Singh</w:t>
            </w:r>
          </w:p>
        </w:tc>
        <w:tc>
          <w:tcPr>
            <w:tcW w:w="3800" w:type="dxa"/>
            <w:vAlign w:val="bottom"/>
          </w:tcPr>
          <w:p>
            <w:pPr>
              <w:spacing w:after="0"/>
              <w:rPr>
                <w:sz w:val="24"/>
                <w:szCs w:val="24"/>
                <w:color w:val="auto"/>
              </w:rPr>
            </w:pPr>
          </w:p>
        </w:tc>
      </w:tr>
      <w:tr>
        <w:trPr>
          <w:trHeight w:val="228"/>
        </w:trPr>
        <w:tc>
          <w:tcPr>
            <w:tcW w:w="37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37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1089"/>
        </w:trPr>
        <w:tc>
          <w:tcPr>
            <w:tcW w:w="37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57"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49"/>
        </w:trPr>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99.</w:t>
              </w:r>
              <w:r>
                <w:rPr>
                  <w:rFonts w:ascii="Arial" w:cs="Arial" w:eastAsia="Arial" w:hAnsi="Arial"/>
                  <w:sz w:val="18"/>
                  <w:szCs w:val="18"/>
                  <w:u w:val="single" w:color="auto"/>
                  <w:color w:val="0000EE"/>
                  <w:w w:val="79"/>
                </w:rPr>
                <w:t>1</w:t>
              </w:r>
            </w:hyperlink>
          </w:p>
        </w:tc>
        <w:tc>
          <w:tcPr>
            <w:tcW w:w="940" w:type="dxa"/>
            <w:vAlign w:val="bottom"/>
            <w:tcBorders>
              <w:bottom w:val="single" w:sz="8" w:color="CCEEFF"/>
            </w:tcBorders>
            <w:shd w:val="clear" w:color="auto" w:fill="CCEEFF"/>
          </w:tcPr>
          <w:p>
            <w:pPr>
              <w:spacing w:after="0"/>
              <w:rPr>
                <w:sz w:val="17"/>
                <w:szCs w:val="17"/>
                <w:color w:val="auto"/>
              </w:rPr>
            </w:pPr>
          </w:p>
        </w:tc>
        <w:tc>
          <w:tcPr>
            <w:tcW w:w="10160" w:type="dxa"/>
            <w:vAlign w:val="bottom"/>
            <w:tcBorders>
              <w:bottom w:val="single" w:sz="8" w:color="CCEEFF"/>
            </w:tcBorders>
            <w:gridSpan w:val="2"/>
            <w:shd w:val="clear" w:color="auto" w:fill="CCEEFF"/>
          </w:tcPr>
          <w:p>
            <w:pPr>
              <w:ind w:left="240"/>
              <w:spacing w:after="0" w:line="176" w:lineRule="exact"/>
              <w:rPr>
                <w:sz w:val="20"/>
                <w:szCs w:val="20"/>
                <w:color w:val="auto"/>
              </w:rPr>
            </w:pPr>
            <w:r>
              <w:rPr>
                <w:rFonts w:ascii="Arial" w:cs="Arial" w:eastAsia="Arial" w:hAnsi="Arial"/>
                <w:sz w:val="18"/>
                <w:szCs w:val="18"/>
                <w:color w:val="auto"/>
              </w:rPr>
              <w:t>Press release issued by VistaGen Therapeutics Inc. dated October 29, 2018.</w:t>
            </w:r>
          </w:p>
        </w:tc>
        <w:tc>
          <w:tcPr>
            <w:tcW w:w="0" w:type="dxa"/>
            <w:vAlign w:val="bottom"/>
          </w:tcPr>
          <w:p>
            <w:pPr>
              <w:spacing w:after="0"/>
              <w:rPr>
                <w:sz w:val="1"/>
                <w:szCs w:val="1"/>
                <w:color w:val="auto"/>
              </w:rPr>
            </w:pPr>
          </w:p>
        </w:tc>
      </w:tr>
      <w:tr>
        <w:trPr>
          <w:trHeight w:val="1520"/>
        </w:trPr>
        <w:tc>
          <w:tcPr>
            <w:tcW w:w="20" w:type="dxa"/>
            <w:vAlign w:val="bottom"/>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9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63345" cy="951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VistaGen Therapeutics Reports Fiscal 2019 Second Quarter Financial Results</w:t>
      </w:r>
    </w:p>
    <w:p>
      <w:pPr>
        <w:spacing w:after="0" w:line="22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South San Francisco, Calif., October 29, 2018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VistaGen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developing new</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generation medicines for central nervous system (CNS) diseases and disorders with high unmet need, today reported financial results for its fiscal 2019 second quarter ended September 30, 2018.</w:t>
      </w:r>
    </w:p>
    <w:p>
      <w:pPr>
        <w:spacing w:after="0" w:line="192"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“During the quarter, we continued to focus our resources on AV-101 development, especially advancement of ELEVATE, our Phase 2 adjunctive treatment study for major depressive disorder, and Phase 3-enabling nonclinical and regulatory activities. ELEVATE is well underway, and we remain confident in our target to deliver topline results in mid-2019,” said </w:t>
      </w:r>
      <w:r>
        <w:rPr>
          <w:rFonts w:ascii="Arial" w:cs="Arial" w:eastAsia="Arial" w:hAnsi="Arial"/>
          <w:sz w:val="16"/>
          <w:szCs w:val="16"/>
          <w:u w:val="single" w:color="auto"/>
          <w:color w:val="auto"/>
        </w:rPr>
        <w:t>Shawn Singh, Chief Executive Officer of VistaGen</w:t>
      </w:r>
      <w:r>
        <w:rPr>
          <w:rFonts w:ascii="Arial" w:cs="Arial" w:eastAsia="Arial" w:hAnsi="Arial"/>
          <w:sz w:val="16"/>
          <w:szCs w:val="16"/>
          <w:color w:val="auto"/>
        </w:rPr>
        <w:t>.</w:t>
      </w:r>
    </w:p>
    <w:p>
      <w:pPr>
        <w:spacing w:after="0" w:line="16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to advancing our core AV-101 development programs, we also recently enhanced our pipeline with two complementary assets aimed at the treatment of CNS disorders with high unmet need. We signed exclusive license agreements to develop and commercialize these potential first-in-class, intranasally administered, new drug candidates, PH94B for social anxiety disorder and PH10 for major depressive disorder. We believe adding these two potential rapid-onset neuroactive steroid treatments, together with AV-101, which is focused on achieving rapid-onset antidepressant effects through NMDA and AMPA receptors, adds significant pipeline strength and gives us the potential to provide patients with a broad range of potential new generation solutions to treat depression and other CNS disorders with serious unmet need, with the goal of eliminating psychological side effects and safety concerns often associated with current therapies” concluded Mr. Singh.</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Continued Advancements in the Clinical Development of AV-101</w:t>
      </w:r>
    </w:p>
    <w:p>
      <w:pPr>
        <w:spacing w:after="0" w:line="225" w:lineRule="exact"/>
        <w:rPr>
          <w:sz w:val="20"/>
          <w:szCs w:val="20"/>
          <w:color w:val="auto"/>
        </w:rPr>
      </w:pPr>
    </w:p>
    <w:p>
      <w:pPr>
        <w:jc w:val="both"/>
        <w:ind w:left="660" w:hanging="328"/>
        <w:spacing w:after="0" w:line="298"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connection with our initial collaboration with the U.S. Department of Veteran’s Affairs (VA) and Baylor University (Baylor), Baylor commenced a randomized, double-blind, first-step, cross-over study in healthy volunteer U.S. Military Veterans to define a dose-response relationship between AV-101 and relevant biomarkers related to NMDA function believed to be associated with suicidal ideation. The results of this initial study could lead to a Phase 2 study involving AV-101 and U.S. Military Veterans who are battling suicidal thoughts or behaviors.</w:t>
      </w:r>
    </w:p>
    <w:p>
      <w:pPr>
        <w:spacing w:after="0" w:line="166" w:lineRule="exact"/>
        <w:rPr>
          <w:rFonts w:ascii="Arial" w:cs="Arial" w:eastAsia="Arial" w:hAnsi="Arial"/>
          <w:sz w:val="16"/>
          <w:szCs w:val="16"/>
          <w:color w:val="auto"/>
        </w:rPr>
      </w:pPr>
    </w:p>
    <w:p>
      <w:pPr>
        <w:jc w:val="both"/>
        <w:ind w:left="660" w:right="2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received FDA Fast Track Designation (FTD) for development of AV-101 as a non-opioid treatment for neuropathic pain, without sedative or psychological side effects. Together with our FTD for development of AV-101 for major depressive disorder (MDD), this is the second FTD we have received from the FDA for AV-101 since December 2017, marking another milestone for our regulatory team.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 to Acquire Two First-in-Class CNS Drug Candidates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a license for exclusive worldwide rights to develop and commercialize PH94B, a pivotal Phase 3-ready drug candidate with potential to be the first FDA-approved acute on-demand medication for social anxiety disorder (SAD), a widespread social phobia which, according to the Anxiety and Depression Association of America, affects as many as 15 million American adults.</w:t>
      </w:r>
    </w:p>
    <w:p>
      <w:pPr>
        <w:spacing w:after="0" w:line="19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Acquired a license for exclusive worldwide rights to develop and commercialize PH10, a potential first-in-class, intranasally administered neuroactive steroid with rapid-onset antidepressant effects for MDD as demonstrated in a Phase 2a study. We believe PH10 is likely to have rapid-onset antidepressant effects within hours, not days or weeks, similar to ketamine-based drug candidates, but potentially without the psychological side effects, safety issues or required in-clinic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Financial Results for the Fiscal Quarter Ended September 30, 2018:</w:t>
      </w:r>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Net loss attributable to common stockholders for the fiscal quarter ended September 30, 2018 was approximately $7.7 million, compared to $5.3 million for the fiscal quarter ended September 30, 2017, primarily attributable to increased research and development activities relating to the Company’s AV-101 programs and noncash expense of $2.25 million to acquire the exclusive license to PH94B and exclusive option to license PH10.</w:t>
      </w:r>
    </w:p>
    <w:p>
      <w:pPr>
        <w:spacing w:after="0" w:line="16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Research and development expense totaled approximately $5.3 million for the fiscal quarter ended September 30, 2018, compared with approximately $2.4 million for the fiscal quarter ended September 30, 2017. The increase is primarily attributable to expenses related to conducting ELEVATE and AV-101 Phase 3-enabling nonclinical and regulatory activities, including manufacturing process improvements and production of additional quantities of AV-101 drug substance, coupled with the acquisition of the exclusive license to PH94B and the exclusive option to licensePH10 through the issuance of our common stock, which acquisitions resulted in $2.25 million of noncash expense.</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General and administrative expense was approximately $2.2 million in the fiscal quarter ended September 30, 2018, compared to approximately $2.6 million in the fiscal quarter ended September 30, 2017.</w:t>
      </w:r>
    </w:p>
    <w:p>
      <w:pPr>
        <w:spacing w:after="0" w:line="18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At September 30, 2018, the Company had cash and cash equivalents of approximately $7.8 million, compared to approximately $10.4 million at March 31, 2018. Since September 30, 2018, as a result of self-placed private placement transactions of unregistered securities to accredited investors and exercises of outstanding warrants, the Company has received aggregate cash proceeds of approximately $2.4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ind w:right="240"/>
        <w:spacing w:after="0" w:line="323" w:lineRule="auto"/>
        <w:rPr>
          <w:sz w:val="20"/>
          <w:szCs w:val="20"/>
          <w:color w:val="auto"/>
        </w:rPr>
      </w:pPr>
      <w:r>
        <w:rPr>
          <w:rFonts w:ascii="Arial" w:cs="Arial" w:eastAsia="Arial" w:hAnsi="Arial"/>
          <w:sz w:val="16"/>
          <w:szCs w:val="16"/>
          <w:color w:val="auto"/>
        </w:rPr>
        <w:t xml:space="preserve">VistaGen Therapeutics, Inc. is a clinical-stage biopharmaceutical company developing new generation medicines for multiple CNS diseases and disorders with high unmet need. For more information, please visit </w:t>
      </w:r>
      <w:r>
        <w:rPr>
          <w:rFonts w:ascii="Arial" w:cs="Arial" w:eastAsia="Arial" w:hAnsi="Arial"/>
          <w:sz w:val="16"/>
          <w:szCs w:val="16"/>
          <w:u w:val="single" w:color="auto"/>
          <w:color w:val="0000FF"/>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00FF"/>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0000FF"/>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Facebook</w:t>
      </w:r>
      <w:r>
        <w:rPr>
          <w:rFonts w:ascii="Arial" w:cs="Arial" w:eastAsia="Arial" w:hAnsi="Arial"/>
          <w:sz w:val="16"/>
          <w:szCs w:val="16"/>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our drug candidates, including AV-101 for MDD, neuropathic pain and suicidal ideation, PH94B for SAD, and PH10 for MDD, as well as our intellectual property and commercial protection of our drug candidates, all of which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Among these risks is the possibility that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trials may not be repeated or observed in ongoing or future studies, and ongoing or future preclinical and clinical results may not support further development of, or be sufficient to gain regulatory approval to market AV-101, PH94B, and/or PH10,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 except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8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(Unaudited)</w:t>
            </w:r>
          </w:p>
        </w:tc>
        <w:tc>
          <w:tcPr>
            <w:tcW w:w="12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(Note 2)</w:t>
            </w:r>
          </w:p>
        </w:tc>
        <w:tc>
          <w:tcPr>
            <w:tcW w:w="0" w:type="dxa"/>
            <w:vAlign w:val="bottom"/>
          </w:tcPr>
          <w:p>
            <w:pPr>
              <w:spacing w:after="0"/>
              <w:rPr>
                <w:sz w:val="1"/>
                <w:szCs w:val="1"/>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8,479,600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11,023,100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361,800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Security deposits and 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8,889,200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11,278,300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590,100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1,195,700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Current notes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1,308,200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Deferred rent liability</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Capital lease obligations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520"/>
              <w:spacing w:after="0"/>
              <w:rPr>
                <w:sz w:val="20"/>
                <w:szCs w:val="20"/>
                <w:color w:val="auto"/>
              </w:rPr>
            </w:pPr>
            <w:r>
              <w:rPr>
                <w:rFonts w:ascii="Arial" w:cs="Arial" w:eastAsia="Arial" w:hAnsi="Arial"/>
                <w:sz w:val="18"/>
                <w:szCs w:val="18"/>
                <w:color w:val="auto"/>
              </w:rPr>
              <w:t>Total non-current liabilities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2,903,200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4,900,000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4,361,700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w w:val="98"/>
              </w:rPr>
              <w:t>Preferred stock, $0.001 par value; 10,000,000 shares authorized at September 30, 2018 and March 31, 2018: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Series A Preferred, 500,000 shares authorized, issued and outstanding at September 30, 2018 and March 31, 2018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w w:val="89"/>
              </w:rPr>
              <w:t>Series B Preferred; 4,000,000 shares authorized at September 30, 2018 and March 31, 2018; 1,160,240 shares issued</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and outstanding at September 30, 2018 and March 31, 2018</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Series C Preferred; 3,000,000 shares authorized at September 30, 2018 and March 31, 2018; 2,318,012 shares issued</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outstanding at September 30, 2018 and March 31, 2018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w w:val="97"/>
              </w:rPr>
              <w:t>Common stock, $0.001 par value; 100,000,000 shares authorized at September 30, 2018 and March 31, 2018;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w w:val="91"/>
              </w:rPr>
              <w:t>28,676,715 and 23,068,280 shares issued and outstanding at September 30, 2018 and March 31, 2018, respectively</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176,117,900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167,401,400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Treasury stock, at cost, 135,665 shares of common stock held at September 30, 2018 and March 31, 2018</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(168,193,300)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(156,543,800)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3,989,200</w:t>
            </w: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6,916,600</w:t>
            </w: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8,889,200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11,278,300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 AND COMPREHENSIVE LOSS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364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4"/>
              </w:rPr>
              <w:t>Amounts in Dollars, except share amounts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Quarters Ended</w:t>
            </w:r>
          </w:p>
        </w:tc>
        <w:tc>
          <w:tcPr>
            <w:tcW w:w="180" w:type="dxa"/>
            <w:vAlign w:val="bottom"/>
          </w:tcPr>
          <w:p>
            <w:pPr>
              <w:spacing w:after="0"/>
              <w:rPr>
                <w:sz w:val="24"/>
                <w:szCs w:val="2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5,261,100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2,426,600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8,004,800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2,171,000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2,567,100</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3,637,300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3,731,400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7,432,100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4,993,700</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11,642,100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7,254,200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Loss from operations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(7,432,100)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(4,993,700)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(11,642,100)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(7,254,200)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expenses, net:</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(2,900)</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(3,300)</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(7,435,000)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(4,997,000)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(11,647,100)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(7,259,900)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(7,435,000)</w:t>
            </w: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(4,997,000)</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(11,649,500)</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(7,262,300)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Accrued dividend on Series B Preferred stock</w:t>
            </w:r>
          </w:p>
        </w:tc>
        <w:tc>
          <w:tcPr>
            <w:tcW w:w="2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(283,600)</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(256,300)</w:t>
            </w: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(557,100)</w:t>
            </w:r>
          </w:p>
        </w:tc>
        <w:tc>
          <w:tcPr>
            <w:tcW w:w="2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(503,600)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(7,718,600)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(5,253,300)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(12,206,600)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(7,765,900)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6"/>
              </w:rPr>
              <w:t>Basic and diluted net loss attributable to common</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stockholders per common share</w:t>
            </w:r>
          </w:p>
        </w:tc>
        <w:tc>
          <w:tcPr>
            <w:tcW w:w="2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(0.30)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(0.50)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w w:val="93"/>
              </w:rPr>
              <w:t>Weighted average shares used in computing basic</w:t>
            </w: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and diluted net loss attributable to common</w:t>
            </w:r>
          </w:p>
        </w:tc>
        <w:tc>
          <w:tcPr>
            <w:tcW w:w="2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stockholders per common share</w:t>
            </w:r>
          </w:p>
        </w:tc>
        <w:tc>
          <w:tcPr>
            <w:tcW w:w="2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25,815,245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9,892,016</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24,267,816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9,465,459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3"/>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2020-01-12T00:56:25Z</dcterms:created>
  <dcterms:modified xsi:type="dcterms:W3CDTF">2020-01-12T00:56:25Z</dcterms:modified>
</cp:coreProperties>
</file>