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22860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May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9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22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92840H202</w:t>
            </w:r>
          </w:p>
        </w:tc>
        <w:tc>
          <w:tcPr>
            <w:tcW w:w="6400" w:type="dxa"/>
            <w:vAlign w:val="bottom"/>
          </w:tcPr>
          <w:p>
            <w:pPr>
              <w:ind w:left="3700"/>
              <w:spacing w:after="0"/>
              <w:rPr>
                <w:sz w:val="20"/>
                <w:szCs w:val="20"/>
                <w:color w:val="auto"/>
              </w:rPr>
            </w:pPr>
            <w:r>
              <w:rPr>
                <w:rFonts w:ascii="Arial" w:cs="Arial" w:eastAsia="Arial" w:hAnsi="Arial"/>
                <w:sz w:val="18"/>
                <w:szCs w:val="18"/>
                <w:b w:val="1"/>
                <w:bCs w:val="1"/>
                <w:color w:val="auto"/>
              </w:rPr>
              <w:t>13G</w:t>
            </w:r>
          </w:p>
        </w:tc>
        <w:tc>
          <w:tcPr>
            <w:tcW w:w="3160" w:type="dxa"/>
            <w:vAlign w:val="bottom"/>
          </w:tcPr>
          <w:p>
            <w:pPr>
              <w:ind w:left="1800"/>
              <w:spacing w:after="0"/>
              <w:rPr>
                <w:sz w:val="20"/>
                <w:szCs w:val="20"/>
                <w:color w:val="auto"/>
              </w:rPr>
            </w:pPr>
            <w:r>
              <w:rPr>
                <w:rFonts w:ascii="Arial" w:cs="Arial" w:eastAsia="Arial" w:hAnsi="Arial"/>
                <w:sz w:val="18"/>
                <w:szCs w:val="18"/>
                <w:b w:val="1"/>
                <w:bCs w:val="1"/>
                <w:color w:val="auto"/>
                <w:w w:val="87"/>
              </w:rPr>
              <w:t>Page 2 of 9 Pages</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vMerge w:val="continue"/>
          </w:tcPr>
          <w:p>
            <w:pPr>
              <w:spacing w:after="0"/>
              <w:rPr>
                <w:sz w:val="15"/>
                <w:szCs w:val="15"/>
                <w:color w:val="auto"/>
              </w:rPr>
            </w:pPr>
          </w:p>
        </w:tc>
        <w:tc>
          <w:tcPr>
            <w:tcW w:w="6400" w:type="dxa"/>
            <w:vAlign w:val="bottom"/>
            <w:vMerge w:val="restart"/>
          </w:tcPr>
          <w:p>
            <w:pPr>
              <w:ind w:left="440"/>
              <w:spacing w:after="0"/>
              <w:rPr>
                <w:sz w:val="20"/>
                <w:szCs w:val="20"/>
                <w:color w:val="auto"/>
              </w:rPr>
            </w:pPr>
            <w:r>
              <w:rPr>
                <w:rFonts w:ascii="Arial" w:cs="Arial" w:eastAsia="Arial" w:hAnsi="Arial"/>
                <w:sz w:val="22"/>
                <w:szCs w:val="22"/>
                <w:color w:val="auto"/>
              </w:rPr>
              <w:t>Empery Asset Management, LP</w:t>
            </w: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860" w:type="dxa"/>
            <w:vAlign w:val="bottom"/>
            <w:tcBorders>
              <w:bottom w:val="single" w:sz="8" w:color="auto"/>
            </w:tcBorders>
          </w:tcPr>
          <w:p>
            <w:pPr>
              <w:spacing w:after="0"/>
              <w:rPr>
                <w:sz w:val="8"/>
                <w:szCs w:val="8"/>
                <w:color w:val="auto"/>
              </w:rPr>
            </w:pPr>
          </w:p>
        </w:tc>
        <w:tc>
          <w:tcPr>
            <w:tcW w:w="6400" w:type="dxa"/>
            <w:vAlign w:val="bottom"/>
            <w:tcBorders>
              <w:bottom w:val="single" w:sz="8" w:color="auto"/>
            </w:tcBorders>
            <w:vMerge w:val="continue"/>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60" w:type="dxa"/>
            <w:vAlign w:val="bottom"/>
            <w:vMerge w:val="restart"/>
          </w:tcPr>
          <w:p>
            <w:pPr>
              <w:ind w:left="19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60" w:type="dxa"/>
            <w:vAlign w:val="bottom"/>
          </w:tcPr>
          <w:p>
            <w:pPr>
              <w:ind w:left="19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5539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6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5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6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652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6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5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65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65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6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5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5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652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040" w:type="dxa"/>
            <w:vAlign w:val="bottom"/>
            <w:gridSpan w:val="2"/>
          </w:tcPr>
          <w:p>
            <w:pPr>
              <w:ind w:left="44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040" w:type="dxa"/>
            <w:vAlign w:val="bottom"/>
            <w:gridSpan w:val="2"/>
          </w:tcPr>
          <w:p>
            <w:pPr>
              <w:ind w:left="440"/>
              <w:spacing w:after="0"/>
              <w:rPr>
                <w:sz w:val="20"/>
                <w:szCs w:val="20"/>
                <w:color w:val="auto"/>
              </w:rPr>
            </w:pPr>
            <w:r>
              <w:rPr>
                <w:rFonts w:ascii="Arial" w:cs="Arial" w:eastAsia="Arial" w:hAnsi="Arial"/>
                <w:sz w:val="17"/>
                <w:szCs w:val="17"/>
                <w:color w:val="auto"/>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40" w:type="dxa"/>
            <w:vAlign w:val="bottom"/>
            <w:vMerge w:val="restart"/>
          </w:tcPr>
          <w:p>
            <w:pPr>
              <w:ind w:left="40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8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40" w:type="dxa"/>
            <w:vAlign w:val="bottom"/>
            <w:gridSpan w:val="2"/>
            <w:vMerge w:val="restart"/>
          </w:tcPr>
          <w:p>
            <w:pPr>
              <w:ind w:left="460"/>
              <w:spacing w:after="0"/>
              <w:rPr>
                <w:sz w:val="20"/>
                <w:szCs w:val="20"/>
                <w:color w:val="auto"/>
              </w:rPr>
            </w:pPr>
            <w:r>
              <w:rPr>
                <w:rFonts w:ascii="Arial" w:cs="Arial" w:eastAsia="Arial" w:hAnsi="Arial"/>
                <w:sz w:val="20"/>
                <w:szCs w:val="20"/>
                <w:color w:val="auto"/>
              </w:rPr>
              <w:t>9.87% (See Item 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4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6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60" w:firstLine="8"/>
        <w:spacing w:after="0" w:line="302"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92840H202</w:t>
            </w:r>
          </w:p>
        </w:tc>
        <w:tc>
          <w:tcPr>
            <w:tcW w:w="6400" w:type="dxa"/>
            <w:vAlign w:val="bottom"/>
          </w:tcPr>
          <w:p>
            <w:pPr>
              <w:ind w:left="3700"/>
              <w:spacing w:after="0"/>
              <w:rPr>
                <w:sz w:val="20"/>
                <w:szCs w:val="20"/>
                <w:color w:val="auto"/>
              </w:rPr>
            </w:pPr>
            <w:r>
              <w:rPr>
                <w:rFonts w:ascii="Arial" w:cs="Arial" w:eastAsia="Arial" w:hAnsi="Arial"/>
                <w:sz w:val="18"/>
                <w:szCs w:val="18"/>
                <w:b w:val="1"/>
                <w:bCs w:val="1"/>
                <w:color w:val="auto"/>
              </w:rPr>
              <w:t>13G</w:t>
            </w:r>
          </w:p>
        </w:tc>
        <w:tc>
          <w:tcPr>
            <w:tcW w:w="3160" w:type="dxa"/>
            <w:vAlign w:val="bottom"/>
          </w:tcPr>
          <w:p>
            <w:pPr>
              <w:ind w:left="1800"/>
              <w:spacing w:after="0"/>
              <w:rPr>
                <w:sz w:val="20"/>
                <w:szCs w:val="20"/>
                <w:color w:val="auto"/>
              </w:rPr>
            </w:pPr>
            <w:r>
              <w:rPr>
                <w:rFonts w:ascii="Arial" w:cs="Arial" w:eastAsia="Arial" w:hAnsi="Arial"/>
                <w:sz w:val="18"/>
                <w:szCs w:val="18"/>
                <w:b w:val="1"/>
                <w:bCs w:val="1"/>
                <w:color w:val="auto"/>
                <w:w w:val="87"/>
              </w:rPr>
              <w:t>Page 3 of 9 Pages</w:t>
            </w:r>
          </w:p>
        </w:tc>
        <w:tc>
          <w:tcPr>
            <w:tcW w:w="0" w:type="dxa"/>
            <w:vAlign w:val="bottom"/>
          </w:tcPr>
          <w:p>
            <w:pPr>
              <w:spacing w:after="0"/>
              <w:rPr>
                <w:sz w:val="1"/>
                <w:szCs w:val="1"/>
                <w:color w:val="auto"/>
              </w:rPr>
            </w:pPr>
          </w:p>
        </w:tc>
      </w:tr>
      <w:tr>
        <w:trPr>
          <w:trHeight w:val="95"/>
        </w:trPr>
        <w:tc>
          <w:tcPr>
            <w:tcW w:w="1860" w:type="dxa"/>
            <w:vAlign w:val="bottom"/>
            <w:tcBorders>
              <w:bottom w:val="single" w:sz="8" w:color="auto"/>
            </w:tcBorders>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6400" w:type="dxa"/>
            <w:vAlign w:val="bottom"/>
            <w:vMerge w:val="restart"/>
          </w:tcPr>
          <w:p>
            <w:pPr>
              <w:ind w:left="440"/>
              <w:spacing w:after="0"/>
              <w:rPr>
                <w:sz w:val="20"/>
                <w:szCs w:val="20"/>
                <w:color w:val="auto"/>
              </w:rPr>
            </w:pPr>
            <w:r>
              <w:rPr>
                <w:rFonts w:ascii="Arial" w:cs="Arial" w:eastAsia="Arial" w:hAnsi="Arial"/>
                <w:sz w:val="20"/>
                <w:szCs w:val="20"/>
                <w:color w:val="auto"/>
              </w:rPr>
              <w:t>Ryan M. Lane</w:t>
            </w: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60" w:type="dxa"/>
            <w:vAlign w:val="bottom"/>
            <w:vMerge w:val="restart"/>
          </w:tcPr>
          <w:p>
            <w:pPr>
              <w:ind w:left="19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60" w:type="dxa"/>
            <w:vAlign w:val="bottom"/>
          </w:tcPr>
          <w:p>
            <w:pPr>
              <w:ind w:left="19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539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48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48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8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gridSpan w:val="2"/>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0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40" w:type="dxa"/>
            <w:vAlign w:val="bottom"/>
          </w:tcPr>
          <w:p>
            <w:pPr>
              <w:ind w:left="40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4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2"/>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40" w:type="dxa"/>
            <w:vAlign w:val="bottom"/>
            <w:gridSpan w:val="3"/>
            <w:vMerge w:val="restart"/>
          </w:tcPr>
          <w:p>
            <w:pPr>
              <w:ind w:left="460"/>
              <w:spacing w:after="0"/>
              <w:rPr>
                <w:sz w:val="20"/>
                <w:szCs w:val="20"/>
                <w:color w:val="auto"/>
              </w:rPr>
            </w:pPr>
            <w:r>
              <w:rPr>
                <w:rFonts w:ascii="Arial" w:cs="Arial" w:eastAsia="Arial" w:hAnsi="Arial"/>
                <w:sz w:val="20"/>
                <w:szCs w:val="20"/>
                <w:color w:val="auto"/>
              </w:rPr>
              <w:t>9.87% (See Item 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4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560" w:firstLine="8"/>
        <w:spacing w:after="0" w:line="302"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92840H202</w:t>
            </w:r>
          </w:p>
        </w:tc>
        <w:tc>
          <w:tcPr>
            <w:tcW w:w="6400" w:type="dxa"/>
            <w:vAlign w:val="bottom"/>
          </w:tcPr>
          <w:p>
            <w:pPr>
              <w:ind w:left="3700"/>
              <w:spacing w:after="0"/>
              <w:rPr>
                <w:sz w:val="20"/>
                <w:szCs w:val="20"/>
                <w:color w:val="auto"/>
              </w:rPr>
            </w:pPr>
            <w:r>
              <w:rPr>
                <w:rFonts w:ascii="Arial" w:cs="Arial" w:eastAsia="Arial" w:hAnsi="Arial"/>
                <w:sz w:val="18"/>
                <w:szCs w:val="18"/>
                <w:b w:val="1"/>
                <w:bCs w:val="1"/>
                <w:color w:val="auto"/>
              </w:rPr>
              <w:t>13G</w:t>
            </w:r>
          </w:p>
        </w:tc>
        <w:tc>
          <w:tcPr>
            <w:tcW w:w="3160" w:type="dxa"/>
            <w:vAlign w:val="bottom"/>
          </w:tcPr>
          <w:p>
            <w:pPr>
              <w:ind w:left="1800"/>
              <w:spacing w:after="0"/>
              <w:rPr>
                <w:sz w:val="20"/>
                <w:szCs w:val="20"/>
                <w:color w:val="auto"/>
              </w:rPr>
            </w:pPr>
            <w:r>
              <w:rPr>
                <w:rFonts w:ascii="Arial" w:cs="Arial" w:eastAsia="Arial" w:hAnsi="Arial"/>
                <w:sz w:val="18"/>
                <w:szCs w:val="18"/>
                <w:b w:val="1"/>
                <w:bCs w:val="1"/>
                <w:color w:val="auto"/>
                <w:w w:val="87"/>
              </w:rPr>
              <w:t>Page 4 of 9 Pages</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6400" w:type="dxa"/>
            <w:vAlign w:val="bottom"/>
            <w:vMerge w:val="restart"/>
          </w:tcPr>
          <w:p>
            <w:pPr>
              <w:ind w:left="440"/>
              <w:spacing w:after="0"/>
              <w:rPr>
                <w:sz w:val="20"/>
                <w:szCs w:val="20"/>
                <w:color w:val="auto"/>
              </w:rPr>
            </w:pPr>
            <w:r>
              <w:rPr>
                <w:rFonts w:ascii="Arial" w:cs="Arial" w:eastAsia="Arial" w:hAnsi="Arial"/>
                <w:sz w:val="20"/>
                <w:szCs w:val="20"/>
                <w:color w:val="auto"/>
              </w:rPr>
              <w:t>Martin D. Hoe</w:t>
            </w: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60" w:type="dxa"/>
            <w:vAlign w:val="bottom"/>
            <w:vMerge w:val="restart"/>
          </w:tcPr>
          <w:p>
            <w:pPr>
              <w:ind w:left="19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60" w:type="dxa"/>
            <w:vAlign w:val="bottom"/>
          </w:tcPr>
          <w:p>
            <w:pPr>
              <w:ind w:left="19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539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48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48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8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gridSpan w:val="2"/>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761,267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0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40" w:type="dxa"/>
            <w:vAlign w:val="bottom"/>
          </w:tcPr>
          <w:p>
            <w:pPr>
              <w:ind w:left="40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4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2"/>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40" w:type="dxa"/>
            <w:vAlign w:val="bottom"/>
            <w:gridSpan w:val="3"/>
            <w:vMerge w:val="restart"/>
          </w:tcPr>
          <w:p>
            <w:pPr>
              <w:ind w:left="460"/>
              <w:spacing w:after="0"/>
              <w:rPr>
                <w:sz w:val="20"/>
                <w:szCs w:val="20"/>
                <w:color w:val="auto"/>
              </w:rPr>
            </w:pPr>
            <w:r>
              <w:rPr>
                <w:rFonts w:ascii="Arial" w:cs="Arial" w:eastAsia="Arial" w:hAnsi="Arial"/>
                <w:sz w:val="20"/>
                <w:szCs w:val="20"/>
                <w:color w:val="auto"/>
              </w:rPr>
              <w:t>9.87% (See Item 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4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560" w:firstLine="8"/>
        <w:spacing w:after="0" w:line="302" w:lineRule="auto"/>
        <w:tabs>
          <w:tab w:leader="none" w:pos="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540" w:val="left"/>
          <w:tab w:leader="none" w:pos="1004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9 Pages</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name of the issuer is VistaGen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The Company's principal executive offices are located at 343 Allerton Avenue, South San Francisco, CA 94080.</w:t>
      </w:r>
    </w:p>
    <w:p>
      <w:pPr>
        <w:spacing w:after="0" w:line="235"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720" w:right="480"/>
        <w:spacing w:after="0" w:line="316"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with respect to the shares of Common Stock (as defined in Item 2(d) below) of the Company:</w:t>
      </w:r>
    </w:p>
    <w:p>
      <w:pPr>
        <w:spacing w:after="0" w:line="144" w:lineRule="exact"/>
        <w:rPr>
          <w:sz w:val="20"/>
          <w:szCs w:val="20"/>
          <w:color w:val="auto"/>
        </w:rPr>
      </w:pPr>
    </w:p>
    <w:p>
      <w:pPr>
        <w:ind w:left="1720"/>
        <w:spacing w:after="0"/>
        <w:rPr>
          <w:sz w:val="20"/>
          <w:szCs w:val="20"/>
          <w:color w:val="auto"/>
        </w:rPr>
      </w:pPr>
      <w:r>
        <w:rPr>
          <w:rFonts w:ascii="Arial" w:cs="Arial" w:eastAsia="Arial" w:hAnsi="Arial"/>
          <w:sz w:val="20"/>
          <w:szCs w:val="20"/>
          <w:u w:val="single" w:color="auto"/>
          <w:color w:val="auto"/>
        </w:rPr>
        <w:t>Investment Manager</w:t>
      </w:r>
    </w:p>
    <w:p>
      <w:pPr>
        <w:spacing w:after="0" w:line="229" w:lineRule="exact"/>
        <w:rPr>
          <w:sz w:val="20"/>
          <w:szCs w:val="20"/>
          <w:color w:val="auto"/>
        </w:rPr>
      </w:pPr>
    </w:p>
    <w:p>
      <w:pPr>
        <w:ind w:left="1720" w:right="340" w:firstLine="3"/>
        <w:spacing w:after="0" w:line="250" w:lineRule="auto"/>
        <w:tabs>
          <w:tab w:leader="none" w:pos="2006" w:val="left"/>
        </w:tabs>
        <w:numPr>
          <w:ilvl w:val="0"/>
          <w:numId w:val="8"/>
        </w:numPr>
        <w:rPr>
          <w:rFonts w:ascii="Arial" w:cs="Arial" w:eastAsia="Arial" w:hAnsi="Arial"/>
          <w:sz w:val="20"/>
          <w:szCs w:val="20"/>
          <w:color w:val="auto"/>
        </w:rPr>
      </w:pPr>
      <w:r>
        <w:rPr>
          <w:rFonts w:ascii="Arial" w:cs="Arial" w:eastAsia="Arial" w:hAnsi="Arial"/>
          <w:sz w:val="20"/>
          <w:szCs w:val="20"/>
          <w:color w:val="auto"/>
        </w:rPr>
        <w:t>Empery Asset Management, LP (the "</w:t>
      </w:r>
      <w:r>
        <w:rPr>
          <w:rFonts w:ascii="Arial" w:cs="Arial" w:eastAsia="Arial" w:hAnsi="Arial"/>
          <w:sz w:val="20"/>
          <w:szCs w:val="20"/>
          <w:u w:val="single" w:color="auto"/>
          <w:color w:val="auto"/>
        </w:rPr>
        <w:t>Investment Manager</w:t>
      </w:r>
      <w:r>
        <w:rPr>
          <w:rFonts w:ascii="Arial" w:cs="Arial" w:eastAsia="Arial" w:hAnsi="Arial"/>
          <w:sz w:val="20"/>
          <w:szCs w:val="20"/>
          <w:color w:val="auto"/>
        </w:rPr>
        <w:t>"), with respect to the shares of Common Stock held by, and underlying the Reported Warrants held by, the funds to which the Investment Manager serves as investment manager, the "</w:t>
      </w:r>
      <w:r>
        <w:rPr>
          <w:rFonts w:ascii="Arial" w:cs="Arial" w:eastAsia="Arial" w:hAnsi="Arial"/>
          <w:sz w:val="20"/>
          <w:szCs w:val="20"/>
          <w:u w:val="single" w:color="auto"/>
          <w:color w:val="auto"/>
        </w:rPr>
        <w:t>Empery Funds</w:t>
      </w:r>
      <w:r>
        <w:rPr>
          <w:rFonts w:ascii="Arial" w:cs="Arial" w:eastAsia="Arial" w:hAnsi="Arial"/>
          <w:sz w:val="20"/>
          <w:szCs w:val="20"/>
          <w:color w:val="auto"/>
        </w:rPr>
        <w:t>").</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20"/>
          <w:szCs w:val="20"/>
          <w:u w:val="single" w:color="auto"/>
          <w:color w:val="auto"/>
        </w:rPr>
        <w:t>Reporting Individuals</w:t>
      </w:r>
    </w:p>
    <w:p>
      <w:pPr>
        <w:spacing w:after="0" w:line="229" w:lineRule="exact"/>
        <w:rPr>
          <w:sz w:val="20"/>
          <w:szCs w:val="20"/>
          <w:color w:val="auto"/>
        </w:rPr>
      </w:pPr>
    </w:p>
    <w:p>
      <w:pPr>
        <w:ind w:left="1720" w:right="240" w:firstLine="3"/>
        <w:spacing w:after="0" w:line="260" w:lineRule="auto"/>
        <w:tabs>
          <w:tab w:leader="none" w:pos="2061" w:val="left"/>
        </w:tabs>
        <w:numPr>
          <w:ilvl w:val="0"/>
          <w:numId w:val="9"/>
        </w:numPr>
        <w:rPr>
          <w:rFonts w:ascii="Arial" w:cs="Arial" w:eastAsia="Arial" w:hAnsi="Arial"/>
          <w:sz w:val="20"/>
          <w:szCs w:val="20"/>
          <w:color w:val="auto"/>
        </w:rPr>
      </w:pPr>
      <w:r>
        <w:rPr>
          <w:rFonts w:ascii="Arial" w:cs="Arial" w:eastAsia="Arial" w:hAnsi="Arial"/>
          <w:sz w:val="20"/>
          <w:szCs w:val="20"/>
          <w:color w:val="auto"/>
        </w:rPr>
        <w:t>Mr. Ryan M. Lane ("</w:t>
      </w:r>
      <w:r>
        <w:rPr>
          <w:rFonts w:ascii="Arial" w:cs="Arial" w:eastAsia="Arial" w:hAnsi="Arial"/>
          <w:sz w:val="20"/>
          <w:szCs w:val="20"/>
          <w:u w:val="single" w:color="auto"/>
          <w:color w:val="auto"/>
        </w:rPr>
        <w:t>Mr. Lane</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rFonts w:ascii="Arial" w:cs="Arial" w:eastAsia="Arial" w:hAnsi="Arial"/>
          <w:sz w:val="20"/>
          <w:szCs w:val="20"/>
          <w:color w:val="auto"/>
        </w:rPr>
      </w:pPr>
    </w:p>
    <w:p>
      <w:pPr>
        <w:ind w:left="1720" w:right="220" w:firstLine="3"/>
        <w:spacing w:after="0" w:line="260" w:lineRule="auto"/>
        <w:tabs>
          <w:tab w:leader="none" w:pos="2116" w:val="left"/>
        </w:tabs>
        <w:numPr>
          <w:ilvl w:val="0"/>
          <w:numId w:val="9"/>
        </w:numPr>
        <w:rPr>
          <w:rFonts w:ascii="Arial" w:cs="Arial" w:eastAsia="Arial" w:hAnsi="Arial"/>
          <w:sz w:val="20"/>
          <w:szCs w:val="20"/>
          <w:color w:val="auto"/>
        </w:rPr>
      </w:pPr>
      <w:r>
        <w:rPr>
          <w:rFonts w:ascii="Arial" w:cs="Arial" w:eastAsia="Arial" w:hAnsi="Arial"/>
          <w:sz w:val="20"/>
          <w:szCs w:val="20"/>
          <w:color w:val="auto"/>
        </w:rPr>
        <w:t>Mr. Martin D. Hoe ("</w:t>
      </w:r>
      <w:r>
        <w:rPr>
          <w:rFonts w:ascii="Arial" w:cs="Arial" w:eastAsia="Arial" w:hAnsi="Arial"/>
          <w:sz w:val="20"/>
          <w:szCs w:val="20"/>
          <w:u w:val="single" w:color="auto"/>
          <w:color w:val="auto"/>
        </w:rPr>
        <w:t>Mr. Hoe</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sz w:val="20"/>
          <w:szCs w:val="20"/>
          <w:color w:val="auto"/>
        </w:rPr>
      </w:pPr>
    </w:p>
    <w:p>
      <w:pPr>
        <w:jc w:val="both"/>
        <w:ind w:left="1720" w:right="220"/>
        <w:spacing w:after="0" w:line="250" w:lineRule="auto"/>
        <w:rPr>
          <w:sz w:val="20"/>
          <w:szCs w:val="20"/>
          <w:color w:val="auto"/>
        </w:rPr>
      </w:pPr>
      <w:r>
        <w:rPr>
          <w:rFonts w:ascii="Arial" w:cs="Arial" w:eastAsia="Arial" w:hAnsi="Arial"/>
          <w:sz w:val="20"/>
          <w:szCs w:val="20"/>
          <w:color w:val="auto"/>
        </w:rPr>
        <w:t>The Investment Manager serves as the investment manager to each of the Empery Funds. Each of the Mr. Lane and Mr. Hoe (the “</w:t>
      </w:r>
      <w:r>
        <w:rPr>
          <w:rFonts w:ascii="Arial" w:cs="Arial" w:eastAsia="Arial" w:hAnsi="Arial"/>
          <w:sz w:val="20"/>
          <w:szCs w:val="20"/>
          <w:u w:val="single" w:color="auto"/>
          <w:color w:val="auto"/>
        </w:rPr>
        <w:t>Reporting Individuals</w:t>
      </w:r>
      <w:r>
        <w:rPr>
          <w:rFonts w:ascii="Arial" w:cs="Arial" w:eastAsia="Arial" w:hAnsi="Arial"/>
          <w:sz w:val="20"/>
          <w:szCs w:val="20"/>
          <w:color w:val="auto"/>
        </w:rPr>
        <w:t>”) is a Managing Member of Empery AM GP, LLC (the "</w:t>
      </w:r>
      <w:r>
        <w:rPr>
          <w:rFonts w:ascii="Arial" w:cs="Arial" w:eastAsia="Arial" w:hAnsi="Arial"/>
          <w:sz w:val="20"/>
          <w:szCs w:val="20"/>
          <w:u w:val="single" w:color="auto"/>
          <w:color w:val="auto"/>
        </w:rPr>
        <w:t>General Partner</w:t>
      </w:r>
      <w:r>
        <w:rPr>
          <w:rFonts w:ascii="Arial" w:cs="Arial" w:eastAsia="Arial" w:hAnsi="Arial"/>
          <w:sz w:val="20"/>
          <w:szCs w:val="20"/>
          <w:color w:val="auto"/>
        </w:rPr>
        <w:t>"), the general partner of the Investment Manager.</w:t>
      </w:r>
    </w:p>
    <w:p>
      <w:pPr>
        <w:spacing w:after="0" w:line="200" w:lineRule="exact"/>
        <w:rPr>
          <w:sz w:val="20"/>
          <w:szCs w:val="20"/>
          <w:color w:val="auto"/>
        </w:rPr>
      </w:pP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address of the business office of each of the Reporting Persons is:</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1 Rockefeller Plaza, Suite 1205</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New York, New York 10020</w:t>
      </w:r>
    </w:p>
    <w:p>
      <w:pPr>
        <w:spacing w:after="0" w:line="207"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35" w:lineRule="exact"/>
        <w:rPr>
          <w:sz w:val="20"/>
          <w:szCs w:val="20"/>
          <w:color w:val="auto"/>
        </w:rPr>
      </w:pPr>
    </w:p>
    <w:p>
      <w:pPr>
        <w:ind w:left="1720" w:right="700"/>
        <w:spacing w:after="0" w:line="260" w:lineRule="auto"/>
        <w:rPr>
          <w:sz w:val="20"/>
          <w:szCs w:val="20"/>
          <w:color w:val="auto"/>
        </w:rPr>
      </w:pPr>
      <w:r>
        <w:rPr>
          <w:rFonts w:ascii="Arial" w:cs="Arial" w:eastAsia="Arial" w:hAnsi="Arial"/>
          <w:sz w:val="20"/>
          <w:szCs w:val="20"/>
          <w:color w:val="auto"/>
        </w:rPr>
        <w:t>Citizenship is set forth in Row 4 of the cover page for each Reporting Person hereto and is incorporated herein by reference for each such Reporting Person.</w:t>
      </w:r>
    </w:p>
    <w:p>
      <w:pPr>
        <w:spacing w:after="0" w:line="18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Common Stock, $0.001 par value (the "</w:t>
      </w:r>
      <w:r>
        <w:rPr>
          <w:rFonts w:ascii="Arial" w:cs="Arial" w:eastAsia="Arial" w:hAnsi="Arial"/>
          <w:sz w:val="20"/>
          <w:szCs w:val="20"/>
          <w:u w:val="single" w:color="auto"/>
          <w:color w:val="auto"/>
        </w:rPr>
        <w:t>Common Stock</w:t>
      </w:r>
      <w:r>
        <w:rPr>
          <w:rFonts w:ascii="Arial" w:cs="Arial" w:eastAsia="Arial" w:hAnsi="Arial"/>
          <w:sz w:val="20"/>
          <w:szCs w:val="20"/>
          <w:color w:val="auto"/>
        </w:rPr>
        <w:t>")</w:t>
      </w:r>
    </w:p>
    <w:p>
      <w:pPr>
        <w:sectPr>
          <w:pgSz w:w="11900" w:h="16838" w:orient="portrait"/>
          <w:cols w:equalWidth="0" w:num="1">
            <w:col w:w="11420"/>
          </w:cols>
          <w:pgMar w:left="240" w:top="229"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9 Pages</w:t>
      </w:r>
    </w:p>
    <w:p>
      <w:pPr>
        <w:spacing w:after="0" w:line="211" w:lineRule="exact"/>
        <w:rPr>
          <w:sz w:val="20"/>
          <w:szCs w:val="20"/>
          <w:color w:val="auto"/>
        </w:rPr>
      </w:pPr>
    </w:p>
    <w:p>
      <w:pPr>
        <w:sectPr>
          <w:pgSz w:w="11900" w:h="16838" w:orient="portrait"/>
          <w:cols w:equalWidth="0" w:num="3">
            <w:col w:w="4840" w:space="720"/>
            <w:col w:w="3780" w:space="720"/>
            <w:col w:w="1360"/>
          </w:cols>
          <w:pgMar w:left="240" w:top="229" w:right="23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CUSIP NUMBER:</w:t>
      </w:r>
    </w:p>
    <w:p>
      <w:pPr>
        <w:spacing w:after="0" w:line="200" w:lineRule="exact"/>
        <w:rPr>
          <w:sz w:val="20"/>
          <w:szCs w:val="20"/>
          <w:color w:val="auto"/>
        </w:rPr>
      </w:pPr>
    </w:p>
    <w:p>
      <w:pPr>
        <w:sectPr>
          <w:pgSz w:w="11900" w:h="16838" w:orient="portrait"/>
          <w:cols w:equalWidth="0" w:num="2">
            <w:col w:w="1000" w:space="720"/>
            <w:col w:w="9700"/>
          </w:cols>
          <w:pgMar w:left="240" w:top="229" w:right="239" w:bottom="1440" w:gutter="0" w:footer="0" w:header="0"/>
          <w:type w:val="continuous"/>
        </w:sectPr>
      </w:pP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92840H202</w:t>
      </w:r>
    </w:p>
    <w:p>
      <w:pPr>
        <w:sectPr>
          <w:pgSz w:w="11900" w:h="16838" w:orient="portrait"/>
          <w:cols w:equalWidth="0" w:num="1">
            <w:col w:w="11420"/>
          </w:cols>
          <w:pgMar w:left="240" w:top="229" w:right="2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IF THIS STATEMENT IS FILED PURSUANT TO RULES 13d-1(b) OR 13d-2(b) OR (c), CHECK WHETHER THE PERSON FILING IS A:</w:t>
      </w:r>
    </w:p>
    <w:p>
      <w:pPr>
        <w:spacing w:after="0" w:line="159" w:lineRule="exact"/>
        <w:rPr>
          <w:sz w:val="20"/>
          <w:szCs w:val="20"/>
          <w:color w:val="auto"/>
        </w:rPr>
      </w:pPr>
    </w:p>
    <w:p>
      <w:pPr>
        <w:sectPr>
          <w:pgSz w:w="11900" w:h="16838" w:orient="portrait"/>
          <w:cols w:equalWidth="0" w:num="2">
            <w:col w:w="1000" w:space="720"/>
            <w:col w:w="9700"/>
          </w:cols>
          <w:pgMar w:left="240" w:top="229" w:right="239" w:bottom="1440" w:gutter="0" w:footer="0" w:header="0"/>
          <w:type w:val="continuous"/>
        </w:sect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registered under Section 203 of the Investment Advisers Act of 1940,</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29" w:lineRule="exact"/>
        <w:rPr>
          <w:rFonts w:ascii="Arial" w:cs="Arial" w:eastAsia="Arial" w:hAnsi="Arial"/>
          <w:sz w:val="20"/>
          <w:szCs w:val="20"/>
          <w:color w:val="auto"/>
        </w:rPr>
      </w:pPr>
    </w:p>
    <w:p>
      <w:pPr>
        <w:ind w:left="3080" w:right="320" w:hanging="1357"/>
        <w:spacing w:after="0" w:line="252" w:lineRule="exact"/>
        <w:tabs>
          <w:tab w:leader="none" w:pos="2558"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of 1940,</w:t>
      </w:r>
    </w:p>
    <w:p>
      <w:pPr>
        <w:spacing w:after="0" w:line="173"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837"/>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348" w:lineRule="exact"/>
        <w:rPr>
          <w:sz w:val="20"/>
          <w:szCs w:val="20"/>
          <w:color w:val="auto"/>
        </w:rPr>
      </w:pPr>
    </w:p>
    <w:p>
      <w:pPr>
        <w:ind w:left="1820" w:right="292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___________________________________________</w:t>
      </w:r>
    </w:p>
    <w:p>
      <w:pPr>
        <w:spacing w:after="0" w:line="4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141" w:lineRule="exact"/>
        <w:rPr>
          <w:sz w:val="20"/>
          <w:szCs w:val="20"/>
          <w:color w:val="auto"/>
        </w:rPr>
      </w:pPr>
    </w:p>
    <w:p>
      <w:pPr>
        <w:jc w:val="both"/>
        <w:ind w:left="1720" w:right="160"/>
        <w:spacing w:after="0" w:line="272" w:lineRule="auto"/>
        <w:rPr>
          <w:sz w:val="20"/>
          <w:szCs w:val="20"/>
          <w:color w:val="auto"/>
        </w:rPr>
      </w:pPr>
      <w:r>
        <w:rPr>
          <w:rFonts w:ascii="Arial" w:cs="Arial" w:eastAsia="Arial" w:hAnsi="Arial"/>
          <w:sz w:val="18"/>
          <w:szCs w:val="18"/>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w:t>
      </w:r>
    </w:p>
    <w:p>
      <w:pPr>
        <w:spacing w:after="0" w:line="1" w:lineRule="exact"/>
        <w:rPr>
          <w:sz w:val="20"/>
          <w:szCs w:val="20"/>
          <w:color w:val="auto"/>
        </w:rPr>
      </w:pPr>
    </w:p>
    <w:p>
      <w:pPr>
        <w:ind w:left="1720" w:right="120"/>
        <w:spacing w:after="0"/>
        <w:rPr>
          <w:sz w:val="20"/>
          <w:szCs w:val="20"/>
          <w:color w:val="auto"/>
        </w:rPr>
      </w:pPr>
      <w:r>
        <w:rPr>
          <w:rFonts w:ascii="Arial" w:cs="Arial" w:eastAsia="Arial" w:hAnsi="Arial"/>
          <w:sz w:val="20"/>
          <w:szCs w:val="20"/>
          <w:color w:val="auto"/>
        </w:rPr>
        <w:t>2,525,276 shares of Common Stock issued and outstanding as of May 11, 2016, as represented in the Prospectus Supplement filed with the Securities and Exchange Commission pursuant to Rule 424(b)(4) on May 12, 2016, plus 2,352,942 shares of Common Stock issued pursuant to the offering contemplated in such Prospectus Supplement and 2,835,657 shares of Common issued to certain holders of preferred stock upon consummation of the above referenced offering, and assumes the exercise of the reported warrants (the “</w:t>
      </w:r>
      <w:r>
        <w:rPr>
          <w:rFonts w:ascii="Arial" w:cs="Arial" w:eastAsia="Arial" w:hAnsi="Arial"/>
          <w:sz w:val="20"/>
          <w:szCs w:val="20"/>
          <w:u w:val="single" w:color="auto"/>
          <w:color w:val="auto"/>
        </w:rPr>
        <w:t>Reported Warrants</w:t>
      </w:r>
      <w:r>
        <w:rPr>
          <w:rFonts w:ascii="Arial" w:cs="Arial" w:eastAsia="Arial" w:hAnsi="Arial"/>
          <w:sz w:val="20"/>
          <w:szCs w:val="20"/>
          <w:color w:val="auto"/>
        </w:rPr>
        <w:t>”) subject to the Blockers (as defined below).</w:t>
      </w:r>
    </w:p>
    <w:p>
      <w:pPr>
        <w:spacing w:after="0" w:line="211" w:lineRule="exact"/>
        <w:rPr>
          <w:sz w:val="20"/>
          <w:szCs w:val="20"/>
          <w:color w:val="auto"/>
        </w:rPr>
      </w:pPr>
    </w:p>
    <w:p>
      <w:pPr>
        <w:ind w:left="1720" w:right="240"/>
        <w:spacing w:after="0" w:line="278" w:lineRule="auto"/>
        <w:rPr>
          <w:sz w:val="20"/>
          <w:szCs w:val="20"/>
          <w:color w:val="auto"/>
        </w:rPr>
      </w:pPr>
      <w:r>
        <w:rPr>
          <w:rFonts w:ascii="Arial" w:cs="Arial" w:eastAsia="Arial" w:hAnsi="Arial"/>
          <w:sz w:val="18"/>
          <w:szCs w:val="18"/>
          <w:color w:val="auto"/>
        </w:rPr>
        <w:t>Pursuant to the terms of the Reported Warrants, the Reporting Persons cannot exercise any of the Reported Warrants to the extent the Reporting Persons would beneficially own, after any such exercise, more than 4.99% of the outstanding shares of Common Stock (the "</w:t>
      </w:r>
      <w:r>
        <w:rPr>
          <w:rFonts w:ascii="Arial" w:cs="Arial" w:eastAsia="Arial" w:hAnsi="Arial"/>
          <w:sz w:val="18"/>
          <w:szCs w:val="18"/>
          <w:u w:val="single" w:color="auto"/>
          <w:color w:val="auto"/>
        </w:rPr>
        <w:t>Blockers</w:t>
      </w:r>
      <w:r>
        <w:rPr>
          <w:rFonts w:ascii="Arial" w:cs="Arial" w:eastAsia="Arial" w:hAnsi="Arial"/>
          <w:sz w:val="18"/>
          <w:szCs w:val="18"/>
          <w:color w:val="auto"/>
        </w:rPr>
        <w:t>"), and the percentage set forth in Row 11 of the cover page for each Reporting Person gives effect to the Blockers. Consequently, as of the date of the event which requires the filing of this statement, the Reporting Persons were not able to exercise any of the Reported Warrants due to the Blockers.</w:t>
      </w:r>
    </w:p>
    <w:p>
      <w:pPr>
        <w:sectPr>
          <w:pgSz w:w="11900" w:h="16838" w:orient="portrait"/>
          <w:cols w:equalWidth="0" w:num="1">
            <w:col w:w="11420"/>
          </w:cols>
          <w:pgMar w:left="240" w:top="229" w:right="239" w:bottom="1440" w:gutter="0" w:footer="0" w:header="0"/>
          <w:type w:val="continuous"/>
        </w:sectPr>
      </w:pPr>
    </w:p>
    <w:bookmarkStart w:id="6" w:name="page7"/>
    <w:bookmarkEnd w:id="6"/>
    <w:p>
      <w:pPr>
        <w:spacing w:after="0"/>
        <w:tabs>
          <w:tab w:leader="none" w:pos="5540" w:val="left"/>
          <w:tab w:leader="none" w:pos="1004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9 Pages</w:t>
      </w:r>
    </w:p>
    <w:p>
      <w:pPr>
        <w:sectPr>
          <w:pgSz w:w="11900" w:h="16838" w:orient="portrait"/>
          <w:cols w:equalWidth="0" w:num="1">
            <w:col w:w="11420"/>
          </w:cols>
          <w:pgMar w:left="240" w:top="229" w:right="239" w:bottom="1440" w:gutter="0" w:footer="0" w:header="0"/>
        </w:sectPr>
      </w:pPr>
    </w:p>
    <w:p>
      <w:pPr>
        <w:spacing w:after="0" w:line="240" w:lineRule="exact"/>
        <w:rPr>
          <w:sz w:val="20"/>
          <w:szCs w:val="20"/>
          <w:color w:val="auto"/>
        </w:rPr>
      </w:pPr>
    </w:p>
    <w:p>
      <w:pPr>
        <w:ind w:left="1720" w:right="140"/>
        <w:spacing w:after="0" w:line="273" w:lineRule="auto"/>
        <w:rPr>
          <w:sz w:val="20"/>
          <w:szCs w:val="20"/>
          <w:color w:val="auto"/>
        </w:rPr>
      </w:pPr>
      <w:r>
        <w:rPr>
          <w:rFonts w:ascii="Arial" w:cs="Arial" w:eastAsia="Arial" w:hAnsi="Arial"/>
          <w:sz w:val="18"/>
          <w:szCs w:val="18"/>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Blockers) held by, the Empery Funds. The foregoing should not be construed in and of itself as an admission by any Reporting Person as to beneficial ownership of shares of Common Stock owned by another Reporting Person. Each of the Empery Funds and the Reporting Individuals hereby disclaim any beneficial ownership of any such shares of Common Stock.</w:t>
      </w: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00" w:lineRule="exact"/>
        <w:rPr>
          <w:sz w:val="20"/>
          <w:szCs w:val="20"/>
          <w:color w:val="auto"/>
        </w:rPr>
      </w:pPr>
    </w:p>
    <w:p>
      <w:pPr>
        <w:spacing w:after="0" w:line="25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720" w:hanging="1617"/>
        <w:spacing w:after="0" w:line="251" w:lineRule="auto"/>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20" w:right="300"/>
        <w:spacing w:after="0" w:line="246" w:lineRule="auto"/>
        <w:rPr>
          <w:sz w:val="20"/>
          <w:szCs w:val="20"/>
          <w:color w:val="auto"/>
        </w:rPr>
      </w:pPr>
      <w:r>
        <w:rPr>
          <w:rFonts w:ascii="Arial" w:cs="Arial" w:eastAsia="Arial" w:hAnsi="Arial"/>
          <w:sz w:val="20"/>
          <w:szCs w:val="20"/>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7" w:name="page8"/>
    <w:bookmarkEnd w:id="7"/>
    <w:p>
      <w:pPr>
        <w:spacing w:after="0"/>
        <w:tabs>
          <w:tab w:leader="none" w:pos="5540" w:val="left"/>
          <w:tab w:leader="none" w:pos="1004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9 Pages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May 19, 2016</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p>
      <w:pPr>
        <w:sectPr>
          <w:pgSz w:w="11900" w:h="16838" w:orient="portrait"/>
          <w:cols w:equalWidth="0" w:num="1">
            <w:col w:w="11420"/>
          </w:cols>
          <w:pgMar w:left="240" w:top="229" w:right="239" w:bottom="1440" w:gutter="0" w:footer="0" w:header="0"/>
        </w:sectPr>
      </w:pPr>
    </w:p>
    <w:bookmarkStart w:id="8" w:name="page9"/>
    <w:bookmarkEnd w:id="8"/>
    <w:p>
      <w:pPr>
        <w:spacing w:after="0"/>
        <w:tabs>
          <w:tab w:leader="none" w:pos="5540" w:val="left"/>
          <w:tab w:leader="none" w:pos="1004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9 Pages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DATED: May 19, 2016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2020-01-20T13:01:46Z</dcterms:created>
  <dcterms:modified xsi:type="dcterms:W3CDTF">2020-01-20T13:01:46Z</dcterms:modified>
</cp:coreProperties>
</file>