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92840H202</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Check the appropriate box to designate the rule pursuant to which</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Schedule is filed:</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right="8319" w:firstLine="8"/>
        <w:spacing w:after="0" w:line="536"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234" w:lineRule="auto"/>
        <w:rPr>
          <w:sz w:val="20"/>
          <w:szCs w:val="20"/>
          <w:color w:val="auto"/>
        </w:rPr>
      </w:pPr>
      <w:r>
        <w:rPr>
          <w:rFonts w:ascii="Courier New" w:cs="Courier New" w:eastAsia="Courier New" w:hAnsi="Courier New"/>
          <w:sz w:val="18"/>
          <w:szCs w:val="18"/>
          <w:color w:val="auto"/>
        </w:rPr>
        <w:t>__________</w:t>
      </w:r>
    </w:p>
    <w:p>
      <w:pPr>
        <w:spacing w:after="0" w:line="4" w:lineRule="exact"/>
        <w:rPr>
          <w:sz w:val="24"/>
          <w:szCs w:val="24"/>
          <w:color w:val="auto"/>
        </w:rPr>
      </w:pPr>
    </w:p>
    <w:p>
      <w:pPr>
        <w:ind w:right="2619" w:firstLine="73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The information required in the remainder of this cover page shall</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not be deemed to be filed for the purpose of Section 18 of the Securities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 Act of 1934 (Act) or otherwise subject to the liabilities of</w:t>
      </w:r>
    </w:p>
    <w:p>
      <w:pPr>
        <w:spacing w:after="0" w:line="238" w:lineRule="auto"/>
        <w:rPr>
          <w:sz w:val="20"/>
          <w:szCs w:val="20"/>
          <w:color w:val="auto"/>
        </w:rPr>
      </w:pPr>
      <w:r>
        <w:rPr>
          <w:rFonts w:ascii="Courier New" w:cs="Courier New" w:eastAsia="Courier New" w:hAnsi="Courier New"/>
          <w:sz w:val="18"/>
          <w:szCs w:val="18"/>
          <w:color w:val="auto"/>
        </w:rPr>
        <w:t>that section of the Act but shall be subject to all other provisions of</w:t>
      </w:r>
    </w:p>
    <w:p>
      <w:pPr>
        <w:spacing w:after="0"/>
        <w:rPr>
          <w:sz w:val="20"/>
          <w:szCs w:val="20"/>
          <w:color w:val="auto"/>
        </w:rPr>
      </w:pPr>
      <w:r>
        <w:rPr>
          <w:rFonts w:ascii="Courier New" w:cs="Courier New" w:eastAsia="Courier New" w:hAnsi="Courier New"/>
          <w:sz w:val="18"/>
          <w:szCs w:val="18"/>
          <w:color w:val="auto"/>
        </w:rPr>
        <w:t>the Act (however, see the Notes).</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1,648,609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1,648,609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1,648,609</w:t>
      </w:r>
    </w:p>
    <w:p>
      <w:pPr>
        <w:sectPr>
          <w:pgSz w:w="11900" w:h="16838" w:orient="portrait"/>
          <w:cols w:equalWidth="0" w:num="1">
            <w:col w:w="10219"/>
          </w:cols>
          <w:pgMar w:left="240" w:top="144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94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Delaware,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2,115,873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2,115,873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2,115,873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ectPr>
          <w:pgSz w:w="11900" w:h="16838" w:orient="portrait"/>
          <w:cols w:equalWidth="0" w:num="1">
            <w:col w:w="10219"/>
          </w:cols>
          <w:pgMar w:left="240" w:top="114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OO</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ectPr>
          <w:pgSz w:w="11900" w:h="16838" w:orient="portrait"/>
          <w:cols w:equalWidth="0" w:num="1">
            <w:col w:w="10219"/>
          </w:cols>
          <w:pgMar w:left="240" w:top="1149" w:right="1440" w:bottom="132"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2,115,873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2,115,873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2,115,873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9.68</w:t>
      </w:r>
    </w:p>
    <w:p>
      <w:pPr>
        <w:sectPr>
          <w:pgSz w:w="11900" w:h="16838" w:orient="portrait"/>
          <w:cols w:equalWidth="0" w:num="1">
            <w:col w:w="10219"/>
          </w:cols>
          <w:pgMar w:left="240" w:top="339"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343 Allerton Avenue</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38" w:lineRule="auto"/>
        <w:rPr>
          <w:sz w:val="20"/>
          <w:szCs w:val="20"/>
          <w:color w:val="auto"/>
        </w:rPr>
      </w:pPr>
      <w:r>
        <w:rPr>
          <w:rFonts w:ascii="Courier New" w:cs="Courier New" w:eastAsia="Courier New" w:hAnsi="Courier New"/>
          <w:sz w:val="18"/>
          <w:szCs w:val="18"/>
          <w:color w:val="auto"/>
        </w:rPr>
        <w:t>Sabby Management, LLC</w:t>
      </w: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38" w:lineRule="auto"/>
        <w:rPr>
          <w:sz w:val="20"/>
          <w:szCs w:val="20"/>
          <w:color w:val="auto"/>
        </w:rPr>
      </w:pPr>
      <w:r>
        <w:rPr>
          <w:rFonts w:ascii="Courier New" w:cs="Courier New" w:eastAsia="Courier New" w:hAnsi="Courier New"/>
          <w:sz w:val="18"/>
          <w:szCs w:val="18"/>
          <w:color w:val="auto"/>
        </w:rPr>
        <w:t>c/o Ogier Fiduciary Services (Cayman) Limited</w:t>
      </w:r>
    </w:p>
    <w:p>
      <w:pPr>
        <w:spacing w:after="0"/>
        <w:rPr>
          <w:sz w:val="20"/>
          <w:szCs w:val="20"/>
          <w:color w:val="auto"/>
        </w:rPr>
      </w:pPr>
      <w:r>
        <w:rPr>
          <w:rFonts w:ascii="Courier New" w:cs="Courier New" w:eastAsia="Courier New" w:hAnsi="Courier New"/>
          <w:sz w:val="18"/>
          <w:szCs w:val="18"/>
          <w:color w:val="auto"/>
        </w:rPr>
        <w:t>89 Nexus Way, Camana Bay</w:t>
      </w:r>
    </w:p>
    <w:p>
      <w:pPr>
        <w:spacing w:after="0" w:line="237" w:lineRule="auto"/>
        <w:rPr>
          <w:sz w:val="20"/>
          <w:szCs w:val="20"/>
          <w:color w:val="auto"/>
        </w:rPr>
      </w:pPr>
      <w:r>
        <w:rPr>
          <w:rFonts w:ascii="Courier New" w:cs="Courier New" w:eastAsia="Courier New" w:hAnsi="Courier New"/>
          <w:sz w:val="18"/>
          <w:szCs w:val="18"/>
          <w:color w:val="auto"/>
        </w:rPr>
        <w:t>Grand Cayman KY1-9007</w:t>
      </w:r>
    </w:p>
    <w:p>
      <w:pPr>
        <w:spacing w:after="0" w:line="238" w:lineRule="auto"/>
        <w:rPr>
          <w:sz w:val="20"/>
          <w:szCs w:val="20"/>
          <w:color w:val="auto"/>
        </w:rPr>
      </w:pPr>
      <w:r>
        <w:rPr>
          <w:rFonts w:ascii="Courier New" w:cs="Courier New" w:eastAsia="Courier New" w:hAnsi="Courier New"/>
          <w:sz w:val="18"/>
          <w:szCs w:val="18"/>
          <w:color w:val="auto"/>
        </w:rPr>
        <w:t>Cayman Islands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38" w:lineRule="auto"/>
        <w:rPr>
          <w:sz w:val="20"/>
          <w:szCs w:val="20"/>
          <w:color w:val="auto"/>
        </w:rPr>
      </w:pPr>
      <w:r>
        <w:rPr>
          <w:rFonts w:ascii="Courier New" w:cs="Courier New" w:eastAsia="Courier New" w:hAnsi="Courier New"/>
          <w:sz w:val="18"/>
          <w:szCs w:val="18"/>
          <w:color w:val="auto"/>
        </w:rPr>
        <w:t>10 Mountainview Road, Suite 205</w:t>
      </w:r>
    </w:p>
    <w:p>
      <w:pPr>
        <w:spacing w:after="0"/>
        <w:rPr>
          <w:sz w:val="20"/>
          <w:szCs w:val="20"/>
          <w:color w:val="auto"/>
        </w:rPr>
      </w:pPr>
      <w:r>
        <w:rPr>
          <w:rFonts w:ascii="Courier New" w:cs="Courier New" w:eastAsia="Courier New" w:hAnsi="Courier New"/>
          <w:sz w:val="18"/>
          <w:szCs w:val="18"/>
          <w:color w:val="auto"/>
        </w:rPr>
        <w:t>Upper Saddle River, New Jersey 07458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38" w:lineRule="auto"/>
        <w:rPr>
          <w:sz w:val="20"/>
          <w:szCs w:val="20"/>
          <w:color w:val="auto"/>
        </w:rPr>
      </w:pPr>
      <w:r>
        <w:rPr>
          <w:rFonts w:ascii="Courier New" w:cs="Courier New" w:eastAsia="Courier New" w:hAnsi="Courier New"/>
          <w:sz w:val="18"/>
          <w:szCs w:val="18"/>
          <w:color w:val="auto"/>
        </w:rPr>
        <w:t>c/o Sabby Management, LLC</w:t>
      </w:r>
    </w:p>
    <w:p>
      <w:pPr>
        <w:spacing w:after="0"/>
        <w:rPr>
          <w:sz w:val="20"/>
          <w:szCs w:val="20"/>
          <w:color w:val="auto"/>
        </w:rPr>
      </w:pPr>
      <w:r>
        <w:rPr>
          <w:rFonts w:ascii="Courier New" w:cs="Courier New" w:eastAsia="Courier New" w:hAnsi="Courier New"/>
          <w:sz w:val="18"/>
          <w:szCs w:val="18"/>
          <w:color w:val="auto"/>
        </w:rPr>
        <w:t>10 Mountainview Road, Suite 205</w:t>
      </w:r>
    </w:p>
    <w:p>
      <w:pPr>
        <w:spacing w:after="0" w:line="237" w:lineRule="auto"/>
        <w:rPr>
          <w:sz w:val="20"/>
          <w:szCs w:val="20"/>
          <w:color w:val="auto"/>
        </w:rPr>
      </w:pPr>
      <w:r>
        <w:rPr>
          <w:rFonts w:ascii="Courier New" w:cs="Courier New" w:eastAsia="Courier New" w:hAnsi="Courier New"/>
          <w:sz w:val="18"/>
          <w:szCs w:val="18"/>
          <w:color w:val="auto"/>
        </w:rPr>
        <w:t>Upper Saddle River, New Jersey 07458</w:t>
      </w:r>
    </w:p>
    <w:p>
      <w:pPr>
        <w:sectPr>
          <w:pgSz w:w="11900" w:h="16838" w:orient="portrait"/>
          <w:cols w:equalWidth="0" w:num="1">
            <w:col w:w="10219"/>
          </w:cols>
          <w:pgMar w:left="240" w:top="946" w:right="1440" w:bottom="7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Citizenship: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Sabby Volatility Warrant Master Fund, Ltd. - Cayman Islands Sabby Management, LLC - Delaware, USA Hal Mintz -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(the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If This Statement is filed pursuant to Section 240.13d-1(b) or 240.13d-2(b), or (c), check whether the person filing is a</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Broker or dealer registered under section 15 of the Act (15 U.S.C. 78o).</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Insurance company as defined in section 3(a)(19) of the Act (15 U.S.C.</w:t>
      </w:r>
    </w:p>
    <w:p>
      <w:pPr>
        <w:spacing w:after="0" w:line="237" w:lineRule="auto"/>
        <w:rPr>
          <w:sz w:val="20"/>
          <w:szCs w:val="20"/>
          <w:color w:val="auto"/>
        </w:rPr>
      </w:pPr>
      <w:r>
        <w:rPr>
          <w:rFonts w:ascii="Courier New" w:cs="Courier New" w:eastAsia="Courier New" w:hAnsi="Courier New"/>
          <w:sz w:val="18"/>
          <w:szCs w:val="18"/>
          <w:color w:val="auto"/>
        </w:rPr>
        <w:t>78c).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investment adviser in accordance with Section 240.13d-1(b)(1)(ii)(E);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An employee benefit plan or endowment fund in accordance with Section 240.13d-1(b)(1)(ii)(F);</w:t>
      </w:r>
    </w:p>
    <w:p>
      <w:pPr>
        <w:sectPr>
          <w:pgSz w:w="11900" w:h="16838" w:orient="portrait"/>
          <w:cols w:equalWidth="0" w:num="1">
            <w:col w:w="10219"/>
          </w:cols>
          <w:pgMar w:left="240" w:top="541" w:right="1440" w:bottom="134"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Section 240.13d-1(b)(1)(ii)(G);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 savings association as defined in Section 3(b) of the Federal Deposit Insurance Act (12 U.S.C.1813);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non-U.S. institution in accordance with Section 240.13d-1(b)(1)(ii)(J);</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tabs>
          <w:tab w:leader="none" w:pos="6200" w:val="left"/>
        </w:tabs>
        <w:rPr>
          <w:sz w:val="20"/>
          <w:szCs w:val="20"/>
          <w:color w:val="auto"/>
        </w:rPr>
      </w:pPr>
      <w:r>
        <w:rPr>
          <w:rFonts w:ascii="Courier New" w:cs="Courier New" w:eastAsia="Courier New" w:hAnsi="Courier New"/>
          <w:sz w:val="18"/>
          <w:szCs w:val="18"/>
          <w:color w:val="auto"/>
        </w:rPr>
        <w:t>Group, in accordance with Section 240.13d-1(b)(1)(ii)(K).</w:t>
      </w:r>
      <w:r>
        <w:rPr>
          <w:sz w:val="20"/>
          <w:szCs w:val="20"/>
          <w:color w:val="auto"/>
        </w:rPr>
        <w:tab/>
      </w:r>
      <w:r>
        <w:rPr>
          <w:rFonts w:ascii="Courier New" w:cs="Courier New" w:eastAsia="Courier New" w:hAnsi="Courier New"/>
          <w:sz w:val="16"/>
          <w:szCs w:val="16"/>
          <w:color w:val="auto"/>
        </w:rPr>
        <w:t>If filing as</w:t>
      </w:r>
    </w:p>
    <w:p>
      <w:pPr>
        <w:spacing w:after="0" w:line="3"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 non-U.S. institution in accordance with Section 240.13d-1(b)(1)(ii)(J), please specify the type of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pacing w:after="0" w:line="200" w:lineRule="exact"/>
        <w:rPr>
          <w:sz w:val="20"/>
          <w:szCs w:val="20"/>
          <w:color w:val="auto"/>
        </w:rPr>
      </w:pPr>
    </w:p>
    <w:p>
      <w:pPr>
        <w:spacing w:after="0" w:line="210"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Amount beneficially owned:</w:t>
      </w:r>
    </w:p>
    <w:p>
      <w:pPr>
        <w:spacing w:after="0" w:line="202"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Sabby Volatility Warrant Master Fund, Ltd. -</w:t>
      </w:r>
      <w:r>
        <w:rPr>
          <w:sz w:val="20"/>
          <w:szCs w:val="20"/>
          <w:color w:val="auto"/>
        </w:rPr>
        <w:tab/>
      </w:r>
      <w:r>
        <w:rPr>
          <w:rFonts w:ascii="Courier New" w:cs="Courier New" w:eastAsia="Courier New" w:hAnsi="Courier New"/>
          <w:sz w:val="16"/>
          <w:szCs w:val="16"/>
          <w:color w:val="auto"/>
        </w:rPr>
        <w:t>1,648,609</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Sabby Management, LLC -</w:t>
      </w:r>
      <w:r>
        <w:rPr>
          <w:sz w:val="20"/>
          <w:szCs w:val="20"/>
          <w:color w:val="auto"/>
        </w:rPr>
        <w:tab/>
      </w:r>
      <w:r>
        <w:rPr>
          <w:rFonts w:ascii="Courier New" w:cs="Courier New" w:eastAsia="Courier New" w:hAnsi="Courier New"/>
          <w:sz w:val="16"/>
          <w:szCs w:val="16"/>
          <w:color w:val="auto"/>
        </w:rPr>
        <w:t>2,115,873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 - 2,115,873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Percent of class: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 - 7.55%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 - 9.68%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 - 9.68%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Number of shares as to which the person has: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ectPr>
          <w:pgSz w:w="11900" w:h="16838" w:orient="portrait"/>
          <w:cols w:equalWidth="0" w:num="1">
            <w:col w:w="10219"/>
          </w:cols>
          <w:pgMar w:left="24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1,648,609</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1,648,609</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2,115,873</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(iv)</w:t>
      </w:r>
    </w:p>
    <w:p>
      <w:pPr>
        <w:sectPr>
          <w:pgSz w:w="11900" w:h="16838" w:orient="portrait"/>
          <w:cols w:equalWidth="0" w:num="1">
            <w:col w:w="10219"/>
          </w:cols>
          <w:pgMar w:left="240" w:top="136" w:right="1440" w:bottom="0" w:gutter="0" w:footer="0" w:header="0"/>
          <w:type w:val="continuous"/>
        </w:sectPr>
      </w:pPr>
    </w:p>
    <w:bookmarkStart w:id="10" w:name="page11"/>
    <w:bookmarkEnd w:id="10"/>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2,115,873</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2,115,873</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2,115,873</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As calculated in accordance with Rule 13d-3 of the Securities Exchange Act of 1934, as amended, (i) Sabby Volatility Warrant Master Fund, Ltd. beneficially owns 1,648,609 shares of the Issuer's common stock (Common Stock), representing approximately 7.55% of the Common Stock, and (ii) Sabby Management, LLC and Hal Mintz each beneficially own 2,115,873 shares of the Common Stock, representing approximately 9.68% of the Common Stock. Sabby Management, LLC and Hal Mintz do not directly own any shares of Common Stock, but each indirectly owns 2,115,873 shares of Common Stock. Sabby Management, LLC, a Delaware limited liability company, indirectly owns 2,115,873 shares of Common Stock because it serves as the investment manager of Sabby Volatility Warrant Master Fund, Ltd. and Sabby Healthcare Master Fund, Ltd. Mr. Mintz indirectly owns 2,115,873 shares of Common Stock in his capacity as manager of Sabby Management, LLC.</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spacing w:after="0" w:line="200" w:lineRule="exact"/>
        <w:rPr>
          <w:sz w:val="20"/>
          <w:szCs w:val="20"/>
          <w:color w:val="auto"/>
        </w:rPr>
      </w:pPr>
    </w:p>
    <w:p>
      <w:pPr>
        <w:spacing w:after="0" w:line="210"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w:t>
      </w:r>
    </w:p>
    <w:p>
      <w:pPr>
        <w:sectPr>
          <w:pgSz w:w="11900" w:h="16838" w:orient="portrait"/>
          <w:cols w:equalWidth="0" w:num="1">
            <w:col w:w="10219"/>
          </w:cols>
          <w:pgMar w:left="240" w:top="142" w:right="1440" w:bottom="0" w:gutter="0" w:footer="0" w:header="0"/>
        </w:sectPr>
      </w:pPr>
    </w:p>
    <w:bookmarkStart w:id="11" w:name="page12"/>
    <w:bookmarkEnd w:id="11"/>
    <w:p>
      <w:pPr>
        <w:ind w:right="3899"/>
        <w:spacing w:after="0" w:line="235" w:lineRule="auto"/>
        <w:rPr>
          <w:sz w:val="20"/>
          <w:szCs w:val="20"/>
          <w:color w:val="auto"/>
        </w:rPr>
      </w:pPr>
      <w:r>
        <w:rPr>
          <w:rFonts w:ascii="Courier New" w:cs="Courier New" w:eastAsia="Courier New" w:hAnsi="Courier New"/>
          <w:sz w:val="18"/>
          <w:szCs w:val="18"/>
          <w:color w:val="auto"/>
        </w:rPr>
        <w:t>more than five percent of the class of securities, check the following [_].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6.</w:t>
      </w:r>
    </w:p>
    <w:p>
      <w:pPr>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4"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38"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38" w:lineRule="auto"/>
        <w:rPr>
          <w:sz w:val="20"/>
          <w:szCs w:val="20"/>
          <w:color w:val="auto"/>
        </w:rPr>
      </w:pPr>
      <w:r>
        <w:rPr>
          <w:rFonts w:ascii="Courier New" w:cs="Courier New" w:eastAsia="Courier New" w:hAnsi="Courier New"/>
          <w:sz w:val="18"/>
          <w:szCs w:val="18"/>
          <w:color w:val="auto"/>
        </w:rPr>
        <w:t>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10.</w:t>
      </w:r>
    </w:p>
    <w:p>
      <w:pPr>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93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9,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42"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Harry Thompson</w:t>
      </w:r>
    </w:p>
    <w:p>
      <w:pPr>
        <w:spacing w:after="0" w:line="5" w:lineRule="exact"/>
        <w:rPr>
          <w:sz w:val="20"/>
          <w:szCs w:val="20"/>
          <w:color w:val="auto"/>
        </w:rPr>
      </w:pPr>
    </w:p>
    <w:p>
      <w:pPr>
        <w:ind w:right="4839" w:firstLine="105"/>
        <w:spacing w:after="0" w:line="235" w:lineRule="auto"/>
        <w:rPr>
          <w:sz w:val="20"/>
          <w:szCs w:val="20"/>
          <w:color w:val="auto"/>
        </w:rPr>
      </w:pPr>
      <w:r>
        <w:rPr>
          <w:rFonts w:ascii="Courier New" w:cs="Courier New" w:eastAsia="Courier New" w:hAnsi="Courier New"/>
          <w:sz w:val="18"/>
          <w:szCs w:val="18"/>
          <w:color w:val="auto"/>
        </w:rPr>
        <w:t>Title: Authorized Person of TDF Management Ltd., a 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Grundstein</w:t>
      </w: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ind w:left="120"/>
        <w:spacing w:after="0" w:line="238" w:lineRule="auto"/>
        <w:rPr>
          <w:sz w:val="20"/>
          <w:szCs w:val="20"/>
          <w:color w:val="auto"/>
        </w:rPr>
      </w:pPr>
      <w:r>
        <w:rPr>
          <w:rFonts w:ascii="Courier New" w:cs="Courier New" w:eastAsia="Courier New" w:hAnsi="Courier New"/>
          <w:sz w:val="18"/>
          <w:szCs w:val="18"/>
          <w:color w:val="auto"/>
        </w:rPr>
        <w:t>Hal Mintz</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*This Reporting Person disclaims beneficial ownership over the securities reported herein except to the extent of its pecuniary interest therein.</w:t>
      </w:r>
    </w:p>
    <w:p>
      <w:pPr>
        <w:spacing w:after="0" w:line="170" w:lineRule="exact"/>
        <w:rPr>
          <w:sz w:val="20"/>
          <w:szCs w:val="20"/>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s.240.13d-7 for other parties for whom copies are to be sent.</w:t>
      </w:r>
    </w:p>
    <w:p>
      <w:pPr>
        <w:spacing w:after="0" w:line="209"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619" w:firstLine="737"/>
        <w:spacing w:after="0" w:line="279" w:lineRule="auto"/>
        <w:rPr>
          <w:sz w:val="20"/>
          <w:szCs w:val="20"/>
          <w:color w:val="auto"/>
        </w:rPr>
      </w:pPr>
      <w:r>
        <w:rPr>
          <w:rFonts w:ascii="Courier New" w:cs="Courier New" w:eastAsia="Courier New" w:hAnsi="Courier New"/>
          <w:sz w:val="16"/>
          <w:szCs w:val="16"/>
          <w:color w:val="auto"/>
        </w:rPr>
        <w:t>The undersigned hereby agree that this Statement on Schedule 13G with respect to the beneficial ownership of shares of Common Stock of VistaGen Therapeutics, Inc. is filed jointly, on behalf of each of them.</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9,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540"/>
        <w:spacing w:after="0" w:line="238" w:lineRule="auto"/>
        <w:tabs>
          <w:tab w:leader="none" w:pos="1260" w:val="left"/>
        </w:tabs>
        <w:rPr>
          <w:sz w:val="20"/>
          <w:szCs w:val="20"/>
          <w:color w:val="auto"/>
        </w:rPr>
      </w:pPr>
      <w:r>
        <w:rPr>
          <w:rFonts w:ascii="Courier New" w:cs="Courier New" w:eastAsia="Courier New" w:hAnsi="Courier New"/>
          <w:sz w:val="18"/>
          <w:szCs w:val="18"/>
          <w:color w:val="auto"/>
        </w:rPr>
        <w:t>Name:</w:t>
        <w:tab/>
        <w:t>Harry Thompson</w:t>
      </w: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Authorized Person of TDF Management</w:t>
      </w:r>
    </w:p>
    <w:p>
      <w:pPr>
        <w:spacing w:after="0" w:line="237" w:lineRule="auto"/>
        <w:tabs>
          <w:tab w:leader="none" w:pos="940" w:val="left"/>
        </w:tabs>
        <w:rPr>
          <w:sz w:val="20"/>
          <w:szCs w:val="20"/>
          <w:color w:val="auto"/>
        </w:rPr>
      </w:pPr>
      <w:r>
        <w:rPr>
          <w:rFonts w:ascii="Courier New" w:cs="Courier New" w:eastAsia="Courier New" w:hAnsi="Courier New"/>
          <w:sz w:val="18"/>
          <w:szCs w:val="18"/>
          <w:color w:val="auto"/>
        </w:rPr>
        <w:t>Ltd.,</w:t>
      </w:r>
      <w:r>
        <w:rPr>
          <w:sz w:val="20"/>
          <w:szCs w:val="20"/>
          <w:color w:val="auto"/>
        </w:rPr>
        <w:tab/>
      </w:r>
      <w:r>
        <w:rPr>
          <w:rFonts w:ascii="Courier New" w:cs="Courier New" w:eastAsia="Courier New" w:hAnsi="Courier New"/>
          <w:sz w:val="18"/>
          <w:szCs w:val="18"/>
          <w:color w:val="auto"/>
        </w:rPr>
        <w:t>a Director</w:t>
      </w:r>
    </w:p>
    <w:p>
      <w:pPr>
        <w:spacing w:after="0" w:line="238" w:lineRule="auto"/>
        <w:rPr>
          <w:sz w:val="20"/>
          <w:szCs w:val="20"/>
          <w:color w:val="auto"/>
        </w:rPr>
      </w:pPr>
      <w:r>
        <w:rPr>
          <w:rFonts w:ascii="Courier New" w:cs="Courier New" w:eastAsia="Courier New" w:hAnsi="Courier New"/>
          <w:sz w:val="18"/>
          <w:szCs w:val="18"/>
          <w:color w:val="auto"/>
        </w:rPr>
        <w:t>Sabby Management, LLC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Grundstein</w:t>
      </w: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ind w:left="120"/>
        <w:spacing w:after="0" w:line="238" w:lineRule="auto"/>
        <w:rPr>
          <w:sz w:val="20"/>
          <w:szCs w:val="20"/>
          <w:color w:val="auto"/>
        </w:rPr>
      </w:pPr>
      <w:r>
        <w:rPr>
          <w:rFonts w:ascii="Courier New" w:cs="Courier New" w:eastAsia="Courier New" w:hAnsi="Courier New"/>
          <w:sz w:val="18"/>
          <w:szCs w:val="18"/>
          <w:color w:val="auto"/>
        </w:rPr>
        <w:t>Hal Mintz</w:t>
      </w:r>
    </w:p>
    <w:p>
      <w:pPr>
        <w:sectPr>
          <w:pgSz w:w="11900" w:h="16838" w:orient="portrait"/>
          <w:cols w:equalWidth="0" w:num="1">
            <w:col w:w="10219"/>
          </w:cols>
          <w:pgMar w:left="240" w:top="1149" w:right="1440" w:bottom="7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2020-01-14T01:32:57Z</dcterms:created>
  <dcterms:modified xsi:type="dcterms:W3CDTF">2020-01-14T01:32:57Z</dcterms:modified>
</cp:coreProperties>
</file>