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-624840</wp:posOffset>
            </wp:positionV>
            <wp:extent cx="57785" cy="638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4072255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22860</wp:posOffset>
            </wp:positionV>
            <wp:extent cx="7325995" cy="8324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8324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928" w:orient="portrait"/>
          <w:cols w:equalWidth="0" w:num="2">
            <w:col w:w="2260" w:space="520"/>
            <w:col w:w="8740"/>
          </w:cols>
          <w:pgMar w:left="240" w:top="217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Singh Shawn</w:t>
        </w:r>
      </w:hyperlink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5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VSTA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60" w:hanging="5"/>
        <w:spacing w:after="0" w:line="261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521" w:lineRule="exact"/>
        <w:rPr>
          <w:sz w:val="24"/>
          <w:szCs w:val="24"/>
          <w:color w:val="auto"/>
        </w:rPr>
      </w:pPr>
    </w:p>
    <w:p>
      <w:pPr>
        <w:sectPr>
          <w:pgSz w:w="11900" w:h="16928" w:orient="portrait"/>
          <w:cols w:equalWidth="0" w:num="3">
            <w:col w:w="3340" w:space="720"/>
            <w:col w:w="3275" w:space="720"/>
            <w:col w:w="3465"/>
          </w:cols>
          <w:pgMar w:left="240" w:top="217" w:right="139" w:bottom="0" w:gutter="0" w:footer="0" w:header="0"/>
          <w:type w:val="continuous"/>
        </w:sectPr>
      </w:pPr>
    </w:p>
    <w:p>
      <w:pPr>
        <w:spacing w:after="0" w:line="7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7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10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10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20" w:type="dxa"/>
            <w:vAlign w:val="bottom"/>
            <w:gridSpan w:val="1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4,017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08/25/2008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12/31/2016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4,017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08/25/2008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4,017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1,786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08/25/2008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12/31/2016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1,786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1,786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08/25/2008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1,786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1,786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72,000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72,000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72,000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72,000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72,000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150,000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01/11/2015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01/11/2020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150,000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01/11/2015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01/11/2020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250,000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250,000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250,000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250,000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250,000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80" w:firstLine="1"/>
        <w:spacing w:after="0" w:line="254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two reported transactions involved an amendment of an outstanding warrant, resulting in the deemed cancellation of the old warrant and the grant of a replacement warrant. The warrant was originally granted on August 25, 2008.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9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The 1997 Singh Family Trust U/R/D 5/29/97.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1"/>
        <w:spacing w:after="0" w:line="254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two reported transactions involved an amendment of an outstanding warrant, resulting in the deemed cancellation of the old warrant and the grant of a replacement warrant. The warrant was originally granted on March 3, 2013.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1"/>
        <w:spacing w:after="0" w:line="254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two reported transactions involved an amendment of an outstanding warrant, resulting in the deemed cancellation of the old warrant and the grant of a replacement warrant. The warrant was originally granted on January 11, 2015.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1"/>
        <w:spacing w:after="0" w:line="254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two reported transactions involved an amendment of an outstanding warrant, resulting in the deemed cancellation of the old warrant and the grant of a replacement warrant. The warrant was originally granted on September 2, 2015.</w:t>
      </w:r>
    </w:p>
    <w:p>
      <w:pPr>
        <w:sectPr>
          <w:pgSz w:w="11900" w:h="16928" w:orient="portrait"/>
          <w:cols w:equalWidth="0" w:num="1">
            <w:col w:w="11520"/>
          </w:cols>
          <w:pgMar w:left="240" w:top="217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Jerrold D. Dotson,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11/13/2015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right="2759" w:firstLine="1"/>
        <w:spacing w:after="0" w:line="333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6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2071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2020-01-22T11:26:51Z</dcterms:created>
  <dcterms:modified xsi:type="dcterms:W3CDTF">2020-01-22T11:26:51Z</dcterms:modified>
</cp:coreProperties>
</file>