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94"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b w:val="1"/>
                <w:bCs w:val="1"/>
                <w:color w:val="auto"/>
                <w:w w:val="93"/>
              </w:rPr>
              <w:t>Date of Report (Date of earliest event reported): October 2, 2023</w:t>
            </w:r>
          </w:p>
        </w:tc>
        <w:tc>
          <w:tcPr>
            <w:tcW w:w="1840" w:type="dxa"/>
            <w:vAlign w:val="bottom"/>
          </w:tcPr>
          <w:p>
            <w:pPr>
              <w:spacing w:after="0"/>
              <w:rPr>
                <w:sz w:val="17"/>
                <w:szCs w:val="17"/>
                <w:color w:val="auto"/>
              </w:rPr>
            </w:pPr>
          </w:p>
        </w:tc>
      </w:tr>
      <w:tr>
        <w:trPr>
          <w:trHeight w:val="438"/>
        </w:trPr>
        <w:tc>
          <w:tcPr>
            <w:tcW w:w="2240" w:type="dxa"/>
            <w:vAlign w:val="bottom"/>
          </w:tcPr>
          <w:p>
            <w:pPr>
              <w:spacing w:after="0"/>
              <w:rPr>
                <w:sz w:val="24"/>
                <w:szCs w:val="24"/>
                <w:color w:val="auto"/>
              </w:rPr>
            </w:pPr>
          </w:p>
        </w:tc>
        <w:tc>
          <w:tcPr>
            <w:tcW w:w="3880" w:type="dxa"/>
            <w:vAlign w:val="bottom"/>
          </w:tcPr>
          <w:p>
            <w:pPr>
              <w:jc w:val="center"/>
              <w:ind w:left="1130"/>
              <w:spacing w:after="0"/>
              <w:rPr>
                <w:sz w:val="20"/>
                <w:szCs w:val="20"/>
                <w:color w:val="auto"/>
              </w:rPr>
            </w:pPr>
            <w:r>
              <w:rPr>
                <w:rFonts w:ascii="Arial" w:cs="Arial" w:eastAsia="Arial" w:hAnsi="Arial"/>
                <w:sz w:val="18"/>
                <w:szCs w:val="18"/>
                <w:b w:val="1"/>
                <w:bCs w:val="1"/>
                <w:color w:val="auto"/>
                <w:w w:val="90"/>
              </w:rPr>
              <w:t>Vistagen Therapeutics, Inc.</w:t>
            </w:r>
          </w:p>
        </w:tc>
        <w:tc>
          <w:tcPr>
            <w:tcW w:w="1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30"/>
        </w:trPr>
        <w:tc>
          <w:tcPr>
            <w:tcW w:w="2240" w:type="dxa"/>
            <w:vAlign w:val="bottom"/>
          </w:tcPr>
          <w:p>
            <w:pPr>
              <w:spacing w:after="0"/>
              <w:rPr>
                <w:sz w:val="20"/>
                <w:szCs w:val="20"/>
                <w:color w:val="auto"/>
              </w:rPr>
            </w:pPr>
          </w:p>
        </w:tc>
        <w:tc>
          <w:tcPr>
            <w:tcW w:w="5280" w:type="dxa"/>
            <w:vAlign w:val="bottom"/>
            <w:gridSpan w:val="3"/>
          </w:tcPr>
          <w:p>
            <w:pPr>
              <w:jc w:val="center"/>
              <w:ind w:right="20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1840" w:type="dxa"/>
            <w:vAlign w:val="bottom"/>
          </w:tcPr>
          <w:p>
            <w:pPr>
              <w:spacing w:after="0"/>
              <w:rPr>
                <w:sz w:val="20"/>
                <w:szCs w:val="20"/>
                <w:color w:val="auto"/>
              </w:rPr>
            </w:pPr>
          </w:p>
        </w:tc>
      </w:tr>
      <w:tr>
        <w:trPr>
          <w:trHeight w:val="418"/>
        </w:trPr>
        <w:tc>
          <w:tcPr>
            <w:tcW w:w="2240" w:type="dxa"/>
            <w:vAlign w:val="bottom"/>
          </w:tcPr>
          <w:p>
            <w:pPr>
              <w:jc w:val="center"/>
              <w:ind w:right="10"/>
              <w:spacing w:after="0"/>
              <w:rPr>
                <w:sz w:val="20"/>
                <w:szCs w:val="20"/>
                <w:color w:val="auto"/>
              </w:rPr>
            </w:pPr>
            <w:r>
              <w:rPr>
                <w:rFonts w:ascii="Arial" w:cs="Arial" w:eastAsia="Arial" w:hAnsi="Arial"/>
                <w:sz w:val="18"/>
                <w:szCs w:val="18"/>
                <w:b w:val="1"/>
                <w:bCs w:val="1"/>
                <w:color w:val="auto"/>
                <w:w w:val="97"/>
              </w:rPr>
              <w:t>NEVADA</w:t>
            </w:r>
          </w:p>
        </w:tc>
        <w:tc>
          <w:tcPr>
            <w:tcW w:w="3880" w:type="dxa"/>
            <w:vAlign w:val="bottom"/>
          </w:tcPr>
          <w:p>
            <w:pPr>
              <w:jc w:val="right"/>
              <w:ind w:right="810"/>
              <w:spacing w:after="0"/>
              <w:rPr>
                <w:sz w:val="20"/>
                <w:szCs w:val="20"/>
                <w:color w:val="auto"/>
              </w:rPr>
            </w:pPr>
            <w:r>
              <w:rPr>
                <w:rFonts w:ascii="Arial" w:cs="Arial" w:eastAsia="Arial" w:hAnsi="Arial"/>
                <w:sz w:val="18"/>
                <w:szCs w:val="18"/>
                <w:b w:val="1"/>
                <w:bCs w:val="1"/>
                <w:color w:val="auto"/>
              </w:rPr>
              <w:t>000-54014</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20-5093315</w:t>
            </w:r>
          </w:p>
        </w:tc>
      </w:tr>
      <w:tr>
        <w:trPr>
          <w:trHeight w:val="216"/>
        </w:trPr>
        <w:tc>
          <w:tcPr>
            <w:tcW w:w="2240" w:type="dxa"/>
            <w:vAlign w:val="bottom"/>
          </w:tcPr>
          <w:p>
            <w:pPr>
              <w:jc w:val="center"/>
              <w:ind w:right="50"/>
              <w:spacing w:after="0"/>
              <w:rPr>
                <w:sz w:val="20"/>
                <w:szCs w:val="20"/>
                <w:color w:val="auto"/>
              </w:rPr>
            </w:pPr>
            <w:r>
              <w:rPr>
                <w:rFonts w:ascii="Arial" w:cs="Arial" w:eastAsia="Arial" w:hAnsi="Arial"/>
                <w:sz w:val="18"/>
                <w:szCs w:val="18"/>
                <w:i w:val="1"/>
                <w:iCs w:val="1"/>
                <w:color w:val="auto"/>
                <w:w w:val="93"/>
              </w:rPr>
              <w:t>(State or other jurisdiction of</w:t>
            </w:r>
          </w:p>
        </w:tc>
        <w:tc>
          <w:tcPr>
            <w:tcW w:w="5280" w:type="dxa"/>
            <w:vAlign w:val="bottom"/>
            <w:gridSpan w:val="3"/>
          </w:tcPr>
          <w:p>
            <w:pPr>
              <w:jc w:val="center"/>
              <w:ind w:right="120"/>
              <w:spacing w:after="0"/>
              <w:rPr>
                <w:sz w:val="20"/>
                <w:szCs w:val="20"/>
                <w:color w:val="auto"/>
              </w:rPr>
            </w:pPr>
            <w:r>
              <w:rPr>
                <w:rFonts w:ascii="Arial" w:cs="Arial" w:eastAsia="Arial" w:hAnsi="Arial"/>
                <w:sz w:val="18"/>
                <w:szCs w:val="18"/>
                <w:i w:val="1"/>
                <w:iCs w:val="1"/>
                <w:color w:val="auto"/>
                <w:w w:val="91"/>
              </w:rPr>
              <w:t>(Commission File Number)</w:t>
            </w:r>
          </w:p>
        </w:tc>
        <w:tc>
          <w:tcPr>
            <w:tcW w:w="1840" w:type="dxa"/>
            <w:vAlign w:val="bottom"/>
          </w:tcPr>
          <w:p>
            <w:pPr>
              <w:jc w:val="center"/>
              <w:ind w:left="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240" w:type="dxa"/>
            <w:vAlign w:val="bottom"/>
          </w:tcPr>
          <w:p>
            <w:pPr>
              <w:jc w:val="center"/>
              <w:ind w:right="10"/>
              <w:spacing w:after="0"/>
              <w:rPr>
                <w:sz w:val="20"/>
                <w:szCs w:val="20"/>
                <w:color w:val="auto"/>
              </w:rPr>
            </w:pPr>
            <w:r>
              <w:rPr>
                <w:rFonts w:ascii="Arial" w:cs="Arial" w:eastAsia="Arial" w:hAnsi="Arial"/>
                <w:sz w:val="18"/>
                <w:szCs w:val="18"/>
                <w:i w:val="1"/>
                <w:iCs w:val="1"/>
                <w:color w:val="auto"/>
                <w:w w:val="96"/>
              </w:rPr>
              <w:t>incorporation)</w:t>
            </w:r>
          </w:p>
        </w:tc>
        <w:tc>
          <w:tcPr>
            <w:tcW w:w="3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center"/>
              <w:ind w:left="110"/>
              <w:spacing w:after="0"/>
              <w:rPr>
                <w:sz w:val="20"/>
                <w:szCs w:val="20"/>
                <w:color w:val="auto"/>
              </w:rPr>
            </w:pPr>
            <w:r>
              <w:rPr>
                <w:rFonts w:ascii="Arial" w:cs="Arial" w:eastAsia="Arial" w:hAnsi="Arial"/>
                <w:sz w:val="18"/>
                <w:szCs w:val="18"/>
                <w:i w:val="1"/>
                <w:iCs w:val="1"/>
                <w:color w:val="auto"/>
                <w:w w:val="93"/>
              </w:rPr>
              <w:t>Identification Number)</w:t>
            </w:r>
          </w:p>
        </w:tc>
      </w:tr>
      <w:tr>
        <w:trPr>
          <w:trHeight w:val="414"/>
        </w:trPr>
        <w:tc>
          <w:tcPr>
            <w:tcW w:w="2240" w:type="dxa"/>
            <w:vAlign w:val="bottom"/>
          </w:tcPr>
          <w:p>
            <w:pPr>
              <w:spacing w:after="0"/>
              <w:rPr>
                <w:sz w:val="24"/>
                <w:szCs w:val="24"/>
                <w:color w:val="auto"/>
              </w:rPr>
            </w:pPr>
          </w:p>
        </w:tc>
        <w:tc>
          <w:tcPr>
            <w:tcW w:w="52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343 Allerton Ave.</w:t>
            </w:r>
          </w:p>
        </w:tc>
        <w:tc>
          <w:tcPr>
            <w:tcW w:w="1840" w:type="dxa"/>
            <w:vAlign w:val="bottom"/>
          </w:tcPr>
          <w:p>
            <w:pPr>
              <w:spacing w:after="0"/>
              <w:rPr>
                <w:sz w:val="24"/>
                <w:szCs w:val="24"/>
                <w:color w:val="auto"/>
              </w:rPr>
            </w:pPr>
          </w:p>
        </w:tc>
      </w:tr>
      <w:tr>
        <w:trPr>
          <w:trHeight w:val="220"/>
        </w:trPr>
        <w:tc>
          <w:tcPr>
            <w:tcW w:w="2240" w:type="dxa"/>
            <w:vAlign w:val="bottom"/>
          </w:tcPr>
          <w:p>
            <w:pPr>
              <w:spacing w:after="0"/>
              <w:rPr>
                <w:sz w:val="19"/>
                <w:szCs w:val="19"/>
                <w:color w:val="auto"/>
              </w:rPr>
            </w:pPr>
          </w:p>
        </w:tc>
        <w:tc>
          <w:tcPr>
            <w:tcW w:w="52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1840" w:type="dxa"/>
            <w:vAlign w:val="bottom"/>
          </w:tcPr>
          <w:p>
            <w:pPr>
              <w:spacing w:after="0"/>
              <w:rPr>
                <w:sz w:val="19"/>
                <w:szCs w:val="19"/>
                <w:color w:val="auto"/>
              </w:rPr>
            </w:pPr>
          </w:p>
        </w:tc>
      </w:tr>
      <w:tr>
        <w:trPr>
          <w:trHeight w:val="230"/>
        </w:trPr>
        <w:tc>
          <w:tcPr>
            <w:tcW w:w="2240" w:type="dxa"/>
            <w:vAlign w:val="bottom"/>
          </w:tcPr>
          <w:p>
            <w:pPr>
              <w:spacing w:after="0"/>
              <w:rPr>
                <w:sz w:val="20"/>
                <w:szCs w:val="20"/>
                <w:color w:val="auto"/>
              </w:rPr>
            </w:pPr>
          </w:p>
        </w:tc>
        <w:tc>
          <w:tcPr>
            <w:tcW w:w="5280" w:type="dxa"/>
            <w:vAlign w:val="bottom"/>
            <w:gridSpan w:val="3"/>
          </w:tcPr>
          <w:p>
            <w:pPr>
              <w:jc w:val="center"/>
              <w:ind w:right="20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840" w:type="dxa"/>
            <w:vAlign w:val="bottom"/>
          </w:tcPr>
          <w:p>
            <w:pPr>
              <w:spacing w:after="0"/>
              <w:rPr>
                <w:sz w:val="20"/>
                <w:szCs w:val="20"/>
                <w:color w:val="auto"/>
              </w:rPr>
            </w:pPr>
          </w:p>
        </w:tc>
      </w:tr>
      <w:tr>
        <w:trPr>
          <w:trHeight w:val="418"/>
        </w:trPr>
        <w:tc>
          <w:tcPr>
            <w:tcW w:w="2240" w:type="dxa"/>
            <w:vAlign w:val="bottom"/>
          </w:tcPr>
          <w:p>
            <w:pPr>
              <w:spacing w:after="0"/>
              <w:rPr>
                <w:sz w:val="24"/>
                <w:szCs w:val="24"/>
                <w:color w:val="auto"/>
              </w:rPr>
            </w:pPr>
          </w:p>
        </w:tc>
        <w:tc>
          <w:tcPr>
            <w:tcW w:w="3880" w:type="dxa"/>
            <w:vAlign w:val="bottom"/>
          </w:tcPr>
          <w:p>
            <w:pPr>
              <w:jc w:val="center"/>
              <w:ind w:left="1110"/>
              <w:spacing w:after="0"/>
              <w:rPr>
                <w:sz w:val="20"/>
                <w:szCs w:val="20"/>
                <w:color w:val="auto"/>
              </w:rPr>
            </w:pPr>
            <w:r>
              <w:rPr>
                <w:rFonts w:ascii="Arial" w:cs="Arial" w:eastAsia="Arial" w:hAnsi="Arial"/>
                <w:sz w:val="18"/>
                <w:szCs w:val="18"/>
                <w:b w:val="1"/>
                <w:bCs w:val="1"/>
                <w:color w:val="auto"/>
                <w:w w:val="90"/>
              </w:rPr>
              <w:t>(650) 577-3600</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30"/>
        </w:trPr>
        <w:tc>
          <w:tcPr>
            <w:tcW w:w="2240" w:type="dxa"/>
            <w:vAlign w:val="bottom"/>
          </w:tcPr>
          <w:p>
            <w:pPr>
              <w:spacing w:after="0"/>
              <w:rPr>
                <w:sz w:val="20"/>
                <w:szCs w:val="20"/>
                <w:color w:val="auto"/>
              </w:rPr>
            </w:pPr>
          </w:p>
        </w:tc>
        <w:tc>
          <w:tcPr>
            <w:tcW w:w="5280" w:type="dxa"/>
            <w:vAlign w:val="bottom"/>
            <w:gridSpan w:val="3"/>
          </w:tcPr>
          <w:p>
            <w:pPr>
              <w:jc w:val="center"/>
              <w:ind w:right="200"/>
              <w:spacing w:after="0"/>
              <w:rPr>
                <w:sz w:val="20"/>
                <w:szCs w:val="20"/>
                <w:color w:val="auto"/>
              </w:rPr>
            </w:pPr>
            <w:r>
              <w:rPr>
                <w:rFonts w:ascii="Arial" w:cs="Arial" w:eastAsia="Arial" w:hAnsi="Arial"/>
                <w:sz w:val="18"/>
                <w:szCs w:val="18"/>
                <w:i w:val="1"/>
                <w:iCs w:val="1"/>
                <w:color w:val="auto"/>
                <w:w w:val="90"/>
              </w:rPr>
              <w:t>(Registrant</w:t>
            </w:r>
            <w:r>
              <w:rPr>
                <w:rFonts w:ascii="Arial" w:cs="Arial" w:eastAsia="Arial" w:hAnsi="Arial"/>
                <w:sz w:val="18"/>
                <w:szCs w:val="18"/>
                <w:color w:val="auto"/>
                <w:w w:val="90"/>
              </w:rPr>
              <w:t>’</w:t>
            </w:r>
            <w:r>
              <w:rPr>
                <w:rFonts w:ascii="Arial" w:cs="Arial" w:eastAsia="Arial" w:hAnsi="Arial"/>
                <w:sz w:val="18"/>
                <w:szCs w:val="18"/>
                <w:i w:val="1"/>
                <w:iCs w:val="1"/>
                <w:color w:val="auto"/>
                <w:w w:val="90"/>
              </w:rPr>
              <w:t>s telephone number, including area code)</w:t>
            </w:r>
          </w:p>
        </w:tc>
        <w:tc>
          <w:tcPr>
            <w:tcW w:w="1840" w:type="dxa"/>
            <w:vAlign w:val="bottom"/>
          </w:tcPr>
          <w:p>
            <w:pPr>
              <w:spacing w:after="0"/>
              <w:rPr>
                <w:sz w:val="20"/>
                <w:szCs w:val="20"/>
                <w:color w:val="auto"/>
              </w:rPr>
            </w:pPr>
          </w:p>
        </w:tc>
      </w:tr>
      <w:tr>
        <w:trPr>
          <w:trHeight w:val="418"/>
        </w:trPr>
        <w:tc>
          <w:tcPr>
            <w:tcW w:w="2240" w:type="dxa"/>
            <w:vAlign w:val="bottom"/>
          </w:tcPr>
          <w:p>
            <w:pPr>
              <w:spacing w:after="0"/>
              <w:rPr>
                <w:sz w:val="24"/>
                <w:szCs w:val="24"/>
                <w:color w:val="auto"/>
              </w:rPr>
            </w:pPr>
          </w:p>
        </w:tc>
        <w:tc>
          <w:tcPr>
            <w:tcW w:w="52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Not Applicable</w:t>
            </w:r>
          </w:p>
        </w:tc>
        <w:tc>
          <w:tcPr>
            <w:tcW w:w="1840" w:type="dxa"/>
            <w:vAlign w:val="bottom"/>
          </w:tcPr>
          <w:p>
            <w:pPr>
              <w:spacing w:after="0"/>
              <w:rPr>
                <w:sz w:val="24"/>
                <w:szCs w:val="24"/>
                <w:color w:val="auto"/>
              </w:rPr>
            </w:pPr>
          </w:p>
        </w:tc>
      </w:tr>
      <w:tr>
        <w:trPr>
          <w:trHeight w:val="230"/>
        </w:trPr>
        <w:tc>
          <w:tcPr>
            <w:tcW w:w="2240" w:type="dxa"/>
            <w:vAlign w:val="bottom"/>
          </w:tcPr>
          <w:p>
            <w:pPr>
              <w:spacing w:after="0"/>
              <w:rPr>
                <w:sz w:val="20"/>
                <w:szCs w:val="20"/>
                <w:color w:val="auto"/>
              </w:rPr>
            </w:pPr>
          </w:p>
        </w:tc>
        <w:tc>
          <w:tcPr>
            <w:tcW w:w="5280" w:type="dxa"/>
            <w:vAlign w:val="bottom"/>
            <w:gridSpan w:val="3"/>
          </w:tcPr>
          <w:p>
            <w:pPr>
              <w:jc w:val="center"/>
              <w:ind w:right="180"/>
              <w:spacing w:after="0"/>
              <w:rPr>
                <w:sz w:val="20"/>
                <w:szCs w:val="20"/>
                <w:color w:val="auto"/>
              </w:rPr>
            </w:pPr>
            <w:r>
              <w:rPr>
                <w:rFonts w:ascii="Arial" w:cs="Arial" w:eastAsia="Arial" w:hAnsi="Arial"/>
                <w:sz w:val="18"/>
                <w:szCs w:val="18"/>
                <w:i w:val="1"/>
                <w:iCs w:val="1"/>
                <w:color w:val="auto"/>
                <w:w w:val="91"/>
              </w:rPr>
              <w:t>(Former name or former address, if changed since last report)</w:t>
            </w:r>
          </w:p>
        </w:tc>
        <w:tc>
          <w:tcPr>
            <w:tcW w:w="1840" w:type="dxa"/>
            <w:vAlign w:val="bottom"/>
          </w:tcPr>
          <w:p>
            <w:pPr>
              <w:spacing w:after="0"/>
              <w:rPr>
                <w:sz w:val="20"/>
                <w:szCs w:val="20"/>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2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2"/>
        </w:trPr>
        <w:tc>
          <w:tcPr>
            <w:tcW w:w="43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88"/>
              </w:rPr>
              <w:t>Title of each class</w:t>
            </w:r>
          </w:p>
        </w:tc>
        <w:tc>
          <w:tcPr>
            <w:tcW w:w="220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92"/>
              </w:rPr>
              <w:t>Trading Symbol(s)</w:t>
            </w:r>
          </w:p>
        </w:tc>
        <w:tc>
          <w:tcPr>
            <w:tcW w:w="47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320" w:type="dxa"/>
            <w:vAlign w:val="bottom"/>
          </w:tcPr>
          <w:p>
            <w:pPr>
              <w:jc w:val="center"/>
              <w:ind w:right="310"/>
              <w:spacing w:after="0"/>
              <w:rPr>
                <w:sz w:val="20"/>
                <w:szCs w:val="20"/>
                <w:color w:val="auto"/>
              </w:rPr>
            </w:pPr>
            <w:r>
              <w:rPr>
                <w:rFonts w:ascii="Arial" w:cs="Arial" w:eastAsia="Arial" w:hAnsi="Arial"/>
                <w:sz w:val="18"/>
                <w:szCs w:val="18"/>
                <w:color w:val="auto"/>
                <w:w w:val="89"/>
              </w:rPr>
              <w:t>Common Stock, par value $0.001 per share</w:t>
            </w:r>
          </w:p>
        </w:tc>
        <w:tc>
          <w:tcPr>
            <w:tcW w:w="2200" w:type="dxa"/>
            <w:vAlign w:val="bottom"/>
          </w:tcPr>
          <w:p>
            <w:pPr>
              <w:jc w:val="center"/>
              <w:ind w:right="450"/>
              <w:spacing w:after="0"/>
              <w:rPr>
                <w:sz w:val="20"/>
                <w:szCs w:val="20"/>
                <w:color w:val="auto"/>
              </w:rPr>
            </w:pPr>
            <w:r>
              <w:rPr>
                <w:rFonts w:ascii="Arial" w:cs="Arial" w:eastAsia="Arial" w:hAnsi="Arial"/>
                <w:sz w:val="18"/>
                <w:szCs w:val="18"/>
                <w:color w:val="auto"/>
                <w:w w:val="99"/>
              </w:rPr>
              <w:t>VTGN</w:t>
            </w:r>
          </w:p>
        </w:tc>
        <w:tc>
          <w:tcPr>
            <w:tcW w:w="4720" w:type="dxa"/>
            <w:vAlign w:val="bottom"/>
          </w:tcPr>
          <w:p>
            <w:pPr>
              <w:jc w:val="center"/>
              <w:ind w:right="50"/>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2, 2023,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provided details regarding the Company’s development plans for fasedienol, the Company’s lead product candidate in development for the acute treatment of anxiety for adults with social anxiety disorder (“</w:t>
      </w:r>
      <w:r>
        <w:rPr>
          <w:rFonts w:ascii="Arial" w:cs="Arial" w:eastAsia="Arial" w:hAnsi="Arial"/>
          <w:sz w:val="18"/>
          <w:szCs w:val="18"/>
          <w:i w:val="1"/>
          <w:iCs w:val="1"/>
          <w:color w:val="auto"/>
        </w:rPr>
        <w:t>SAD</w:t>
      </w:r>
      <w:r>
        <w:rPr>
          <w:rFonts w:ascii="Arial" w:cs="Arial" w:eastAsia="Arial" w:hAnsi="Arial"/>
          <w:sz w:val="18"/>
          <w:szCs w:val="18"/>
          <w:color w:val="auto"/>
        </w:rPr>
        <w:t>”). The Company believes that utilizing a public speaking challenge clinical trial design similar to PALISADE-2 provides the most efficient path forward to advance the clinical development of fasedienol as a potential acute treatment of anxiety for adults with SAD.</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complement the positive topline results from PALISADE-2, the Company plans to launch two similar Phase 3 clinical trials in 2024, PALISADE-3 in the first half of 2024 and PALISADE-4 in the second half of 2024. Like PALISADE-2, both PALISADE-3 and PALISADE-4 will be multi-center, randomized, double-blind, placebo-controlled, Phase 3 clinical trials designed to evaluate the efficacy, safety, and tolerability of the acute administration of fasedienol to relieve anxiety symptoms in adult patients with SAD after a single dose of fasedienol during a simulated, anxiety-provoking public speaking challenge in a clinical setting, as measured using the patient-reported Subjective Units of Distress Scale (“</w:t>
      </w:r>
      <w:r>
        <w:rPr>
          <w:rFonts w:ascii="Arial" w:cs="Arial" w:eastAsia="Arial" w:hAnsi="Arial"/>
          <w:sz w:val="17"/>
          <w:szCs w:val="17"/>
          <w:i w:val="1"/>
          <w:iCs w:val="1"/>
          <w:color w:val="auto"/>
        </w:rPr>
        <w:t>SUDS</w:t>
      </w:r>
      <w:r>
        <w:rPr>
          <w:rFonts w:ascii="Arial" w:cs="Arial" w:eastAsia="Arial" w:hAnsi="Arial"/>
          <w:sz w:val="17"/>
          <w:szCs w:val="17"/>
          <w:color w:val="auto"/>
        </w:rPr>
        <w:t>”) as the primary efficacy endpoint. Also, like PALISADE-2, both PALISADE-3 and PALISADE-4 will have an open-label extension for a period of up to 12-months. If successful, the Company believes either PALISADE-3 or PALISADE-4, together with PALISADE-2, may establish substantial evidence of effectiveness of fasedienol in support potential submission of a potential fasedienol U.S. New Drug Application for the acute treatment of anxiety in adults with SAD with the U.S. Food and Drug Administration (“</w:t>
      </w:r>
      <w:r>
        <w:rPr>
          <w:rFonts w:ascii="Arial" w:cs="Arial" w:eastAsia="Arial" w:hAnsi="Arial"/>
          <w:sz w:val="17"/>
          <w:szCs w:val="17"/>
          <w:i w:val="1"/>
          <w:iCs w:val="1"/>
          <w:color w:val="auto"/>
        </w:rPr>
        <w:t>FDA</w:t>
      </w:r>
      <w:r>
        <w:rPr>
          <w:rFonts w:ascii="Arial" w:cs="Arial" w:eastAsia="Arial" w:hAnsi="Arial"/>
          <w:sz w:val="17"/>
          <w:szCs w:val="17"/>
          <w:color w:val="auto"/>
        </w:rPr>
        <w:t>”) in the first half of 2026.</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is also planning to initiate a PALISADE Phase 2 re-dosing clinical trial (“</w:t>
      </w:r>
      <w:r>
        <w:rPr>
          <w:rFonts w:ascii="Arial" w:cs="Arial" w:eastAsia="Arial" w:hAnsi="Arial"/>
          <w:sz w:val="17"/>
          <w:szCs w:val="17"/>
          <w:i w:val="1"/>
          <w:iCs w:val="1"/>
          <w:color w:val="auto"/>
        </w:rPr>
        <w:t>PALISADE Re-Dosing Trial</w:t>
      </w:r>
      <w:r>
        <w:rPr>
          <w:rFonts w:ascii="Arial" w:cs="Arial" w:eastAsia="Arial" w:hAnsi="Arial"/>
          <w:sz w:val="17"/>
          <w:szCs w:val="17"/>
          <w:color w:val="auto"/>
        </w:rPr>
        <w:t>”) in the second half of 2024. The PALISADE Re-Dosing Trial will be a multi-center, randomized, double-blind, placebo-controlled, clinical trial designed to evaluate repeated dosing of fasedienol in adult patients with SAD during a single simulated, anxiety-provoking public speaking challenge in a clinical setting. The PALISADE Re-Dosing Trial will consist of three different dosing arms, with an open-label extension for a period of up to 12-months.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potential future expansion of the Company’s PALISADE Phase 3 program for fasedienol in SAD, the Company may conduct additional clinical trials of fasedienol in adult and/or pediatric populations in a real-world setting over a multiple week period, with the Liebowitz Social Anxiety Scale (“</w:t>
      </w:r>
      <w:r>
        <w:rPr>
          <w:rFonts w:ascii="Arial" w:cs="Arial" w:eastAsia="Arial" w:hAnsi="Arial"/>
          <w:sz w:val="16"/>
          <w:szCs w:val="16"/>
          <w:i w:val="1"/>
          <w:iCs w:val="1"/>
          <w:color w:val="auto"/>
        </w:rPr>
        <w:t>LSAS</w:t>
      </w:r>
      <w:r>
        <w:rPr>
          <w:rFonts w:ascii="Arial" w:cs="Arial" w:eastAsia="Arial" w:hAnsi="Arial"/>
          <w:sz w:val="16"/>
          <w:szCs w:val="16"/>
          <w:color w:val="auto"/>
        </w:rPr>
        <w:t>”) for adult subjects or the LSAS-CA, which is the version of the LSAS the Company believes is suitable for use with subjects who are children or adolescents, as the primary efficacy endpoint. If conducted, these clinical trials will be part of the Company’s potential FEARLESS program for fasedienol and will be designed to build on results from a previous randomized, double-blind, placebo-controlled, Phase 2 real-world crossover clinical trial of fasedienol in SAD and exploratory efficacy observations measured by the LSAS in a large cohort of subjects in the Company’s PALISADE open label safety study. Initiation of all planned clinical trials of fasedienol remains subject to FDA feedback of the Company’s proposed study designs.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Arial" w:cs="Arial" w:eastAsia="Arial" w:hAnsi="Arial"/>
                <w:sz w:val="18"/>
                <w:szCs w:val="18"/>
                <w:b w:val="1"/>
                <w:bCs w:val="1"/>
                <w:color w:val="auto"/>
                <w:w w:val="97"/>
              </w:rPr>
              <w:t>(d) Exhibits Index</w:t>
            </w:r>
          </w:p>
        </w:tc>
        <w:tc>
          <w:tcPr>
            <w:tcW w:w="220" w:type="dxa"/>
            <w:vAlign w:val="bottom"/>
          </w:tcPr>
          <w:p>
            <w:pPr>
              <w:spacing w:after="0"/>
              <w:rPr>
                <w:sz w:val="20"/>
                <w:szCs w:val="20"/>
                <w:color w:val="auto"/>
              </w:rPr>
            </w:pPr>
          </w:p>
        </w:tc>
        <w:tc>
          <w:tcPr>
            <w:tcW w:w="9540" w:type="dxa"/>
            <w:vAlign w:val="bottom"/>
          </w:tcPr>
          <w:p>
            <w:pPr>
              <w:spacing w:after="0"/>
              <w:rPr>
                <w:sz w:val="20"/>
                <w:szCs w:val="20"/>
                <w:color w:val="auto"/>
              </w:rPr>
            </w:pPr>
          </w:p>
        </w:tc>
      </w:tr>
      <w:tr>
        <w:trPr>
          <w:trHeight w:val="43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4"/>
                <w:szCs w:val="24"/>
                <w:color w:val="auto"/>
              </w:rPr>
            </w:pPr>
          </w:p>
        </w:tc>
        <w:tc>
          <w:tcPr>
            <w:tcW w:w="9540" w:type="dxa"/>
            <w:vAlign w:val="bottom"/>
            <w:tcBorders>
              <w:bottom w:val="single" w:sz="8" w:color="auto"/>
            </w:tcBorders>
          </w:tcPr>
          <w:p>
            <w:pPr>
              <w:ind w:left="43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480" w:type="dxa"/>
            <w:vAlign w:val="bottom"/>
          </w:tcPr>
          <w:p>
            <w:pPr>
              <w:jc w:val="right"/>
              <w:ind w:right="51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60"/>
        </w:trPr>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80" w:type="dxa"/>
            <w:vAlign w:val="bottom"/>
            <w:gridSpan w:val="2"/>
          </w:tcPr>
          <w:p>
            <w:pPr>
              <w:ind w:left="1960"/>
              <w:spacing w:after="0"/>
              <w:rPr>
                <w:sz w:val="20"/>
                <w:szCs w:val="20"/>
                <w:color w:val="auto"/>
              </w:rPr>
            </w:pPr>
            <w:r>
              <w:rPr>
                <w:rFonts w:ascii="Arial" w:cs="Arial" w:eastAsia="Arial" w:hAnsi="Arial"/>
                <w:sz w:val="18"/>
                <w:szCs w:val="18"/>
                <w:color w:val="auto"/>
              </w:rPr>
              <w:t>Vistagen Therapeutics,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October 2, 2023</w:t>
            </w:r>
          </w:p>
        </w:tc>
        <w:tc>
          <w:tcPr>
            <w:tcW w:w="7680" w:type="dxa"/>
            <w:vAlign w:val="bottom"/>
            <w:gridSpan w:val="2"/>
          </w:tcPr>
          <w:p>
            <w:pPr>
              <w:ind w:left="1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r>
      <w:tr>
        <w:trPr>
          <w:trHeight w:val="195"/>
        </w:trPr>
        <w:tc>
          <w:tcPr>
            <w:tcW w:w="35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5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2023-10-02T06:17:58Z</dcterms:created>
  <dcterms:modified xsi:type="dcterms:W3CDTF">2023-10-02T06:17:58Z</dcterms:modified>
</cp:coreProperties>
</file>