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5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252"/>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252"/>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252"/>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jc w:val="center"/>
        <w:ind w:right="-1252"/>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31" w:lineRule="exact"/>
        <w:rPr>
          <w:sz w:val="24"/>
          <w:szCs w:val="24"/>
          <w:color w:val="auto"/>
        </w:rPr>
      </w:pPr>
    </w:p>
    <w:p>
      <w:pPr>
        <w:jc w:val="center"/>
        <w:ind w:right="-1252"/>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ind w:left="152"/>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22" w:lineRule="exact"/>
        <w:rPr>
          <w:sz w:val="24"/>
          <w:szCs w:val="24"/>
          <w:color w:val="auto"/>
        </w:rPr>
      </w:pPr>
    </w:p>
    <w:p>
      <w:pPr>
        <w:ind w:left="152"/>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28" w:lineRule="exact"/>
        <w:rPr>
          <w:sz w:val="24"/>
          <w:szCs w:val="24"/>
          <w:color w:val="auto"/>
        </w:rPr>
      </w:pPr>
    </w:p>
    <w:p>
      <w:pPr>
        <w:ind w:left="152"/>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772" w:hanging="772"/>
        <w:spacing w:after="0"/>
        <w:tabs>
          <w:tab w:leader="none" w:pos="7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772" w:hanging="772"/>
        <w:spacing w:after="0"/>
        <w:tabs>
          <w:tab w:leader="none" w:pos="7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SEC Only (as permitted by Rule 14a-6(e)(2))</w:t>
      </w:r>
    </w:p>
    <w:p>
      <w:pPr>
        <w:spacing w:after="0" w:line="9" w:lineRule="exact"/>
        <w:rPr>
          <w:rFonts w:ascii="MS PGothic" w:cs="MS PGothic" w:eastAsia="MS PGothic" w:hAnsi="MS PGothic"/>
          <w:sz w:val="18"/>
          <w:szCs w:val="18"/>
          <w:color w:val="auto"/>
        </w:rPr>
      </w:pPr>
    </w:p>
    <w:p>
      <w:pPr>
        <w:ind w:left="772" w:hanging="772"/>
        <w:spacing w:after="0"/>
        <w:tabs>
          <w:tab w:leader="none" w:pos="7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772" w:hanging="772"/>
        <w:spacing w:after="0"/>
        <w:tabs>
          <w:tab w:leader="none" w:pos="77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772" w:hanging="772"/>
        <w:spacing w:after="0"/>
        <w:tabs>
          <w:tab w:leader="none" w:pos="77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14a-12</w:t>
      </w:r>
    </w:p>
    <w:p>
      <w:pPr>
        <w:spacing w:after="0" w:line="208" w:lineRule="exact"/>
        <w:rPr>
          <w:sz w:val="24"/>
          <w:szCs w:val="24"/>
          <w:color w:val="auto"/>
        </w:rPr>
      </w:pPr>
    </w:p>
    <w:p>
      <w:pPr>
        <w:jc w:val="center"/>
        <w:ind w:right="-1252"/>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4"/>
          <w:szCs w:val="24"/>
          <w:color w:val="auto"/>
        </w:rPr>
      </w:pPr>
    </w:p>
    <w:p>
      <w:pPr>
        <w:jc w:val="center"/>
        <w:ind w:right="-1252"/>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7" w:lineRule="exact"/>
        <w:rPr>
          <w:sz w:val="24"/>
          <w:szCs w:val="24"/>
          <w:color w:val="auto"/>
        </w:rPr>
      </w:pPr>
    </w:p>
    <w:p>
      <w:pPr>
        <w:ind w:left="4212"/>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4"/>
          <w:szCs w:val="24"/>
          <w:color w:val="auto"/>
        </w:rPr>
      </w:pPr>
    </w:p>
    <w:p>
      <w:pPr>
        <w:ind w:left="3092"/>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18" w:lineRule="exact"/>
        <w:rPr>
          <w:sz w:val="24"/>
          <w:szCs w:val="24"/>
          <w:color w:val="auto"/>
        </w:rPr>
      </w:pPr>
    </w:p>
    <w:p>
      <w:pPr>
        <w:ind w:left="152"/>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772" w:hanging="772"/>
        <w:spacing w:after="0"/>
        <w:tabs>
          <w:tab w:leader="none" w:pos="772"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772" w:hanging="772"/>
        <w:spacing w:after="0"/>
        <w:tabs>
          <w:tab w:leader="none" w:pos="772"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772" w:hanging="772"/>
        <w:spacing w:after="0"/>
        <w:tabs>
          <w:tab w:leader="none" w:pos="772"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219075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501650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873" w:right="1440" w:bottom="1440" w:gutter="0" w:footer="0" w:header="0"/>
        </w:sectPr>
      </w:pPr>
    </w:p>
    <w:bookmarkStart w:id="1" w:name="page2"/>
    <w:bookmarkEnd w:id="1"/>
    <w:p>
      <w:pPr>
        <w:jc w:val="cente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Vistagen Announces the Two Leading Proxy Advisory Firms, Institutional Shareholder Services and Glass Lewis, Recommend Stockholders Vote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Proposal No. 5 to Provide its Board with the Option to Implement a Future Reverse Stock Split, if Necessary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SOUTH SAN FRANCISCO, Calif. (BUSINESS WIRE) October 6, 2022—Vistagen Therapeutics, Inc. (Nasdaq: VTGN) (the Company), a late clinical-stage biopharmaceutical company aiming to transform the treatment landscape for individuals living with anxiety, depression and other central nervous system (CNS) disorders, today announced that the two leading independent proxy advisory firms, Institutional Shareholder Services Inc. (ISS) and Glass Lewis &amp; Co. (Glass Lewis), have recommended that Vistagen stockholders entitled to vote at the Company’s 2022 Annual Meeting of Stockholders (the Annual Meeting)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No. 5 which, if approved, will provide the Company’s Board of Directors (the Board) with the option to implement a reverse stock split of the Company’s issued and outstanding common stock (the Reverse Split), if necessary in the future to maintain the Company’s listing on the Nasdaq Capital Market (Nasdaq).</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Stockholders are encouraged to review certain frequently asked questions and answers about the potential Reverse Split below, as well as additional information about Proposal No. 5 that is available in the Company’s definitive proxy statement filed with the Securities and Exchange Commission on August 31, 2022.</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ISS and Glass Lewis are the two leading independent, third-party proxy advisory and corporate governance firms that provide proxy voting recommendations to pension funds, investment managers, mutual funds and other institutional stockholders throughout North America.</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pleased that both ISS and Glass Lewis, the leading independent proxy advisory firms, support our Board’s recommendation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No. 5,” said Shawn Singh, Chief Executive Officer of Vistagen. “Each stockholder’s vote is important, so we strongly encourage each investor to follow the recommendations of ISS and Glass Lewis and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No. 5 as promptly as possible. Approval of Proposal No. 5 will provide the flexibility that will be essential should we need to utilize this tool to maintain our Nasdaq listing. Confidence in our ability maintain our Nasdaq listing will be an important complement to our ongoing efforts to enhance market awareness of the potential of our pipeline to improve the millions of lives suffering from mental illness and other CNS disorders and deliver value to our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Frequently Asked Questions and Answers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80" w:type="dxa"/>
            <w:vAlign w:val="bottom"/>
            <w:tcBorders>
              <w:top w:val="single" w:sz="8" w:color="auto"/>
              <w:bottom w:val="single" w:sz="8" w:color="auto"/>
            </w:tcBorders>
            <w:shd w:val="clear" w:color="auto" w:fill="EEECE1"/>
          </w:tcPr>
          <w:p>
            <w:pPr>
              <w:spacing w:after="0"/>
              <w:rPr>
                <w:sz w:val="20"/>
                <w:szCs w:val="20"/>
                <w:color w:val="auto"/>
              </w:rPr>
            </w:pPr>
            <w:r>
              <w:rPr>
                <w:rFonts w:ascii="Times New Roman" w:cs="Times New Roman" w:eastAsia="Times New Roman" w:hAnsi="Times New Roman"/>
                <w:sz w:val="18"/>
                <w:szCs w:val="18"/>
                <w:b w:val="1"/>
                <w:bCs w:val="1"/>
                <w:color w:val="auto"/>
              </w:rPr>
              <w:t>Question</w:t>
            </w:r>
          </w:p>
        </w:tc>
        <w:tc>
          <w:tcPr>
            <w:tcW w:w="8260" w:type="dxa"/>
            <w:vAlign w:val="bottom"/>
            <w:tcBorders>
              <w:top w:val="single" w:sz="8" w:color="auto"/>
              <w:bottom w:val="single" w:sz="8" w:color="auto"/>
            </w:tcBorders>
            <w:gridSpan w:val="3"/>
            <w:shd w:val="clear" w:color="auto" w:fill="EEECE1"/>
          </w:tcPr>
          <w:p>
            <w:pPr>
              <w:ind w:left="520"/>
              <w:spacing w:after="0"/>
              <w:rPr>
                <w:sz w:val="20"/>
                <w:szCs w:val="20"/>
                <w:color w:val="auto"/>
              </w:rPr>
            </w:pPr>
            <w:r>
              <w:rPr>
                <w:rFonts w:ascii="Times New Roman" w:cs="Times New Roman" w:eastAsia="Times New Roman" w:hAnsi="Times New Roman"/>
                <w:sz w:val="18"/>
                <w:szCs w:val="18"/>
                <w:b w:val="1"/>
                <w:bCs w:val="1"/>
                <w:color w:val="auto"/>
              </w:rPr>
              <w:t>Answer</w:t>
            </w:r>
          </w:p>
        </w:tc>
      </w:tr>
      <w:tr>
        <w:trPr>
          <w:trHeight w:val="169"/>
        </w:trPr>
        <w:tc>
          <w:tcPr>
            <w:tcW w:w="298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If Proposal No. 5 is approved by</w:t>
            </w:r>
          </w:p>
        </w:tc>
        <w:tc>
          <w:tcPr>
            <w:tcW w:w="8260" w:type="dxa"/>
            <w:vAlign w:val="bottom"/>
            <w:gridSpan w:val="3"/>
          </w:tcPr>
          <w:p>
            <w:pPr>
              <w:ind w:left="520"/>
              <w:spacing w:after="0" w:line="169" w:lineRule="exact"/>
              <w:rPr>
                <w:sz w:val="20"/>
                <w:szCs w:val="20"/>
                <w:color w:val="auto"/>
              </w:rPr>
            </w:pPr>
            <w:r>
              <w:rPr>
                <w:rFonts w:ascii="Times New Roman" w:cs="Times New Roman" w:eastAsia="Times New Roman" w:hAnsi="Times New Roman"/>
                <w:sz w:val="18"/>
                <w:szCs w:val="18"/>
                <w:b w:val="1"/>
                <w:bCs w:val="1"/>
                <w:color w:val="auto"/>
              </w:rPr>
              <w:t xml:space="preserve">No, the Reverse Split will not be implemented immediately. </w:t>
            </w:r>
            <w:r>
              <w:rPr>
                <w:rFonts w:ascii="Times New Roman" w:cs="Times New Roman" w:eastAsia="Times New Roman" w:hAnsi="Times New Roman"/>
                <w:sz w:val="18"/>
                <w:szCs w:val="18"/>
                <w:color w:val="auto"/>
              </w:rPr>
              <w:t>If approved, Proposal No. 5 provides our</w:t>
            </w:r>
          </w:p>
        </w:tc>
      </w:tr>
      <w:tr>
        <w:trPr>
          <w:trHeight w:val="20"/>
        </w:trPr>
        <w:tc>
          <w:tcPr>
            <w:tcW w:w="2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tabs>
          <w:tab w:leader="none" w:pos="3480" w:val="left"/>
        </w:tabs>
        <w:rPr>
          <w:sz w:val="20"/>
          <w:szCs w:val="20"/>
          <w:color w:val="auto"/>
        </w:rPr>
      </w:pPr>
      <w:r>
        <w:rPr>
          <w:rFonts w:ascii="Times New Roman" w:cs="Times New Roman" w:eastAsia="Times New Roman" w:hAnsi="Times New Roman"/>
          <w:sz w:val="18"/>
          <w:szCs w:val="18"/>
          <w:b w:val="1"/>
          <w:bCs w:val="1"/>
          <w:color w:val="auto"/>
        </w:rPr>
        <w:t>stockholders at the Annual Meeting, will a</w:t>
      </w:r>
      <w:r>
        <w:rPr>
          <w:sz w:val="20"/>
          <w:szCs w:val="20"/>
          <w:color w:val="auto"/>
        </w:rPr>
        <w:tab/>
      </w:r>
      <w:r>
        <w:rPr>
          <w:rFonts w:ascii="Times New Roman" w:cs="Times New Roman" w:eastAsia="Times New Roman" w:hAnsi="Times New Roman"/>
          <w:sz w:val="17"/>
          <w:szCs w:val="17"/>
          <w:color w:val="auto"/>
        </w:rPr>
        <w:t>Board with the option, but not the obligation, to implement a Reverse Split within the next 12 months, if,</w:t>
      </w:r>
    </w:p>
    <w:p>
      <w:pPr>
        <w:spacing w:after="0" w:line="31" w:lineRule="exact"/>
        <w:rPr>
          <w:sz w:val="20"/>
          <w:szCs w:val="20"/>
          <w:color w:val="auto"/>
        </w:rPr>
      </w:pPr>
    </w:p>
    <w:p>
      <w:pPr>
        <w:spacing w:after="0"/>
        <w:tabs>
          <w:tab w:leader="none" w:pos="3480" w:val="left"/>
        </w:tabs>
        <w:rPr>
          <w:sz w:val="20"/>
          <w:szCs w:val="20"/>
          <w:color w:val="auto"/>
        </w:rPr>
      </w:pPr>
      <w:r>
        <w:rPr>
          <w:rFonts w:ascii="Times New Roman" w:cs="Times New Roman" w:eastAsia="Times New Roman" w:hAnsi="Times New Roman"/>
          <w:sz w:val="18"/>
          <w:szCs w:val="18"/>
          <w:b w:val="1"/>
          <w:bCs w:val="1"/>
          <w:color w:val="auto"/>
        </w:rPr>
        <w:t>Reverse Split be implemented</w:t>
      </w:r>
      <w:r>
        <w:rPr>
          <w:sz w:val="20"/>
          <w:szCs w:val="20"/>
          <w:color w:val="auto"/>
        </w:rPr>
        <w:tab/>
      </w:r>
      <w:r>
        <w:rPr>
          <w:rFonts w:ascii="Times New Roman" w:cs="Times New Roman" w:eastAsia="Times New Roman" w:hAnsi="Times New Roman"/>
          <w:sz w:val="18"/>
          <w:szCs w:val="18"/>
          <w:color w:val="auto"/>
        </w:rPr>
        <w:t>for example, it is needed to maintain our Nasdaq listing. Proposal No. 5 does not require our Board to</w:t>
      </w:r>
    </w:p>
    <w:p>
      <w:pPr>
        <w:spacing w:after="0" w:line="9" w:lineRule="exact"/>
        <w:rPr>
          <w:sz w:val="20"/>
          <w:szCs w:val="20"/>
          <w:color w:val="auto"/>
        </w:rPr>
      </w:pPr>
    </w:p>
    <w:p>
      <w:pPr>
        <w:spacing w:after="0"/>
        <w:tabs>
          <w:tab w:leader="none" w:pos="3480" w:val="left"/>
        </w:tabs>
        <w:rPr>
          <w:sz w:val="20"/>
          <w:szCs w:val="20"/>
          <w:color w:val="auto"/>
        </w:rPr>
      </w:pPr>
      <w:r>
        <w:rPr>
          <w:rFonts w:ascii="Times New Roman" w:cs="Times New Roman" w:eastAsia="Times New Roman" w:hAnsi="Times New Roman"/>
          <w:sz w:val="18"/>
          <w:szCs w:val="18"/>
          <w:b w:val="1"/>
          <w:bCs w:val="1"/>
          <w:color w:val="auto"/>
        </w:rPr>
        <w:t>immediately?</w:t>
      </w:r>
      <w:r>
        <w:rPr>
          <w:sz w:val="20"/>
          <w:szCs w:val="20"/>
          <w:color w:val="auto"/>
        </w:rPr>
        <w:tab/>
      </w:r>
      <w:r>
        <w:rPr>
          <w:rFonts w:ascii="Times New Roman" w:cs="Times New Roman" w:eastAsia="Times New Roman" w:hAnsi="Times New Roman"/>
          <w:sz w:val="18"/>
          <w:szCs w:val="18"/>
          <w:color w:val="auto"/>
        </w:rPr>
        <w:t>implement the Reverse Split.</w:t>
      </w:r>
    </w:p>
    <w:p>
      <w:pPr>
        <w:spacing w:after="0" w:line="207" w:lineRule="exact"/>
        <w:rPr>
          <w:sz w:val="20"/>
          <w:szCs w:val="20"/>
          <w:color w:val="auto"/>
        </w:rPr>
      </w:pPr>
    </w:p>
    <w:p>
      <w:pPr>
        <w:ind w:left="3500" w:right="20"/>
        <w:spacing w:after="0" w:line="261" w:lineRule="auto"/>
        <w:rPr>
          <w:sz w:val="20"/>
          <w:szCs w:val="20"/>
          <w:color w:val="auto"/>
        </w:rPr>
      </w:pPr>
      <w:r>
        <w:rPr>
          <w:rFonts w:ascii="Times New Roman" w:cs="Times New Roman" w:eastAsia="Times New Roman" w:hAnsi="Times New Roman"/>
          <w:sz w:val="18"/>
          <w:szCs w:val="18"/>
          <w:color w:val="auto"/>
        </w:rPr>
        <w:t>If Proposal No. 5 is approved at the Annual Meeting, and it becomes necessary and advisable to implement a Reverse Split to maintain our Nasdaq listing, our Board will carefully assess many factors, including timing, Company operations and market conditions to select a time for a Reverse Split that is most advantageous for the Company and its stockholders.</w:t>
      </w:r>
    </w:p>
    <w:p>
      <w:pPr>
        <w:sectPr>
          <w:pgSz w:w="11900" w:h="16838" w:orient="portrait"/>
          <w:cols w:equalWidth="0" w:num="1">
            <w:col w:w="11240"/>
          </w:cols>
          <w:pgMar w:left="320" w:top="783" w:right="339" w:bottom="433" w:gutter="0" w:footer="0" w:header="0"/>
        </w:sectPr>
      </w:pPr>
    </w:p>
    <w:p>
      <w:pPr>
        <w:spacing w:after="0" w:line="18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What will happen to Vistagen if Proposal No. 5 does not pass?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Nasdaq requires that a listed company maintain a minimum bid price of $1.00 per share. Vistagen is requesting approval from its stockholders to have the option to implement a Reverse Split if it becomes necessary to increase the per share price and bid price of the Company’s common stock in order to regain compliance with the $1.00 minimum bid price requirement of Nasdaq and maintain its Nasdaq listing. Additionally, a reverse stock split that increases the price of the Company’s common stock has the potential to make the Company’s common stock more attractive and accessible to certain institutional investors and private wealth managers, which could enhance liquidity and provide for a stronger investor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-984885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Board and the two leading proxy advisory firms, ISS and Glass Lewis, believe it is in the best interest of all Vistagen stockholders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No. 5.</w:t>
      </w:r>
    </w:p>
    <w:p>
      <w:pPr>
        <w:spacing w:after="0" w:line="171" w:lineRule="exact"/>
        <w:rPr>
          <w:sz w:val="20"/>
          <w:szCs w:val="20"/>
          <w:color w:val="auto"/>
        </w:rPr>
      </w:pPr>
    </w:p>
    <w:p>
      <w:pPr>
        <w:sectPr>
          <w:pgSz w:w="11900" w:h="16838" w:orient="portrait"/>
          <w:cols w:equalWidth="0" w:num="2">
            <w:col w:w="3160" w:space="340"/>
            <w:col w:w="7740"/>
          </w:cols>
          <w:pgMar w:left="320" w:top="783" w:right="339" w:bottom="433"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What happens if I don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 vote?</w:t>
      </w:r>
    </w:p>
    <w:p>
      <w:pPr>
        <w:spacing w:after="0" w:line="20" w:lineRule="exact"/>
        <w:rPr>
          <w:sz w:val="20"/>
          <w:szCs w:val="20"/>
          <w:color w:val="auto"/>
        </w:rPr>
      </w:pPr>
      <w:r>
        <w:rPr>
          <w:sz w:val="20"/>
          <w:szCs w:val="20"/>
          <w:color w:val="auto"/>
        </w:rPr>
        <w:br w:type="column"/>
      </w:r>
    </w:p>
    <w:p>
      <w:pPr>
        <w:ind w:right="140"/>
        <w:spacing w:after="0" w:line="266" w:lineRule="auto"/>
        <w:rPr>
          <w:sz w:val="20"/>
          <w:szCs w:val="20"/>
          <w:color w:val="auto"/>
        </w:rPr>
      </w:pPr>
      <w:r>
        <w:rPr>
          <w:rFonts w:ascii="Times New Roman" w:cs="Times New Roman" w:eastAsia="Times New Roman" w:hAnsi="Times New Roman"/>
          <w:sz w:val="18"/>
          <w:szCs w:val="18"/>
          <w:color w:val="auto"/>
        </w:rPr>
        <w:t>If you don’t vote, or if you abstain, it may count the same as a vote AGAINST Proposal No. 5. Therefore, we strongly encourage each investor to follow the recommendations of ISS and Glass Lewis and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Proposal No. 5 as promptly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-433070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2780" w:space="720"/>
            <w:col w:w="7740"/>
          </w:cols>
          <w:pgMar w:left="320" w:top="783" w:right="339" w:bottom="433"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Who can help me vote?</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Our proxy solicitor, Saratoga Proxy Consulting, can assist you with voting your shares and any questions you may have – please see below for their contact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-305435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2780" w:space="720"/>
            <w:col w:w="7740"/>
          </w:cols>
          <w:pgMar w:left="320" w:top="783" w:right="339" w:bottom="433"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If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 already voted</w:t>
            </w:r>
          </w:p>
        </w:tc>
        <w:tc>
          <w:tcPr>
            <w:tcW w:w="78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If you previously submitted a proxy and voted AGAINST Proposal No. 5, you may still revoke your</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 No. 5, can I still</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previously submitted proxy and reclaim your right to vote at any time before 11:59 p.m. Eastern Time on</w:t>
            </w:r>
          </w:p>
        </w:tc>
      </w:tr>
      <w:tr>
        <w:trPr>
          <w:trHeight w:val="220"/>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change my vote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Proposal No. 5?</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October 13, 2022 by submitting a later-dated proxy card, vote instruction form, submitting your vote online</w:t>
            </w:r>
          </w:p>
        </w:tc>
      </w:tr>
      <w:tr>
        <w:trPr>
          <w:trHeight w:val="212"/>
        </w:trPr>
        <w:tc>
          <w:tcPr>
            <w:tcW w:w="3360" w:type="dxa"/>
            <w:vAlign w:val="bottom"/>
          </w:tcPr>
          <w:p>
            <w:pPr>
              <w:spacing w:after="0"/>
              <w:rPr>
                <w:sz w:val="18"/>
                <w:szCs w:val="18"/>
                <w:color w:val="auto"/>
              </w:rPr>
            </w:pP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 by voting in person at the Annual Meeting. Only your most current proxy card or Internet proxy will be</w:t>
            </w:r>
          </w:p>
        </w:tc>
      </w:tr>
      <w:tr>
        <w:trPr>
          <w:trHeight w:val="238"/>
        </w:trPr>
        <w:tc>
          <w:tcPr>
            <w:tcW w:w="3360" w:type="dxa"/>
            <w:vAlign w:val="bottom"/>
          </w:tcPr>
          <w:p>
            <w:pPr>
              <w:spacing w:after="0"/>
              <w:rPr>
                <w:sz w:val="20"/>
                <w:szCs w:val="20"/>
                <w:color w:val="auto"/>
              </w:rPr>
            </w:pP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counted. </w:t>
            </w:r>
            <w:r>
              <w:rPr>
                <w:rFonts w:ascii="Times New Roman" w:cs="Times New Roman" w:eastAsia="Times New Roman" w:hAnsi="Times New Roman"/>
                <w:sz w:val="18"/>
                <w:szCs w:val="18"/>
                <w:b w:val="1"/>
                <w:bCs w:val="1"/>
                <w:color w:val="auto"/>
              </w:rPr>
              <w:t>Your vote is important, so please act today!</w:t>
            </w:r>
          </w:p>
        </w:tc>
      </w:tr>
      <w:tr>
        <w:trPr>
          <w:trHeight w:val="414"/>
        </w:trPr>
        <w:tc>
          <w:tcPr>
            <w:tcW w:w="3360" w:type="dxa"/>
            <w:vAlign w:val="bottom"/>
          </w:tcPr>
          <w:p>
            <w:pPr>
              <w:spacing w:after="0"/>
              <w:rPr>
                <w:sz w:val="24"/>
                <w:szCs w:val="24"/>
                <w:color w:val="auto"/>
              </w:rPr>
            </w:pP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Our proxy solicitor, Saratoga Proxy Consulting, can assist in this process as well – please see below for</w:t>
            </w:r>
          </w:p>
        </w:tc>
      </w:tr>
      <w:tr>
        <w:trPr>
          <w:trHeight w:val="234"/>
        </w:trPr>
        <w:tc>
          <w:tcPr>
            <w:tcW w:w="3360" w:type="dxa"/>
            <w:vAlign w:val="bottom"/>
          </w:tcPr>
          <w:p>
            <w:pPr>
              <w:spacing w:after="0"/>
              <w:rPr>
                <w:sz w:val="20"/>
                <w:szCs w:val="20"/>
                <w:color w:val="auto"/>
              </w:rPr>
            </w:pP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their contact information.</w:t>
            </w:r>
          </w:p>
        </w:tc>
      </w:tr>
      <w:tr>
        <w:trPr>
          <w:trHeight w:val="216"/>
        </w:trPr>
        <w:tc>
          <w:tcPr>
            <w:tcW w:w="3360" w:type="dxa"/>
            <w:vAlign w:val="bottom"/>
            <w:tcBorders>
              <w:bottom w:val="single" w:sz="8" w:color="auto"/>
            </w:tcBorders>
          </w:tcPr>
          <w:p>
            <w:pPr>
              <w:spacing w:after="0"/>
              <w:rPr>
                <w:sz w:val="18"/>
                <w:szCs w:val="18"/>
                <w:color w:val="auto"/>
              </w:rPr>
            </w:pPr>
          </w:p>
        </w:tc>
        <w:tc>
          <w:tcPr>
            <w:tcW w:w="7880" w:type="dxa"/>
            <w:vAlign w:val="bottom"/>
            <w:tcBorders>
              <w:bottom w:val="single" w:sz="8" w:color="auto"/>
            </w:tcBorders>
          </w:tcPr>
          <w:p>
            <w:pPr>
              <w:spacing w:after="0"/>
              <w:rPr>
                <w:sz w:val="18"/>
                <w:szCs w:val="18"/>
                <w:color w:val="auto"/>
              </w:rPr>
            </w:pPr>
          </w:p>
        </w:tc>
      </w:tr>
      <w:tr>
        <w:trPr>
          <w:trHeight w:val="567"/>
        </w:trPr>
        <w:tc>
          <w:tcPr>
            <w:tcW w:w="336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3" w:right="339" w:bottom="433" w:gutter="0" w:footer="0" w:header="0"/>
          <w:type w:val="continuous"/>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t xml:space="preserve">The Company’s 2022 Annual Meeting of Stockholders will be held on Friday, October 14, 2022 at 10:00 a.m. Pacific Time. Vistagen stockholders as of August 16, 2022, the record date for the Annual Meeting, may access all materials related to the Annual Meeting, including the Company’s definitive proxy statement, by visiting: </w:t>
      </w:r>
      <w:r>
        <w:rPr>
          <w:rFonts w:ascii="Times New Roman" w:cs="Times New Roman" w:eastAsia="Times New Roman" w:hAnsi="Times New Roman"/>
          <w:sz w:val="18"/>
          <w:szCs w:val="18"/>
          <w:b w:val="1"/>
          <w:bCs w:val="1"/>
          <w:color w:val="auto"/>
        </w:rPr>
        <w:t>http://www.envisionreports.com/VTGN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deadline for stockholders to vote (or change their vote) is 11:59 p.m. Eastern Time on Thursday, October 13,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Questions and Voting Assistance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engaged Saratoga Proxy Consulting to act as its proxy solicitation agent in connection with the proxy voting for the Annual Meeting. Vistagen stockholders that have any questions or need assistance in voting their shares should contact the Company’s proxy solicitation agent, Saratoga Proxy Consulting, at (212) 257-1311 or (888) 368-0379 or by email at info</w:t>
      </w:r>
      <w:r>
        <w:rPr>
          <w:rFonts w:ascii="Times New Roman" w:cs="Times New Roman" w:eastAsia="Times New Roman" w:hAnsi="Times New Roman"/>
          <w:sz w:val="18"/>
          <w:szCs w:val="18"/>
          <w:u w:val="single" w:color="auto"/>
          <w:color w:val="auto"/>
        </w:rPr>
        <w:t>@saratogaproxy.com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are strongly encouraged to read the proxy materials that were filed with the United States Securities and Exchange Commission. ISS and Glass Lewis are independent proxy advisory firms and do not have any business or other relationship with Vistagen. Vistagen did not engage or compensate either firm for their analysis or recommendations.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Vistagen (Nasdaq: VTGN) is a late clinical-stage biopharmaceutical company aiming to transform the treatment landscape for individuals living with anxiety, depression and other CNS disorders. The Company is advancing therapeutics with the potential to be faster-acting, and with fewer side effects and safety concerns, than those that are currently available. PH94B and PH10 belong to a new class of drugs known as pherines, which are odorless and tasteless investigational neuroactive steroid nasal sprays designed with a novel rapid-onset mechanism of action that activates chemosensory neurons in the nasal passages and can impact the olfactory-amygdala neural circuits without systemic uptake or direct activity on CNS neurons in the brain. VistaGen is passionate about transforming mental health care and redefining what is possible in the treatment of anxiety and depression. Connect at www.Vistagen.com.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These risks are fully discussed in the section entitled "Risk Factors" in the Company’s most recent Annual Report on Form 10-K for the fiscal year ended March 31, 2022 and in the Company’s most recent Quarterly Report on Form 10-Q for the quarter ended June 30, 2022, as well as discussions of potential risks, uncertainties, and other important factors in our other filings with the U.S. Securities and Exchange Commission (SEC). The Company’s SEC filings are available on the SEC’s website at www.sec.gov. You should not place undue reliance on these forward-looking statements, which apply only as of the date of this press release and should not be relied upon as representing the Company’s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Annual Meeting described above, the Company filed a definitive proxy statement (Proxy Statement) with the Securities and Exchange Commission on August 31, 2022. This press release does not contain all the information that should be considered concerning the matters to be considered at the Annual Meeting, including the reverse stock split authorization presented in Proposal No. 5, and is not intended to form the basis of any investment decision or any other decision in respect of such matters. The Company’s stockholders and other interested persons are advised to read the Proxy Statement and other documents filed in connection with the Annual Meeting, as these materials contain important information about the Company and the proposals to be considered at the Annual Meeting. The Company’s stockholders may also obtain copies of the Proxy Statement and other documents filed with the Commission, without charge, at the Commission’s website at www.sec.gov, or by directing a request to the Company’s corporate secretary c/o Vistagen Therapeutics, Inc., 343 Allerton Avenue, 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its directors and executive officers may be deemed participants in the solicitation of proxies from the Company’s stockholders with respect to the proposals to be considered at the Annual Meeting. A list of the names of those directors and executive officers and a description of their interests in the Company is contained in the Company’s definitive Proxy Statement for the Annual Meeting, which was filed with the SEC and is available free of charge at the SEC’s web site at www.sec.gov, as well as any proxy supplement or amendments thereto. To the extent such holdings of the Company’s securities may have changed since that time, such changes have been or will be reflected on Statements of Change in Ownership on Form 4 filed with the SEC, to the extent required by applicable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Flather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ind w:right="9500" w:firstLine="8"/>
        <w:spacing w:after="0" w:line="260" w:lineRule="auto"/>
        <w:tabs>
          <w:tab w:leader="none" w:pos="4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577-3617 mflather@vistagen.com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Nate Hitchings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SKDK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nhitchings@skdknick.com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you have any questions or need assistance voting your shares, please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Saratoga Proxy Consulting LLC</w:t>
      </w:r>
    </w:p>
    <w:p>
      <w:pPr>
        <w:spacing w:after="0" w:line="27"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257-1311</w:t>
      </w:r>
    </w:p>
    <w:p>
      <w:pPr>
        <w:spacing w:after="0" w:line="9" w:lineRule="exact"/>
        <w:rPr>
          <w:rFonts w:ascii="Times New Roman" w:cs="Times New Roman" w:eastAsia="Times New Roman" w:hAnsi="Times New Roman"/>
          <w:sz w:val="18"/>
          <w:szCs w:val="18"/>
          <w:color w:val="auto"/>
        </w:rPr>
      </w:pPr>
    </w:p>
    <w:p>
      <w:pPr>
        <w:ind w:right="9420" w:firstLine="8"/>
        <w:spacing w:after="0" w:line="290" w:lineRule="auto"/>
        <w:tabs>
          <w:tab w:leader="none" w:pos="4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368-0379 info@saratogaproxy.com</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650"/>
    </w:lvl>
  </w:abstractNum>
  <w:abstractNum w:abstractNumId="6">
    <w:nsid w:val="79E2A9E3"/>
    <w:multiLevelType w:val="hybridMultilevel"/>
    <w:lvl w:ilvl="0">
      <w:lvlJc w:val="left"/>
      <w:lvlText w:val="(%1)"/>
      <w:numFmt w:val="decimal"/>
      <w:start w:val="212"/>
    </w:lvl>
  </w:abstractNum>
  <w:abstractNum w:abstractNumId="7">
    <w:nsid w:val="7545E146"/>
    <w:multiLevelType w:val="hybridMultilevel"/>
    <w:lvl w:ilvl="0">
      <w:lvlJc w:val="left"/>
      <w:lvlText w:val="(%1)"/>
      <w:numFmt w:val="decimal"/>
      <w:start w:val="88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2022-10-06T16:23:51Z</dcterms:created>
  <dcterms:modified xsi:type="dcterms:W3CDTF">2022-10-06T16:23:51Z</dcterms:modified>
</cp:coreProperties>
</file>