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third (1/3rd) of the total shares shall vest one (1) year following the date of grant and 1/24th of the remaining number of shares shall vest monthly thereafter until all awarded shares are fully vested three (3) years from the date of grant.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2020-01-16T02:21:35Z</dcterms:created>
  <dcterms:modified xsi:type="dcterms:W3CDTF">2020-01-16T02:21:35Z</dcterms:modified>
</cp:coreProperties>
</file>