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tabs>
          <w:tab w:leader="none" w:pos="3120" w:val="left"/>
        </w:tabs>
        <w:rPr>
          <w:sz w:val="20"/>
          <w:szCs w:val="20"/>
          <w:color w:val="auto"/>
        </w:rPr>
      </w:pPr>
      <w:r>
        <w:rPr>
          <w:rFonts w:ascii="Arial" w:cs="Arial" w:eastAsia="Arial" w:hAnsi="Arial"/>
          <w:sz w:val="16"/>
          <w:szCs w:val="16"/>
          <w:color w:val="auto"/>
        </w:rPr>
        <w:t>Filed by a Party other than the Registrant [</w:t>
      </w:r>
      <w:r>
        <w:rPr>
          <w:sz w:val="20"/>
          <w:szCs w:val="20"/>
          <w:color w:val="auto"/>
        </w:rPr>
        <w:tab/>
      </w:r>
      <w:r>
        <w:rPr>
          <w:rFonts w:ascii="Arial" w:cs="Arial" w:eastAsia="Arial" w:hAnsi="Arial"/>
          <w:sz w:val="18"/>
          <w:szCs w:val="18"/>
          <w:color w:val="auto"/>
        </w:rPr>
        <w: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180" w:val="left"/>
          <w:tab w:leader="none" w:pos="5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Preliminary Proxy Statement</w:t>
      </w:r>
    </w:p>
    <w:p>
      <w:pPr>
        <w:spacing w:after="0" w:line="15"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for Use of the SEC Only (as permitted by Rule 14a-6(e)(2))</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Proxy Statement</w:t>
      </w:r>
    </w:p>
    <w:p>
      <w:pPr>
        <w:spacing w:after="0" w:line="9"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tabs>
          <w:tab w:leader="none" w:pos="180" w:val="left"/>
          <w:tab w:leader="none" w:pos="5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Soliciting Material Pursuant to 14a-12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spacing w:after="0"/>
        <w:tabs>
          <w:tab w:leader="none" w:pos="180" w:val="left"/>
          <w:tab w:leader="none" w:pos="4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Fee computed on table below per Exchange Act Rules 14a-6(i)(4) and 0-11.</w:t>
      </w:r>
    </w:p>
    <w:p>
      <w:pPr>
        <w:spacing w:after="0" w:line="225" w:lineRule="exact"/>
        <w:rPr>
          <w:sz w:val="24"/>
          <w:szCs w:val="24"/>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46" w:lineRule="exact"/>
        <w:rPr>
          <w:sz w:val="24"/>
          <w:szCs w:val="24"/>
          <w:color w:val="auto"/>
        </w:rPr>
      </w:pPr>
    </w:p>
    <w:p>
      <w:pPr>
        <w:spacing w:after="0"/>
        <w:tabs>
          <w:tab w:leader="none" w:pos="180" w:val="left"/>
          <w:tab w:leader="none" w:pos="4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Fee paid previously with preliminary materials.</w:t>
      </w:r>
    </w:p>
    <w:p>
      <w:pPr>
        <w:spacing w:after="0" w:line="36" w:lineRule="exact"/>
        <w:rPr>
          <w:sz w:val="24"/>
          <w:szCs w:val="24"/>
          <w:color w:val="auto"/>
        </w:rPr>
      </w:pPr>
    </w:p>
    <w:p>
      <w:pPr>
        <w:ind w:firstLine="8"/>
        <w:spacing w:after="0" w:line="268" w:lineRule="auto"/>
        <w:tabs>
          <w:tab w:leader="none" w:pos="241" w:val="left"/>
        </w:tabs>
        <w:numPr>
          <w:ilvl w:val="0"/>
          <w:numId w:val="5"/>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sz w:val="24"/>
          <w:szCs w:val="24"/>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684530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112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284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2842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24"/>
    </w:lvl>
  </w:abstractNum>
  <w:abstractNum w:abstractNumId="2">
    <w:nsid w:val="238E1F29"/>
    <w:multiLevelType w:val="hybridMultilevel"/>
    <w:lvl w:ilvl="0">
      <w:lvlJc w:val="left"/>
      <w:lvlText w:val="[%1]"/>
      <w:numFmt w:val="upperLetter"/>
      <w:start w:val="24"/>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2020-01-17T23:16:16Z</dcterms:created>
  <dcterms:modified xsi:type="dcterms:W3CDTF">2020-01-17T23:16:16Z</dcterms:modified>
</cp:coreProperties>
</file>