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333-237514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168910</wp:posOffset>
            </wp:positionV>
            <wp:extent cx="1362710" cy="951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9,592,607 Shares of Common Stock</w:t>
      </w:r>
    </w:p>
    <w:p>
      <w:pPr>
        <w:spacing w:after="0" w:line="231"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prospectus relates to the offer and sale of up to 9,592,607 shares of common stock, par value $0.001, of VistaGen Therapeutics, Inc., a Nevada corporation, by Lincoln Park Capital Fund, LLC (</w:t>
      </w:r>
      <w:r>
        <w:rPr>
          <w:rFonts w:ascii="Arial" w:cs="Arial" w:eastAsia="Arial" w:hAnsi="Arial"/>
          <w:sz w:val="18"/>
          <w:szCs w:val="18"/>
          <w:i w:val="1"/>
          <w:iCs w:val="1"/>
          <w:color w:val="auto"/>
        </w:rPr>
        <w:t>Lincoln Park</w:t>
      </w:r>
      <w:r>
        <w:rPr>
          <w:rFonts w:ascii="Arial" w:cs="Arial" w:eastAsia="Arial" w:hAnsi="Arial"/>
          <w:sz w:val="18"/>
          <w:szCs w:val="18"/>
          <w:color w:val="auto"/>
        </w:rPr>
        <w:t>) or the selling stockholder.</w:t>
      </w:r>
    </w:p>
    <w:p>
      <w:pPr>
        <w:spacing w:after="0" w:line="186"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shares of common stock being offered by the selling stockholder have been or may be issued pursuant to a purchase agreement that we entered into with Lincoln Park on March 24, 2020. See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xml:space="preserve"> for a description of that agreement and </w:t>
      </w:r>
      <w:r>
        <w:rPr>
          <w:rFonts w:ascii="Arial" w:cs="Arial" w:eastAsia="Arial" w:hAnsi="Arial"/>
          <w:sz w:val="18"/>
          <w:szCs w:val="18"/>
          <w:i w:val="1"/>
          <w:iCs w:val="1"/>
          <w:color w:val="auto"/>
        </w:rPr>
        <w:t>Selling Stockholder</w:t>
      </w:r>
      <w:r>
        <w:rPr>
          <w:rFonts w:ascii="Arial" w:cs="Arial" w:eastAsia="Arial" w:hAnsi="Arial"/>
          <w:sz w:val="18"/>
          <w:szCs w:val="18"/>
          <w:color w:val="auto"/>
        </w:rPr>
        <w:t xml:space="preserve"> for additional information regarding Lincoln Park. The prices at which Lincoln Park may sell the shares will be determined by the prevailing market price for the shares or in negotiated transactions.</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4"/>
          <w:szCs w:val="24"/>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selling stockholder may sell the shares of common stock described in this prospectus in a number of different ways and at varying prices. See </w:t>
      </w:r>
      <w:r>
        <w:rPr>
          <w:rFonts w:ascii="Arial" w:cs="Arial" w:eastAsia="Arial" w:hAnsi="Arial"/>
          <w:sz w:val="16"/>
          <w:szCs w:val="16"/>
          <w:i w:val="1"/>
          <w:iCs w:val="1"/>
          <w:color w:val="auto"/>
        </w:rPr>
        <w:t xml:space="preserve">Plan of Distribution </w:t>
      </w:r>
      <w:r>
        <w:rPr>
          <w:rFonts w:ascii="Arial" w:cs="Arial" w:eastAsia="Arial" w:hAnsi="Arial"/>
          <w:sz w:val="16"/>
          <w:szCs w:val="16"/>
          <w:color w:val="auto"/>
        </w:rPr>
        <w:t>for more information about how the selling stockholder may sell the shares of common stock being registered pursuant to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selling stockholder is an “underwriter” within the meaning of Section 2(a)(11)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t>
      </w:r>
    </w:p>
    <w:p>
      <w:pPr>
        <w:spacing w:after="0" w:line="160" w:lineRule="exact"/>
        <w:rPr>
          <w:sz w:val="24"/>
          <w:szCs w:val="24"/>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 xml:space="preserve">The selling stockholder will pay all brokerage fees and commissions and similar expenses. We will pay the expenses (except brokerage fees and commissions and similar expenses) incurred in registering the shares, including legal and accounting fees.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41"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April 9, 2020, the last reported sale price of our common stock on The Nasdaq Capital Market was $0.4501 per share.</w:t>
      </w:r>
    </w:p>
    <w:p>
      <w:pPr>
        <w:spacing w:after="0" w:line="186" w:lineRule="exact"/>
        <w:rPr>
          <w:sz w:val="24"/>
          <w:szCs w:val="24"/>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4"/>
          <w:szCs w:val="24"/>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April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58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19"/>
                <w:szCs w:val="19"/>
                <w:color w:val="auto"/>
              </w:rPr>
            </w:pPr>
          </w:p>
        </w:tc>
      </w:tr>
      <w:tr>
        <w:trPr>
          <w:trHeight w:val="218"/>
        </w:trPr>
        <w:tc>
          <w:tcPr>
            <w:tcW w:w="85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1</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6</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INCORPORATION BY REFERENCE</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9</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CAUTIONARY NOTE REGARDING FORWARD-LOOKING STATEMENTS</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10</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11</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DIVIDEND POLICY</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12</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SELLING STOCKHOLDER</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13</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LINCOLN PARK TRANSACTION</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14</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PLAN OF DISTRIBUTION</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18</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CAPITAL STOCK</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19</w:t>
            </w:r>
          </w:p>
        </w:tc>
      </w:tr>
      <w:tr>
        <w:trPr>
          <w:trHeight w:val="243"/>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COMPENSATION</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21</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BOARD OF DIRECTORS</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31</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MATTERS</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38</w:t>
            </w:r>
          </w:p>
        </w:tc>
      </w:tr>
      <w:tr>
        <w:trPr>
          <w:trHeight w:val="216"/>
        </w:trPr>
        <w:tc>
          <w:tcPr>
            <w:tcW w:w="85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EXPERTS</w:t>
              </w:r>
            </w:hyperlink>
          </w:p>
        </w:tc>
        <w:tc>
          <w:tcPr>
            <w:tcW w:w="2660" w:type="dxa"/>
            <w:vAlign w:val="bottom"/>
          </w:tcPr>
          <w:p>
            <w:pPr>
              <w:jc w:val="center"/>
              <w:ind w:left="1452"/>
              <w:spacing w:after="0"/>
              <w:rPr>
                <w:sz w:val="20"/>
                <w:szCs w:val="20"/>
                <w:color w:val="auto"/>
              </w:rPr>
            </w:pPr>
            <w:r>
              <w:rPr>
                <w:rFonts w:ascii="Arial" w:cs="Arial" w:eastAsia="Arial" w:hAnsi="Arial"/>
                <w:sz w:val="18"/>
                <w:szCs w:val="18"/>
                <w:color w:val="auto"/>
                <w:w w:val="79"/>
              </w:rPr>
              <w:t>38</w:t>
            </w:r>
          </w:p>
        </w:tc>
      </w:tr>
      <w:tr>
        <w:trPr>
          <w:trHeight w:val="216"/>
        </w:trPr>
        <w:tc>
          <w:tcPr>
            <w:tcW w:w="858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WHERE YOU CAN FIND MORE INFORMATION</w:t>
              </w:r>
            </w:hyperlink>
          </w:p>
        </w:tc>
        <w:tc>
          <w:tcPr>
            <w:tcW w:w="2660" w:type="dxa"/>
            <w:vAlign w:val="bottom"/>
            <w:shd w:val="clear" w:color="auto" w:fill="CCEEFF"/>
          </w:tcPr>
          <w:p>
            <w:pPr>
              <w:jc w:val="center"/>
              <w:ind w:left="1452"/>
              <w:spacing w:after="0"/>
              <w:rPr>
                <w:sz w:val="20"/>
                <w:szCs w:val="20"/>
                <w:color w:val="auto"/>
              </w:rPr>
            </w:pPr>
            <w:r>
              <w:rPr>
                <w:rFonts w:ascii="Arial" w:cs="Arial" w:eastAsia="Arial" w:hAnsi="Arial"/>
                <w:sz w:val="18"/>
                <w:szCs w:val="18"/>
                <w:color w:val="auto"/>
                <w:w w:val="79"/>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7980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176"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7037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6746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4"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(RM)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666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January 2020 Registered Direct Offering and Concurrent Offering of Warrants</w:t>
      </w:r>
    </w:p>
    <w:p>
      <w:pPr>
        <w:spacing w:after="0" w:line="225" w:lineRule="exact"/>
        <w:rPr>
          <w:sz w:val="20"/>
          <w:szCs w:val="20"/>
          <w:color w:val="auto"/>
        </w:rPr>
      </w:pPr>
    </w:p>
    <w:p>
      <w:pPr>
        <w:jc w:val="both"/>
        <w:ind w:left="120" w:firstLine="648"/>
        <w:spacing w:after="0" w:line="323" w:lineRule="auto"/>
        <w:rPr>
          <w:sz w:val="20"/>
          <w:szCs w:val="20"/>
          <w:color w:val="auto"/>
        </w:rPr>
      </w:pPr>
      <w:r>
        <w:rPr>
          <w:rFonts w:ascii="Arial" w:cs="Arial" w:eastAsia="Arial" w:hAnsi="Arial"/>
          <w:sz w:val="15"/>
          <w:szCs w:val="15"/>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5"/>
          <w:szCs w:val="15"/>
          <w:i w:val="1"/>
          <w:iCs w:val="1"/>
          <w:color w:val="auto"/>
        </w:rPr>
        <w:t>January</w:t>
      </w:r>
      <w:r>
        <w:rPr>
          <w:rFonts w:ascii="Arial" w:cs="Arial" w:eastAsia="Arial" w:hAnsi="Arial"/>
          <w:sz w:val="15"/>
          <w:szCs w:val="15"/>
          <w:color w:val="auto"/>
        </w:rPr>
        <w:t xml:space="preserve"> </w:t>
      </w:r>
      <w:r>
        <w:rPr>
          <w:rFonts w:ascii="Arial" w:cs="Arial" w:eastAsia="Arial" w:hAnsi="Arial"/>
          <w:sz w:val="15"/>
          <w:szCs w:val="15"/>
          <w:i w:val="1"/>
          <w:iCs w:val="1"/>
          <w:color w:val="auto"/>
        </w:rPr>
        <w:t>2020 Offering</w:t>
      </w:r>
      <w:r>
        <w:rPr>
          <w:rFonts w:ascii="Arial" w:cs="Arial" w:eastAsia="Arial" w:hAnsi="Arial"/>
          <w:sz w:val="15"/>
          <w:szCs w:val="15"/>
          <w:color w:val="auto"/>
        </w:rPr>
        <w:t>). Concurrently with the January 2020 Offering, we also commenced a private placement in which we issued and sold warrants exercisable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an aggregate of 3,870,077 unregistered shares of our common stock (the </w:t>
      </w:r>
      <w:r>
        <w:rPr>
          <w:rFonts w:ascii="Arial" w:cs="Arial" w:eastAsia="Arial" w:hAnsi="Arial"/>
          <w:sz w:val="15"/>
          <w:szCs w:val="15"/>
          <w:i w:val="1"/>
          <w:iCs w:val="1"/>
          <w:color w:val="auto"/>
        </w:rPr>
        <w:t>Warrant Shares</w:t>
      </w:r>
      <w:r>
        <w:rPr>
          <w:rFonts w:ascii="Arial" w:cs="Arial" w:eastAsia="Arial" w:hAnsi="Arial"/>
          <w:sz w:val="15"/>
          <w:szCs w:val="15"/>
          <w:color w:val="auto"/>
        </w:rPr>
        <w:t>), having an exercise price of $0.73 per Warrant Share.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Lincoln Park Purchase Agreement</w:t>
      </w:r>
    </w:p>
    <w:p>
      <w:pPr>
        <w:spacing w:after="0" w:line="231" w:lineRule="exact"/>
        <w:rPr>
          <w:sz w:val="20"/>
          <w:szCs w:val="20"/>
          <w:color w:val="auto"/>
        </w:rPr>
      </w:pPr>
    </w:p>
    <w:p>
      <w:pPr>
        <w:jc w:val="both"/>
        <w:ind w:left="120" w:firstLine="648"/>
        <w:spacing w:after="0" w:line="331" w:lineRule="auto"/>
        <w:rPr>
          <w:sz w:val="20"/>
          <w:szCs w:val="20"/>
          <w:color w:val="auto"/>
        </w:rPr>
      </w:pPr>
      <w:r>
        <w:rPr>
          <w:rFonts w:ascii="Arial" w:cs="Arial" w:eastAsia="Arial" w:hAnsi="Arial"/>
          <w:sz w:val="16"/>
          <w:szCs w:val="16"/>
          <w:color w:val="auto"/>
        </w:rPr>
        <w:t xml:space="preserve">On March 24, 2020, we entered into a purchase agreement (the </w:t>
      </w:r>
      <w:r>
        <w:rPr>
          <w:rFonts w:ascii="Arial" w:cs="Arial" w:eastAsia="Arial" w:hAnsi="Arial"/>
          <w:sz w:val="16"/>
          <w:szCs w:val="16"/>
          <w:i w:val="1"/>
          <w:iCs w:val="1"/>
          <w:color w:val="auto"/>
        </w:rPr>
        <w:t>Purchase Agreement</w:t>
      </w:r>
      <w:r>
        <w:rPr>
          <w:rFonts w:ascii="Arial" w:cs="Arial" w:eastAsia="Arial" w:hAnsi="Arial"/>
          <w:sz w:val="16"/>
          <w:szCs w:val="16"/>
          <w:color w:val="auto"/>
        </w:rPr>
        <w:t xml:space="preserve">) and a registration rights agreement (the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Lincoln Park pursuant to which Lincoln Park committed to purchase up to $10,250,000 of our common stock.</w:t>
      </w:r>
    </w:p>
    <w:p>
      <w:pPr>
        <w:spacing w:after="0" w:line="14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we have the right, but not the obligation, to sell to Lincoln Park, and Lincoln Park is obligated to purchase up to $10,250,000 of shares of our common stock. On March 24, 2020, we sold 500,000 shares of common stock to Lincoln Park under the Purchase Agreement at a price of $0.50 per share for proceeds of $250,000. Future sales of common stock under the Purchase Agreement, if any, will be subject to certain limitations, and may occur from time to time, at our sole discretion, over the 24-month period commencing on the date that a registration statement of which this prospectus forms a part, which we agreed to file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pursuant to the Registration Rights Agreement, is declared effective by the SEC and a final prospectus in connection therewith is filed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set forth in the Purchase Agreement are satisfied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After the Commencement Date, on any business day over the term of the Purchase Agreement, we have the right, in our sole discretion, to direct Lincoln Park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increases under certain circumstances as provided in the Purchase Agreement. The purchase price per share for each such Regular Purchase will be based on prevailing market prices of the Company’s common stock immediately preceding the time of sale as computed under the Purchase Agreement. In each case, Lincoln Park’s maximum commitment in any single Regular Purchase may not exceed $1,000,000. In addition to Regular Purchases, provided that we present Lincoln Park with a purchase notice for the full amount allowed for a Regular Purchase, we may also direct Lincoln Park to make </w:t>
      </w:r>
      <w:r>
        <w:rPr>
          <w:rFonts w:ascii="Arial" w:cs="Arial" w:eastAsia="Arial" w:hAnsi="Arial"/>
          <w:sz w:val="16"/>
          <w:szCs w:val="16"/>
          <w:color w:val="212529"/>
        </w:rPr>
        <w:t>accelerated purchases and additional accelerated purchases</w:t>
      </w:r>
      <w:r>
        <w:rPr>
          <w:rFonts w:ascii="Arial" w:cs="Arial" w:eastAsia="Arial" w:hAnsi="Arial"/>
          <w:sz w:val="16"/>
          <w:szCs w:val="16"/>
          <w:color w:val="auto"/>
        </w:rPr>
        <w:t xml:space="preserve"> </w:t>
      </w:r>
      <w:r>
        <w:rPr>
          <w:rFonts w:ascii="Arial" w:cs="Arial" w:eastAsia="Arial" w:hAnsi="Arial"/>
          <w:sz w:val="16"/>
          <w:szCs w:val="16"/>
          <w:color w:val="212529"/>
        </w:rPr>
        <w:t>as described in the Purchase Agreement</w:t>
      </w:r>
      <w:r>
        <w:rPr>
          <w:rFonts w:ascii="Arial" w:cs="Arial" w:eastAsia="Arial" w:hAnsi="Arial"/>
          <w:sz w:val="16"/>
          <w:szCs w:val="16"/>
          <w:color w:val="000000"/>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applicable rules of the Nasdaq Capital Market, the aggregate number of shares that we can sell to Lincoln Park under the Purchase Agreement may in no case exceed 19.99% of our common stock outstanding immediately prior to the execution of the Purchase Agreement (which is 9,592,607 shares of common stock) (the </w:t>
      </w:r>
      <w:r>
        <w:rPr>
          <w:rFonts w:ascii="Arial" w:cs="Arial" w:eastAsia="Arial" w:hAnsi="Arial"/>
          <w:sz w:val="16"/>
          <w:szCs w:val="16"/>
          <w:i w:val="1"/>
          <w:iCs w:val="1"/>
          <w:color w:val="auto"/>
        </w:rPr>
        <w:t>Exchange Cap</w:t>
      </w:r>
      <w:r>
        <w:rPr>
          <w:rFonts w:ascii="Arial" w:cs="Arial" w:eastAsia="Arial" w:hAnsi="Arial"/>
          <w:sz w:val="16"/>
          <w:szCs w:val="16"/>
          <w:color w:val="auto"/>
        </w:rPr>
        <w:t>), unless (i) stockholder approval is obtained to issue more, in which case the Exchange Cap will not apply, or (ii) the average price of all applicable sales of our common stock to Lincoln Park under the Purchase Agreement equals or exceeds the closing price of our common stock on the Nasdaq Capital Market immediately preceding the signing of the Purchase Agreement, plus an incremental amount such that issuances and sales of our common stock to Lincoln Park under the Purchase Agreement would be exempt from the Exchange Cap limitation under applicable rules of the Nasdaq Capital Market.</w:t>
      </w:r>
    </w:p>
    <w:p>
      <w:pPr>
        <w:spacing w:after="0" w:line="172"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Lincoln Park has no right to require us to sell any shares of common stock to Lincoln Park, but Lincoln Park is obligated to make purchases as we direct, subject to certain conditions. In all instances, we may not sell shares of our common stock to Lincoln Park under the Purchase Agreement if it would result in Lincoln Park beneficially owning more than 9.99% of our common stock. There are no upper limits on the price per share that Lincoln Park must pay for shares of our common stock pursuant 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The Purchase Agreement and the Registration Rights Agreement contain customary representations, warranties, agreements and conditions and indemnification obligations of the parties. We have the right to terminate the Purchase Agreement at any time, at no cost or penalty. We issued to Lincoln Park 750,000 shares of common stock, or approximately 2.7% of the value of the shares of common stock issuable under the Purchase Agreement, in consideration for entering into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Lincoln Park.</w:t>
      </w:r>
    </w:p>
    <w:p>
      <w:pPr>
        <w:sectPr>
          <w:pgSz w:w="11900" w:h="16838" w:orient="portrait"/>
          <w:cols w:equalWidth="0" w:num="1">
            <w:col w:w="11020"/>
          </w:cols>
          <w:pgMar w:left="320" w:top="131" w:right="55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771"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9232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23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0" w:gutter="0" w:footer="0" w:header="0"/>
        </w:sectPr>
      </w:pPr>
    </w:p>
    <w:p>
      <w:pPr>
        <w:spacing w:after="0" w:line="248" w:lineRule="exact"/>
        <w:rPr>
          <w:sz w:val="20"/>
          <w:szCs w:val="20"/>
          <w:color w:val="auto"/>
        </w:rPr>
      </w:pPr>
    </w:p>
    <w:p>
      <w:pPr>
        <w:ind w:left="120" w:right="38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right="120"/>
        <w:spacing w:after="0" w:line="326" w:lineRule="auto"/>
        <w:rPr>
          <w:sz w:val="20"/>
          <w:szCs w:val="20"/>
          <w:color w:val="auto"/>
        </w:rPr>
      </w:pPr>
      <w:r>
        <w:rPr>
          <w:rFonts w:ascii="Arial" w:cs="Arial" w:eastAsia="Arial" w:hAnsi="Arial"/>
          <w:sz w:val="15"/>
          <w:szCs w:val="15"/>
          <w:b w:val="1"/>
          <w:bCs w:val="1"/>
          <w:color w:val="auto"/>
        </w:rPr>
        <w:t>Shares of common stock to be outstanding after giving effect to the issuance of 9,592,607 shares under the Purchase Agreement registered hereunder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9,592,607 shares consisting of:</w:t>
      </w:r>
    </w:p>
    <w:p>
      <w:pPr>
        <w:spacing w:after="0" w:line="225" w:lineRule="exact"/>
        <w:rPr>
          <w:sz w:val="20"/>
          <w:szCs w:val="20"/>
          <w:color w:val="auto"/>
        </w:rPr>
      </w:pPr>
    </w:p>
    <w:p>
      <w:pPr>
        <w:ind w:left="640" w:hanging="322"/>
        <w:spacing w:after="0" w:line="26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500,000 shares sold to Lincoln Park at $0.50 per share on the Execution Date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Shares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8,342,607 shares we may sell to Lincoln Park under the Purchase Agreement from time to time after the date of this prospectus; and</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750,000 commitment shares issued to Lincoln Park on the Execution Date (the </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47,963,042 shares of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57,555,649 shares of common stock.</w:t>
      </w:r>
    </w:p>
    <w:p>
      <w:pPr>
        <w:spacing w:after="0" w:line="867" w:lineRule="exact"/>
        <w:rPr>
          <w:sz w:val="20"/>
          <w:szCs w:val="20"/>
          <w:color w:val="auto"/>
        </w:rPr>
      </w:pPr>
    </w:p>
    <w:p>
      <w:pPr>
        <w:sectPr>
          <w:pgSz w:w="11900" w:h="16838" w:orient="portrait"/>
          <w:cols w:equalWidth="0" w:num="2">
            <w:col w:w="3400" w:space="340"/>
            <w:col w:w="7280"/>
          </w:cols>
          <w:pgMar w:left="320" w:top="131" w:right="559" w:bottom="0" w:gutter="0" w:footer="0" w:header="0"/>
          <w:type w:val="continuous"/>
        </w:sect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no proceeds from the sale of shares of common stock by Lincoln Park in this offering.</w:t>
      </w:r>
    </w:p>
    <w:p>
      <w:pPr>
        <w:spacing w:after="0" w:line="21" w:lineRule="exact"/>
        <w:rPr>
          <w:sz w:val="20"/>
          <w:szCs w:val="20"/>
          <w:color w:val="auto"/>
        </w:rPr>
      </w:pPr>
    </w:p>
    <w:p>
      <w:pPr>
        <w:ind w:left="3740"/>
        <w:spacing w:after="0" w:line="361" w:lineRule="auto"/>
        <w:rPr>
          <w:sz w:val="20"/>
          <w:szCs w:val="20"/>
          <w:color w:val="auto"/>
        </w:rPr>
      </w:pPr>
      <w:r>
        <w:rPr>
          <w:rFonts w:ascii="Arial" w:cs="Arial" w:eastAsia="Arial" w:hAnsi="Arial"/>
          <w:sz w:val="15"/>
          <w:szCs w:val="15"/>
          <w:color w:val="auto"/>
        </w:rPr>
        <w:t>We may receive up to $10,000,000 aggregate gross proceeds under the Purchase Agreement from any sales we make to Lincoln Park pursuant to the Purchase Agreement after the date of this prospectus.</w:t>
      </w:r>
    </w:p>
    <w:p>
      <w:pPr>
        <w:spacing w:after="0" w:line="123" w:lineRule="exact"/>
        <w:rPr>
          <w:sz w:val="20"/>
          <w:szCs w:val="20"/>
          <w:color w:val="auto"/>
        </w:rPr>
      </w:pPr>
    </w:p>
    <w:p>
      <w:pPr>
        <w:ind w:left="3740"/>
        <w:spacing w:after="0" w:line="268" w:lineRule="auto"/>
        <w:rPr>
          <w:sz w:val="20"/>
          <w:szCs w:val="20"/>
          <w:color w:val="auto"/>
        </w:rPr>
      </w:pPr>
      <w:r>
        <w:rPr>
          <w:rFonts w:ascii="Arial" w:cs="Arial" w:eastAsia="Arial" w:hAnsi="Arial"/>
          <w:sz w:val="18"/>
          <w:szCs w:val="18"/>
          <w:color w:val="auto"/>
        </w:rPr>
        <w:t xml:space="preserve">Any proceeds that we receive from sales to Lincoln Park under the Purchase Agreement will be used for working capital and general corporate purposes. See </w:t>
      </w:r>
      <w:r>
        <w:rPr>
          <w:rFonts w:ascii="Arial" w:cs="Arial" w:eastAsia="Arial" w:hAnsi="Arial"/>
          <w:sz w:val="18"/>
          <w:szCs w:val="18"/>
          <w:i w:val="1"/>
          <w:iCs w:val="1"/>
          <w:color w:val="auto"/>
        </w:rPr>
        <w:t>Use of Proceeds.</w:t>
      </w:r>
    </w:p>
    <w:p>
      <w:pPr>
        <w:spacing w:after="0" w:line="180"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Terms of this offering</w:t>
      </w:r>
      <w:r>
        <w:rPr>
          <w:sz w:val="20"/>
          <w:szCs w:val="20"/>
          <w:color w:val="auto"/>
        </w:rPr>
        <w:tab/>
      </w:r>
      <w:r>
        <w:rPr>
          <w:rFonts w:ascii="Arial" w:cs="Arial" w:eastAsia="Arial" w:hAnsi="Arial"/>
          <w:sz w:val="16"/>
          <w:szCs w:val="16"/>
          <w:color w:val="auto"/>
        </w:rPr>
        <w:t>The selling stockholder, including its transferees, donees, pledgees, assignees and successors-in-</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interest, may sell, transfer or otherwise dispose of any or all of the shares of common stock offered by</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this prospectus from time to time on The Nasdaq Capital Market or any other stock exchange, market</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or trading facility on which the shares are traded or in private transactions. The shares of common</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stock may be sold at fixed prices, at market prices prevailing at the time of sale, at prices related to</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prevailing market price or at negotiated prices.</w:t>
      </w:r>
    </w:p>
    <w:p>
      <w:pPr>
        <w:spacing w:after="0" w:line="213"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 risks</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and uncertainties described in or incorporated by reference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prospectus, the documents we have incorporated by reference herein, and under similar headings in</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other documents filed after the date hereof and incorporated by reference into this prospectus. See</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i w:val="1"/>
          <w:iCs w:val="1"/>
          <w:color w:val="auto"/>
        </w:rPr>
        <w:t xml:space="preserve">Incorporation of Certain Information by Reference </w:t>
      </w:r>
      <w:r>
        <w:rPr>
          <w:rFonts w:ascii="Arial" w:cs="Arial" w:eastAsia="Arial" w:hAnsi="Arial"/>
          <w:sz w:val="16"/>
          <w:szCs w:val="16"/>
          <w:color w:val="auto"/>
        </w:rPr>
        <w:t>and</w:t>
      </w:r>
      <w:r>
        <w:rPr>
          <w:rFonts w:ascii="Arial" w:cs="Arial" w:eastAsia="Arial" w:hAnsi="Arial"/>
          <w:sz w:val="16"/>
          <w:szCs w:val="16"/>
          <w:i w:val="1"/>
          <w:iCs w:val="1"/>
          <w:color w:val="auto"/>
        </w:rPr>
        <w:t xml:space="preserve"> Where You Can Find More Information</w:t>
      </w:r>
      <w:r>
        <w:rPr>
          <w:rFonts w:ascii="Arial" w:cs="Arial" w:eastAsia="Arial" w:hAnsi="Arial"/>
          <w:sz w:val="16"/>
          <w:szCs w:val="16"/>
          <w:color w:val="auto"/>
        </w:rPr>
        <w:t>.</w:t>
      </w:r>
    </w:p>
    <w:p>
      <w:pPr>
        <w:spacing w:after="0" w:line="242"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49,213,042 shares outstanding as of March 30, 2020 and excludes:</w:t>
      </w:r>
    </w:p>
    <w:p>
      <w:pPr>
        <w:spacing w:after="0" w:line="213" w:lineRule="exact"/>
        <w:rPr>
          <w:sz w:val="20"/>
          <w:szCs w:val="20"/>
          <w:color w:val="auto"/>
        </w:rPr>
      </w:pPr>
    </w:p>
    <w:p>
      <w:pPr>
        <w:ind w:left="780" w:right="60" w:hanging="327"/>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 ;</w:t>
      </w:r>
    </w:p>
    <w:p>
      <w:pPr>
        <w:spacing w:after="0" w:line="239" w:lineRule="exact"/>
        <w:rPr>
          <w:rFonts w:ascii="Arial" w:cs="Arial" w:eastAsia="Arial" w:hAnsi="Arial"/>
          <w:sz w:val="18"/>
          <w:szCs w:val="18"/>
          <w:color w:val="auto"/>
        </w:rPr>
      </w:pPr>
    </w:p>
    <w:p>
      <w:pPr>
        <w:ind w:left="780" w:right="160" w:hanging="327"/>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212" w:lineRule="exact"/>
        <w:rPr>
          <w:rFonts w:ascii="Arial" w:cs="Arial" w:eastAsia="Arial" w:hAnsi="Arial"/>
          <w:sz w:val="18"/>
          <w:szCs w:val="18"/>
          <w:color w:val="auto"/>
        </w:rPr>
      </w:pPr>
    </w:p>
    <w:p>
      <w:pPr>
        <w:ind w:left="780" w:right="180" w:hanging="327"/>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212" w:lineRule="exact"/>
        <w:rPr>
          <w:rFonts w:ascii="Arial" w:cs="Arial" w:eastAsia="Arial" w:hAnsi="Arial"/>
          <w:sz w:val="18"/>
          <w:szCs w:val="18"/>
          <w:color w:val="auto"/>
        </w:rPr>
      </w:pPr>
    </w:p>
    <w:p>
      <w:pPr>
        <w:ind w:left="780" w:right="620" w:hanging="327"/>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22,555,281 shares of common stock that have been reserved for issuance upon exercise of outstanding warrants, with a weighted average exercise price of $1.64 per share;</w:t>
      </w:r>
    </w:p>
    <w:p>
      <w:pPr>
        <w:spacing w:after="0" w:line="212" w:lineRule="exact"/>
        <w:rPr>
          <w:rFonts w:ascii="Arial" w:cs="Arial" w:eastAsia="Arial" w:hAnsi="Arial"/>
          <w:sz w:val="18"/>
          <w:szCs w:val="18"/>
          <w:color w:val="auto"/>
        </w:rPr>
      </w:pPr>
    </w:p>
    <w:p>
      <w:pPr>
        <w:ind w:left="780" w:right="220" w:hanging="327"/>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7,768,088 shares of common stock reserved for issuance upon exercise of outstanding stock options under our 2019 Omnibus Equity Incentive Plan, with a weighted average exercise price of $1.41 per share; and</w:t>
      </w:r>
    </w:p>
    <w:p>
      <w:pPr>
        <w:spacing w:after="0" w:line="212" w:lineRule="exact"/>
        <w:rPr>
          <w:rFonts w:ascii="Arial" w:cs="Arial" w:eastAsia="Arial" w:hAnsi="Arial"/>
          <w:sz w:val="18"/>
          <w:szCs w:val="18"/>
          <w:color w:val="auto"/>
        </w:rPr>
      </w:pPr>
    </w:p>
    <w:p>
      <w:pPr>
        <w:ind w:left="780" w:hanging="327"/>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275" w:lineRule="exact"/>
        <w:rPr>
          <w:rFonts w:ascii="Arial" w:cs="Arial" w:eastAsia="Arial" w:hAnsi="Arial"/>
          <w:sz w:val="16"/>
          <w:szCs w:val="16"/>
          <w:color w:val="auto"/>
        </w:rPr>
      </w:pPr>
    </w:p>
    <w:p>
      <w:pPr>
        <w:ind w:left="840" w:hanging="387"/>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24, 2020, we entered into the Purchase Agreement with Lincoln Park, pursuant to which Lincoln Park has committed to purchase up to $10,250,000 of our common stock, including the Initial Purchase Shares. Upon the execution of the Purchase Agreement, we issued 750,000 Commitment Shares to Lincoln Park as a fee for its commitment to enter into the Purchase Agreement and purchase shares of our common stock thereunder. The remaining shares of our common stock that may be issued under the Purchase Agreement may be sold by us to Lincoln Park, at our sole discretion, from time to time over a 24-month period commencing after the satisfaction of certain conditions set forth in the Purchase Agreement, including that the SEC has declared effective the registration statement that includes this prospectus. The purchase price for the shares that we may sell to Lincoln Park under the Purchase Agreement will fluctuate based on the prevailing price of our common stock on the date(s) of purchase. Depending on market liquidity at the time, sales of such shares may cause the trading price of our common stock to fall.</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have the right to control the timing and amount of any future sales of our shares to Lincoln Park. Additional sales of our common stock, if any, to Lincoln Park will depend upon market conditions and other factors to be determined solely by us. We may ultimately decide to sell to Lincoln Park all, some or none of the 8,342,607 additional shares of our common stock that may be available for us to sell pursuant to the Purchase Agreement. If and when we do sell any additional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48" w:lineRule="exact"/>
        <w:rPr>
          <w:rFonts w:ascii="Arial" w:cs="Arial" w:eastAsia="Arial" w:hAnsi="Arial"/>
          <w:sz w:val="16"/>
          <w:szCs w:val="16"/>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2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require additional financing to sustain our operations and without it we may not be able to continue operations.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direct Lincoln Park to purchase up to $10,250,000 worth of shares of our common stock under our agreement over a 24-month period generally in amounts up to 100,000 shares of our common stock, which share amount may be increased to include additional shares of our common stock depending on the market price of our common stock at the time of sale, and subject to a maximum limit of $1,000,000 per purchase, on any such business day.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date of the Commencement. Depending on the price per share at which we sell our common stock to Lincoln Park pursuant to the Purchase Agreement, we may need to sell to Lincoln Park more shares of our common stock than are offered under this prospectus in order to receive aggregate gross proceeds equal to $10,250,000. The number of shares ultimately offered for resale by Lincoln Park is dependent upon the number of shares we sell to Lincoln Park under the Purchase Agreement.</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extent we rely on Lincoln Park as a source of funding will depend on a number of factors including the prevailing market price of our common stock and the extent to which we are able to secure working capital from other sources. If obtaining sufficient funding from Lincoln Park were to prove unavailable or prohibitively dilutive, we will need to secure another source of funding in order to satisfy our working capital needs. Even if we sell all $10,250,000 under the Purchase Agreement to Lincoln Park, we may still need additional capital to fully implement our business, operating and development plans.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To raise capital, we may sell common stock, convertible securities or other equity securities in one or more transactions at prices and in a manner we determine from time to time, including pursuant to the Purchase Agreement with Lincoln Park.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sales of a substantial number of shares of our outstanding common stock in the public market could occur at any time. Certain of our stockholders, including Lincoln Park, hold a substantial number of our common stock that many of them are now able to sell in the public market. Sales of stock by these stockholders could have a material adverse effect on the trading price of our common stock.</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warrants or options, or the perception that such sales may occur, could adversely affect the market price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our sale of shares of common stock to Lincoln Park, you may not agree with how we use the proceeds and the proceeds may not be invested successfully.</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will have broad discretion as to the use of the net proceeds from our sale of shares of common stock to Lincoln Park, and we could use them for purposes other than those contemplated at the time of commencement of this offering.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to use such funds effectively could have a material adverse effect on our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pacing w:after="0" w:line="221"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2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ectPr>
          <w:pgSz w:w="11900" w:h="16838" w:orient="portrait"/>
          <w:cols w:equalWidth="0" w:num="1">
            <w:col w:w="11240"/>
          </w:cols>
          <w:pgMar w:left="320" w:top="131" w:right="339" w:bottom="0" w:gutter="0" w:footer="0" w:header="0"/>
        </w:sectPr>
      </w:pPr>
    </w:p>
    <w:bookmarkStart w:id="11" w:name="page12"/>
    <w:bookmarkEnd w:id="11"/>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shares of our common stock that may be offered and sold from time to time by Lincoln Park. We may receive up to $10,000,000 aggregate gross proceeds under the Purchase Agreement from any sales we make to Lincoln Park pursuant to the Purchase Agreement after the date of this prospectus. However, we may not be registering for sale or offering for resale under the registration statement of which this prospectus is a part all of the shares issuable pursuant to the Purchase Agreement. In any evert, we will receive no proceeds from the sale of any shares of common stock by Lincoln Park pursuant to this prospectus. As we are unable to predict the timing or amount of potential issuances of all of the shares offered hereby (other than the Commitment Shares or the Initial Purchase Shares), we have not allocated any proceeds of such issuances to any particular purpose. Accordingly, all such proceeds are expected to be used for working capital and general corporate purposes.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other uses, we intend to invest any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relates to only the resale by the selling stockholder, Lincoln Park, of shares of common stock that have been or may be issued and sold to Lincoln Park pursuant to the Purchase Agreement. We are filing the registration statement of which this prospectus forms a part pursuant to the provisions of the Registration Rights Agreement, which we entered into with Lincoln Park on March 24, 2020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Lincoln Park, as the selling stockholder, may, from time to time, offer and sell pursuant to this prospectus any or all of the shares that we have sold and may sell to Lincoln Park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following table presents information regarding the selling stockholder and the shares that it may offer and sell from time to time under this prospectus. The table is prepared based on information supplied to us by the selling stockholder, and reflects its holdings as of March 24, 2020.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 to be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Sold in this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Assuming The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Percentage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Company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issues the</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Outstanding</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Maximum</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Beneficially</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Beneficially</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Beneficially</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 Before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Under</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this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Before this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the Purchase</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After this</w:t>
            </w: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Stockholder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Agreement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gridSpan w:val="2"/>
          </w:tcPr>
          <w:p>
            <w:pPr>
              <w:spacing w:after="0"/>
              <w:rPr>
                <w:sz w:val="20"/>
                <w:szCs w:val="20"/>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w:t>
            </w:r>
          </w:p>
        </w:tc>
        <w:tc>
          <w:tcPr>
            <w:tcW w:w="13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3,904,966</w:t>
            </w:r>
            <w:r>
              <w:rPr>
                <w:rFonts w:ascii="Arial" w:cs="Arial" w:eastAsia="Arial" w:hAnsi="Arial"/>
                <w:sz w:val="24"/>
                <w:szCs w:val="24"/>
                <w:color w:val="auto"/>
                <w:vertAlign w:val="superscript"/>
              </w:rPr>
              <w:t>(2)</w:t>
            </w:r>
          </w:p>
        </w:tc>
        <w:tc>
          <w:tcPr>
            <w:tcW w:w="134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7.78%</w:t>
            </w:r>
            <w:r>
              <w:rPr>
                <w:rFonts w:ascii="Arial" w:cs="Arial" w:eastAsia="Arial" w:hAnsi="Arial"/>
                <w:sz w:val="24"/>
                <w:szCs w:val="24"/>
                <w:color w:val="auto"/>
                <w:vertAlign w:val="superscript"/>
              </w:rPr>
              <w:t>(3)</w:t>
            </w:r>
          </w:p>
        </w:tc>
        <w:tc>
          <w:tcPr>
            <w:tcW w:w="13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9,592,607</w:t>
            </w:r>
            <w:r>
              <w:rPr>
                <w:rFonts w:ascii="Arial" w:cs="Arial" w:eastAsia="Arial" w:hAnsi="Arial"/>
                <w:sz w:val="24"/>
                <w:szCs w:val="24"/>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left="680" w:hanging="672"/>
        <w:spacing w:after="0" w:line="298"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Josh Scheinfeld and Jonathan Cope, the Managing Members of Lincoln Park Capital,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spacing w:after="0" w:line="166" w:lineRule="exact"/>
        <w:rPr>
          <w:rFonts w:ascii="Arial" w:cs="Arial" w:eastAsia="Arial" w:hAnsi="Arial"/>
          <w:sz w:val="16"/>
          <w:szCs w:val="16"/>
          <w:color w:val="auto"/>
        </w:rPr>
      </w:pPr>
    </w:p>
    <w:p>
      <w:pPr>
        <w:jc w:val="both"/>
        <w:ind w:left="680" w:hanging="672"/>
        <w:spacing w:after="0" w:line="25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Includes (i) the 500,000 shares sold to Lincoln Park as Initial Purchase Shares under the Purchase Agreement and the 750,000 shares issued to Lincoln Park as Commitment Shares which are being registered under the registration statement of which this prospectus is a part. Includes a currently exercisable warrant to purchase 1,000,000 shares of our common stock. Excludes a warrant to purchase 2,814,602 shares of our common stock not exercisable within 60 days. See the description under the heading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xml:space="preserve"> below for more information about the Purchase Agreement.</w:t>
      </w:r>
    </w:p>
    <w:p>
      <w:pPr>
        <w:spacing w:after="0" w:line="200" w:lineRule="exact"/>
        <w:rPr>
          <w:rFonts w:ascii="Arial" w:cs="Arial" w:eastAsia="Arial" w:hAnsi="Arial"/>
          <w:sz w:val="18"/>
          <w:szCs w:val="18"/>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49,213,042 outstanding shares of our common stock as of March 30, 2020.</w:t>
      </w:r>
    </w:p>
    <w:p>
      <w:pPr>
        <w:spacing w:after="0" w:line="225" w:lineRule="exact"/>
        <w:rPr>
          <w:rFonts w:ascii="Arial" w:cs="Arial" w:eastAsia="Arial" w:hAnsi="Arial"/>
          <w:sz w:val="18"/>
          <w:szCs w:val="18"/>
          <w:color w:val="auto"/>
        </w:rPr>
      </w:pPr>
    </w:p>
    <w:p>
      <w:pPr>
        <w:jc w:val="both"/>
        <w:ind w:left="680" w:hanging="672"/>
        <w:spacing w:after="0" w:line="288"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the Purchase Agreement provides that we may sell up to $10,250,000 of our common stock to Lincoln Park,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$10,250,000 total commitment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 See “</w:t>
      </w:r>
      <w:r>
        <w:rPr>
          <w:rFonts w:ascii="Arial" w:cs="Arial" w:eastAsia="Arial" w:hAnsi="Arial"/>
          <w:sz w:val="16"/>
          <w:szCs w:val="16"/>
          <w:i w:val="1"/>
          <w:iCs w:val="1"/>
          <w:color w:val="auto"/>
        </w:rPr>
        <w:t>The Lincoln Park Transaction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PARK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March 24, 2020 (the </w:t>
      </w:r>
      <w:r>
        <w:rPr>
          <w:rFonts w:ascii="Arial" w:cs="Arial" w:eastAsia="Arial" w:hAnsi="Arial"/>
          <w:sz w:val="18"/>
          <w:szCs w:val="18"/>
          <w:i w:val="1"/>
          <w:iCs w:val="1"/>
          <w:color w:val="auto"/>
        </w:rPr>
        <w:t>Execution Date</w:t>
      </w:r>
      <w:r>
        <w:rPr>
          <w:rFonts w:ascii="Arial" w:cs="Arial" w:eastAsia="Arial" w:hAnsi="Arial"/>
          <w:sz w:val="18"/>
          <w:szCs w:val="18"/>
          <w:color w:val="auto"/>
        </w:rPr>
        <w:t>), we entered into a Purchase Agreement and a Registration Rights Agreement with Lincoln Park. Pursuant to the terms of the Purchase Agreement, Lincoln Park has agreed to purchase from us up to $10,250,000 of our common stock from time to time during the term of the Purchase Agreement, subject to certain limitations.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Other than the Initial Purchase Shares, which we sold to Lincoln Park on the Execution Date, we do not have the right to commence any sales to Lincoln Park under the Purchase Agreement until the Commencement Date (defined below) has occurred. Thereafter, we may, from time to time, and at our sole discretion, on any single business day, direct Lincoln Park to purchase shares of our common stock in amounts up to 100,000 shares, which amounts may be increased depending on the market price of our common stock at the time of sale and subject to a maximum commitment by Lincoln Park of $1,000,000 per single purchase (</w:t>
      </w:r>
      <w:r>
        <w:rPr>
          <w:rFonts w:ascii="Arial" w:cs="Arial" w:eastAsia="Arial" w:hAnsi="Arial"/>
          <w:sz w:val="15"/>
          <w:szCs w:val="15"/>
          <w:i w:val="1"/>
          <w:iCs w:val="1"/>
          <w:color w:val="auto"/>
        </w:rPr>
        <w:t>Regular Purchases</w:t>
      </w:r>
      <w:r>
        <w:rPr>
          <w:rFonts w:ascii="Arial" w:cs="Arial" w:eastAsia="Arial" w:hAnsi="Arial"/>
          <w:sz w:val="15"/>
          <w:szCs w:val="15"/>
          <w:color w:val="auto"/>
        </w:rPr>
        <w:t>). In addition, at our discretion, Lincoln Park has committed to purchase other amounts under an Accelerated Purchase (as defined below) under certain circumstances. The purchase price per share sold will be based on the market price of our common stock immediately preceding the time of sale as computed under the Purchase Agreement. Lincoln Park may not assign or transfer its rights and obligations under the Purchase Agreement.</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applicable rules of The Nasdaq Capital Market, in no event may we issue or sell to Lincoln Park under the Purchase Agreement shares of our common stock in excess of the Exchange Cap (which is 9,592,607 shares, or 19.99% of the shares of our common stock outstanding immediately prior to the execution of the Purchase Agreement), unless (i) we obtain stockholder approval to issue shares of common stock in excess of the Exchange Cap or (ii)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issuances and sales of our common stock to Lincoln Park under the Purchase Agreement would be exempt from the Exchange Cap limitation under applicable Nasdaq rules. In any event, the Purchase Agreement specifically provides that we may not issue or sell any shares of our common stock under the Purchase Agreement if such issuance or sale would breach any applicable Nasdaq rules.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Agreement also prohibits us from directing Lincoln Park to purchase any shares of common stock if those shares, when aggregated with all other shares of our common stock then beneficially owned by Lincoln Park and its affiliates, would result in Lincoln Park exceeding the Beneficial Ownership Cap.</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the Registration Rights Agreement, the Company is required to register the shares of common stock that have been and may be issued to Lincoln Park under the Purchase Agreement. We have filed the registration statement with the SEC that includes this prospectus to register for resale under the Securities Act, up to 9,592,607 shares of common stock, representing 19.99% of our issued and outstanding shares of common stock on March 24,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the Company has the right, but not the obligation, to sell to Lincoln Park, and Lincoln Park is obligated to purchase up to $10,250,000 of shares of common stock, including the Initial Purchase Shares purchased by Lincoln Park on the Execution Date. Such sales of common stock by the Company, if any, will be subject to certain limitations, and may occur from time to time, at the Company’s sole discretion, over the 24-month period commencing on the date that a registration statement covering the resale of shares of common stock that have been and may be issued under the Purchase Agreement, which the Company agreed to file with the SEC pursuant to the Registration Rights Agreement, is declared effective by the SEC and a final prospectus in connection therewith is filed and the other conditions set forth in the Purchase Agreement are satisfied, all of which are outside the control of Lincoln Park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Thereafter, under the Purchase Agreement, on any business day over the term of the Purchase Agreement, the Company has the right, in its sole discretion, to present Lincoln Park with a purchase notice (each, a </w:t>
      </w:r>
      <w:r>
        <w:rPr>
          <w:rFonts w:ascii="Arial" w:cs="Arial" w:eastAsia="Arial" w:hAnsi="Arial"/>
          <w:sz w:val="18"/>
          <w:szCs w:val="18"/>
          <w:i w:val="1"/>
          <w:iCs w:val="1"/>
          <w:color w:val="auto"/>
        </w:rPr>
        <w:t>Purchase Notice</w:t>
      </w:r>
      <w:r>
        <w:rPr>
          <w:rFonts w:ascii="Arial" w:cs="Arial" w:eastAsia="Arial" w:hAnsi="Arial"/>
          <w:sz w:val="18"/>
          <w:szCs w:val="18"/>
          <w:color w:val="auto"/>
        </w:rPr>
        <w:t xml:space="preserve">) directing Lincoln Park to purchase up to 100,000 shares per business day (the </w:t>
      </w:r>
      <w:r>
        <w:rPr>
          <w:rFonts w:ascii="Arial" w:cs="Arial" w:eastAsia="Arial" w:hAnsi="Arial"/>
          <w:sz w:val="18"/>
          <w:szCs w:val="18"/>
          <w:i w:val="1"/>
          <w:iCs w:val="1"/>
          <w:color w:val="auto"/>
        </w:rPr>
        <w:t>Regular Purchase</w:t>
      </w:r>
      <w:r>
        <w:rPr>
          <w:rFonts w:ascii="Arial" w:cs="Arial" w:eastAsia="Arial" w:hAnsi="Arial"/>
          <w:sz w:val="18"/>
          <w:szCs w:val="18"/>
          <w:color w:val="auto"/>
        </w:rPr>
        <w:t>), (subject to adjustment for any reorganization, recapitalization, non-cash dividend, stock split, reverse stock split or other similar transaction as provided in the Purchase Agreement). The Regular Purchase Amount may be increased up to 150,000 shares if the closing price is not below $0.80 per share, may be increased up to 200,000 shares if the closing price is not below $1.00 per share, and may be increased up to 250,000 shares if the closing price is not below $1.50 per share.</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In each case, Lincoln Park’s maximum commitment in any single Regular Purchase may not exceed $1,000,000. The Purchase Agreement provides for a purchase price per Purchase Share (the </w:t>
      </w:r>
      <w:r>
        <w:rPr>
          <w:rFonts w:ascii="Arial" w:cs="Arial" w:eastAsia="Arial" w:hAnsi="Arial"/>
          <w:sz w:val="18"/>
          <w:szCs w:val="18"/>
          <w:i w:val="1"/>
          <w:iCs w:val="1"/>
          <w:color w:val="auto"/>
        </w:rPr>
        <w:t>Purchase Price</w:t>
      </w:r>
      <w:r>
        <w:rPr>
          <w:rFonts w:ascii="Arial" w:cs="Arial" w:eastAsia="Arial" w:hAnsi="Arial"/>
          <w:sz w:val="18"/>
          <w:szCs w:val="18"/>
          <w:color w:val="auto"/>
        </w:rPr>
        <w:t>) equal to the lesser of:</w:t>
      </w:r>
    </w:p>
    <w:p>
      <w:pPr>
        <w:spacing w:after="0" w:line="186"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and</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the Company’s common stock during the ten consecutive business days ending on the business day immediately preceding the purchase date of such shares.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addition, on any date on which the Company submits a Purchase Notice to Lincoln Park and on which date the Company has directed a Regular Purchase in full, the Company also has the right, in its sole discretion, to present Lincoln with an accelerated purchase notice (each, an </w:t>
      </w:r>
      <w:r>
        <w:rPr>
          <w:rFonts w:ascii="Arial" w:cs="Arial" w:eastAsia="Arial" w:hAnsi="Arial"/>
          <w:sz w:val="16"/>
          <w:szCs w:val="16"/>
          <w:i w:val="1"/>
          <w:iCs w:val="1"/>
          <w:color w:val="auto"/>
        </w:rPr>
        <w:t>Accelerated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directing Lincoln Park to purchase an amount of stock (the</w:t>
      </w:r>
      <w:r>
        <w:rPr>
          <w:rFonts w:ascii="Arial" w:cs="Arial" w:eastAsia="Arial" w:hAnsi="Arial"/>
          <w:sz w:val="16"/>
          <w:szCs w:val="16"/>
          <w:i w:val="1"/>
          <w:iCs w:val="1"/>
          <w:color w:val="auto"/>
        </w:rPr>
        <w:t xml:space="preserve"> Accelerated Purchase</w:t>
      </w:r>
      <w:r>
        <w:rPr>
          <w:rFonts w:ascii="Arial" w:cs="Arial" w:eastAsia="Arial" w:hAnsi="Arial"/>
          <w:sz w:val="16"/>
          <w:szCs w:val="16"/>
          <w:color w:val="auto"/>
        </w:rPr>
        <w:t>) equal to up to the lesser of (i) three times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purchased pursuant to such Regular Purchase; or (ii) 30% of the aggregate shares of the Company’s common stock traded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(such period of time on the applicable Accelerated Purchase Date, the </w:t>
      </w:r>
      <w:r>
        <w:rPr>
          <w:rFonts w:ascii="Arial" w:cs="Arial" w:eastAsia="Arial" w:hAnsi="Arial"/>
          <w:sz w:val="16"/>
          <w:szCs w:val="16"/>
          <w:i w:val="1"/>
          <w:iCs w:val="1"/>
          <w:color w:val="auto"/>
        </w:rPr>
        <w:t>Accelerated Purchase Measurement Period</w:t>
      </w:r>
      <w:r>
        <w:rPr>
          <w:rFonts w:ascii="Arial" w:cs="Arial" w:eastAsia="Arial" w:hAnsi="Arial"/>
          <w:sz w:val="16"/>
          <w:szCs w:val="16"/>
          <w:color w:val="auto"/>
        </w:rPr>
        <w:t>). The purchase price per share for each such Accelerated Purchase will be equal to the lesser of:</w:t>
      </w:r>
    </w:p>
    <w:p>
      <w:pPr>
        <w:spacing w:after="0" w:line="178" w:lineRule="exact"/>
        <w:rPr>
          <w:sz w:val="20"/>
          <w:szCs w:val="20"/>
          <w:color w:val="auto"/>
        </w:rPr>
      </w:pPr>
    </w:p>
    <w:p>
      <w:pPr>
        <w:ind w:left="1140" w:hanging="484"/>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95% of the volume weighted average price of the Company’s common stock during the applicable Accelerated Purchase Measurement Period on the applicable Accelerated Purchase date;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closing sale price of the Company’s common stock on the applicable Accelerated Purchase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case of the regular purchases and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Events of default under the Purchase Agreement include the following:</w:t>
      </w:r>
    </w:p>
    <w:p>
      <w:pPr>
        <w:spacing w:after="0" w:line="225" w:lineRule="exact"/>
        <w:rPr>
          <w:sz w:val="20"/>
          <w:szCs w:val="20"/>
          <w:color w:val="auto"/>
        </w:rPr>
      </w:pPr>
    </w:p>
    <w:p>
      <w:pPr>
        <w:jc w:val="both"/>
        <w:ind w:left="1140" w:hanging="484"/>
        <w:spacing w:after="0" w:line="288"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effectiveness of a registration statement registering the resale of the Securities lapses for any reason (including, without limitation, the issuance of a stop order or similar order) or such registration statement (or the prospectus forming a part thereof) is unavailable to the Investor for resale of any or all of the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w:t>
      </w:r>
    </w:p>
    <w:p>
      <w:pPr>
        <w:spacing w:after="0" w:line="172" w:lineRule="exact"/>
        <w:rPr>
          <w:rFonts w:ascii="Arial" w:cs="Arial" w:eastAsia="Arial" w:hAnsi="Arial"/>
          <w:sz w:val="16"/>
          <w:szCs w:val="16"/>
          <w:color w:val="auto"/>
        </w:rPr>
      </w:pPr>
    </w:p>
    <w:p>
      <w:pPr>
        <w:ind w:left="1140" w:right="20" w:hanging="484"/>
        <w:spacing w:after="0" w:line="26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suspension of the common stock from trading on the Principal Market for a period of one (1) Business Day, provided that the Company may not direct the Investor to purchase any shares of common stock during any such suspension;</w:t>
      </w:r>
    </w:p>
    <w:p>
      <w:pPr>
        <w:spacing w:after="0" w:line="18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delisting of the common stock from The Nasdaq Capital Market, provided, however, that the common stock is not immediately thereafter trading on the New York Stock Exchange, The Nasdaq Global Market, The Nasdaq Global Select Market, the NYSE American, the NYSE Arca, the OTC Bulletin Board, the OTCQX operated by the OTC Markets Group, Inc. or the OTCQB operated by the OTC Markets Group, Inc. (or nationally recognized successor to any of the foregoing);</w:t>
      </w:r>
    </w:p>
    <w:p>
      <w:pPr>
        <w:spacing w:after="0" w:line="196" w:lineRule="exact"/>
        <w:rPr>
          <w:rFonts w:ascii="Arial" w:cs="Arial" w:eastAsia="Arial" w:hAnsi="Arial"/>
          <w:sz w:val="18"/>
          <w:szCs w:val="18"/>
          <w:color w:val="auto"/>
        </w:rPr>
      </w:pPr>
    </w:p>
    <w:p>
      <w:pPr>
        <w:jc w:val="both"/>
        <w:ind w:left="1140" w:hanging="484"/>
        <w:spacing w:after="0" w:line="25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at any time after the Commencement Date, the Exchange Cap is exceeded unless and until stockholder approval is obtained pursuant to the Purchase Agreement. The Exchange Cap shall be deemed to be exceeded at such time if, upon submission of a Regular Purchase Notice or Accelerated Purchase Notice under this Agreement, the issuance of such shares of common stock would exceed that number of shares of common stock which the Company may issue under this Agreement without breaching the Company’s obligations under the rules or regulations of the Principal Market;</w:t>
      </w:r>
    </w:p>
    <w:p>
      <w:pPr>
        <w:spacing w:after="0" w:line="200"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Investor within three (3) Business Days after the applicable Purchase Date, Accelerated Purchase Date or Additional Accelerated Purchase Date (as applicable) on which the Investor is entitled to receive such Purchase Shares;</w:t>
      </w:r>
    </w:p>
    <w:p>
      <w:pPr>
        <w:spacing w:after="0" w:line="193"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breaches any representation, warranty, covenant or other term or condition under any Transaction Document if such breach has or could have a Material Adverse Effect and except, in the case of a breach of a covenant which is reasonably curable, only if such breach continues for a period of at least five (5) Business Days;</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196"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or</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at any time the Company is not eligible to transfer its common stock electronically as DWAC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Lincoln Park does not have the right to terminate the Purchase Agreement upon any of the events of default set forth above. During an event of default, all of which are outside of Lincoln Park’s control, we may not direct Lincoln Park to purchase any shares of our common stock under the Purchase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Rights of the Company</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have the unconditional right, at any time, for any reason and without any payment or liability to Lincoln Park, to give notice to Lincoln Park to terminate the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231"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Variable Rate Transactions</w:t>
      </w:r>
    </w:p>
    <w:p>
      <w:pPr>
        <w:spacing w:after="0" w:line="23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There are no restrictions on future financings, rights of first refusal, participation rights, penalties or liquidated damages in the Purchase Agreement or Registration Rights Agreement, other than a prohibition on entering into a “Variable Rate Transaction,” as defined in the Purchase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9,592,607 shares registered in this offering which have been and may be issued or sold by us to Lincoln Park under the Purchase Agreement are expected to be freely tradable. It is anticipated that shares registered in this offering may be sold over a period of up to 24-months commencing on the date that the registration statement including this prospectus becomes effective. The sale by Lincoln Park of a significant number of shares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Purchase Agreement prohibits us from issuing or selling to Lincoln Park under the Purchase Agreement (i) shares of our common stock in excess of the Exchange Cap, unless we obtain stockholder approval to issue shares in excess of the Exchange Cap or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the transactions contemplated by the Purchase Agreement are exempt from the Exchange Cap limitation under applicable Nasdaq rules, and (ii) any shares of our common stock if those shares, when aggregated with all other shares of our common stock then beneficially owned by Lincoln Park and its affiliates, would exceed the Beneficial Ownership Cap.</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amount of gross proceeds we would receive from Lincoln Park from our sale of shares to Lincoln Park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at varying purchase prices:</w:t>
      </w:r>
    </w:p>
    <w:p>
      <w:pPr>
        <w:sectPr>
          <w:pgSz w:w="11900" w:h="16838" w:orient="portrait"/>
          <w:cols w:equalWidth="0" w:num="1">
            <w:col w:w="11240"/>
          </w:cols>
          <w:pgMar w:left="320" w:top="131" w:right="339" w:bottom="1440" w:gutter="0" w:footer="0" w:header="0"/>
        </w:sectPr>
      </w:pP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 of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vMerge w:val="restart"/>
          </w:tcPr>
          <w:p>
            <w:pPr>
              <w:jc w:val="right"/>
              <w:ind w:right="599"/>
              <w:spacing w:after="0"/>
              <w:rPr>
                <w:sz w:val="20"/>
                <w:szCs w:val="20"/>
                <w:color w:val="auto"/>
              </w:rPr>
            </w:pPr>
            <w:r>
              <w:rPr>
                <w:rFonts w:ascii="Arial" w:cs="Arial" w:eastAsia="Arial" w:hAnsi="Arial"/>
                <w:sz w:val="18"/>
                <w:szCs w:val="18"/>
                <w:b w:val="1"/>
                <w:bCs w:val="1"/>
                <w:color w:val="auto"/>
                <w:w w:val="83"/>
              </w:rPr>
              <w:t>Assumed Average Purchase</w:t>
            </w: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Number of Registered Shares</w:t>
            </w: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 After Giving Effect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2800" w:type="dxa"/>
            <w:vAlign w:val="bottom"/>
            <w:gridSpan w:val="2"/>
            <w:vMerge w:val="restart"/>
          </w:tcPr>
          <w:p>
            <w:pPr>
              <w:jc w:val="center"/>
              <w:ind w:right="560"/>
              <w:spacing w:after="0"/>
              <w:rPr>
                <w:sz w:val="20"/>
                <w:szCs w:val="20"/>
                <w:color w:val="auto"/>
              </w:rPr>
            </w:pPr>
            <w:r>
              <w:rPr>
                <w:rFonts w:ascii="Arial" w:cs="Arial" w:eastAsia="Arial" w:hAnsi="Arial"/>
                <w:sz w:val="18"/>
                <w:szCs w:val="18"/>
                <w:b w:val="1"/>
                <w:bCs w:val="1"/>
                <w:color w:val="auto"/>
                <w:w w:val="86"/>
              </w:rPr>
              <w:t>to be Issued if Full Purchase</w:t>
            </w:r>
          </w:p>
        </w:tc>
        <w:tc>
          <w:tcPr>
            <w:tcW w:w="2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the Issuance to Lincoln Park</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Price Per Share</w:t>
            </w:r>
          </w:p>
        </w:tc>
        <w:tc>
          <w:tcPr>
            <w:tcW w:w="560" w:type="dxa"/>
            <w:vAlign w:val="bottom"/>
            <w:vMerge w:val="restart"/>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56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0.3557</w:t>
            </w:r>
          </w:p>
        </w:tc>
        <w:tc>
          <w:tcPr>
            <w:tcW w:w="560" w:type="dxa"/>
            <w:vAlign w:val="bottom"/>
          </w:tcPr>
          <w:p>
            <w:pPr>
              <w:jc w:val="right"/>
              <w:ind w:right="359"/>
              <w:spacing w:after="0"/>
              <w:rPr>
                <w:sz w:val="20"/>
                <w:szCs w:val="20"/>
                <w:color w:val="auto"/>
              </w:rPr>
            </w:pPr>
            <w:r>
              <w:rPr>
                <w:rFonts w:ascii="Arial" w:cs="Arial" w:eastAsia="Arial" w:hAnsi="Arial"/>
                <w:sz w:val="12"/>
                <w:szCs w:val="12"/>
                <w:color w:val="auto"/>
                <w:w w:val="81"/>
              </w:rPr>
              <w:t>(3)</w:t>
            </w:r>
          </w:p>
        </w:tc>
        <w:tc>
          <w:tcPr>
            <w:tcW w:w="2240" w:type="dxa"/>
            <w:vAlign w:val="bottom"/>
          </w:tcPr>
          <w:p>
            <w:pPr>
              <w:jc w:val="right"/>
              <w:spacing w:after="0"/>
              <w:rPr>
                <w:sz w:val="20"/>
                <w:szCs w:val="20"/>
                <w:color w:val="auto"/>
              </w:rPr>
            </w:pPr>
            <w:r>
              <w:rPr>
                <w:rFonts w:ascii="Arial" w:cs="Arial" w:eastAsia="Arial" w:hAnsi="Arial"/>
                <w:sz w:val="18"/>
                <w:szCs w:val="18"/>
                <w:color w:val="auto"/>
              </w:rPr>
              <w:t>8,342,607</w:t>
            </w:r>
          </w:p>
        </w:tc>
        <w:tc>
          <w:tcPr>
            <w:tcW w:w="56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0.50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6,666,607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2"/>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2.00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5,000,000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left="20" w:right="300"/>
        <w:spacing w:after="0" w:line="258" w:lineRule="auto"/>
        <w:rPr>
          <w:sz w:val="20"/>
          <w:szCs w:val="20"/>
          <w:color w:val="auto"/>
        </w:rPr>
      </w:pPr>
      <w:r>
        <w:rPr>
          <w:rFonts w:ascii="Arial" w:cs="Arial" w:eastAsia="Arial" w:hAnsi="Arial"/>
          <w:sz w:val="18"/>
          <w:szCs w:val="18"/>
          <w:b w:val="1"/>
          <w:bCs w:val="1"/>
          <w:color w:val="auto"/>
        </w:rPr>
        <w:t xml:space="preserve">Proceeds from the Sale of Shares to Lincoln Park Under the $10.25M Purchase Agreement </w:t>
      </w:r>
      <w:r>
        <w:rPr>
          <w:rFonts w:ascii="Arial" w:cs="Arial" w:eastAsia="Arial" w:hAnsi="Arial"/>
          <w:sz w:val="12"/>
          <w:szCs w:val="12"/>
          <w:b w:val="1"/>
          <w:bCs w:val="1"/>
          <w:color w:val="auto"/>
        </w:rPr>
        <w:t>(4)</w:t>
      </w:r>
    </w:p>
    <w:tbl>
      <w:tblPr>
        <w:tblLayout w:type="fixed"/>
        <w:tblInd w:w="0" w:type="dxa"/>
        <w:tblCellMar>
          <w:top w:w="0" w:type="dxa"/>
          <w:left w:w="0" w:type="dxa"/>
          <w:bottom w:w="0" w:type="dxa"/>
          <w:right w:w="0" w:type="dxa"/>
        </w:tblCellMar>
      </w:tblPr>
      <w:tr>
        <w:trPr>
          <w:trHeight w:val="203"/>
        </w:trPr>
        <w:tc>
          <w:tcPr>
            <w:tcW w:w="760" w:type="dxa"/>
            <w:vAlign w:val="bottom"/>
            <w:tcBorders>
              <w:top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3,217,465</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4,421,304</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8,592,607</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r>
        <w:trPr>
          <w:trHeight w:val="222"/>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bl>
    <w:p>
      <w:pPr>
        <w:spacing w:after="0" w:line="200" w:lineRule="exact"/>
        <w:rPr>
          <w:sz w:val="20"/>
          <w:szCs w:val="20"/>
          <w:color w:val="auto"/>
        </w:rPr>
      </w:pPr>
    </w:p>
    <w:p>
      <w:pPr>
        <w:sectPr>
          <w:pgSz w:w="11900" w:h="16838" w:orient="portrait"/>
          <w:cols w:equalWidth="0" w:num="2">
            <w:col w:w="8300" w:space="420"/>
            <w:col w:w="2520"/>
          </w:cols>
          <w:pgMar w:left="320" w:top="131" w:right="339" w:bottom="1440" w:gutter="0" w:footer="0" w:header="0"/>
          <w:type w:val="continuous"/>
        </w:sectPr>
      </w:pPr>
    </w:p>
    <w:p>
      <w:pPr>
        <w:spacing w:after="0" w:line="37" w:lineRule="exact"/>
        <w:rPr>
          <w:sz w:val="20"/>
          <w:szCs w:val="20"/>
          <w:color w:val="auto"/>
        </w:rPr>
      </w:pPr>
    </w:p>
    <w:p>
      <w:pPr>
        <w:jc w:val="both"/>
        <w:ind w:left="500" w:hanging="492"/>
        <w:spacing w:after="0" w:line="285"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total number of purchase shares which we would have sold under the Purchase Agreement at the corresponding assumed purchase price per share set forth in the adjacent column, which does not include the 750,000 Commitment Shares previously issued to Lincoln Park, nor the 500,000 Initial Purchase Shares previously sold to Lincoln Park. Although the Purchase Agreement provides that we may sell up to $10,250,000 of our common stock to Lincoln Park (including the Initial Purchase Shares), we are only registering 9,592,607 shares (including the 750,000 Commitment Shares and the 500,000 Initial Purchase Shares previously issued to Lincoln Park) under this prospectus, which may or may not cover all the shares we ultimately sell to Lincoln Park under the Purchase Agreement, depending on the purchase price per share. As a result, we have included in this column only those shares that we are registering in this offering. If we seek to issue shares of our common stock, including shares from other transactions that may be aggregated with the transactions contemplated by the Purchase Agreement under the applicable rules of The Nasdaq Capital Market, in excess of 9,592,607 shares, or 19.99% of the total common stock outstanding immediately prior to the execution of the Purchase Agreement unless the average price per share exceeds the closing price of our common stock on The Nasdaq Capital Market on the business day immediately preceeding March 24, 2020, plus an incremental amount, such that issuances and sales of our common stock to Lincoln Park under the Purchase Agreement would be exempt from the Exchange Cap limitation under applicable Nasdaq rules, we may be required to seek stockholder approval to maintain compliance with the rules of The Nasdaq Capital Market.</w:t>
      </w:r>
    </w:p>
    <w:p>
      <w:pPr>
        <w:spacing w:after="0" w:line="183" w:lineRule="exact"/>
        <w:rPr>
          <w:rFonts w:ascii="Arial" w:cs="Arial" w:eastAsia="Arial" w:hAnsi="Arial"/>
          <w:sz w:val="16"/>
          <w:szCs w:val="16"/>
          <w:color w:val="auto"/>
        </w:rPr>
      </w:pPr>
    </w:p>
    <w:p>
      <w:pPr>
        <w:jc w:val="both"/>
        <w:ind w:left="500" w:hanging="492"/>
        <w:spacing w:after="0" w:line="298"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denominator is based on 49,213,042 shares outstanding as of March 30, 2020, which includes (i) 750,000 Commitment Shares and 500,000 Initial Purchase Shares issued to Lincoln Park upon the execution of the Purchase Agreement, and (ii) the number of shares set forth in the adjacent column which we would have sold to Lincoln Park, assuming the purchase price in the adjacent column. The numerator is based on the number of shares issuable under the Purchase Agreement at the corresponding assumed purchase price set forth in the adjacent column.</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Minimum Price as calculated in accordance with rules of the Nasdaq Capital Market.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$250,000 proceeds from sale of 500,000 Initial Purchase Shares.</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common stock offered by this prospectus is being offered by the selling stockholder, Lincoln Park. 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66"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Lincoln Park is an “underwriter” within the meaning of Section 2(a)(11) of the Securities Act.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Lincoln Park has informed us that it intends to use an unaffiliated broker-dealer to effectuate all sales, if any, of the common stock that it may purchase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Brokers, dealers, underwriters or agents participating in the distribution of the shares as agents may receive compensation in the form of commissions, discounts, or concessions from the selling stockholder and/or purchasers of the common stock for whom the broker-dealers may act as agent. The compensation paid to a particular broker-dealer may be less than or in excess of customary commissions. Neither we nor Lincoln Park can presently estimate the amount of compensation that any agent will receive.</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know of no existing arrangements between Lincoln Park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stockholder, and any other required information.</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pay the expenses (except brokerage fees and commissions and similar expenses) incurred in registering the shares, including legal and accounting fees. We have agreed to indemnify Lincoln Park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spacing w:after="0" w:line="19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offering will terminate on the earlier of (i) termination of the Purchase Agreement or (ii) the date that all shares offered by this prospectus have been sold by Lincoln Park.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under the symbol “VTGN”.</w:t>
      </w:r>
    </w:p>
    <w:p>
      <w:pPr>
        <w:sectPr>
          <w:pgSz w:w="11900" w:h="16838" w:orient="portrait"/>
          <w:cols w:equalWidth="0" w:num="1">
            <w:col w:w="11240"/>
          </w:cols>
          <w:pgMar w:left="320" w:top="131" w:right="339"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622"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30, 2020,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49,213,042 shares of common stock held by approximately 6,000 stockholders of record;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26,555,281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2,235,000 registered shares of common stock reserved for issuance upon exercise of outstanding stock options under our 2019 Omnibus Equity Incentive Plan, with a weighted average exercise price of $1.22 per share,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6,730,162 registered shares of common stock reserved for future issuance in connection with future grants under our 2019 Omnibus Equity Incentive Plan.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08"/>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 JD</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64</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Vice President, Chief Financial Officer and Secretary</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Mark A. McPartland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54</w:t>
            </w: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Vice President, Corporate Development</w:t>
            </w:r>
          </w:p>
        </w:tc>
      </w:tr>
    </w:tbl>
    <w:p>
      <w:pPr>
        <w:spacing w:after="0" w:line="21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 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that period was awarded a bonus by the Compensation Committee in the amount set forth in the Summary Compensation Table below. The Compensation Committee has not yet determined or awarded a bonus to any NEO for our fiscal year ended March 31, 2020. Payment of a bonus to an NEO for our fiscal year ended March 31, 2020, if any, is at the discretion of the Compensation Committee which may consider factors other than attainment of individual or corporate goals in its determination of bonus amounts to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All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Option</w:t>
            </w:r>
          </w:p>
        </w:tc>
        <w:tc>
          <w:tcPr>
            <w:tcW w:w="5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Other</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8"/>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Salary</w:t>
            </w:r>
          </w:p>
        </w:tc>
        <w:tc>
          <w:tcPr>
            <w:tcW w:w="120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1"/>
              </w:rPr>
              <w:t xml:space="preserve">Bonus </w:t>
            </w:r>
            <w:r>
              <w:rPr>
                <w:rFonts w:ascii="Arial" w:cs="Arial" w:eastAsia="Arial" w:hAnsi="Arial"/>
                <w:sz w:val="24"/>
                <w:szCs w:val="24"/>
                <w:b w:val="1"/>
                <w:bCs w:val="1"/>
                <w:color w:val="auto"/>
                <w:w w:val="81"/>
                <w:vertAlign w:val="superscript"/>
              </w:rPr>
              <w:t>(9)</w:t>
            </w:r>
          </w:p>
        </w:tc>
        <w:tc>
          <w:tcPr>
            <w:tcW w:w="1020" w:type="dxa"/>
            <w:vAlign w:val="bottom"/>
            <w:gridSpan w:val="2"/>
          </w:tcPr>
          <w:p>
            <w:pPr>
              <w:ind w:left="100"/>
              <w:spacing w:after="0" w:line="258" w:lineRule="exact"/>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24"/>
                <w:szCs w:val="24"/>
                <w:b w:val="1"/>
                <w:bCs w:val="1"/>
                <w:color w:val="auto"/>
                <w:vertAlign w:val="superscript"/>
              </w:rPr>
              <w:t>(6)</w:t>
            </w:r>
          </w:p>
        </w:tc>
        <w:tc>
          <w:tcPr>
            <w:tcW w:w="54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Compensation</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7"/>
        </w:trPr>
        <w:tc>
          <w:tcPr>
            <w:tcW w:w="2420" w:type="dxa"/>
            <w:vAlign w:val="bottom"/>
          </w:tcPr>
          <w:p>
            <w:pPr>
              <w:spacing w:after="0"/>
              <w:rPr>
                <w:sz w:val="20"/>
                <w:szCs w:val="20"/>
                <w:color w:val="auto"/>
              </w:rPr>
            </w:pPr>
            <w:r>
              <w:rPr>
                <w:rFonts w:ascii="Arial" w:cs="Arial" w:eastAsia="Arial" w:hAnsi="Arial"/>
                <w:sz w:val="18"/>
                <w:szCs w:val="18"/>
                <w:b w:val="1"/>
                <w:bCs w:val="1"/>
                <w:color w:val="auto"/>
                <w:w w:val="98"/>
              </w:rPr>
              <w:t>Name and Principal Position</w:t>
            </w:r>
          </w:p>
        </w:tc>
        <w:tc>
          <w:tcPr>
            <w:tcW w:w="240" w:type="dxa"/>
            <w:vAlign w:val="bottom"/>
          </w:tcPr>
          <w:p>
            <w:pPr>
              <w:spacing w:after="0"/>
              <w:rPr>
                <w:sz w:val="20"/>
                <w:szCs w:val="20"/>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Year</w:t>
            </w:r>
          </w:p>
        </w:tc>
        <w:tc>
          <w:tcPr>
            <w:tcW w:w="10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43"/>
        </w:trPr>
        <w:tc>
          <w:tcPr>
            <w:tcW w:w="24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498,000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435,667</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933,667</w:t>
            </w:r>
          </w:p>
        </w:tc>
        <w:tc>
          <w:tcPr>
            <w:tcW w:w="120" w:type="dxa"/>
            <w:vAlign w:val="bottom"/>
            <w:shd w:val="clear" w:color="auto" w:fill="CCEEFF"/>
          </w:tcPr>
          <w:p>
            <w:pPr>
              <w:spacing w:after="0"/>
              <w:rPr>
                <w:sz w:val="24"/>
                <w:szCs w:val="24"/>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466,365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110,305</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374,445</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951,115</w:t>
            </w:r>
          </w:p>
        </w:tc>
        <w:tc>
          <w:tcPr>
            <w:tcW w:w="120" w:type="dxa"/>
            <w:vAlign w:val="bottom"/>
            <w:shd w:val="clear" w:color="auto" w:fill="CCEEFF"/>
          </w:tcPr>
          <w:p>
            <w:pPr>
              <w:spacing w:after="0"/>
              <w:rPr>
                <w:sz w:val="24"/>
                <w:szCs w:val="24"/>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H. Ralph Snodgrass, Ph.D. </w:t>
            </w:r>
            <w:r>
              <w:rPr>
                <w:rFonts w:ascii="Arial" w:cs="Arial" w:eastAsia="Arial" w:hAnsi="Arial"/>
                <w:sz w:val="24"/>
                <w:szCs w:val="24"/>
                <w:color w:val="auto"/>
                <w:w w:val="99"/>
                <w:vertAlign w:val="superscript"/>
              </w:rPr>
              <w:t>(2)</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416,850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254,405</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671,255</w:t>
            </w:r>
          </w:p>
        </w:tc>
        <w:tc>
          <w:tcPr>
            <w:tcW w:w="120" w:type="dxa"/>
            <w:vAlign w:val="bottom"/>
            <w:shd w:val="clear" w:color="auto" w:fill="CCEEFF"/>
          </w:tcPr>
          <w:p>
            <w:pPr>
              <w:spacing w:after="0"/>
              <w:rPr>
                <w:sz w:val="24"/>
                <w:szCs w:val="24"/>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President, Chief Scientific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393,991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73,444</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174,823</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642,258</w:t>
            </w:r>
          </w:p>
        </w:tc>
        <w:tc>
          <w:tcPr>
            <w:tcW w:w="120" w:type="dxa"/>
            <w:vAlign w:val="bottom"/>
            <w:shd w:val="clear" w:color="auto" w:fill="CCEEFF"/>
          </w:tcPr>
          <w:p>
            <w:pPr>
              <w:spacing w:after="0"/>
              <w:rPr>
                <w:sz w:val="24"/>
                <w:szCs w:val="24"/>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Mark A. Smith, M.D., Ph.D. </w:t>
            </w:r>
            <w:r>
              <w:rPr>
                <w:rFonts w:ascii="Arial" w:cs="Arial" w:eastAsia="Arial" w:hAnsi="Arial"/>
                <w:sz w:val="24"/>
                <w:szCs w:val="24"/>
                <w:color w:val="auto"/>
                <w:w w:val="99"/>
                <w:vertAlign w:val="superscript"/>
              </w:rPr>
              <w:t>(3)</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416,850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179,988</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596,838</w:t>
            </w:r>
          </w:p>
        </w:tc>
        <w:tc>
          <w:tcPr>
            <w:tcW w:w="120" w:type="dxa"/>
            <w:vAlign w:val="bottom"/>
            <w:shd w:val="clear" w:color="auto" w:fill="CCEEFF"/>
          </w:tcPr>
          <w:p>
            <w:pPr>
              <w:spacing w:after="0"/>
              <w:rPr>
                <w:sz w:val="24"/>
                <w:szCs w:val="24"/>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393,991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73,444</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154,922</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622,357</w:t>
            </w:r>
          </w:p>
        </w:tc>
        <w:tc>
          <w:tcPr>
            <w:tcW w:w="120" w:type="dxa"/>
            <w:vAlign w:val="bottom"/>
            <w:shd w:val="clear" w:color="auto" w:fill="CCEEFF"/>
          </w:tcPr>
          <w:p>
            <w:pPr>
              <w:spacing w:after="0"/>
              <w:rPr>
                <w:sz w:val="24"/>
                <w:szCs w:val="24"/>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367,500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229,571</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597,071</w:t>
            </w:r>
          </w:p>
        </w:tc>
        <w:tc>
          <w:tcPr>
            <w:tcW w:w="120" w:type="dxa"/>
            <w:vAlign w:val="bottom"/>
            <w:shd w:val="clear" w:color="auto" w:fill="CCEEFF"/>
          </w:tcPr>
          <w:p>
            <w:pPr>
              <w:spacing w:after="0"/>
              <w:rPr>
                <w:sz w:val="24"/>
                <w:szCs w:val="24"/>
                <w:color w:val="auto"/>
              </w:rPr>
            </w:pPr>
          </w:p>
        </w:tc>
      </w:tr>
      <w:tr>
        <w:trPr>
          <w:trHeight w:val="457"/>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Vice President, Chief Financial</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344,992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64,749</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131,326</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541,067</w:t>
            </w:r>
          </w:p>
        </w:tc>
        <w:tc>
          <w:tcPr>
            <w:tcW w:w="120" w:type="dxa"/>
            <w:vAlign w:val="bottom"/>
            <w:shd w:val="clear" w:color="auto" w:fill="CCEEFF"/>
          </w:tcPr>
          <w:p>
            <w:pPr>
              <w:spacing w:after="0"/>
              <w:rPr>
                <w:sz w:val="24"/>
                <w:szCs w:val="24"/>
                <w:color w:val="auto"/>
              </w:rPr>
            </w:pPr>
          </w:p>
        </w:tc>
      </w:tr>
      <w:tr>
        <w:trPr>
          <w:trHeight w:val="245"/>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Officer and Secretary</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5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179,988</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479,988</w:t>
            </w:r>
          </w:p>
        </w:tc>
        <w:tc>
          <w:tcPr>
            <w:tcW w:w="120" w:type="dxa"/>
            <w:vAlign w:val="bottom"/>
            <w:shd w:val="clear" w:color="auto" w:fill="CCEEFF"/>
          </w:tcPr>
          <w:p>
            <w:pPr>
              <w:spacing w:after="0"/>
              <w:rPr>
                <w:sz w:val="24"/>
                <w:szCs w:val="24"/>
                <w:color w:val="auto"/>
              </w:rPr>
            </w:pPr>
          </w:p>
        </w:tc>
      </w:tr>
      <w:tr>
        <w:trPr>
          <w:trHeight w:val="235"/>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24"/>
        </w:trPr>
        <w:tc>
          <w:tcPr>
            <w:tcW w:w="2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2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268,750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50,874</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187,017</w:t>
            </w: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506,641</w:t>
            </w:r>
          </w:p>
        </w:tc>
        <w:tc>
          <w:tcPr>
            <w:tcW w:w="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60" w:hanging="452"/>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jc w:val="both"/>
        <w:ind w:left="460" w:hanging="452"/>
        <w:spacing w:after="0" w:line="31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156" w:lineRule="exact"/>
        <w:rPr>
          <w:rFonts w:ascii="Arial" w:cs="Arial" w:eastAsia="Arial" w:hAnsi="Arial"/>
          <w:sz w:val="15"/>
          <w:szCs w:val="15"/>
          <w:color w:val="auto"/>
        </w:rPr>
      </w:pPr>
    </w:p>
    <w:p>
      <w:pPr>
        <w:ind w:left="460" w:hanging="452"/>
        <w:spacing w:after="0" w:line="33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140"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193"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193" w:lineRule="exact"/>
        <w:rPr>
          <w:rFonts w:ascii="Arial" w:cs="Arial" w:eastAsia="Arial" w:hAnsi="Arial"/>
          <w:sz w:val="18"/>
          <w:szCs w:val="18"/>
          <w:color w:val="auto"/>
        </w:rPr>
      </w:pPr>
    </w:p>
    <w:p>
      <w:pPr>
        <w:jc w:val="both"/>
        <w:ind w:left="460" w:hanging="452"/>
        <w:spacing w:after="0" w:line="287"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pacing w:after="0" w:line="17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2020 and the assumptions used in the Black Scholes Option Pricing Model to determine the grant date fair values of the respective awards.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91"/>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Option Grant</w:t>
            </w: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Compensation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5/23/2019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9/5/2019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254,405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229,571</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20" w:type="dxa"/>
            <w:vAlign w:val="bottom"/>
          </w:tcPr>
          <w:p>
            <w:pPr>
              <w:spacing w:after="0"/>
              <w:rPr>
                <w:sz w:val="18"/>
                <w:szCs w:val="18"/>
                <w:color w:val="auto"/>
              </w:rPr>
            </w:pP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365,130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95,803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818,646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1,279,619</w:t>
            </w:r>
          </w:p>
        </w:tc>
        <w:tc>
          <w:tcPr>
            <w:tcW w:w="20" w:type="dxa"/>
            <w:vAlign w:val="bottom"/>
          </w:tcPr>
          <w:p>
            <w:pPr>
              <w:spacing w:after="0"/>
              <w:rPr>
                <w:sz w:val="18"/>
                <w:szCs w:val="18"/>
                <w:color w:val="auto"/>
              </w:rPr>
            </w:pPr>
          </w:p>
        </w:tc>
      </w:tr>
      <w:tr>
        <w:trPr>
          <w:trHeight w:val="21"/>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0"/>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Option Grant</w:t>
            </w: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Shares Granted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5/23/2019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9/5/2019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2,125,000</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51"/>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Option Grant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Option Grant</w:t>
            </w: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Option Grant</w:t>
            </w: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Assumptions – Fiscal Year Ended March 31, 2020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5/23/2019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9/5/2019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10/21/2019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 rate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43"/>
        </w:trPr>
        <w:tc>
          <w:tcPr>
            <w:tcW w:w="5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825,000</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Modifications</w:t>
            </w:r>
          </w:p>
        </w:tc>
        <w:tc>
          <w:tcPr>
            <w:tcW w:w="1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Award Compensation – Fiscal Year Ended March 31, 2019</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8"/>
              </w:rPr>
              <w:t>8/5/2018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8/29/2018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1/14/2019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174,823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131,326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467,068</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276,456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1,022,553</w:t>
            </w:r>
          </w:p>
        </w:tc>
      </w:tr>
      <w:tr>
        <w:trPr>
          <w:trHeight w:val="20"/>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7"/>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5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Modifications</w:t>
            </w:r>
          </w:p>
        </w:tc>
        <w:tc>
          <w:tcPr>
            <w:tcW w:w="1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Option Grant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360" w:type="dxa"/>
            <w:vAlign w:val="bottom"/>
          </w:tcPr>
          <w:p>
            <w:pPr>
              <w:ind w:left="60"/>
              <w:spacing w:after="0"/>
              <w:rPr>
                <w:sz w:val="20"/>
                <w:szCs w:val="20"/>
                <w:color w:val="auto"/>
              </w:rPr>
            </w:pPr>
            <w:r>
              <w:rPr>
                <w:rFonts w:ascii="Arial" w:cs="Arial" w:eastAsia="Arial" w:hAnsi="Arial"/>
                <w:sz w:val="18"/>
                <w:szCs w:val="18"/>
                <w:color w:val="auto"/>
              </w:rPr>
              <w:t>Option Shares Granted - Fiscal Year Ended March 31, 2019</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8"/>
              </w:rPr>
              <w:t>8/5/2018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8/29/2018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1/14/2019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5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Snodgrass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Dotson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McPartland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r>
      <w:tr>
        <w:trPr>
          <w:trHeight w:val="27"/>
        </w:trPr>
        <w:tc>
          <w:tcPr>
            <w:tcW w:w="5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2,125,000</w:t>
            </w:r>
          </w:p>
        </w:tc>
      </w:tr>
      <w:tr>
        <w:trPr>
          <w:trHeight w:val="20"/>
        </w:trPr>
        <w:tc>
          <w:tcPr>
            <w:tcW w:w="5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891"/>
        </w:trPr>
        <w:tc>
          <w:tcPr>
            <w:tcW w:w="5960" w:type="dxa"/>
            <w:vAlign w:val="bottom"/>
          </w:tcPr>
          <w:p>
            <w:pPr>
              <w:spacing w:after="0"/>
              <w:rPr>
                <w:sz w:val="24"/>
                <w:szCs w:val="24"/>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Option Grant</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Option Modifications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Option Grant</w:t>
            </w:r>
          </w:p>
        </w:tc>
      </w:tr>
      <w:tr>
        <w:trPr>
          <w:trHeight w:val="252"/>
        </w:trPr>
        <w:tc>
          <w:tcPr>
            <w:tcW w:w="5960" w:type="dxa"/>
            <w:vAlign w:val="bottom"/>
          </w:tcPr>
          <w:p>
            <w:pPr>
              <w:ind w:left="60"/>
              <w:spacing w:after="0"/>
              <w:rPr>
                <w:sz w:val="20"/>
                <w:szCs w:val="20"/>
                <w:color w:val="auto"/>
              </w:rPr>
            </w:pPr>
            <w:r>
              <w:rPr>
                <w:rFonts w:ascii="Arial" w:cs="Arial" w:eastAsia="Arial" w:hAnsi="Arial"/>
                <w:sz w:val="18"/>
                <w:szCs w:val="18"/>
                <w:color w:val="auto"/>
              </w:rPr>
              <w:t>Option Award Assumptions – Fiscal Year Ended March 31, 2019</w:t>
            </w:r>
          </w:p>
        </w:tc>
        <w:tc>
          <w:tcPr>
            <w:tcW w:w="1060" w:type="dxa"/>
            <w:vAlign w:val="bottom"/>
          </w:tcPr>
          <w:p>
            <w:pPr>
              <w:jc w:val="right"/>
              <w:spacing w:after="0"/>
              <w:rPr>
                <w:sz w:val="20"/>
                <w:szCs w:val="20"/>
                <w:color w:val="auto"/>
              </w:rPr>
            </w:pPr>
            <w:r>
              <w:rPr>
                <w:rFonts w:ascii="Arial" w:cs="Arial" w:eastAsia="Arial" w:hAnsi="Arial"/>
                <w:sz w:val="18"/>
                <w:szCs w:val="18"/>
                <w:color w:val="auto"/>
              </w:rPr>
              <w:t>8/5/2018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8/29/2018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1/14/2019</w:t>
            </w:r>
          </w:p>
        </w:tc>
        <w:tc>
          <w:tcPr>
            <w:tcW w:w="18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99.29%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93.56%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Dividend rate</w:t>
            </w: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43"/>
        </w:trPr>
        <w:tc>
          <w:tcPr>
            <w:tcW w:w="59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Fair value per share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2" w:lineRule="exact"/>
        <w:rPr>
          <w:sz w:val="20"/>
          <w:szCs w:val="20"/>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reported in the Bonus column reflect bonuses earned and accrued during the year ended March 31, 2019 by each NEO for attainment of performance-based objectives during that period. Bonus amounts earned during the year ended March 31, 2019 were paid to each NEO during the subsequent fiscal year.</w:t>
      </w:r>
    </w:p>
    <w:p>
      <w:pPr>
        <w:spacing w:after="0" w:line="19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Compensation Committee has not yet determined or awarded a bonus to any NEO for our fiscal year ended March 31, 2020, nor have any bonus amounts been accrued as of the date of this prospectus.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NEO is entitled to any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65"/>
              <w:spacing w:after="0"/>
              <w:rPr>
                <w:sz w:val="20"/>
                <w:szCs w:val="20"/>
                <w:color w:val="auto"/>
              </w:rPr>
            </w:pPr>
            <w:r>
              <w:rPr>
                <w:rFonts w:ascii="Arial" w:cs="Arial" w:eastAsia="Arial" w:hAnsi="Arial"/>
                <w:sz w:val="18"/>
                <w:szCs w:val="18"/>
                <w:b w:val="1"/>
                <w:bCs w:val="1"/>
                <w:color w:val="auto"/>
                <w:w w:val="89"/>
              </w:rPr>
              <w:t>Stock Options and Warrants</w:t>
            </w:r>
          </w:p>
        </w:tc>
        <w:tc>
          <w:tcPr>
            <w:tcW w:w="1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6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Unexercised</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Unexercised</w:t>
            </w:r>
          </w:p>
        </w:tc>
        <w:tc>
          <w:tcPr>
            <w:tcW w:w="6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 Exercisable</w:t>
            </w:r>
          </w:p>
        </w:tc>
        <w:tc>
          <w:tcPr>
            <w:tcW w:w="6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Unexercisable</w:t>
            </w:r>
          </w:p>
        </w:tc>
        <w:tc>
          <w:tcPr>
            <w:tcW w:w="6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Shawn K. Singh</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9/2/2020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187,500</w:t>
            </w:r>
          </w:p>
        </w:tc>
        <w:tc>
          <w:tcPr>
            <w:tcW w:w="620" w:type="dxa"/>
            <w:vAlign w:val="bottom"/>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c>
          <w:tcPr>
            <w:tcW w:w="620" w:type="dxa"/>
            <w:vAlign w:val="bottom"/>
          </w:tcPr>
          <w:p>
            <w:pPr>
              <w:ind w:left="180"/>
              <w:spacing w:after="0"/>
              <w:rPr>
                <w:sz w:val="20"/>
                <w:szCs w:val="20"/>
                <w:color w:val="auto"/>
              </w:rPr>
            </w:pPr>
            <w:r>
              <w:rPr>
                <w:rFonts w:ascii="Arial" w:cs="Arial" w:eastAsia="Arial" w:hAnsi="Arial"/>
                <w:sz w:val="15"/>
                <w:szCs w:val="15"/>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6/19/2026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170,138</w:t>
            </w:r>
          </w:p>
        </w:tc>
        <w:tc>
          <w:tcPr>
            <w:tcW w:w="620" w:type="dxa"/>
            <w:vAlign w:val="bottom"/>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4,862</w:t>
            </w:r>
          </w:p>
        </w:tc>
        <w:tc>
          <w:tcPr>
            <w:tcW w:w="620" w:type="dxa"/>
            <w:vAlign w:val="bottom"/>
          </w:tcPr>
          <w:p>
            <w:pPr>
              <w:ind w:left="180"/>
              <w:spacing w:after="0"/>
              <w:rPr>
                <w:sz w:val="20"/>
                <w:szCs w:val="20"/>
                <w:color w:val="auto"/>
              </w:rPr>
            </w:pPr>
            <w:r>
              <w:rPr>
                <w:rFonts w:ascii="Arial" w:cs="Arial" w:eastAsia="Arial" w:hAnsi="Arial"/>
                <w:sz w:val="15"/>
                <w:szCs w:val="15"/>
                <w:color w:val="auto"/>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4/26/2027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1/14/2029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58,335</w:t>
            </w:r>
          </w:p>
        </w:tc>
        <w:tc>
          <w:tcPr>
            <w:tcW w:w="620" w:type="dxa"/>
            <w:vAlign w:val="bottom"/>
          </w:tcPr>
          <w:p>
            <w:pPr>
              <w:ind w:left="180"/>
              <w:spacing w:after="0"/>
              <w:rPr>
                <w:sz w:val="20"/>
                <w:szCs w:val="20"/>
                <w:color w:val="auto"/>
              </w:rPr>
            </w:pPr>
            <w:r>
              <w:rPr>
                <w:rFonts w:ascii="Arial" w:cs="Arial" w:eastAsia="Arial" w:hAnsi="Arial"/>
                <w:sz w:val="15"/>
                <w:szCs w:val="15"/>
                <w:color w:val="auto"/>
              </w:rPr>
              <w:t>(7)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21,665</w:t>
            </w:r>
          </w:p>
        </w:tc>
        <w:tc>
          <w:tcPr>
            <w:tcW w:w="620" w:type="dxa"/>
            <w:vAlign w:val="bottom"/>
          </w:tcPr>
          <w:p>
            <w:pPr>
              <w:ind w:left="180"/>
              <w:spacing w:after="0"/>
              <w:rPr>
                <w:sz w:val="20"/>
                <w:szCs w:val="20"/>
                <w:color w:val="auto"/>
              </w:rPr>
            </w:pPr>
            <w:r>
              <w:rPr>
                <w:rFonts w:ascii="Arial" w:cs="Arial" w:eastAsia="Arial" w:hAnsi="Arial"/>
                <w:sz w:val="15"/>
                <w:szCs w:val="15"/>
                <w:color w:val="auto"/>
              </w:rPr>
              <w:t>(7)</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5/23/2029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9/5/2029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Borders>
              <w:right w:val="single" w:sz="8" w:color="CCEEFF"/>
            </w:tcBorders>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121,875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178,125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1,604,848</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392,152</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120" w:type="dxa"/>
            <w:vAlign w:val="bottom"/>
            <w:tcBorders>
              <w:right w:val="single" w:sz="8" w:color="CCEEFF"/>
            </w:tcBorders>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117,187</w:t>
            </w:r>
          </w:p>
        </w:tc>
        <w:tc>
          <w:tcPr>
            <w:tcW w:w="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7,813</w:t>
            </w:r>
          </w:p>
        </w:tc>
        <w:tc>
          <w:tcPr>
            <w:tcW w:w="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vMerge w:val="restart"/>
            <w:shd w:val="clear" w:color="auto" w:fill="CCEEFF"/>
          </w:tcPr>
          <w:p>
            <w:pPr>
              <w:jc w:val="center"/>
              <w:ind w:left="232"/>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120" w:type="dxa"/>
            <w:vAlign w:val="bottom"/>
            <w:tcBorders>
              <w:right w:val="single" w:sz="8" w:color="CCEEFF"/>
            </w:tcBorders>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600" w:type="dxa"/>
            <w:vAlign w:val="bottom"/>
            <w:tcBorders>
              <w:left w:val="single" w:sz="8" w:color="CCEEFF"/>
            </w:tcBorders>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105,468</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19,532</w:t>
            </w:r>
          </w:p>
        </w:tc>
        <w:tc>
          <w:tcPr>
            <w:tcW w:w="620" w:type="dxa"/>
            <w:vAlign w:val="bottom"/>
          </w:tcPr>
          <w:p>
            <w:pPr>
              <w:ind w:left="180"/>
              <w:spacing w:after="0"/>
              <w:rPr>
                <w:sz w:val="20"/>
                <w:szCs w:val="20"/>
                <w:color w:val="auto"/>
              </w:rPr>
            </w:pPr>
            <w:r>
              <w:rPr>
                <w:rFonts w:ascii="Arial" w:cs="Arial" w:eastAsia="Arial" w:hAnsi="Arial"/>
                <w:sz w:val="15"/>
                <w:szCs w:val="15"/>
                <w:color w:val="auto"/>
              </w:rPr>
              <w:t>(4)</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71,094</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103,906</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1,039,026</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215,974</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84,375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15,625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40,625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59,375</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864,027</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170,973</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5,001</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10/30/2022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10/27/2023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9/2/2020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3/3/2023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70,312</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6/19/2026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ind w:left="180"/>
              <w:spacing w:after="0"/>
              <w:rPr>
                <w:sz w:val="20"/>
                <w:szCs w:val="20"/>
                <w:color w:val="auto"/>
              </w:rPr>
            </w:pP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11/9/2026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97,222</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4/26/2027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9/19/2027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left w:val="single" w:sz="8" w:color="CCEEFF"/>
            </w:tcBorders>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2/2/2028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84,375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15,625</w:t>
            </w:r>
          </w:p>
        </w:tc>
        <w:tc>
          <w:tcPr>
            <w:tcW w:w="620" w:type="dxa"/>
            <w:vAlign w:val="bottom"/>
          </w:tcPr>
          <w:p>
            <w:pPr>
              <w:ind w:left="180"/>
              <w:spacing w:after="0"/>
              <w:rPr>
                <w:sz w:val="20"/>
                <w:szCs w:val="20"/>
                <w:color w:val="auto"/>
              </w:rPr>
            </w:pPr>
            <w:r>
              <w:rPr>
                <w:rFonts w:ascii="Arial" w:cs="Arial" w:eastAsia="Arial" w:hAnsi="Arial"/>
                <w:sz w:val="15"/>
                <w:szCs w:val="15"/>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8/5/2028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20" w:type="dxa"/>
            <w:vAlign w:val="bottom"/>
            <w:tcBorders>
              <w:right w:val="single" w:sz="8" w:color="CCEEFF"/>
            </w:tcBorders>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81,250</w:t>
            </w:r>
          </w:p>
        </w:tc>
        <w:tc>
          <w:tcPr>
            <w:tcW w:w="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Borders>
              <w:left w:val="single" w:sz="8" w:color="CCEEFF"/>
            </w:tcBorders>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5/23/2029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60,938</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89,062</w:t>
            </w:r>
          </w:p>
        </w:tc>
        <w:tc>
          <w:tcPr>
            <w:tcW w:w="620" w:type="dxa"/>
            <w:vAlign w:val="bottom"/>
          </w:tcPr>
          <w:p>
            <w:pPr>
              <w:ind w:left="180"/>
              <w:spacing w:after="0"/>
              <w:rPr>
                <w:sz w:val="20"/>
                <w:szCs w:val="20"/>
                <w:color w:val="auto"/>
              </w:rPr>
            </w:pPr>
            <w:r>
              <w:rPr>
                <w:rFonts w:ascii="Arial" w:cs="Arial" w:eastAsia="Arial" w:hAnsi="Arial"/>
                <w:sz w:val="15"/>
                <w:szCs w:val="15"/>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10/21/2029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847,598</w:t>
            </w:r>
          </w:p>
        </w:tc>
        <w:tc>
          <w:tcPr>
            <w:tcW w:w="6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193,403</w:t>
            </w:r>
          </w:p>
        </w:tc>
        <w:tc>
          <w:tcPr>
            <w:tcW w:w="6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1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Mark A. McPartland</w:t>
            </w:r>
          </w:p>
        </w:tc>
        <w:tc>
          <w:tcPr>
            <w:tcW w:w="142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109,375</w:t>
            </w:r>
          </w:p>
        </w:tc>
        <w:tc>
          <w:tcPr>
            <w:tcW w:w="6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15,625</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1.50</w:t>
            </w:r>
          </w:p>
        </w:tc>
        <w:tc>
          <w:tcPr>
            <w:tcW w:w="1600" w:type="dxa"/>
            <w:vAlign w:val="bottom"/>
            <w:tcBorders>
              <w:left w:val="single" w:sz="8" w:color="CCEEFF"/>
            </w:tcBorders>
            <w:gridSpan w:val="2"/>
            <w:shd w:val="clear" w:color="auto" w:fill="CCEEFF"/>
          </w:tcPr>
          <w:p>
            <w:pPr>
              <w:jc w:val="center"/>
              <w:ind w:left="232"/>
              <w:spacing w:after="0" w:line="198" w:lineRule="exact"/>
              <w:rPr>
                <w:sz w:val="20"/>
                <w:szCs w:val="20"/>
                <w:color w:val="auto"/>
              </w:rPr>
            </w:pPr>
            <w:r>
              <w:rPr>
                <w:rFonts w:ascii="Arial" w:cs="Arial" w:eastAsia="Arial" w:hAnsi="Arial"/>
                <w:sz w:val="18"/>
                <w:szCs w:val="18"/>
                <w:color w:val="auto"/>
                <w:w w:val="89"/>
              </w:rPr>
              <w:t>9/29/2026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1" w:right="339" w:bottom="0" w:gutter="0" w:footer="0" w:header="0"/>
        </w:sectPr>
      </w:pPr>
    </w:p>
    <w:bookmarkStart w:id="31" w:name="page32"/>
    <w:bookmarkEnd w:id="31"/>
    <w:p>
      <w:pPr>
        <w:jc w:val="center"/>
        <w:ind w:left="3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600" w:type="dxa"/>
            <w:vAlign w:val="bottom"/>
          </w:tcPr>
          <w:p>
            <w:pPr>
              <w:ind w:left="160"/>
              <w:spacing w:after="0"/>
              <w:rPr>
                <w:sz w:val="20"/>
                <w:szCs w:val="20"/>
                <w:color w:val="auto"/>
              </w:rPr>
            </w:pPr>
            <w:r>
              <w:rPr>
                <w:rFonts w:ascii="Arial" w:cs="Arial" w:eastAsia="Arial" w:hAnsi="Arial"/>
                <w:sz w:val="15"/>
                <w:szCs w:val="15"/>
                <w:color w:val="auto"/>
              </w:rPr>
              <w:t>(2)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ind w:left="160"/>
              <w:spacing w:after="0"/>
              <w:rPr>
                <w:sz w:val="20"/>
                <w:szCs w:val="20"/>
                <w:color w:val="auto"/>
              </w:rPr>
            </w:pPr>
            <w:r>
              <w:rPr>
                <w:rFonts w:ascii="Arial" w:cs="Arial" w:eastAsia="Arial" w:hAnsi="Arial"/>
                <w:sz w:val="15"/>
                <w:szCs w:val="15"/>
                <w:color w:val="auto"/>
              </w:rPr>
              <w:t>(6)</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w w:val="87"/>
              </w:rPr>
              <w:t>11/9/2026</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97,222</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2,778</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4/26/2027</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6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480" w:type="dxa"/>
            <w:vAlign w:val="bottom"/>
          </w:tcPr>
          <w:p>
            <w:pPr>
              <w:jc w:val="center"/>
              <w:ind w:right="32"/>
              <w:spacing w:after="0"/>
              <w:rPr>
                <w:sz w:val="20"/>
                <w:szCs w:val="20"/>
                <w:color w:val="auto"/>
              </w:rPr>
            </w:pPr>
            <w:r>
              <w:rPr>
                <w:rFonts w:ascii="Arial" w:cs="Arial" w:eastAsia="Arial" w:hAnsi="Arial"/>
                <w:sz w:val="18"/>
                <w:szCs w:val="18"/>
                <w:color w:val="auto"/>
                <w:w w:val="89"/>
              </w:rPr>
              <w:t>9/19/2027</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6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4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2/2/2028</w:t>
            </w:r>
          </w:p>
        </w:tc>
      </w:tr>
      <w:tr>
        <w:trPr>
          <w:trHeight w:val="242"/>
        </w:trPr>
        <w:tc>
          <w:tcPr>
            <w:tcW w:w="4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126,562</w:t>
            </w:r>
          </w:p>
        </w:tc>
        <w:tc>
          <w:tcPr>
            <w:tcW w:w="600" w:type="dxa"/>
            <w:vAlign w:val="bottom"/>
          </w:tcPr>
          <w:p>
            <w:pPr>
              <w:ind w:left="160"/>
              <w:spacing w:after="0"/>
              <w:rPr>
                <w:sz w:val="20"/>
                <w:szCs w:val="20"/>
                <w:color w:val="auto"/>
              </w:rPr>
            </w:pPr>
            <w:r>
              <w:rPr>
                <w:rFonts w:ascii="Arial" w:cs="Arial" w:eastAsia="Arial" w:hAnsi="Arial"/>
                <w:sz w:val="15"/>
                <w:szCs w:val="15"/>
                <w:color w:val="auto"/>
              </w:rPr>
              <w:t>(5)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23,438</w:t>
            </w:r>
          </w:p>
        </w:tc>
        <w:tc>
          <w:tcPr>
            <w:tcW w:w="600" w:type="dxa"/>
            <w:vAlign w:val="bottom"/>
          </w:tcPr>
          <w:p>
            <w:pPr>
              <w:ind w:left="160"/>
              <w:spacing w:after="0"/>
              <w:rPr>
                <w:sz w:val="20"/>
                <w:szCs w:val="20"/>
                <w:color w:val="auto"/>
              </w:rPr>
            </w:pPr>
            <w:r>
              <w:rPr>
                <w:rFonts w:ascii="Arial" w:cs="Arial" w:eastAsia="Arial" w:hAnsi="Arial"/>
                <w:sz w:val="15"/>
                <w:szCs w:val="15"/>
                <w:color w:val="auto"/>
              </w:rPr>
              <w:t>(5)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480" w:type="dxa"/>
            <w:vAlign w:val="bottom"/>
          </w:tcPr>
          <w:p>
            <w:pPr>
              <w:jc w:val="center"/>
              <w:ind w:right="52"/>
              <w:spacing w:after="0"/>
              <w:rPr>
                <w:sz w:val="20"/>
                <w:szCs w:val="20"/>
                <w:color w:val="auto"/>
              </w:rPr>
            </w:pPr>
            <w:r>
              <w:rPr>
                <w:rFonts w:ascii="Arial" w:cs="Arial" w:eastAsia="Arial" w:hAnsi="Arial"/>
                <w:sz w:val="18"/>
                <w:szCs w:val="18"/>
                <w:color w:val="auto"/>
                <w:w w:val="88"/>
              </w:rPr>
              <w:t>8/5/2028</w:t>
            </w:r>
          </w:p>
        </w:tc>
      </w:tr>
      <w:tr>
        <w:trPr>
          <w:trHeight w:val="244"/>
        </w:trPr>
        <w:tc>
          <w:tcPr>
            <w:tcW w:w="4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68,750</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81,250</w:t>
            </w:r>
          </w:p>
        </w:tc>
        <w:tc>
          <w:tcPr>
            <w:tcW w:w="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9"/>
              </w:rPr>
              <w:t>5/23/2029</w:t>
            </w:r>
          </w:p>
        </w:tc>
      </w:tr>
      <w:tr>
        <w:trPr>
          <w:trHeight w:val="216"/>
        </w:trPr>
        <w:tc>
          <w:tcPr>
            <w:tcW w:w="4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40,625</w:t>
            </w:r>
          </w:p>
        </w:tc>
        <w:tc>
          <w:tcPr>
            <w:tcW w:w="600" w:type="dxa"/>
            <w:vAlign w:val="bottom"/>
          </w:tcPr>
          <w:p>
            <w:pPr>
              <w:ind w:left="160"/>
              <w:spacing w:after="0"/>
              <w:rPr>
                <w:sz w:val="20"/>
                <w:szCs w:val="20"/>
                <w:color w:val="auto"/>
              </w:rPr>
            </w:pPr>
            <w:r>
              <w:rPr>
                <w:rFonts w:ascii="Arial" w:cs="Arial" w:eastAsia="Arial" w:hAnsi="Arial"/>
                <w:sz w:val="15"/>
                <w:szCs w:val="15"/>
                <w:color w:val="auto"/>
              </w:rPr>
              <w:t>(10)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59,375</w:t>
            </w:r>
          </w:p>
        </w:tc>
        <w:tc>
          <w:tcPr>
            <w:tcW w:w="600" w:type="dxa"/>
            <w:vAlign w:val="bottom"/>
          </w:tcPr>
          <w:p>
            <w:pPr>
              <w:ind w:left="160"/>
              <w:spacing w:after="0"/>
              <w:rPr>
                <w:sz w:val="20"/>
                <w:szCs w:val="20"/>
                <w:color w:val="auto"/>
              </w:rPr>
            </w:pPr>
            <w:r>
              <w:rPr>
                <w:rFonts w:ascii="Arial" w:cs="Arial" w:eastAsia="Arial" w:hAnsi="Arial"/>
                <w:sz w:val="15"/>
                <w:szCs w:val="15"/>
                <w:color w:val="auto"/>
              </w:rPr>
              <w:t>(10)</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480" w:type="dxa"/>
            <w:vAlign w:val="bottom"/>
          </w:tcPr>
          <w:p>
            <w:pPr>
              <w:jc w:val="center"/>
              <w:ind w:right="32"/>
              <w:spacing w:after="0"/>
              <w:rPr>
                <w:sz w:val="20"/>
                <w:szCs w:val="20"/>
                <w:color w:val="auto"/>
              </w:rPr>
            </w:pPr>
            <w:r>
              <w:rPr>
                <w:rFonts w:ascii="Arial" w:cs="Arial" w:eastAsia="Arial" w:hAnsi="Arial"/>
                <w:sz w:val="18"/>
                <w:szCs w:val="18"/>
                <w:color w:val="auto"/>
                <w:w w:val="88"/>
              </w:rPr>
              <w:t>10/21/2029</w:t>
            </w:r>
          </w:p>
        </w:tc>
      </w:tr>
      <w:tr>
        <w:trPr>
          <w:trHeight w:val="27"/>
        </w:trPr>
        <w:tc>
          <w:tcPr>
            <w:tcW w:w="4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682,534</w:t>
            </w:r>
          </w:p>
        </w:tc>
        <w:tc>
          <w:tcPr>
            <w:tcW w:w="6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182,466</w:t>
            </w: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bl>
    <w:p>
      <w:pPr>
        <w:spacing w:after="0" w:line="208" w:lineRule="exact"/>
        <w:rPr>
          <w:sz w:val="20"/>
          <w:szCs w:val="20"/>
          <w:color w:val="auto"/>
        </w:rPr>
      </w:pPr>
    </w:p>
    <w:p>
      <w:pPr>
        <w:jc w:val="both"/>
        <w:ind w:left="4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193" w:lineRule="exact"/>
        <w:rPr>
          <w:rFonts w:ascii="Arial" w:cs="Arial" w:eastAsia="Arial" w:hAnsi="Arial"/>
          <w:sz w:val="18"/>
          <w:szCs w:val="18"/>
          <w:color w:val="auto"/>
        </w:rPr>
      </w:pPr>
    </w:p>
    <w:p>
      <w:pPr>
        <w:ind w:left="460" w:hanging="452"/>
        <w:spacing w:after="0" w:line="369"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117" w:lineRule="exact"/>
        <w:rPr>
          <w:rFonts w:ascii="Arial" w:cs="Arial" w:eastAsia="Arial" w:hAnsi="Arial"/>
          <w:sz w:val="15"/>
          <w:szCs w:val="15"/>
          <w:color w:val="auto"/>
        </w:rPr>
      </w:pPr>
    </w:p>
    <w:p>
      <w:pPr>
        <w:jc w:val="both"/>
        <w:ind w:left="4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160" w:lineRule="exact"/>
        <w:rPr>
          <w:rFonts w:ascii="Arial" w:cs="Arial" w:eastAsia="Arial" w:hAnsi="Arial"/>
          <w:sz w:val="16"/>
          <w:szCs w:val="16"/>
          <w:color w:val="auto"/>
        </w:rPr>
      </w:pPr>
    </w:p>
    <w:p>
      <w:pPr>
        <w:jc w:val="both"/>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193"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60"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The Compensation Committee has not yet determined or awarded a bonus to Mr. Singh for attainment of performance-based objectives during our fiscal year ended March 31, 2020. The award of his annual incentive bonus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The Compensation Committee has not yet determined or awarded a bonus to Dr. Snodgrass for attainment of performance-based objectives during our fiscal year ended March 31, 2020. The award of his annual incentive bonus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86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gridSpan w:val="3"/>
          </w:tcPr>
          <w:p>
            <w:pPr>
              <w:ind w:left="6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20" w:type="dxa"/>
            <w:vAlign w:val="bottom"/>
          </w:tcPr>
          <w:p>
            <w:pPr>
              <w:jc w:val="center"/>
              <w:ind w:left="312"/>
              <w:spacing w:after="0"/>
              <w:rPr>
                <w:sz w:val="20"/>
                <w:szCs w:val="20"/>
                <w:color w:val="auto"/>
              </w:rPr>
            </w:pPr>
            <w:r>
              <w:rPr>
                <w:rFonts w:ascii="Arial" w:cs="Arial" w:eastAsia="Arial" w:hAnsi="Arial"/>
                <w:sz w:val="18"/>
                <w:szCs w:val="18"/>
                <w:b w:val="1"/>
                <w:bCs w:val="1"/>
                <w:color w:val="auto"/>
                <w:w w:val="88"/>
              </w:rPr>
              <w:t>Age</w:t>
            </w:r>
          </w:p>
        </w:tc>
        <w:tc>
          <w:tcPr>
            <w:tcW w:w="40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05"/>
        </w:trPr>
        <w:tc>
          <w:tcPr>
            <w:tcW w:w="3620" w:type="dxa"/>
            <w:vAlign w:val="bottom"/>
            <w:tcBorders>
              <w:top w:val="single" w:sz="8" w:color="auto"/>
            </w:tcBorders>
          </w:tcPr>
          <w:p>
            <w:pPr>
              <w:spacing w:after="0" w:line="204" w:lineRule="exact"/>
              <w:rPr>
                <w:sz w:val="20"/>
                <w:szCs w:val="20"/>
                <w:color w:val="auto"/>
              </w:rPr>
            </w:pPr>
            <w:r>
              <w:rPr>
                <w:rFonts w:ascii="Arial" w:cs="Arial" w:eastAsia="Arial" w:hAnsi="Arial"/>
                <w:sz w:val="17"/>
                <w:szCs w:val="17"/>
                <w:color w:val="auto"/>
              </w:rPr>
              <w:t xml:space="preserve">Jon S. Saxe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center"/>
              <w:ind w:left="312"/>
              <w:spacing w:after="0" w:line="205" w:lineRule="exact"/>
              <w:rPr>
                <w:sz w:val="20"/>
                <w:szCs w:val="20"/>
                <w:color w:val="auto"/>
              </w:rPr>
            </w:pPr>
            <w:r>
              <w:rPr>
                <w:rFonts w:ascii="Arial" w:cs="Arial" w:eastAsia="Arial" w:hAnsi="Arial"/>
                <w:sz w:val="18"/>
                <w:szCs w:val="18"/>
                <w:color w:val="auto"/>
                <w:w w:val="89"/>
              </w:rPr>
              <w:t>83</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Director</w:t>
            </w:r>
          </w:p>
        </w:tc>
      </w:tr>
      <w:tr>
        <w:trPr>
          <w:trHeight w:val="216"/>
        </w:trPr>
        <w:tc>
          <w:tcPr>
            <w:tcW w:w="362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52</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9"/>
        </w:trPr>
        <w:tc>
          <w:tcPr>
            <w:tcW w:w="3620" w:type="dxa"/>
            <w:vAlign w:val="bottom"/>
          </w:tcPr>
          <w:p>
            <w:pPr>
              <w:spacing w:after="0" w:line="219"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76</w:t>
            </w:r>
          </w:p>
        </w:tc>
        <w:tc>
          <w:tcPr>
            <w:tcW w:w="400" w:type="dxa"/>
            <w:vAlign w:val="bottom"/>
          </w:tcPr>
          <w:p>
            <w:pPr>
              <w:spacing w:after="0"/>
              <w:rPr>
                <w:sz w:val="19"/>
                <w:szCs w:val="19"/>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Shawn K. Singh</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57</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3"/>
        </w:trPr>
        <w:tc>
          <w:tcPr>
            <w:tcW w:w="3620" w:type="dxa"/>
            <w:vAlign w:val="bottom"/>
          </w:tcPr>
          <w:p>
            <w:pPr>
              <w:spacing w:after="0"/>
              <w:rPr>
                <w:sz w:val="20"/>
                <w:szCs w:val="20"/>
                <w:color w:val="auto"/>
              </w:rPr>
            </w:pPr>
            <w:r>
              <w:rPr>
                <w:rFonts w:ascii="Arial" w:cs="Arial" w:eastAsia="Arial" w:hAnsi="Arial"/>
                <w:sz w:val="18"/>
                <w:szCs w:val="18"/>
                <w:color w:val="auto"/>
              </w:rPr>
              <w:t>H. Ralph Snodgrass, Ph.D.</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70</w:t>
            </w:r>
          </w:p>
        </w:tc>
        <w:tc>
          <w:tcPr>
            <w:tcW w:w="400" w:type="dxa"/>
            <w:vAlign w:val="bottom"/>
          </w:tcPr>
          <w:p>
            <w:pPr>
              <w:spacing w:after="0"/>
              <w:rPr>
                <w:sz w:val="18"/>
                <w:szCs w:val="18"/>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62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94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79</w:t>
            </w:r>
          </w:p>
        </w:tc>
        <w:tc>
          <w:tcPr>
            <w:tcW w:w="400" w:type="dxa"/>
            <w:vAlign w:val="bottom"/>
          </w:tcPr>
          <w:p>
            <w:pPr>
              <w:spacing w:after="0"/>
              <w:rPr>
                <w:sz w:val="24"/>
                <w:szCs w:val="24"/>
                <w:color w:val="auto"/>
              </w:rPr>
            </w:pP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15" w:lineRule="exact"/>
        <w:rPr>
          <w:sz w:val="20"/>
          <w:szCs w:val="20"/>
          <w:color w:val="auto"/>
        </w:rPr>
      </w:pPr>
    </w:p>
    <w:p>
      <w:pPr>
        <w:ind w:left="300" w:hanging="292"/>
        <w:spacing w:after="0" w:line="25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seven private life science companies, Achelios, Arbor Vita Corporation, Aether, Inc., Arcuo Medical, LLC, Cancer Prevention Pharmaceuticals, Inc., Lumos Pharma,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21 of this prospectus, under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21 of this prospectus, under the section 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In October 2019, following the approval by our stockholders of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we granted to each of our four independent directors options to purchase 125,000 shares of our common stock at an exercise price of $1.41 per share under the terms of our 2019 Plan. Each grant awarded to our independent directors during the year ended March 31, 2020 expires ten years after the date of grant.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7"/>
              <w:spacing w:after="0" w:line="243" w:lineRule="exact"/>
              <w:rPr>
                <w:sz w:val="20"/>
                <w:szCs w:val="20"/>
                <w:color w:val="auto"/>
              </w:rPr>
            </w:pPr>
            <w:r>
              <w:rPr>
                <w:rFonts w:ascii="Arial" w:cs="Arial" w:eastAsia="Arial" w:hAnsi="Arial"/>
                <w:sz w:val="28"/>
                <w:szCs w:val="28"/>
                <w:b w:val="1"/>
                <w:bCs w:val="1"/>
                <w:color w:val="auto"/>
                <w:w w:val="92"/>
                <w:vertAlign w:val="subscript"/>
              </w:rPr>
              <w:t>Awards</w:t>
            </w:r>
            <w:r>
              <w:rPr>
                <w:rFonts w:ascii="Arial" w:cs="Arial" w:eastAsia="Arial" w:hAnsi="Arial"/>
                <w:sz w:val="11"/>
                <w:szCs w:val="11"/>
                <w:b w:val="1"/>
                <w:bCs w:val="1"/>
                <w:color w:val="auto"/>
                <w:w w:val="92"/>
              </w:rPr>
              <w:t xml:space="preserve"> (2)(7)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3000" w:type="dxa"/>
            <w:vAlign w:val="bottom"/>
            <w:gridSpan w:val="3"/>
          </w:tcPr>
          <w:p>
            <w:pPr>
              <w:jc w:val="center"/>
              <w:ind w:left="1857"/>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line="331"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140" w:lineRule="exact"/>
        <w:rPr>
          <w:rFonts w:ascii="Arial" w:cs="Arial" w:eastAsia="Arial" w:hAnsi="Arial"/>
          <w:sz w:val="16"/>
          <w:szCs w:val="16"/>
          <w:color w:val="auto"/>
        </w:rPr>
      </w:pPr>
    </w:p>
    <w:p>
      <w:pPr>
        <w:jc w:val="both"/>
        <w:ind w:left="320" w:hanging="312"/>
        <w:spacing w:after="0" w:line="290"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171" w:lineRule="exact"/>
        <w:rPr>
          <w:rFonts w:ascii="Arial" w:cs="Arial" w:eastAsia="Arial" w:hAnsi="Arial"/>
          <w:sz w:val="16"/>
          <w:szCs w:val="16"/>
          <w:color w:val="auto"/>
        </w:rPr>
      </w:pPr>
    </w:p>
    <w:p>
      <w:pPr>
        <w:jc w:val="both"/>
        <w:ind w:left="320" w:hanging="312"/>
        <w:spacing w:after="0" w:line="298"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166" w:lineRule="exact"/>
        <w:rPr>
          <w:rFonts w:ascii="Arial" w:cs="Arial" w:eastAsia="Arial" w:hAnsi="Arial"/>
          <w:sz w:val="16"/>
          <w:szCs w:val="16"/>
          <w:color w:val="auto"/>
        </w:rPr>
      </w:pPr>
    </w:p>
    <w:p>
      <w:pPr>
        <w:jc w:val="both"/>
        <w:ind w:left="320" w:hanging="312"/>
        <w:spacing w:after="0" w:line="256"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196" w:lineRule="exact"/>
        <w:rPr>
          <w:rFonts w:ascii="Arial" w:cs="Arial" w:eastAsia="Arial" w:hAnsi="Arial"/>
          <w:sz w:val="18"/>
          <w:szCs w:val="18"/>
          <w:color w:val="auto"/>
        </w:rPr>
      </w:pPr>
    </w:p>
    <w:p>
      <w:pPr>
        <w:jc w:val="both"/>
        <w:ind w:left="320" w:hanging="312"/>
        <w:spacing w:after="0" w:line="298"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166" w:lineRule="exact"/>
        <w:rPr>
          <w:rFonts w:ascii="Arial" w:cs="Arial" w:eastAsia="Arial" w:hAnsi="Arial"/>
          <w:sz w:val="16"/>
          <w:szCs w:val="16"/>
          <w:color w:val="auto"/>
        </w:rPr>
      </w:pPr>
    </w:p>
    <w:p>
      <w:pPr>
        <w:jc w:val="both"/>
        <w:ind w:left="320" w:hanging="312"/>
        <w:spacing w:after="0" w:line="259"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193" w:lineRule="exact"/>
        <w:rPr>
          <w:rFonts w:ascii="Arial" w:cs="Arial" w:eastAsia="Arial" w:hAnsi="Arial"/>
          <w:sz w:val="18"/>
          <w:szCs w:val="18"/>
          <w:color w:val="auto"/>
        </w:rPr>
      </w:pPr>
    </w:p>
    <w:p>
      <w:pPr>
        <w:ind w:left="320" w:hanging="312"/>
        <w:spacing w:after="0" w:line="331"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75"/>
        </w:trPr>
        <w:tc>
          <w:tcPr>
            <w:tcW w:w="4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2"/>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color w:val="auto"/>
                <w:w w:val="88"/>
              </w:rPr>
              <w:t>10/21/2019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43"/>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Underdown</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2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Cunningham</w:t>
            </w: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405,388</w:t>
            </w:r>
          </w:p>
        </w:tc>
        <w:tc>
          <w:tcPr>
            <w:tcW w:w="14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Exercise Price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Volatility</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Aggregate option shares</w:t>
            </w: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Mr. Saxe, Dr. Underdown, Dr. Gin and Ms. Cunningham were each granted an option to purchase 50,000 shares of our common stock on May 23, 2019.</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was also granted an option to purchase 75,000 shares of our common stock on October 21, 2019.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left="180" w:right="12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Fiscal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left="180" w:right="12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left="180" w:right="12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Dr. Underdown, Dr. Gin and Ms. Cunningham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980" w:hanging="486"/>
        <w:spacing w:after="0" w:line="25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980" w:hanging="486"/>
        <w:spacing w:after="0" w:line="33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40"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74,487 registered and/or restricted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9,592,607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151765</wp:posOffset>
            </wp:positionV>
            <wp:extent cx="1362710" cy="951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7"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8"/>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2020-04-15T15:28:41Z</dcterms:created>
  <dcterms:modified xsi:type="dcterms:W3CDTF">2020-04-15T15:28:41Z</dcterms:modified>
</cp:coreProperties>
</file>