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26,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41"/>
        </w:trPr>
        <w:tc>
          <w:tcPr>
            <w:tcW w:w="4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20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00" w:type="dxa"/>
            <w:vAlign w:val="bottom"/>
          </w:tcPr>
          <w:p>
            <w:pPr>
              <w:jc w:val="center"/>
              <w:ind w:right="472"/>
              <w:spacing w:after="0"/>
              <w:rPr>
                <w:sz w:val="20"/>
                <w:szCs w:val="20"/>
                <w:color w:val="auto"/>
              </w:rPr>
            </w:pPr>
            <w:r>
              <w:rPr>
                <w:rFonts w:ascii="Arial" w:cs="Arial" w:eastAsia="Arial" w:hAnsi="Arial"/>
                <w:sz w:val="18"/>
                <w:szCs w:val="18"/>
                <w:color w:val="auto"/>
                <w:w w:val="95"/>
              </w:rPr>
              <w:t>VTGN</w:t>
            </w:r>
          </w:p>
        </w:tc>
        <w:tc>
          <w:tcPr>
            <w:tcW w:w="484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April 26, 2021, all previously issued shares of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which shares of Series D Preferred were originally offered and sold as a part of the Company’s underwritten public offering completed in December 2020 that resulted in gross proceeds to the Company of $100 million, have been converted into a total of 46.0 million shares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Following the completion of the conversion of all issued and outstanding shares of Series D Preferred, the Company had 190,202,496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April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2021-04-26T16:24:07Z</dcterms:created>
  <dcterms:modified xsi:type="dcterms:W3CDTF">2021-04-26T16:24:07Z</dcterms:modified>
</cp:coreProperties>
</file>