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vtgn20231106_8k.htm"/>
      <w:bookmarkStart w:id="1" w:name="ksvtgn20231106_8k"/>
      <w:bookmarkEnd w:id="0"/>
      <w:bookmarkEnd w:id="1"/>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UNITED STATES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SECURITIES AND EXCHANGE COMMISSION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CURRENT REPORT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PURSUANT TO SECTION 13 OR 15(d) of the SECURITIES EXCHANGE ACT OF 1934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Date of Report (Date of earliest event reported): </w:t>
      </w:r>
      <w:r>
        <w:rPr>
          <w:rFonts w:ascii="Times New Roman" w:hAnsi="Times New Roman"/>
          <w:b/>
          <w:caps w:val="false"/>
          <w:smallCaps w:val="false"/>
          <w:sz w:val="20"/>
          <w:u w:val="single"/>
        </w:rPr>
        <w:t>November 2,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Vistagen Therapeutics, Inc.</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645" w:type="dxa"/>
        <w:jc w:val="left"/>
        <w:tblInd w:w="0" w:type="dxa"/>
        <w:tblLayout w:type="fixed"/>
        <w:tblCellMar>
          <w:top w:w="0" w:type="dxa"/>
          <w:left w:w="0" w:type="dxa"/>
          <w:bottom w:w="0" w:type="dxa"/>
          <w:right w:w="0" w:type="dxa"/>
        </w:tblCellMar>
      </w:tblPr>
      <w:tblGrid>
        <w:gridCol w:w="2465"/>
        <w:gridCol w:w="2240"/>
        <w:gridCol w:w="1940"/>
      </w:tblGrid>
      <w:tr>
        <w:trPr/>
        <w:tc>
          <w:tcPr>
            <w:tcW w:w="24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w:t>
            </w:r>
            <w:r>
              <w:rPr>
                <w:rFonts w:ascii="Times New Roman" w:hAnsi="Times New Roman"/>
                <w:b/>
                <w:caps/>
                <w:sz w:val="20"/>
              </w:rPr>
              <w:t>evada</w:t>
            </w:r>
          </w:p>
        </w:tc>
        <w:tc>
          <w:tcPr>
            <w:tcW w:w="22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000-54014</w:t>
            </w:r>
          </w:p>
        </w:tc>
        <w:tc>
          <w:tcPr>
            <w:tcW w:w="19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20-5093315</w:t>
            </w:r>
          </w:p>
        </w:tc>
      </w:tr>
      <w:tr>
        <w:trPr/>
        <w:tc>
          <w:tcPr>
            <w:tcW w:w="24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 xml:space="preserve">(State or other jurisdiction of </w:t>
            </w:r>
            <w:r>
              <w:rPr>
                <w:rFonts w:ascii="Times New Roman" w:hAnsi="Times New Roman"/>
                <w:caps w:val="false"/>
                <w:smallCaps w:val="false"/>
                <w:sz w:val="20"/>
              </w:rPr>
              <w:br/>
            </w:r>
            <w:r>
              <w:rPr>
                <w:rFonts w:ascii="Times New Roman" w:hAnsi="Times New Roman"/>
                <w:i/>
                <w:caps w:val="false"/>
                <w:smallCaps w:val="false"/>
                <w:sz w:val="20"/>
              </w:rPr>
              <w:t>incorporation)</w:t>
            </w:r>
          </w:p>
        </w:tc>
        <w:tc>
          <w:tcPr>
            <w:tcW w:w="2240" w:type="dxa"/>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 xml:space="preserve">(Commission File Number) </w:t>
            </w:r>
          </w:p>
        </w:tc>
        <w:tc>
          <w:tcPr>
            <w:tcW w:w="19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 xml:space="preserve">(IRS Employer </w:t>
            </w:r>
            <w:r>
              <w:rPr>
                <w:rFonts w:ascii="Times New Roman" w:hAnsi="Times New Roman"/>
                <w:caps w:val="false"/>
                <w:smallCaps w:val="false"/>
                <w:sz w:val="20"/>
              </w:rPr>
              <w:br/>
            </w:r>
            <w:r>
              <w:rPr>
                <w:rFonts w:ascii="Times New Roman" w:hAnsi="Times New Roman"/>
                <w:i/>
                <w:caps w:val="false"/>
                <w:smallCaps w:val="false"/>
                <w:sz w:val="20"/>
              </w:rPr>
              <w:t xml:space="preserve">Identification Number) </w:t>
            </w:r>
          </w:p>
        </w:tc>
      </w:tr>
    </w:tbl>
    <w:p>
      <w:pPr>
        <w:pStyle w:val="TextBody"/>
        <w:bidi w:val="0"/>
        <w:spacing w:before="0" w:after="0"/>
        <w:ind w:left="0" w:right="0" w:hanging="0"/>
        <w:jc w:val="left"/>
        <w:rPr>
          <w:caps w:val="false"/>
          <w:smallCaps w:val="false"/>
        </w:rPr>
      </w:pPr>
      <w:r>
        <w:rPr>
          <w:caps w:val="false"/>
          <w:smallCaps w:val="false"/>
        </w:rPr>
        <w:t> </w:t>
      </w:r>
    </w:p>
    <w:tbl>
      <w:tblPr>
        <w:tblW w:w="3290" w:type="dxa"/>
        <w:jc w:val="left"/>
        <w:tblInd w:w="0" w:type="dxa"/>
        <w:tblLayout w:type="fixed"/>
        <w:tblCellMar>
          <w:top w:w="0" w:type="dxa"/>
          <w:left w:w="0" w:type="dxa"/>
          <w:bottom w:w="0" w:type="dxa"/>
          <w:right w:w="0" w:type="dxa"/>
        </w:tblCellMar>
      </w:tblPr>
      <w:tblGrid>
        <w:gridCol w:w="3290"/>
      </w:tblGrid>
      <w:tr>
        <w:trPr/>
        <w:tc>
          <w:tcPr>
            <w:tcW w:w="329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343 Allerton Ave.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South San Francisco, California 94080</w:t>
            </w:r>
          </w:p>
        </w:tc>
      </w:tr>
      <w:tr>
        <w:trPr/>
        <w:tc>
          <w:tcPr>
            <w:tcW w:w="3290" w:type="dxa"/>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(Address of principal executive offices)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(650) 577-3600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(Registrant</w:t>
      </w:r>
      <w:r>
        <w:rPr>
          <w:rFonts w:ascii="Times New Roman" w:hAnsi="Times New Roman"/>
          <w:caps w:val="false"/>
          <w:smallCaps w:val="false"/>
          <w:sz w:val="20"/>
        </w:rPr>
        <w:t>’</w:t>
      </w:r>
      <w:r>
        <w:rPr>
          <w:rFonts w:ascii="Times New Roman" w:hAnsi="Times New Roman"/>
          <w:i/>
          <w:caps w:val="false"/>
          <w:smallCaps w:val="false"/>
          <w:sz w:val="20"/>
        </w:rPr>
        <w: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 Applicable</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Soliciting material pursuant to Rule 14a-12 under the Exchange Act (17 CFR 240.14a -12)</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14d-2(b) under the Exchange Act (17 CFR 240.14d -2(b))</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13e-4(c) under the Exchange Act (17 CFR 240.13e -4(c))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5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$0.001 per share</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VTGN</w:t>
            </w:r>
          </w:p>
        </w:tc>
        <w:tc>
          <w:tcPr>
            <w:tcW w:w="35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November 2, 2023, Vistagen Therapeutics, Inc. (the “</w:t>
      </w:r>
      <w:r>
        <w:rPr>
          <w:rFonts w:ascii="Times New Roman" w:hAnsi="Times New Roman"/>
          <w:i/>
          <w:caps w:val="false"/>
          <w:smallCaps w:val="false"/>
          <w:sz w:val="20"/>
        </w:rPr>
        <w:t>Company</w:t>
      </w:r>
      <w:r>
        <w:rPr>
          <w:rFonts w:ascii="Times New Roman" w:hAnsi="Times New Roman"/>
          <w:caps w:val="false"/>
          <w:smallCaps w:val="false"/>
          <w:sz w:val="20"/>
        </w:rPr>
        <w:t>”) received a $1,5000,000 payment (the “</w:t>
      </w:r>
      <w:r>
        <w:rPr>
          <w:rFonts w:ascii="Times New Roman" w:hAnsi="Times New Roman"/>
          <w:i/>
          <w:caps w:val="false"/>
          <w:smallCaps w:val="false"/>
          <w:sz w:val="20"/>
        </w:rPr>
        <w:t>Purchase Price</w:t>
      </w:r>
      <w:r>
        <w:rPr>
          <w:rFonts w:ascii="Times New Roman" w:hAnsi="Times New Roman"/>
          <w:caps w:val="false"/>
          <w:smallCaps w:val="false"/>
          <w:sz w:val="20"/>
        </w:rPr>
        <w:t>”) from Fuji Pharma Co., Ltd. (“</w:t>
      </w:r>
      <w:r>
        <w:rPr>
          <w:rFonts w:ascii="Times New Roman" w:hAnsi="Times New Roman"/>
          <w:i/>
          <w:caps w:val="false"/>
          <w:smallCaps w:val="false"/>
          <w:sz w:val="20"/>
        </w:rPr>
        <w:t>Fuji Pharma</w:t>
      </w:r>
      <w:r>
        <w:rPr>
          <w:rFonts w:ascii="Times New Roman" w:hAnsi="Times New Roman"/>
          <w:caps w:val="false"/>
          <w:smallCaps w:val="false"/>
          <w:sz w:val="20"/>
        </w:rPr>
        <w:t>”), in accordance with the Exclusive Negotiation Agreement (the “</w:t>
      </w:r>
      <w:r>
        <w:rPr>
          <w:rFonts w:ascii="Times New Roman" w:hAnsi="Times New Roman"/>
          <w:i/>
          <w:caps w:val="false"/>
          <w:smallCaps w:val="false"/>
          <w:sz w:val="20"/>
        </w:rPr>
        <w:t>Negotiation</w:t>
      </w:r>
      <w:r>
        <w:rPr>
          <w:rFonts w:ascii="Times New Roman" w:hAnsi="Times New Roman"/>
          <w:caps w:val="false"/>
          <w:smallCaps w:val="false"/>
          <w:sz w:val="20"/>
        </w:rPr>
        <w:t xml:space="preserve"> </w:t>
      </w:r>
      <w:r>
        <w:rPr>
          <w:rFonts w:ascii="Times New Roman" w:hAnsi="Times New Roman"/>
          <w:i/>
          <w:caps w:val="false"/>
          <w:smallCaps w:val="false"/>
          <w:sz w:val="20"/>
        </w:rPr>
        <w:t>Agreement</w:t>
      </w:r>
      <w:r>
        <w:rPr>
          <w:rFonts w:ascii="Times New Roman" w:hAnsi="Times New Roman"/>
          <w:caps w:val="false"/>
          <w:smallCaps w:val="false"/>
          <w:sz w:val="20"/>
        </w:rPr>
        <w:t>”) entered into by Company and Fuji Pharma on September 1, 2023. The Negotiation Agreement provides for a limited period of time during which Fuji Pharma has the exclusive opportunity to negotiate with the Company for a potential license to develop and commercialize PH80, the Company’s non-systemic, hormone-free pherine nasal spray product candidate, in Japan for the acute treatment of moderate to severe vasomotor symptoms (hot flashes) due to menopause and potentially other indications.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Purchase Price is not refundable, except upon a material breach of the Negotiation Agreement by the Company. Should the Company and Fuji Pharma enter into a definitive license agreement for the development and commercialization of PH80 in Japan during the exclusive negotiation period (a “</w:t>
      </w:r>
      <w:r>
        <w:rPr>
          <w:rFonts w:ascii="Times New Roman" w:hAnsi="Times New Roman"/>
          <w:i/>
          <w:caps w:val="false"/>
          <w:smallCaps w:val="false"/>
          <w:sz w:val="20"/>
        </w:rPr>
        <w:t>Potential Definitive Agreement</w:t>
      </w:r>
      <w:r>
        <w:rPr>
          <w:rFonts w:ascii="Times New Roman" w:hAnsi="Times New Roman"/>
          <w:caps w:val="false"/>
          <w:smallCaps w:val="false"/>
          <w:sz w:val="20"/>
        </w:rPr>
        <w:t>”), the Purchase Price will be creditable against the signing fee for such agreement. Neither the Company nor Fuji Pharma is obligated to enter into the Potential Definitive Agreement, and if the Company and Fuji Pharma have not entered into the Potential Definitive Agreement on or before the end of the exclusive negotiation period, either the Company or Fuji Pharma may terminate any further negotiations.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Additional disclosure regarding the Negotiation Agreement is available in the </w:t>
      </w:r>
      <w:hyperlink r:id="rId2">
        <w:r>
          <w:rPr>
            <w:rStyle w:val="InternetLink"/>
            <w:rFonts w:ascii="Times New Roman" w:hAnsi="Times New Roman"/>
            <w:caps w:val="false"/>
            <w:smallCaps w:val="false"/>
            <w:sz w:val="20"/>
          </w:rPr>
          <w:t>Company’s Current Report on Form 8-K filed with the Securities and Exchange Commission on September 8, 2023</w:t>
        </w:r>
      </w:hyperlink>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Item 9.01 Financial Statements and Exhibits.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 Exhibits Index</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28" w:type="dxa"/>
          <w:right w:w="0" w:type="dxa"/>
        </w:tblCellMar>
      </w:tblPr>
      <w:tblGrid>
        <w:gridCol w:w="980"/>
        <w:gridCol w:w="60"/>
        <w:gridCol w:w="6470"/>
      </w:tblGrid>
      <w:tr>
        <w:trPr/>
        <w:tc>
          <w:tcPr>
            <w:tcW w:w="98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320" w:type="dxa"/>
        <w:jc w:val="left"/>
        <w:tblInd w:w="0" w:type="dxa"/>
        <w:tblLayout w:type="fixed"/>
        <w:tblCellMar>
          <w:top w:w="0" w:type="dxa"/>
          <w:left w:w="0" w:type="dxa"/>
          <w:bottom w:w="0" w:type="dxa"/>
          <w:right w:w="0" w:type="dxa"/>
        </w:tblCellMar>
      </w:tblPr>
      <w:tblGrid>
        <w:gridCol w:w="2000"/>
        <w:gridCol w:w="320"/>
        <w:gridCol w:w="1940"/>
        <w:gridCol w:w="60"/>
      </w:tblGrid>
      <w:tr>
        <w:trPr/>
        <w:tc>
          <w:tcPr>
            <w:tcW w:w="2000" w:type="dxa"/>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Vistagen Therapeutics, Inc.</w:t>
            </w:r>
          </w:p>
        </w:tc>
        <w:tc>
          <w:tcPr>
            <w:tcW w:w="60"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6, 2023</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Shawn K. Singh</w:t>
            </w:r>
          </w:p>
        </w:tc>
        <w:tc>
          <w:tcPr>
            <w:tcW w:w="60"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Shawn K. Singh</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11685/000143774923025509/vtgn20230908_8k.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623</Words>
  <Characters>3497</Characters>
  <CharactersWithSpaces>4127</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