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us92840h2022_070723.txt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VistaGen Therapeutics, Inc.</w:t>
      </w:r>
    </w:p>
    <w:p>
      <w:pPr>
        <w:spacing w:after="0" w:line="1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183"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1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18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92840H202</w:t>
      </w:r>
    </w:p>
    <w:p>
      <w:pPr>
        <w:spacing w:after="0" w:line="1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18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June 30, 2023</w:t>
      </w:r>
    </w:p>
    <w:p>
      <w:pPr>
        <w:spacing w:after="0" w:line="1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83" w:lineRule="exact"/>
        <w:rPr>
          <w:sz w:val="24"/>
          <w:szCs w:val="24"/>
          <w:color w:val="auto"/>
        </w:rPr>
      </w:pPr>
    </w:p>
    <w:p>
      <w:pPr>
        <w:ind w:right="3919"/>
        <w:spacing w:after="0" w:line="259"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167" w:lineRule="exact"/>
        <w:rPr>
          <w:sz w:val="24"/>
          <w:szCs w:val="24"/>
          <w:color w:val="auto"/>
        </w:rPr>
      </w:pPr>
    </w:p>
    <w:p>
      <w:pPr>
        <w:jc w:val="both"/>
        <w:ind w:right="8339" w:firstLine="8"/>
        <w:spacing w:after="0" w:line="295"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44" w:lineRule="exact"/>
        <w:rPr>
          <w:sz w:val="24"/>
          <w:szCs w:val="24"/>
          <w:color w:val="auto"/>
        </w:rPr>
      </w:pPr>
    </w:p>
    <w:p>
      <w:pPr>
        <w:ind w:right="4119"/>
        <w:spacing w:after="0" w:line="274"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83" w:lineRule="exact"/>
        <w:rPr>
          <w:sz w:val="24"/>
          <w:szCs w:val="24"/>
          <w:color w:val="auto"/>
        </w:rPr>
      </w:pPr>
    </w:p>
    <w:p>
      <w:pPr>
        <w:ind w:right="4339"/>
        <w:spacing w:after="0" w:line="27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92840H202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18"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85"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26"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0.0%</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VistaGen Therapeutics,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343 ALLERTON AVENUE, SOUTH</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SAN FRANCISCO CA 94080</w:t>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rPr>
          <w:sz w:val="20"/>
          <w:szCs w:val="20"/>
          <w:color w:val="auto"/>
        </w:rPr>
      </w:pPr>
      <w:r>
        <w:rPr>
          <w:rFonts w:ascii="Courier New" w:cs="Courier New" w:eastAsia="Courier New" w:hAnsi="Courier New"/>
          <w:sz w:val="18"/>
          <w:szCs w:val="18"/>
          <w:color w:val="auto"/>
        </w:rPr>
        <w:t>New York, NY 10001</w:t>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8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49"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8" w:right="1440" w:bottom="0" w:gutter="0" w:footer="0" w:header="0"/>
        </w:sectPr>
      </w:pPr>
    </w:p>
    <w:bookmarkStart w:id="2" w:name="page3"/>
    <w:bookmarkEnd w:id="2"/>
    <w:p>
      <w:pPr>
        <w:ind w:left="1280" w:right="3279" w:hanging="1272"/>
        <w:spacing w:after="0" w:line="249"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2" w:lineRule="exact"/>
        <w:rPr>
          <w:sz w:val="20"/>
          <w:szCs w:val="20"/>
          <w:color w:val="auto"/>
        </w:rPr>
      </w:pP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72"/>
        <w:spacing w:after="0" w:line="238" w:lineRule="auto"/>
        <w:tabs>
          <w:tab w:leader="none" w:pos="2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45"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X ].</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N/A ]</w:t>
      </w:r>
    </w:p>
    <w:p>
      <w:pPr>
        <w:spacing w:after="0" w:line="201" w:lineRule="exact"/>
        <w:rPr>
          <w:sz w:val="20"/>
          <w:szCs w:val="20"/>
          <w:color w:val="auto"/>
        </w:rPr>
      </w:pPr>
    </w:p>
    <w:p>
      <w:pPr>
        <w:ind w:right="3279"/>
        <w:spacing w:after="0" w:line="249"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ectPr>
          <w:pgSz w:w="11900" w:h="16838" w:orient="portrait"/>
          <w:cols w:equalWidth="0" w:num="1">
            <w:col w:w="10139"/>
          </w:cols>
          <w:pgMar w:left="320" w:top="118" w:right="1440" w:bottom="0" w:gutter="0" w:footer="0" w:header="0"/>
        </w:sect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If a group has filed this schedule pursuant to Rule 13d-1(b)(ii)(J),</w:t>
      </w:r>
    </w:p>
    <w:p>
      <w:pPr>
        <w:sectPr>
          <w:pgSz w:w="11900" w:h="16838" w:orient="portrait"/>
          <w:cols w:equalWidth="0" w:num="1">
            <w:col w:w="10139"/>
          </w:cols>
          <w:pgMar w:left="320" w:top="118" w:right="1440" w:bottom="0" w:gutter="0" w:footer="0" w:header="0"/>
          <w:type w:val="continuous"/>
        </w:sectPr>
      </w:pPr>
    </w:p>
    <w:bookmarkStart w:id="3" w:name="page4"/>
    <w:bookmarkEnd w:id="3"/>
    <w:p>
      <w:pPr>
        <w:ind w:right="2759"/>
        <w:spacing w:after="0" w:line="286" w:lineRule="auto"/>
        <w:rPr>
          <w:sz w:val="20"/>
          <w:szCs w:val="20"/>
          <w:color w:val="auto"/>
        </w:rPr>
      </w:pPr>
      <w:r>
        <w:rPr>
          <w:rFonts w:ascii="Courier New" w:cs="Courier New" w:eastAsia="Courier New" w:hAnsi="Courier New"/>
          <w:sz w:val="16"/>
          <w:szCs w:val="16"/>
          <w:color w:val="auto"/>
        </w:rPr>
        <w:t>so indicate under Item 3(j) and attach an exhibit stating the identity and Item 3 classification of each member of the group. If a group has filed this schedule pursuant to Rule 13d-1(c) or Rule 13d-1(d), attach an exhibit stating the identity of each member of the group.</w:t>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286"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signing below I certify that, to the best of my knowledge and</w:t>
      </w:r>
    </w:p>
    <w:p>
      <w:pPr>
        <w:spacing w:after="0" w:line="238" w:lineRule="auto"/>
        <w:rPr>
          <w:sz w:val="20"/>
          <w:szCs w:val="20"/>
          <w:color w:val="auto"/>
        </w:rPr>
      </w:pPr>
      <w:r>
        <w:rPr>
          <w:rFonts w:ascii="Courier New" w:cs="Courier New" w:eastAsia="Courier New" w:hAnsi="Courier New"/>
          <w:sz w:val="18"/>
          <w:szCs w:val="18"/>
          <w:color w:val="auto"/>
        </w:rPr>
        <w:t>belief, the securities referred to above were acquired and are</w:t>
      </w:r>
    </w:p>
    <w:p>
      <w:pPr>
        <w:spacing w:after="0" w:line="238" w:lineRule="auto"/>
        <w:rPr>
          <w:sz w:val="20"/>
          <w:szCs w:val="20"/>
          <w:color w:val="auto"/>
        </w:rPr>
      </w:pPr>
      <w:r>
        <w:rPr>
          <w:rFonts w:ascii="Courier New" w:cs="Courier New" w:eastAsia="Courier New" w:hAnsi="Courier New"/>
          <w:sz w:val="18"/>
          <w:szCs w:val="18"/>
          <w:color w:val="auto"/>
        </w:rPr>
        <w:t>held in the ordinary course of business and were not acquired</w:t>
      </w:r>
    </w:p>
    <w:p>
      <w:pPr>
        <w:spacing w:after="0" w:line="1" w:lineRule="exact"/>
        <w:rPr>
          <w:sz w:val="20"/>
          <w:szCs w:val="20"/>
          <w:color w:val="auto"/>
        </w:rPr>
      </w:pPr>
    </w:p>
    <w:p>
      <w:pPr>
        <w:ind w:right="2979"/>
        <w:spacing w:after="0" w:line="238"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49"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July 7, 2023</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385"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6"/>
          <w:szCs w:val="16"/>
          <w:color w:val="auto"/>
        </w:rPr>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87" w:lineRule="exact"/>
        <w:rPr>
          <w:sz w:val="20"/>
          <w:szCs w:val="20"/>
          <w:color w:val="auto"/>
        </w:rPr>
      </w:pPr>
    </w:p>
    <w:p>
      <w:pPr>
        <w:ind w:right="2979"/>
        <w:spacing w:after="0" w:line="259"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37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4019"/>
        <w:spacing w:after="0" w:line="249"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ectPr>
          <w:pgSz w:w="11900" w:h="16838" w:orient="portrait"/>
          <w:cols w:equalWidth="0" w:num="1">
            <w:col w:w="10139"/>
          </w:cols>
          <w:pgMar w:left="320" w:top="118" w:right="1440" w:bottom="0" w:gutter="0" w:footer="0" w:header="0"/>
        </w:sect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POWER OF ATTORNEY</w:t>
      </w:r>
    </w:p>
    <w:p>
      <w:pPr>
        <w:sectPr>
          <w:pgSz w:w="11900" w:h="16838" w:orient="portrait"/>
          <w:cols w:equalWidth="0" w:num="1">
            <w:col w:w="10139"/>
          </w:cols>
          <w:pgMar w:left="320" w:top="118" w:right="1440" w:bottom="0" w:gutter="0" w:footer="0" w:header="0"/>
          <w:type w:val="continuous"/>
        </w:sectPr>
      </w:pPr>
    </w:p>
    <w:bookmarkStart w:id="4" w:name="page5"/>
    <w:bookmarkEnd w:id="4"/>
    <w:p>
      <w:pPr>
        <w:ind w:right="2019"/>
        <w:spacing w:after="0" w:line="246"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Eric Andruczyk, Richard Cundiff,</w:t>
      </w:r>
    </w:p>
    <w:p>
      <w:pPr>
        <w:ind w:right="2239"/>
        <w:spacing w:after="0" w:line="268" w:lineRule="auto"/>
        <w:rPr>
          <w:sz w:val="20"/>
          <w:szCs w:val="20"/>
          <w:color w:val="auto"/>
        </w:rPr>
      </w:pPr>
      <w:r>
        <w:rPr>
          <w:rFonts w:ascii="Courier New" w:cs="Courier New" w:eastAsia="Courier New" w:hAnsi="Courier New"/>
          <w:sz w:val="16"/>
          <w:szCs w:val="16"/>
          <w:color w:val="auto"/>
        </w:rPr>
        <w:t>R. Andrew Dickson, III, Spencer Fleming, Daniel Goldmintz, Laura Hildner, Elizabeth Kogut, David Maryles, Christopher Meade, Una Neary, Charles Park, Daniel Riemer, David Rothenberg and Brenda Schulz, acting severally, as its true and lawful attorneys-in-fact, for the purpose of, from time to</w:t>
      </w:r>
    </w:p>
    <w:p>
      <w:pPr>
        <w:ind w:right="2119"/>
        <w:spacing w:after="0" w:line="268" w:lineRule="auto"/>
        <w:rPr>
          <w:sz w:val="20"/>
          <w:szCs w:val="20"/>
          <w:color w:val="auto"/>
        </w:rPr>
      </w:pPr>
      <w:r>
        <w:rPr>
          <w:rFonts w:ascii="Courier New" w:cs="Courier New" w:eastAsia="Courier New" w:hAnsi="Courier New"/>
          <w:sz w:val="16"/>
          <w:szCs w:val="16"/>
          <w:color w:val="auto"/>
        </w:rPr>
        <w:t>time, executing, in its name and on its behalf and on behalf of its direct and indirect subsidiaries, any and all documents, certificates, instruments, statements, filings, agreements and amendments (collectively, "documents") determined by such person to be necessary or appropriate to comply with ownership or control-person reporting requirements imposed by any</w:t>
      </w:r>
    </w:p>
    <w:p>
      <w:pPr>
        <w:spacing w:after="0" w:line="1" w:lineRule="exact"/>
        <w:rPr>
          <w:sz w:val="20"/>
          <w:szCs w:val="20"/>
          <w:color w:val="auto"/>
        </w:rPr>
      </w:pPr>
    </w:p>
    <w:p>
      <w:pPr>
        <w:ind w:right="1919"/>
        <w:spacing w:after="0" w:line="270" w:lineRule="auto"/>
        <w:rPr>
          <w:sz w:val="20"/>
          <w:szCs w:val="20"/>
          <w:color w:val="auto"/>
        </w:rPr>
      </w:pPr>
      <w:r>
        <w:rPr>
          <w:rFonts w:ascii="Courier New" w:cs="Courier New" w:eastAsia="Courier New" w:hAnsi="Courier New"/>
          <w:sz w:val="16"/>
          <w:szCs w:val="16"/>
          <w:color w:val="auto"/>
        </w:rPr>
        <w:t>United States or non-United States governmental or regulatory authority, including, without limitation, Schedules 13D and 13G and Forms 3, 4, 5, 13F and 13H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366" w:lineRule="exact"/>
        <w:rPr>
          <w:sz w:val="20"/>
          <w:szCs w:val="20"/>
          <w:color w:val="auto"/>
        </w:rPr>
      </w:pPr>
    </w:p>
    <w:p>
      <w:pPr>
        <w:ind w:right="2019"/>
        <w:spacing w:after="0" w:line="242"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2nd day of January, 2019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184" w:lineRule="exact"/>
        <w:rPr>
          <w:sz w:val="20"/>
          <w:szCs w:val="20"/>
          <w:color w:val="auto"/>
        </w:rPr>
      </w:pPr>
    </w:p>
    <w:p>
      <w:pPr>
        <w:ind w:right="2239"/>
        <w:spacing w:after="0" w:line="259"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April, 2023.</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17"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R. Andrew Dickson, III</w:t>
      </w:r>
    </w:p>
    <w:p>
      <w:pPr>
        <w:spacing w:after="0" w:line="238" w:lineRule="auto"/>
        <w:rPr>
          <w:sz w:val="20"/>
          <w:szCs w:val="20"/>
          <w:color w:val="auto"/>
        </w:rPr>
      </w:pPr>
      <w:r>
        <w:rPr>
          <w:rFonts w:ascii="Courier New" w:cs="Courier New" w:eastAsia="Courier New" w:hAnsi="Courier New"/>
          <w:sz w:val="18"/>
          <w:szCs w:val="18"/>
          <w:color w:val="auto"/>
        </w:rPr>
        <w:t>Title: Corporate Secretary</w:t>
      </w:r>
    </w:p>
    <w:sectPr>
      <w:pgSz w:w="11900" w:h="16838" w:orient="portrait"/>
      <w:cols w:equalWidth="0" w:num="1">
        <w:col w:w="10139"/>
      </w:cols>
      <w:pgMar w:left="32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5"/>
    </w:lvl>
  </w:abstractNum>
  <w:abstractNum w:abstractNumId="3">
    <w:nsid w:val="79E2A9E3"/>
    <w:multiLevelType w:val="hybridMultilevel"/>
    <w:lvl w:ilvl="0">
      <w:lvlJc w:val="left"/>
      <w:lvlText w:val="(%1)"/>
      <w:numFmt w:val="decimal"/>
      <w:start w:val="8"/>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upperLetter"/>
      <w:start w:val="24"/>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2023-07-07T15:45:46Z</dcterms:created>
  <dcterms:modified xsi:type="dcterms:W3CDTF">2023-07-07T15:45:46Z</dcterms:modified>
</cp:coreProperties>
</file>