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1140" w:hanging="970"/>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1140" w:hanging="970"/>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9" w:lineRule="exact"/>
        <w:rPr>
          <w:sz w:val="24"/>
          <w:szCs w:val="24"/>
          <w:color w:val="auto"/>
        </w:rPr>
      </w:pPr>
    </w:p>
    <w:tbl>
      <w:tblPr>
        <w:tblLayout w:type="fixed"/>
        <w:tblInd w:w="142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20" w:type="dxa"/>
            <w:vAlign w:val="bottom"/>
          </w:tcPr>
          <w:p>
            <w:pPr>
              <w:spacing w:after="0"/>
              <w:rPr>
                <w:sz w:val="17"/>
                <w:szCs w:val="17"/>
                <w:color w:val="auto"/>
              </w:rPr>
            </w:pPr>
          </w:p>
        </w:tc>
      </w:tr>
      <w:tr>
        <w:trPr>
          <w:trHeight w:val="453"/>
        </w:trPr>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0" w:type="dxa"/>
            <w:vAlign w:val="bottom"/>
            <w:gridSpan w:val="4"/>
          </w:tcPr>
          <w:p>
            <w:pPr>
              <w:jc w:val="center"/>
              <w:ind w:right="1810"/>
              <w:spacing w:after="0"/>
              <w:rPr>
                <w:sz w:val="20"/>
                <w:szCs w:val="20"/>
                <w:color w:val="auto"/>
              </w:rPr>
            </w:pPr>
            <w:r>
              <w:rPr>
                <w:rFonts w:ascii="Arial" w:cs="Arial" w:eastAsia="Arial" w:hAnsi="Arial"/>
                <w:sz w:val="18"/>
                <w:szCs w:val="18"/>
                <w:b w:val="1"/>
                <w:bCs w:val="1"/>
                <w:color w:val="auto"/>
                <w:w w:val="91"/>
              </w:rPr>
              <w:t>Commission File Number: 001-37761</w:t>
            </w:r>
          </w:p>
        </w:tc>
      </w:tr>
      <w:tr>
        <w:trPr>
          <w:trHeight w:val="566"/>
        </w:trPr>
        <w:tc>
          <w:tcPr>
            <w:tcW w:w="7960" w:type="dxa"/>
            <w:vAlign w:val="bottom"/>
            <w:gridSpan w:val="6"/>
          </w:tcPr>
          <w:p>
            <w:pPr>
              <w:jc w:val="center"/>
              <w:ind w:left="336"/>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30"/>
        </w:trPr>
        <w:tc>
          <w:tcPr>
            <w:tcW w:w="2320" w:type="dxa"/>
            <w:vAlign w:val="bottom"/>
          </w:tcPr>
          <w:p>
            <w:pPr>
              <w:spacing w:after="0"/>
              <w:rPr>
                <w:sz w:val="20"/>
                <w:szCs w:val="20"/>
                <w:color w:val="auto"/>
              </w:rPr>
            </w:pPr>
          </w:p>
        </w:tc>
        <w:tc>
          <w:tcPr>
            <w:tcW w:w="5640" w:type="dxa"/>
            <w:vAlign w:val="bottom"/>
            <w:gridSpan w:val="5"/>
          </w:tcPr>
          <w:p>
            <w:pPr>
              <w:jc w:val="center"/>
              <w:ind w:right="179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445"/>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2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1"/>
              </w:rPr>
              <w:t>20-5093315</w:t>
            </w: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i w:val="1"/>
                <w:iCs w:val="1"/>
                <w:color w:val="auto"/>
                <w:w w:val="94"/>
              </w:rPr>
              <w:t>(State or other jurisdiction of</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jc w:val="center"/>
              <w:ind w:left="201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320" w:type="dxa"/>
            <w:vAlign w:val="bottom"/>
          </w:tcPr>
          <w:p>
            <w:pPr>
              <w:jc w:val="center"/>
              <w:spacing w:after="0"/>
              <w:rPr>
                <w:sz w:val="20"/>
                <w:szCs w:val="20"/>
                <w:color w:val="auto"/>
              </w:rPr>
            </w:pPr>
            <w:r>
              <w:rPr>
                <w:rFonts w:ascii="Arial" w:cs="Arial" w:eastAsia="Arial" w:hAnsi="Arial"/>
                <w:sz w:val="18"/>
                <w:szCs w:val="18"/>
                <w:i w:val="1"/>
                <w:iCs w:val="1"/>
                <w:color w:val="auto"/>
                <w:w w:val="95"/>
              </w:rPr>
              <w:t>incorporation or organization)</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20" w:type="dxa"/>
            <w:vAlign w:val="bottom"/>
          </w:tcPr>
          <w:p>
            <w:pPr>
              <w:jc w:val="center"/>
              <w:ind w:left="201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1"/>
        </w:trPr>
        <w:tc>
          <w:tcPr>
            <w:tcW w:w="1440" w:type="dxa"/>
            <w:vAlign w:val="bottom"/>
          </w:tcPr>
          <w:p>
            <w:pPr>
              <w:spacing w:after="0"/>
              <w:rPr>
                <w:sz w:val="24"/>
                <w:szCs w:val="24"/>
                <w:color w:val="auto"/>
              </w:rPr>
            </w:pPr>
          </w:p>
        </w:tc>
        <w:tc>
          <w:tcPr>
            <w:tcW w:w="3120" w:type="dxa"/>
            <w:vAlign w:val="bottom"/>
            <w:gridSpan w:val="2"/>
          </w:tcPr>
          <w:p>
            <w:pPr>
              <w:jc w:val="center"/>
              <w:ind w:right="1820"/>
              <w:spacing w:after="0"/>
              <w:rPr>
                <w:sz w:val="20"/>
                <w:szCs w:val="20"/>
                <w:color w:val="auto"/>
              </w:rPr>
            </w:pPr>
            <w:r>
              <w:rPr>
                <w:rFonts w:ascii="Arial" w:cs="Arial" w:eastAsia="Arial" w:hAnsi="Arial"/>
                <w:sz w:val="18"/>
                <w:szCs w:val="18"/>
                <w:color w:val="auto"/>
                <w:w w:val="90"/>
              </w:rPr>
              <w:t>Title of each class</w:t>
            </w:r>
          </w:p>
        </w:tc>
        <w:tc>
          <w:tcPr>
            <w:tcW w:w="200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Trading Symbol(s)</w:t>
            </w:r>
          </w:p>
        </w:tc>
        <w:tc>
          <w:tcPr>
            <w:tcW w:w="3800" w:type="dxa"/>
            <w:vAlign w:val="bottom"/>
            <w:gridSpan w:val="2"/>
          </w:tcPr>
          <w:p>
            <w:pPr>
              <w:jc w:val="center"/>
              <w:ind w:left="53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56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Common Stock, par value $0.001 per share</w:t>
            </w:r>
          </w:p>
        </w:tc>
        <w:tc>
          <w:tcPr>
            <w:tcW w:w="20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VTGN</w:t>
            </w:r>
          </w:p>
        </w:tc>
        <w:tc>
          <w:tcPr>
            <w:tcW w:w="62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4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10, 2022, 206,836,345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20" w:type="dxa"/>
            <w:vAlign w:val="bottom"/>
            <w:gridSpan w:val="9"/>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6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0000EE"/>
              </w:rPr>
              <w:t>PART I. FINANCIAL INFORMATION</w:t>
            </w:r>
          </w:p>
        </w:tc>
        <w:tc>
          <w:tcPr>
            <w:tcW w:w="3400" w:type="dxa"/>
            <w:vAlign w:val="bottom"/>
            <w:gridSpan w:val="4"/>
            <w:vMerge w:val="restart"/>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60" w:type="dxa"/>
            <w:vAlign w:val="bottom"/>
            <w:tcBorders>
              <w:bottom w:val="single" w:sz="8" w:color="0000EE"/>
            </w:tcBorders>
            <w:gridSpan w:val="6"/>
            <w:vMerge w:val="continue"/>
          </w:tcPr>
          <w:p>
            <w:pPr>
              <w:spacing w:after="0"/>
              <w:rPr>
                <w:sz w:val="17"/>
                <w:szCs w:val="17"/>
                <w:color w:val="auto"/>
              </w:rPr>
            </w:pPr>
          </w:p>
        </w:tc>
        <w:tc>
          <w:tcPr>
            <w:tcW w:w="3400" w:type="dxa"/>
            <w:vAlign w:val="bottom"/>
            <w:gridSpan w:val="4"/>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48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Item 1. Condensed Consolidated Financial Statements (Unaudited)</w:t>
            </w:r>
          </w:p>
        </w:tc>
        <w:tc>
          <w:tcPr>
            <w:tcW w:w="566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gridSpan w:val="17"/>
          </w:tcPr>
          <w:p>
            <w:pPr>
              <w:spacing w:after="0" w:line="196" w:lineRule="exact"/>
              <w:rPr>
                <w:sz w:val="20"/>
                <w:szCs w:val="20"/>
                <w:color w:val="auto"/>
              </w:rPr>
            </w:pPr>
            <w:r>
              <w:rPr>
                <w:rFonts w:ascii="Arial" w:cs="Arial" w:eastAsia="Arial" w:hAnsi="Arial"/>
                <w:sz w:val="18"/>
                <w:szCs w:val="18"/>
                <w:color w:val="0000EE"/>
              </w:rPr>
              <w:t>Condensed Consolidated Balance Sheets at June 30, 2022 and March 31, 2022</w:t>
            </w:r>
          </w:p>
        </w:tc>
        <w:tc>
          <w:tcPr>
            <w:tcW w:w="22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0000EE"/>
                <w:w w:val="79"/>
              </w:rPr>
              <w:t>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 and Comprehensive Loss for the three months ended June 30, 2022 and 2021</w:t>
            </w:r>
          </w:p>
        </w:tc>
        <w:tc>
          <w:tcPr>
            <w:tcW w:w="640" w:type="dxa"/>
            <w:vAlign w:val="bottom"/>
          </w:tcPr>
          <w:p>
            <w:pPr>
              <w:spacing w:after="0"/>
              <w:rPr>
                <w:sz w:val="17"/>
                <w:szCs w:val="17"/>
                <w:color w:val="auto"/>
              </w:rPr>
            </w:pPr>
          </w:p>
        </w:tc>
        <w:tc>
          <w:tcPr>
            <w:tcW w:w="22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0000EE"/>
                <w:w w:val="79"/>
              </w:rPr>
              <w:t>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gridSpan w:val="17"/>
          </w:tcPr>
          <w:p>
            <w:pPr>
              <w:spacing w:after="0" w:line="196" w:lineRule="exact"/>
              <w:rPr>
                <w:sz w:val="20"/>
                <w:szCs w:val="20"/>
                <w:color w:val="auto"/>
              </w:rPr>
            </w:pPr>
            <w:r>
              <w:rPr>
                <w:rFonts w:ascii="Arial" w:cs="Arial" w:eastAsia="Arial" w:hAnsi="Arial"/>
                <w:sz w:val="18"/>
                <w:szCs w:val="18"/>
                <w:color w:val="0000EE"/>
              </w:rPr>
              <w:t>Condensed Consolidated Statements of Cash Flows for the three months ended June 30, 2022 and 2021</w:t>
            </w:r>
          </w:p>
        </w:tc>
        <w:tc>
          <w:tcPr>
            <w:tcW w:w="22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0000EE"/>
                <w:w w:val="79"/>
              </w:rPr>
              <w:t>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gridSpan w:val="17"/>
          </w:tcPr>
          <w:p>
            <w:pPr>
              <w:spacing w:after="0" w:line="196" w:lineRule="exact"/>
              <w:rPr>
                <w:sz w:val="20"/>
                <w:szCs w:val="20"/>
                <w:color w:val="auto"/>
              </w:rPr>
            </w:pPr>
            <w:r>
              <w:rPr>
                <w:rFonts w:ascii="Arial" w:cs="Arial" w:eastAsia="Arial" w:hAnsi="Arial"/>
                <w:sz w:val="18"/>
                <w:szCs w:val="18"/>
                <w:color w:val="0000EE"/>
                <w:w w:val="99"/>
              </w:rPr>
              <w:t>Condensed Consolidated Statement of Changes in Stockholders’ Equity for the three months ended June 30, 2022 and 2021</w:t>
            </w:r>
          </w:p>
        </w:tc>
        <w:tc>
          <w:tcPr>
            <w:tcW w:w="22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0000EE"/>
                <w:w w:val="79"/>
              </w:rPr>
              <w:t>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9"/>
          </w:tcPr>
          <w:p>
            <w:pPr>
              <w:spacing w:after="0" w:line="196" w:lineRule="exact"/>
              <w:rPr>
                <w:sz w:val="20"/>
                <w:szCs w:val="20"/>
                <w:color w:val="auto"/>
              </w:rPr>
            </w:pPr>
            <w:r>
              <w:rPr>
                <w:rFonts w:ascii="Arial" w:cs="Arial" w:eastAsia="Arial" w:hAnsi="Arial"/>
                <w:sz w:val="18"/>
                <w:szCs w:val="18"/>
                <w:color w:val="0000EE"/>
                <w:w w:val="87"/>
              </w:rPr>
              <w:t>Notes to the Condensed Consolidated Financial Statements</w:t>
            </w:r>
          </w:p>
        </w:tc>
        <w:tc>
          <w:tcPr>
            <w:tcW w:w="4660" w:type="dxa"/>
            <w:vAlign w:val="bottom"/>
            <w:gridSpan w:val="6"/>
          </w:tcPr>
          <w:p>
            <w:pPr>
              <w:spacing w:after="0"/>
              <w:rPr>
                <w:sz w:val="17"/>
                <w:szCs w:val="17"/>
                <w:color w:val="auto"/>
              </w:rPr>
            </w:pPr>
          </w:p>
        </w:tc>
        <w:tc>
          <w:tcPr>
            <w:tcW w:w="1000" w:type="dxa"/>
            <w:vAlign w:val="bottom"/>
            <w:gridSpan w:val="2"/>
          </w:tcPr>
          <w:p>
            <w:pPr>
              <w:spacing w:after="0"/>
              <w:rPr>
                <w:sz w:val="17"/>
                <w:szCs w:val="17"/>
                <w:color w:val="auto"/>
              </w:rPr>
            </w:pPr>
          </w:p>
        </w:tc>
        <w:tc>
          <w:tcPr>
            <w:tcW w:w="22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0000EE"/>
                <w:w w:val="79"/>
              </w:rPr>
              <w:t>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480" w:type="dxa"/>
            <w:vAlign w:val="bottom"/>
            <w:gridSpan w:val="19"/>
          </w:tcPr>
          <w:p>
            <w:pPr>
              <w:spacing w:after="0" w:line="19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3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18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7020" w:type="dxa"/>
            <w:vAlign w:val="bottom"/>
            <w:gridSpan w:val="14"/>
          </w:tcPr>
          <w:p>
            <w:pPr>
              <w:spacing w:after="0" w:line="196" w:lineRule="exact"/>
              <w:rPr>
                <w:sz w:val="20"/>
                <w:szCs w:val="20"/>
                <w:color w:val="auto"/>
              </w:rPr>
            </w:pPr>
            <w:r>
              <w:rPr>
                <w:rFonts w:ascii="Arial" w:cs="Arial" w:eastAsia="Arial" w:hAnsi="Arial"/>
                <w:sz w:val="18"/>
                <w:szCs w:val="18"/>
                <w:color w:val="0000EE"/>
              </w:rPr>
              <w:t>Item 4. Controls and Procedures</w:t>
            </w:r>
          </w:p>
        </w:tc>
        <w:tc>
          <w:tcPr>
            <w:tcW w:w="3460" w:type="dxa"/>
            <w:vAlign w:val="bottom"/>
            <w:gridSpan w:val="5"/>
          </w:tcPr>
          <w:p>
            <w:pPr>
              <w:spacing w:after="0"/>
              <w:rPr>
                <w:sz w:val="17"/>
                <w:szCs w:val="17"/>
                <w:color w:val="auto"/>
              </w:rPr>
            </w:pPr>
          </w:p>
        </w:tc>
        <w:tc>
          <w:tcPr>
            <w:tcW w:w="3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20" w:type="dxa"/>
            <w:vAlign w:val="bottom"/>
            <w:gridSpan w:val="9"/>
          </w:tcPr>
          <w:p>
            <w:pPr>
              <w:jc w:val="center"/>
              <w:ind w:right="3560"/>
              <w:spacing w:after="0"/>
              <w:rPr>
                <w:sz w:val="20"/>
                <w:szCs w:val="20"/>
                <w:color w:val="auto"/>
              </w:rPr>
            </w:pPr>
            <w:r>
              <w:rPr>
                <w:rFonts w:ascii="Arial" w:cs="Arial" w:eastAsia="Arial" w:hAnsi="Arial"/>
                <w:sz w:val="18"/>
                <w:szCs w:val="18"/>
                <w:b w:val="1"/>
                <w:bCs w:val="1"/>
                <w:color w:val="0000EE"/>
              </w:rPr>
              <w:t>PART II. OTHER INFORMATION</w:t>
            </w: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sz w:val="20"/>
                <w:szCs w:val="20"/>
                <w:color w:val="auto"/>
              </w:rPr>
            </w:pPr>
            <w:r>
              <w:rPr>
                <w:rFonts w:ascii="Arial" w:cs="Arial" w:eastAsia="Arial" w:hAnsi="Arial"/>
                <w:sz w:val="18"/>
                <w:szCs w:val="18"/>
                <w:color w:val="0000EE"/>
                <w:w w:val="94"/>
              </w:rPr>
              <w:t>Item 1.</w:t>
            </w:r>
          </w:p>
        </w:tc>
        <w:tc>
          <w:tcPr>
            <w:tcW w:w="1360" w:type="dxa"/>
            <w:vAlign w:val="bottom"/>
            <w:gridSpan w:val="5"/>
          </w:tcPr>
          <w:p>
            <w:pPr>
              <w:ind w:left="20"/>
              <w:spacing w:after="0"/>
              <w:rPr>
                <w:sz w:val="20"/>
                <w:szCs w:val="20"/>
                <w:color w:val="auto"/>
              </w:rPr>
            </w:pPr>
            <w:r>
              <w:rPr>
                <w:rFonts w:ascii="Arial" w:cs="Arial" w:eastAsia="Arial" w:hAnsi="Arial"/>
                <w:sz w:val="18"/>
                <w:szCs w:val="18"/>
                <w:color w:val="0000EE"/>
                <w:w w:val="88"/>
              </w:rPr>
              <w:t>Legal Proceedings</w:t>
            </w:r>
          </w:p>
        </w:tc>
        <w:tc>
          <w:tcPr>
            <w:tcW w:w="2340" w:type="dxa"/>
            <w:vAlign w:val="bottom"/>
            <w:gridSpan w:val="4"/>
          </w:tcPr>
          <w:p>
            <w:pPr>
              <w:spacing w:after="0"/>
              <w:rPr>
                <w:sz w:val="24"/>
                <w:szCs w:val="24"/>
                <w:color w:val="auto"/>
              </w:rPr>
            </w:pPr>
          </w:p>
        </w:tc>
        <w:tc>
          <w:tcPr>
            <w:tcW w:w="2760" w:type="dxa"/>
            <w:vAlign w:val="bottom"/>
            <w:tcBorders>
              <w:top w:val="single" w:sz="8" w:color="0000EE"/>
            </w:tcBorders>
            <w:gridSpan w:val="3"/>
          </w:tcPr>
          <w:p>
            <w:pPr>
              <w:spacing w:after="0"/>
              <w:rPr>
                <w:sz w:val="24"/>
                <w:szCs w:val="24"/>
                <w:color w:val="auto"/>
              </w:rPr>
            </w:pPr>
          </w:p>
        </w:tc>
        <w:tc>
          <w:tcPr>
            <w:tcW w:w="3560" w:type="dxa"/>
            <w:vAlign w:val="bottom"/>
            <w:gridSpan w:val="6"/>
          </w:tcPr>
          <w:p>
            <w:pPr>
              <w:spacing w:after="0"/>
              <w:rPr>
                <w:sz w:val="24"/>
                <w:szCs w:val="24"/>
                <w:color w:val="auto"/>
              </w:rPr>
            </w:pPr>
          </w:p>
        </w:tc>
        <w:tc>
          <w:tcPr>
            <w:tcW w:w="360" w:type="dxa"/>
            <w:vAlign w:val="bottom"/>
            <w:gridSpan w:val="3"/>
          </w:tcPr>
          <w:p>
            <w:pPr>
              <w:jc w:val="center"/>
              <w:spacing w:after="0"/>
              <w:rPr>
                <w:sz w:val="20"/>
                <w:szCs w:val="20"/>
                <w:color w:val="auto"/>
              </w:rPr>
            </w:pPr>
            <w:r>
              <w:rPr>
                <w:rFonts w:ascii="Arial" w:cs="Arial" w:eastAsia="Arial" w:hAnsi="Arial"/>
                <w:sz w:val="18"/>
                <w:szCs w:val="18"/>
                <w:color w:val="0000EE"/>
                <w:w w:val="89"/>
              </w:rPr>
              <w:t>31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0000EE"/>
                <w:w w:val="91"/>
              </w:rPr>
              <w:t>Item 1A. Risk Factors</w:t>
            </w:r>
          </w:p>
        </w:tc>
        <w:tc>
          <w:tcPr>
            <w:tcW w:w="300" w:type="dxa"/>
            <w:vAlign w:val="bottom"/>
          </w:tcPr>
          <w:p>
            <w:pPr>
              <w:spacing w:after="0"/>
              <w:rPr>
                <w:sz w:val="17"/>
                <w:szCs w:val="17"/>
                <w:color w:val="auto"/>
              </w:rPr>
            </w:pPr>
          </w:p>
        </w:tc>
        <w:tc>
          <w:tcPr>
            <w:tcW w:w="8660" w:type="dxa"/>
            <w:vAlign w:val="bottom"/>
            <w:gridSpan w:val="13"/>
          </w:tcPr>
          <w:p>
            <w:pPr>
              <w:spacing w:after="0"/>
              <w:rPr>
                <w:sz w:val="17"/>
                <w:szCs w:val="17"/>
                <w:color w:val="auto"/>
              </w:rPr>
            </w:pPr>
          </w:p>
        </w:tc>
        <w:tc>
          <w:tcPr>
            <w:tcW w:w="3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94"/>
              </w:rPr>
              <w:t>Item 2.</w:t>
            </w:r>
          </w:p>
        </w:tc>
        <w:tc>
          <w:tcPr>
            <w:tcW w:w="10020" w:type="dxa"/>
            <w:vAlign w:val="bottom"/>
            <w:gridSpan w:val="18"/>
          </w:tcPr>
          <w:p>
            <w:pPr>
              <w:ind w:left="20"/>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3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64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94"/>
              </w:rPr>
              <w:t>Item 3.</w:t>
            </w:r>
          </w:p>
        </w:tc>
        <w:tc>
          <w:tcPr>
            <w:tcW w:w="2980" w:type="dxa"/>
            <w:vAlign w:val="bottom"/>
            <w:gridSpan w:val="7"/>
          </w:tcPr>
          <w:p>
            <w:pPr>
              <w:ind w:left="20"/>
              <w:spacing w:after="0" w:line="196" w:lineRule="exact"/>
              <w:rPr>
                <w:sz w:val="20"/>
                <w:szCs w:val="20"/>
                <w:color w:val="auto"/>
              </w:rPr>
            </w:pPr>
            <w:r>
              <w:rPr>
                <w:rFonts w:ascii="Arial" w:cs="Arial" w:eastAsia="Arial" w:hAnsi="Arial"/>
                <w:sz w:val="18"/>
                <w:szCs w:val="18"/>
                <w:color w:val="0000EE"/>
                <w:w w:val="89"/>
              </w:rPr>
              <w:t>Defaults Upon Senior Secured Securities</w:t>
            </w:r>
          </w:p>
        </w:tc>
        <w:tc>
          <w:tcPr>
            <w:tcW w:w="1380" w:type="dxa"/>
            <w:vAlign w:val="bottom"/>
            <w:gridSpan w:val="3"/>
          </w:tcPr>
          <w:p>
            <w:pPr>
              <w:spacing w:after="0"/>
              <w:rPr>
                <w:sz w:val="17"/>
                <w:szCs w:val="17"/>
                <w:color w:val="auto"/>
              </w:rPr>
            </w:pPr>
          </w:p>
        </w:tc>
        <w:tc>
          <w:tcPr>
            <w:tcW w:w="5660" w:type="dxa"/>
            <w:vAlign w:val="bottom"/>
            <w:gridSpan w:val="8"/>
          </w:tcPr>
          <w:p>
            <w:pPr>
              <w:spacing w:after="0"/>
              <w:rPr>
                <w:sz w:val="17"/>
                <w:szCs w:val="17"/>
                <w:color w:val="auto"/>
              </w:rPr>
            </w:pPr>
          </w:p>
        </w:tc>
        <w:tc>
          <w:tcPr>
            <w:tcW w:w="3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64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7040" w:type="dxa"/>
            <w:vAlign w:val="bottom"/>
            <w:gridSpan w:val="11"/>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94"/>
              </w:rPr>
              <w:t>Item 6.</w:t>
            </w:r>
          </w:p>
        </w:tc>
        <w:tc>
          <w:tcPr>
            <w:tcW w:w="2980" w:type="dxa"/>
            <w:vAlign w:val="bottom"/>
            <w:gridSpan w:val="7"/>
          </w:tcPr>
          <w:p>
            <w:pPr>
              <w:ind w:left="20"/>
              <w:spacing w:after="0" w:line="196" w:lineRule="exact"/>
              <w:rPr>
                <w:sz w:val="20"/>
                <w:szCs w:val="20"/>
                <w:color w:val="auto"/>
              </w:rPr>
            </w:pPr>
            <w:r>
              <w:rPr>
                <w:rFonts w:ascii="Arial" w:cs="Arial" w:eastAsia="Arial" w:hAnsi="Arial"/>
                <w:sz w:val="18"/>
                <w:szCs w:val="18"/>
                <w:color w:val="0000EE"/>
              </w:rPr>
              <w:t>Exhibits</w:t>
            </w:r>
          </w:p>
        </w:tc>
        <w:tc>
          <w:tcPr>
            <w:tcW w:w="7040" w:type="dxa"/>
            <w:vAlign w:val="bottom"/>
            <w:gridSpan w:val="11"/>
          </w:tcPr>
          <w:p>
            <w:pPr>
              <w:spacing w:after="0"/>
              <w:rPr>
                <w:sz w:val="17"/>
                <w:szCs w:val="17"/>
                <w:color w:val="auto"/>
              </w:rPr>
            </w:pPr>
          </w:p>
        </w:tc>
        <w:tc>
          <w:tcPr>
            <w:tcW w:w="36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64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380" w:type="dxa"/>
            <w:vAlign w:val="bottom"/>
            <w:gridSpan w:val="15"/>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10480" w:type="dxa"/>
            <w:vAlign w:val="bottom"/>
            <w:gridSpan w:val="19"/>
          </w:tcPr>
          <w:p>
            <w:pPr>
              <w:spacing w:after="0"/>
              <w:rPr>
                <w:sz w:val="20"/>
                <w:szCs w:val="20"/>
                <w:color w:val="auto"/>
              </w:rPr>
            </w:pPr>
            <w:r>
              <w:rPr>
                <w:rFonts w:ascii="Arial" w:cs="Arial" w:eastAsia="Arial" w:hAnsi="Arial"/>
                <w:sz w:val="18"/>
                <w:szCs w:val="18"/>
                <w:color w:val="0000EE"/>
              </w:rPr>
              <w:t>SIGNATURES</w:t>
            </w:r>
          </w:p>
        </w:tc>
        <w:tc>
          <w:tcPr>
            <w:tcW w:w="360" w:type="dxa"/>
            <w:vAlign w:val="bottom"/>
            <w:gridSpan w:val="3"/>
          </w:tcPr>
          <w:p>
            <w:pPr>
              <w:jc w:val="center"/>
              <w:spacing w:after="0"/>
              <w:rPr>
                <w:sz w:val="20"/>
                <w:szCs w:val="20"/>
                <w:color w:val="auto"/>
              </w:rPr>
            </w:pPr>
            <w:r>
              <w:rPr>
                <w:rFonts w:ascii="Arial" w:cs="Arial" w:eastAsia="Arial" w:hAnsi="Arial"/>
                <w:sz w:val="18"/>
                <w:szCs w:val="18"/>
                <w:color w:val="0000EE"/>
                <w:w w:val="89"/>
              </w:rPr>
              <w:t>65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VISTAGEN THERAPEUTICS,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6720" w:type="dxa"/>
            <w:vAlign w:val="bottom"/>
            <w:vMerge w:val="restart"/>
          </w:tcPr>
          <w:p>
            <w:pPr>
              <w:jc w:val="center"/>
              <w:ind w:right="131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tcPr>
          <w:p>
            <w:pPr>
              <w:spacing w:after="0"/>
              <w:rPr>
                <w:sz w:val="19"/>
                <w:szCs w:val="19"/>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(Note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51,986,400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68,135,300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2,890,300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2,745,800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54,993,600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70,998,000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567,600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414,300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Right-of-use asset - operating lease</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2,565,000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2,662,000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321,800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117,300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146,400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58,725,600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74,643,400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right="131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5,473,000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2,758,600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1,329,200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1,037,800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1,244,000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442,600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433,300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8,926,200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5,765,100</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 non-current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1,557,600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2,491,200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2,605,400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Financing lease obligation - non-current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12,673,600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9,928,100</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Preferred stock, $0.001 par value; 10,000,000 shares authorized at June 30, 2022 and March 31, 2022: no</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shares outstanding at June 30, 2022 and March 31, 2022</w:t>
            </w:r>
          </w:p>
        </w:tc>
        <w:tc>
          <w:tcPr>
            <w:tcW w:w="1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$0.001 par value; 325,000,000 shares authorized at June 30, 2022 and March 31, 2022;</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206,851,620 and 206,676,620 shares issued at June 30, 2022 and March 31, 2022, respectively</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206,900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206,700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337,193,500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336,080,700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Treasury stock, at cost, 135,665 shares of common stock held at June 30, 2022 and March 31, 2022</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(287,380,300)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(267,604,000)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46,052,000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64,715,300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58,725,600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74,643,400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6"/>
              </w:rPr>
              <w:t>Three Months Ended June 30,</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Sublicense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310,100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354,100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15,291,400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5,457,200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4,791,800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20,083,200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(19,773,100)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(7,746,200)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(19,770,800)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(7,741,100)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(19,776,300)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(7,744,500)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(361,800)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(19,776,300)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(8,106,300)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 and diluted net loss attributable to common stockholders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Weighted average shares used in computing basic and diluted net loss attributable to common stockholders</w:t>
            </w: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206,596,724</w:t>
            </w:r>
          </w:p>
        </w:tc>
        <w:tc>
          <w:tcPr>
            <w:tcW w:w="12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189,924,158</w:t>
            </w:r>
          </w:p>
        </w:tc>
        <w:tc>
          <w:tcPr>
            <w:tcW w:w="100" w:type="dxa"/>
            <w:vAlign w:val="bottom"/>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per common share</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6"/>
              </w:rPr>
              <w:t>Three Months Ended June 30,</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(19,776,300)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(7,744,500)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956,900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590,400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operating lease right of use asset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Expense related to write-off of deferred offering costs</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1,100,800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(1,039,700)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lease liability</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(84,500)</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sublicense revenue, net of deferred contract acquisition costs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(281,000)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(320,800)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2,006,900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2,065,300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(15,968,300)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(6,172,900)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property and investing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laboratory and other equipment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(149,900)</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(175,100)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(149,900)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common stock and warrants, including option exercises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proceeds from exercise of warrants</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1,109,700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related to At the Market (ATM) facility treated as deferred offering costs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(161,900)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note payable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991,400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(16,148,900)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(5,331,400)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68,135,300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103,108,300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51,986,400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97,776,900</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1,139,700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020" w:type="dxa"/>
            <w:vAlign w:val="bottom"/>
          </w:tcPr>
          <w:p>
            <w:pPr>
              <w:spacing w:after="0"/>
              <w:rPr>
                <w:sz w:val="2"/>
                <w:szCs w:val="2"/>
                <w:color w:val="auto"/>
              </w:rPr>
            </w:pPr>
          </w:p>
        </w:tc>
        <w:tc>
          <w:tcPr>
            <w:tcW w:w="84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w w:val="92"/>
              </w:rPr>
              <w:t>Series A</w:t>
            </w: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gridSpan w:val="5"/>
            <w:vMerge w:val="restart"/>
          </w:tcPr>
          <w:p>
            <w:pPr>
              <w:jc w:val="right"/>
              <w:ind w:right="8"/>
              <w:spacing w:after="0"/>
              <w:rPr>
                <w:sz w:val="20"/>
                <w:szCs w:val="20"/>
                <w:color w:val="auto"/>
              </w:rPr>
            </w:pPr>
            <w:r>
              <w:rPr>
                <w:rFonts w:ascii="Arial" w:cs="Arial" w:eastAsia="Arial" w:hAnsi="Arial"/>
                <w:sz w:val="14"/>
                <w:szCs w:val="14"/>
                <w:b w:val="1"/>
                <w:bCs w:val="1"/>
                <w:color w:val="auto"/>
                <w:w w:val="94"/>
              </w:rPr>
              <w:t>Series B Preferred</w:t>
            </w:r>
          </w:p>
        </w:tc>
        <w:tc>
          <w:tcPr>
            <w:tcW w:w="20" w:type="dxa"/>
            <w:vAlign w:val="bottom"/>
          </w:tcPr>
          <w:p>
            <w:pPr>
              <w:spacing w:after="0"/>
              <w:rPr>
                <w:sz w:val="2"/>
                <w:szCs w:val="2"/>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6"/>
              </w:rPr>
              <w:t>Series C Preferred</w:t>
            </w:r>
          </w:p>
        </w:tc>
        <w:tc>
          <w:tcPr>
            <w:tcW w:w="20" w:type="dxa"/>
            <w:vAlign w:val="bottom"/>
          </w:tcPr>
          <w:p>
            <w:pPr>
              <w:spacing w:after="0"/>
              <w:rPr>
                <w:sz w:val="2"/>
                <w:szCs w:val="2"/>
                <w:color w:val="auto"/>
              </w:rPr>
            </w:pPr>
          </w:p>
        </w:tc>
        <w:tc>
          <w:tcPr>
            <w:tcW w:w="12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Series D Preferred</w:t>
            </w:r>
          </w:p>
        </w:tc>
        <w:tc>
          <w:tcPr>
            <w:tcW w:w="20" w:type="dxa"/>
            <w:vAlign w:val="bottom"/>
          </w:tcPr>
          <w:p>
            <w:pPr>
              <w:spacing w:after="0"/>
              <w:rPr>
                <w:sz w:val="2"/>
                <w:szCs w:val="2"/>
                <w:color w:val="auto"/>
              </w:rPr>
            </w:pPr>
          </w:p>
        </w:tc>
        <w:tc>
          <w:tcPr>
            <w:tcW w:w="15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
                <w:szCs w:val="2"/>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82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rPr>
              <w:t>Treasury</w:t>
            </w:r>
          </w:p>
        </w:tc>
        <w:tc>
          <w:tcPr>
            <w:tcW w:w="98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2"/>
                <w:szCs w:val="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102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6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160" w:type="dxa"/>
            <w:vAlign w:val="bottom"/>
            <w:tcBorders>
              <w:right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860" w:type="dxa"/>
            <w:vAlign w:val="bottom"/>
            <w:gridSpan w:val="4"/>
          </w:tcPr>
          <w:p>
            <w:pPr>
              <w:jc w:val="right"/>
              <w:ind w:right="18"/>
              <w:spacing w:after="0"/>
              <w:rPr>
                <w:sz w:val="20"/>
                <w:szCs w:val="20"/>
                <w:color w:val="auto"/>
              </w:rPr>
            </w:pPr>
            <w:r>
              <w:rPr>
                <w:rFonts w:ascii="Arial" w:cs="Arial" w:eastAsia="Arial" w:hAnsi="Arial"/>
                <w:sz w:val="14"/>
                <w:szCs w:val="14"/>
                <w:b w:val="1"/>
                <w:bCs w:val="1"/>
                <w:color w:val="auto"/>
              </w:rPr>
              <w:t>Stock</w:t>
            </w:r>
          </w:p>
        </w:tc>
        <w:tc>
          <w:tcPr>
            <w:tcW w:w="4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Stock</w:t>
            </w:r>
          </w:p>
        </w:tc>
        <w:tc>
          <w:tcPr>
            <w:tcW w:w="4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8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w w:val="94"/>
              </w:rPr>
              <w:t>Stock</w:t>
            </w:r>
          </w:p>
        </w:tc>
        <w:tc>
          <w:tcPr>
            <w:tcW w:w="3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8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8"/>
              </w:rPr>
              <w:t>Shares</w:t>
            </w:r>
          </w:p>
        </w:tc>
        <w:tc>
          <w:tcPr>
            <w:tcW w:w="620" w:type="dxa"/>
            <w:vAlign w:val="bottom"/>
            <w:tcBorders>
              <w:top w:val="single" w:sz="8" w:color="auto"/>
              <w:right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Borders>
              <w:top w:val="single" w:sz="8" w:color="auto"/>
            </w:tcBorders>
            <w:shd w:val="clear" w:color="auto" w:fill="000000"/>
          </w:tcPr>
          <w:p>
            <w:pPr>
              <w:spacing w:after="0"/>
              <w:rPr>
                <w:sz w:val="12"/>
                <w:szCs w:val="12"/>
                <w:color w:val="auto"/>
              </w:rPr>
            </w:pPr>
          </w:p>
        </w:tc>
        <w:tc>
          <w:tcPr>
            <w:tcW w:w="6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Borders>
              <w:top w:val="single" w:sz="8" w:color="auto"/>
            </w:tcBorders>
            <w:shd w:val="clear" w:color="auto" w:fill="000000"/>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Borders>
              <w:top w:val="single" w:sz="8" w:color="auto"/>
            </w:tcBorders>
            <w:shd w:val="clear" w:color="auto" w:fill="000000"/>
          </w:tcPr>
          <w:p>
            <w:pPr>
              <w:spacing w:after="0"/>
              <w:rPr>
                <w:sz w:val="12"/>
                <w:szCs w:val="12"/>
                <w:color w:val="auto"/>
              </w:rPr>
            </w:pPr>
          </w:p>
        </w:tc>
        <w:tc>
          <w:tcPr>
            <w:tcW w:w="88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March 31,</w:t>
            </w: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8"/>
              </w:rPr>
              <w:t>500,000</w:t>
            </w:r>
          </w:p>
        </w:tc>
        <w:tc>
          <w:tcPr>
            <w:tcW w:w="3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6"/>
              </w:rPr>
              <w:t>1,131,669</w:t>
            </w:r>
          </w:p>
        </w:tc>
        <w:tc>
          <w:tcPr>
            <w:tcW w:w="18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b w:val="1"/>
                <w:bCs w:val="1"/>
                <w:color w:val="auto"/>
              </w:rPr>
              <w:t>$</w:t>
            </w: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1,100</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9"/>
              </w:rPr>
              <w:t>2,318,012</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2,300</w:t>
            </w: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402,149</w:t>
            </w:r>
          </w:p>
        </w:tc>
        <w:tc>
          <w:tcPr>
            <w:tcW w:w="1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400</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180,751,234</w:t>
            </w: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89"/>
              </w:rPr>
              <w:t>$ 180,800</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6"/>
              </w:rPr>
              <w:t>$ 315,603,100</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(3,968,100)</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 (219,841,700)</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9"/>
              </w:rPr>
              <w:t>91,978,500</w:t>
            </w:r>
          </w:p>
        </w:tc>
        <w:tc>
          <w:tcPr>
            <w:tcW w:w="0" w:type="dxa"/>
            <w:vAlign w:val="bottom"/>
          </w:tcPr>
          <w:p>
            <w:pPr>
              <w:spacing w:after="0"/>
              <w:rPr>
                <w:sz w:val="1"/>
                <w:szCs w:val="1"/>
                <w:color w:val="auto"/>
              </w:rPr>
            </w:pPr>
          </w:p>
        </w:tc>
      </w:tr>
      <w:tr>
        <w:trPr>
          <w:trHeight w:val="171"/>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2021</w:t>
            </w:r>
          </w:p>
        </w:tc>
        <w:tc>
          <w:tcPr>
            <w:tcW w:w="54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320" w:type="dxa"/>
            <w:vAlign w:val="bottom"/>
            <w:tcBorders>
              <w:right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0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0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38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Accrued</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dividends on</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Series B</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rPr>
              <w:t>Preferred</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(361,800)</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(361,800)</w:t>
            </w:r>
          </w:p>
        </w:tc>
        <w:tc>
          <w:tcPr>
            <w:tcW w:w="0" w:type="dxa"/>
            <w:vAlign w:val="bottom"/>
          </w:tcPr>
          <w:p>
            <w:pPr>
              <w:spacing w:after="0"/>
              <w:rPr>
                <w:sz w:val="1"/>
                <w:szCs w:val="1"/>
                <w:color w:val="auto"/>
              </w:rPr>
            </w:pPr>
          </w:p>
        </w:tc>
      </w:tr>
      <w:tr>
        <w:trPr>
          <w:trHeight w:val="130"/>
        </w:trPr>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compensation</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expense</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(including</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ESPP)</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590,400</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590,400</w:t>
            </w: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Proceeds from</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exercise of</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rPr>
              <w:t>warrants</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1,516,768</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1,500</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1,108,200</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1,109,700</w:t>
            </w:r>
          </w:p>
        </w:tc>
        <w:tc>
          <w:tcPr>
            <w:tcW w:w="0" w:type="dxa"/>
            <w:vAlign w:val="bottom"/>
          </w:tcPr>
          <w:p>
            <w:pPr>
              <w:spacing w:after="0"/>
              <w:rPr>
                <w:sz w:val="1"/>
                <w:szCs w:val="1"/>
                <w:color w:val="auto"/>
              </w:rPr>
            </w:pPr>
          </w:p>
        </w:tc>
      </w:tr>
      <w:tr>
        <w:trPr>
          <w:trHeight w:val="130"/>
        </w:trPr>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w:t>
            </w: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Series D</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Preferred</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into</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(402,149)</w:t>
            </w: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9,249,427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9,200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(8,800)</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w w:val="98"/>
              </w:rPr>
              <w:t>Sale of common</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stock</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pursuant to</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2019</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Employee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Stock</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Purchase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rPr>
              <w:t>Plan</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16,251</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31,600</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31,600</w:t>
            </w:r>
          </w:p>
        </w:tc>
        <w:tc>
          <w:tcPr>
            <w:tcW w:w="0" w:type="dxa"/>
            <w:vAlign w:val="bottom"/>
          </w:tcPr>
          <w:p>
            <w:pPr>
              <w:spacing w:after="0"/>
              <w:rPr>
                <w:sz w:val="1"/>
                <w:szCs w:val="1"/>
                <w:color w:val="auto"/>
              </w:rPr>
            </w:pPr>
          </w:p>
        </w:tc>
      </w:tr>
      <w:tr>
        <w:trPr>
          <w:trHeight w:val="130"/>
        </w:trPr>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upon</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cashless</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exercise of</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82,504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common</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stock upon</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exercise of</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options for</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rPr>
              <w:t>cash</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15,824</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12,900</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12,900</w:t>
            </w:r>
          </w:p>
        </w:tc>
        <w:tc>
          <w:tcPr>
            <w:tcW w:w="0" w:type="dxa"/>
            <w:vAlign w:val="bottom"/>
          </w:tcPr>
          <w:p>
            <w:pPr>
              <w:spacing w:after="0"/>
              <w:rPr>
                <w:sz w:val="1"/>
                <w:szCs w:val="1"/>
                <w:color w:val="auto"/>
              </w:rPr>
            </w:pPr>
          </w:p>
        </w:tc>
      </w:tr>
      <w:tr>
        <w:trPr>
          <w:trHeight w:val="130"/>
        </w:trPr>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w:t>
            </w: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quarter ended</w:t>
            </w: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(7,744,500)</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(7,744,500)</w:t>
            </w:r>
          </w:p>
        </w:tc>
        <w:tc>
          <w:tcPr>
            <w:tcW w:w="0" w:type="dxa"/>
            <w:vAlign w:val="bottom"/>
          </w:tcPr>
          <w:p>
            <w:pPr>
              <w:spacing w:after="0"/>
              <w:rPr>
                <w:sz w:val="1"/>
                <w:szCs w:val="1"/>
                <w:color w:val="auto"/>
              </w:rPr>
            </w:pPr>
          </w:p>
        </w:tc>
      </w:tr>
      <w:tr>
        <w:trPr>
          <w:trHeight w:val="154"/>
        </w:trPr>
        <w:tc>
          <w:tcPr>
            <w:tcW w:w="1020" w:type="dxa"/>
            <w:vAlign w:val="bottom"/>
            <w:shd w:val="clear" w:color="auto" w:fill="CCEEFF"/>
          </w:tcPr>
          <w:p>
            <w:pPr>
              <w:ind w:left="180"/>
              <w:spacing w:after="0" w:line="154" w:lineRule="exact"/>
              <w:rPr>
                <w:sz w:val="20"/>
                <w:szCs w:val="20"/>
                <w:color w:val="auto"/>
              </w:rPr>
            </w:pPr>
            <w:r>
              <w:rPr>
                <w:rFonts w:ascii="Arial" w:cs="Arial" w:eastAsia="Arial" w:hAnsi="Arial"/>
                <w:sz w:val="14"/>
                <w:szCs w:val="14"/>
                <w:color w:val="auto"/>
                <w:w w:val="92"/>
              </w:rPr>
              <w:t>June 30, 2021</w:t>
            </w:r>
          </w:p>
        </w:tc>
        <w:tc>
          <w:tcPr>
            <w:tcW w:w="5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80" w:type="dxa"/>
            <w:vAlign w:val="bottom"/>
            <w:tcBorders>
              <w:left w:val="single" w:sz="8" w:color="CCEEFF"/>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00" w:type="dxa"/>
            <w:vAlign w:val="bottom"/>
            <w:tcBorders>
              <w:left w:val="single" w:sz="8" w:color="CCEEFF"/>
            </w:tcBorders>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80" w:type="dxa"/>
            <w:vAlign w:val="bottom"/>
            <w:tcBorders>
              <w:left w:val="single" w:sz="8" w:color="CCEEFF"/>
            </w:tcBorders>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020" w:type="dxa"/>
            <w:vAlign w:val="bottom"/>
            <w:tcBorders>
              <w:top w:val="single" w:sz="8" w:color="CCEEFF"/>
            </w:tcBorders>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20" w:type="dxa"/>
            <w:vAlign w:val="bottom"/>
            <w:tcBorders>
              <w:top w:val="single" w:sz="8" w:color="auto"/>
              <w:right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June 30,</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500,000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500</w:t>
            </w:r>
          </w:p>
        </w:tc>
        <w:tc>
          <w:tcPr>
            <w:tcW w:w="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1,131,669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1,100</w:t>
            </w:r>
          </w:p>
        </w:tc>
        <w:tc>
          <w:tcPr>
            <w:tcW w:w="20" w:type="dxa"/>
            <w:vAlign w:val="bottom"/>
            <w:shd w:val="clear" w:color="auto" w:fill="000000"/>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2,318,012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2,300</w:t>
            </w:r>
          </w:p>
        </w:tc>
        <w:tc>
          <w:tcPr>
            <w:tcW w:w="20" w:type="dxa"/>
            <w:vAlign w:val="bottom"/>
            <w:shd w:val="clear" w:color="auto" w:fill="000000"/>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191,632,008</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191,600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316,975,600</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(3,968,100</w:t>
            </w: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(227,586,200</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w:t>
            </w:r>
          </w:p>
        </w:tc>
        <w:tc>
          <w:tcPr>
            <w:tcW w:w="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85,616,900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20" w:type="dxa"/>
            <w:vAlign w:val="bottom"/>
          </w:tcPr>
          <w:p>
            <w:pPr>
              <w:ind w:left="180"/>
              <w:spacing w:after="0" w:line="12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10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March 31,</w:t>
            </w: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b w:val="1"/>
                <w:bCs w:val="1"/>
                <w:color w:val="auto"/>
              </w:rPr>
              <w:t>$</w:t>
            </w: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206,676,620</w:t>
            </w: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89"/>
              </w:rPr>
              <w:t>$ 206,700</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6"/>
              </w:rPr>
              <w:t>$ 336,080,700</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(3,968,100)</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 (267,604,000)</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9"/>
              </w:rPr>
              <w:t>64,715,300</w:t>
            </w:r>
          </w:p>
        </w:tc>
        <w:tc>
          <w:tcPr>
            <w:tcW w:w="0" w:type="dxa"/>
            <w:vAlign w:val="bottom"/>
          </w:tcPr>
          <w:p>
            <w:pPr>
              <w:spacing w:after="0"/>
              <w:rPr>
                <w:sz w:val="1"/>
                <w:szCs w:val="1"/>
                <w:color w:val="auto"/>
              </w:rPr>
            </w:pPr>
          </w:p>
        </w:tc>
      </w:tr>
      <w:tr>
        <w:trPr>
          <w:trHeight w:val="171"/>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2022</w:t>
            </w:r>
          </w:p>
        </w:tc>
        <w:tc>
          <w:tcPr>
            <w:tcW w:w="54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320" w:type="dxa"/>
            <w:vAlign w:val="bottom"/>
            <w:tcBorders>
              <w:right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0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0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38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compensation</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956,900</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956,900</w:t>
            </w: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common</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stock upon</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exercise of</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options for</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rPr>
              <w:t>cash</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100,000</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99,900</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30"/>
        </w:trPr>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Sale of common</w:t>
            </w: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pursuant to</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2019</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Employee</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Purchase</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Plan</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75,000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56,000</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56,100</w:t>
            </w: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Net loss for</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w w:val="94"/>
              </w:rPr>
              <w:t>quarter ended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w w:val="92"/>
              </w:rPr>
              <w:t>June 30, 2022</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(19,776,300)</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5"/>
              </w:rPr>
              <w:t>(19,776,300)</w:t>
            </w:r>
          </w:p>
        </w:tc>
        <w:tc>
          <w:tcPr>
            <w:tcW w:w="0" w:type="dxa"/>
            <w:vAlign w:val="bottom"/>
          </w:tcPr>
          <w:p>
            <w:pPr>
              <w:spacing w:after="0"/>
              <w:rPr>
                <w:sz w:val="1"/>
                <w:szCs w:val="1"/>
                <w:color w:val="auto"/>
              </w:rPr>
            </w:pPr>
          </w:p>
        </w:tc>
      </w:tr>
      <w:tr>
        <w:trPr>
          <w:trHeight w:val="148"/>
        </w:trPr>
        <w:tc>
          <w:tcPr>
            <w:tcW w:w="10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right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40" w:type="dxa"/>
            <w:vAlign w:val="bottom"/>
            <w:tcBorders>
              <w:left w:val="single" w:sz="8" w:color="CCEEFF"/>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right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00" w:type="dxa"/>
            <w:vAlign w:val="bottom"/>
            <w:tcBorders>
              <w:left w:val="single" w:sz="8" w:color="CCEEFF"/>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0" w:type="dxa"/>
            <w:vAlign w:val="bottom"/>
            <w:tcBorders>
              <w:left w:val="single" w:sz="8" w:color="CCEEFF"/>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20" w:type="dxa"/>
            <w:vAlign w:val="bottom"/>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June 30,</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vMerge w:val="restart"/>
          </w:tcPr>
          <w:p>
            <w:pPr>
              <w:jc w:val="right"/>
              <w:ind w:right="18"/>
              <w:spacing w:after="0"/>
              <w:rPr>
                <w:sz w:val="20"/>
                <w:szCs w:val="20"/>
                <w:color w:val="auto"/>
              </w:rPr>
            </w:pPr>
            <w:r>
              <w:rPr>
                <w:rFonts w:ascii="Arial" w:cs="Arial" w:eastAsia="Arial" w:hAnsi="Arial"/>
                <w:sz w:val="10"/>
                <w:szCs w:val="10"/>
                <w:b w:val="1"/>
                <w:bCs w:val="1"/>
                <w:color w:val="auto"/>
                <w:w w:val="71"/>
              </w:rPr>
              <w:t>$</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206,851,620</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$ 206,900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$ 337,193,500</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(3,968,100</w:t>
            </w: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(287,380,300</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w:t>
            </w: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46,052,000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20" w:type="dxa"/>
            <w:vAlign w:val="bottom"/>
          </w:tcPr>
          <w:p>
            <w:pPr>
              <w:ind w:left="180"/>
              <w:spacing w:after="0" w:line="125"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5" w:right="339" w:bottom="879"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79"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VistaGen Therapeutics, Inc., a Nevada corporation (which may be referred to as </w:t>
      </w:r>
      <w:r>
        <w:rPr>
          <w:rFonts w:ascii="Arial" w:cs="Arial" w:eastAsia="Arial" w:hAnsi="Arial"/>
          <w:sz w:val="18"/>
          <w:szCs w:val="18"/>
          <w:i w:val="1"/>
          <w:iCs w:val="1"/>
          <w:color w:val="auto"/>
        </w:rPr>
        <w:t>VistaGen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our</w:t>
      </w:r>
      <w:r>
        <w:rPr>
          <w:rFonts w:ascii="Arial" w:cs="Arial" w:eastAsia="Arial" w:hAnsi="Arial"/>
          <w:sz w:val="18"/>
          <w:szCs w:val="18"/>
          <w:color w:val="auto"/>
        </w:rPr>
        <w:t xml:space="preserve">, or </w:t>
      </w:r>
      <w:r>
        <w:rPr>
          <w:rFonts w:ascii="Arial" w:cs="Arial" w:eastAsia="Arial" w:hAnsi="Arial"/>
          <w:sz w:val="18"/>
          <w:szCs w:val="18"/>
          <w:i w:val="1"/>
          <w:iCs w:val="1"/>
          <w:color w:val="auto"/>
        </w:rPr>
        <w:t>us</w:t>
      </w:r>
      <w:r>
        <w:rPr>
          <w:rFonts w:ascii="Arial" w:cs="Arial" w:eastAsia="Arial" w:hAnsi="Arial"/>
          <w:sz w:val="18"/>
          <w:szCs w:val="18"/>
          <w:color w:val="auto"/>
        </w:rPr>
        <w:t>), is a clinical-stage, biopharmaceutical company striving to transform the treatment landscape for individuals living with anxiety,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We are focused on developing and commercializing innovative therapeutics with the potential to be faster-acting, and with fewer side effects and safety concerns, than products that are currently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Each of our drug candidates has a differentiated potential mechanism of action (</w:t>
      </w:r>
      <w:r>
        <w:rPr>
          <w:rFonts w:ascii="Arial" w:cs="Arial" w:eastAsia="Arial" w:hAnsi="Arial"/>
          <w:sz w:val="18"/>
          <w:szCs w:val="18"/>
          <w:i w:val="1"/>
          <w:iCs w:val="1"/>
          <w:color w:val="auto"/>
        </w:rPr>
        <w:t>MOA</w:t>
      </w:r>
      <w:r>
        <w:rPr>
          <w:rFonts w:ascii="Arial" w:cs="Arial" w:eastAsia="Arial" w:hAnsi="Arial"/>
          <w:sz w:val="18"/>
          <w:szCs w:val="18"/>
          <w:color w:val="auto"/>
        </w:rPr>
        <w:t>), has been well-tolerated in all clinical studies to date, and may have therapeutic potential in multiple CNS indications. Our goal is to become a biopharmaceutical company that develops and commercializes innovative CNS therapies for highly prevalent neuropsychiatric and neurological indications where current treatment options are inadequate to meet the needs of millions of patients in the U.S. and worldwide.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clinical-stage candidates belong primarily to a new class of neuroactive steroids known as pherines, which are odorless, tasteless and active on chemosensory neurons in the nasal passages. They have the potential to treat multiple anxiety and depression disorders without systemic uptake and without direct activation of GABA-A receptors or other CNS neurons in the brain, in distinct contrast to the mechanism of action of benzodiazepines, for example, which typically are taken orally, require systemic uptake and directly modulate GABA-A receptors.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current product candidates include the following:</w:t>
      </w:r>
    </w:p>
    <w:p>
      <w:pPr>
        <w:spacing w:after="0" w:line="225" w:lineRule="exact"/>
        <w:rPr>
          <w:sz w:val="20"/>
          <w:szCs w:val="20"/>
          <w:color w:val="auto"/>
        </w:rPr>
      </w:pPr>
    </w:p>
    <w:p>
      <w:pPr>
        <w:jc w:val="both"/>
        <w:ind w:left="1680" w:hanging="322"/>
        <w:spacing w:after="0" w:line="257" w:lineRule="auto"/>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PH94B, a rapid-onset synthetic investigational pherine nasal spray that regulates the olfactory-amygdala neural circuits of fear and anxiety and attenuates the tone of the sympathetic autonomic nervous system. We are currently evaluating PH94B for the potential treatment of multiple anxiety disorders, including for adults with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 in our PALISADE Phase 3 program, and for adults experiencing Adjustment Disorder with Anxiety (</w:t>
      </w:r>
      <w:r>
        <w:rPr>
          <w:rFonts w:ascii="Arial" w:cs="Arial" w:eastAsia="Arial" w:hAnsi="Arial"/>
          <w:sz w:val="18"/>
          <w:szCs w:val="18"/>
          <w:i w:val="1"/>
          <w:iCs w:val="1"/>
          <w:color w:val="auto"/>
        </w:rPr>
        <w:t>AjDA</w:t>
      </w:r>
      <w:r>
        <w:rPr>
          <w:rFonts w:ascii="Arial" w:cs="Arial" w:eastAsia="Arial" w:hAnsi="Arial"/>
          <w:sz w:val="18"/>
          <w:szCs w:val="18"/>
          <w:color w:val="auto"/>
        </w:rPr>
        <w:t>) in an exploratory Phase 2A clinical program. Please see below for additional information regarding our PALISADE Phase 3 program.</w:t>
      </w:r>
    </w:p>
    <w:p>
      <w:pPr>
        <w:spacing w:after="0" w:line="187" w:lineRule="exact"/>
        <w:rPr>
          <w:rFonts w:ascii="Arial" w:cs="Arial" w:eastAsia="Arial" w:hAnsi="Arial"/>
          <w:sz w:val="18"/>
          <w:szCs w:val="18"/>
          <w:color w:val="auto"/>
        </w:rPr>
      </w:pPr>
    </w:p>
    <w:p>
      <w:pPr>
        <w:jc w:val="both"/>
        <w:ind w:left="1640" w:hanging="323"/>
        <w:spacing w:after="0" w:line="279" w:lineRule="auto"/>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PH10, a synthetic investigational pherine nasal spray with a potential rapid-onset MOA that is fundamentally differentiated from the MOA of all currently approved treatments for depression disorders. We are preparing to launch a Phase 1 clinical program for PH10 that is designed to evaluate its potential as a fast-acting stand-alone treatment for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 and we believe that we may also have potential opportunities to develop PH10 for other depression-related disorders.</w:t>
      </w:r>
    </w:p>
    <w:p>
      <w:pPr>
        <w:spacing w:after="0" w:line="171" w:lineRule="exact"/>
        <w:rPr>
          <w:rFonts w:ascii="Arial" w:cs="Arial" w:eastAsia="Arial" w:hAnsi="Arial"/>
          <w:sz w:val="17"/>
          <w:szCs w:val="17"/>
          <w:color w:val="auto"/>
        </w:rPr>
      </w:pPr>
    </w:p>
    <w:p>
      <w:pPr>
        <w:jc w:val="both"/>
        <w:ind w:left="1580" w:hanging="317"/>
        <w:spacing w:after="0" w:line="301" w:lineRule="auto"/>
        <w:tabs>
          <w:tab w:leader="none" w:pos="1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AV-101, an oral prodrug of 7-chloro-kynurenic acid (7-Cl-KYNA), which is a potent and selective antagonist of the glycine co-agonist site of the NMDAR that inhibits the function of the NMDAR, that, in combination with FDA-approved oral probenecid, has the potential to become a new oral treatment alternative for certain CNS indications involving the abnormal function of the NMDAR. We are presently conducting an exploratory Phase 1B drug-drug interaction clinical study of AV-101 in combination with probenecid.</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22, 2022, we announced that PALISADE-1, our single administration assessment Phase 3 clinical study of PH94B for the acute treatment of anxiety in adults with SAD did not achieve its primary efficacy endpoint. PH94B’s safety profile in the study was favorable and consistent with all prior clinical studies to date. As of the date of this Report, we have paused enrollment in PALISADE-2, our replicate Phase 3 clinical trial in SAD, while an independent third-party biostatistician conducts an interim data analysis of the study based on subjects randomized to date. When the interim analysis is complete, we will assess the results and determine next steps with respect to the study. In addition, in August 2022 we opted to end recruitment and enrollment in the PALISADE Open-Label Safety Study (</w:t>
      </w:r>
      <w:r>
        <w:rPr>
          <w:rFonts w:ascii="Arial" w:cs="Arial" w:eastAsia="Arial" w:hAnsi="Arial"/>
          <w:sz w:val="17"/>
          <w:szCs w:val="17"/>
          <w:i w:val="1"/>
          <w:iCs w:val="1"/>
          <w:color w:val="auto"/>
        </w:rPr>
        <w:t>PALISADE OLS</w:t>
      </w:r>
      <w:r>
        <w:rPr>
          <w:rFonts w:ascii="Arial" w:cs="Arial" w:eastAsia="Arial" w:hAnsi="Arial"/>
          <w:sz w:val="17"/>
          <w:szCs w:val="17"/>
          <w:color w:val="auto"/>
        </w:rPr>
        <w:t>), a multiple-use, multiple-assessment long-term safety study of PH94B for the treatment of SAD. Preliminary data from the PALISADE OLS appears to support functional improvement and reduction of severity of SAD after use of PH94B on an as-needed basis over an extended exposure period when measured using the Liebowitz Social Anxiety Scale (</w:t>
      </w:r>
      <w:r>
        <w:rPr>
          <w:rFonts w:ascii="Arial" w:cs="Arial" w:eastAsia="Arial" w:hAnsi="Arial"/>
          <w:sz w:val="17"/>
          <w:szCs w:val="17"/>
          <w:i w:val="1"/>
          <w:iCs w:val="1"/>
          <w:color w:val="auto"/>
        </w:rPr>
        <w:t>LSAS</w:t>
      </w:r>
      <w:r>
        <w:rPr>
          <w:rFonts w:ascii="Arial" w:cs="Arial" w:eastAsia="Arial" w:hAnsi="Arial"/>
          <w:sz w:val="17"/>
          <w:szCs w:val="17"/>
          <w:color w:val="auto"/>
        </w:rPr>
        <w: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remain steadfast in our commitment to changing the trajectory of mental health care and in the potential of our drug candidates to achieve our mission. As to PH94B in SAD, we believe the combination of the overall safety profile of PH94B in studies to date, data from two Phase 2 clinical studies of PH94B in SAD, and emerging preliminary LSAS data from our PALISADE OLS study indicate a potential for SAD patients to achieve cumulative functional improvement with longer uses of PH94B, while still being used acutely, as-needed. Accordingly, in parallel with the conduct of the independent third-party interim analysis of PALISADE 2, we are preparing to meet with the FDA to discuss potential next steps for late-stage clinical development of PH94B as a potential treatment for SAD, including assessing PH94B’s therapeutic potential to achieve cumulative functional improvement over multiple uses during an extended exposure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Therapeutics, Inc., a California corporation d/b/a VistaStem (</w:t>
      </w:r>
      <w:r>
        <w:rPr>
          <w:rFonts w:ascii="Arial" w:cs="Arial" w:eastAsia="Arial" w:hAnsi="Arial"/>
          <w:sz w:val="18"/>
          <w:szCs w:val="18"/>
          <w:i w:val="1"/>
          <w:iCs w:val="1"/>
          <w:color w:val="auto"/>
        </w:rPr>
        <w:t>VistaStem</w:t>
      </w:r>
      <w:r>
        <w:rPr>
          <w:rFonts w:ascii="Arial" w:cs="Arial" w:eastAsia="Arial" w:hAnsi="Arial"/>
          <w:sz w:val="18"/>
          <w:szCs w:val="18"/>
          <w:color w:val="auto"/>
        </w:rPr>
        <w:t>), is our wholly owned subsidiary. For the relevant periods, our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 owned inactive subsidiaries, Artemis Neuroscience, Inc., a Maryland corporation (</w:t>
      </w:r>
      <w:r>
        <w:rPr>
          <w:rFonts w:ascii="Arial" w:cs="Arial" w:eastAsia="Arial" w:hAnsi="Arial"/>
          <w:sz w:val="18"/>
          <w:szCs w:val="18"/>
          <w:i w:val="1"/>
          <w:iCs w:val="1"/>
          <w:color w:val="auto"/>
        </w:rPr>
        <w:t>Artemis</w:t>
      </w:r>
      <w:r>
        <w:rPr>
          <w:rFonts w:ascii="Arial" w:cs="Arial" w:eastAsia="Arial" w:hAnsi="Arial"/>
          <w:sz w:val="18"/>
          <w:szCs w:val="18"/>
          <w:color w:val="auto"/>
        </w:rPr>
        <w:t>), which was dissolved in April 2022, and VistaStem Canada, Inc., a corporation organized under the laws of Ontario, Canada (</w:t>
      </w:r>
      <w:r>
        <w:rPr>
          <w:rFonts w:ascii="Arial" w:cs="Arial" w:eastAsia="Arial" w:hAnsi="Arial"/>
          <w:sz w:val="18"/>
          <w:szCs w:val="18"/>
          <w:i w:val="1"/>
          <w:iCs w:val="1"/>
          <w:color w:val="auto"/>
        </w:rPr>
        <w:t>VistaStem Canada</w:t>
      </w:r>
      <w:r>
        <w:rPr>
          <w:rFonts w:ascii="Arial" w:cs="Arial" w:eastAsia="Arial" w:hAnsi="Arial"/>
          <w:sz w:val="18"/>
          <w:szCs w:val="18"/>
          <w:color w:val="auto"/>
        </w:rPr>
        <w:t>), which was dissolved in June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w:t>
      </w:r>
      <w:r>
        <w:rPr>
          <w:rFonts w:ascii="Arial" w:cs="Arial" w:eastAsia="Arial" w:hAnsi="Arial"/>
          <w:sz w:val="18"/>
          <w:szCs w:val="18"/>
          <w:i w:val="1"/>
          <w:iCs w:val="1"/>
          <w:color w:val="auto"/>
        </w:rPr>
        <w:t>U.S. GAAP</w:t>
      </w:r>
      <w:r>
        <w:rPr>
          <w:rFonts w:ascii="Arial" w:cs="Arial" w:eastAsia="Arial" w:hAnsi="Arial"/>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2022 has been derived from our audited consolidated financial statements at that date but does not include all disclosures required by U.S. GAAP. The operating results for the three months ended June 30, 2022 are not necessarily indicative of the operating results to be expected for our fiscal year ending March 31, 2023, or for any other future interim or other period.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2022 contained in our Annual Report on Form 10-K, as filed with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on June 23, 2022 (</w:t>
      </w:r>
      <w:r>
        <w:rPr>
          <w:rFonts w:ascii="Arial" w:cs="Arial" w:eastAsia="Arial" w:hAnsi="Arial"/>
          <w:sz w:val="17"/>
          <w:szCs w:val="17"/>
          <w:i w:val="1"/>
          <w:iCs w:val="1"/>
          <w:color w:val="auto"/>
        </w:rPr>
        <w:t>Form 10-K</w:t>
      </w:r>
      <w:r>
        <w:rPr>
          <w:rFonts w:ascii="Arial" w:cs="Arial" w:eastAsia="Arial" w:hAnsi="Arial"/>
          <w:sz w:val="17"/>
          <w:szCs w:val="17"/>
          <w:color w:val="auto"/>
        </w:rPr>
        <w: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$287.4 million accumulated from inception ( May 1998) through June 30, 2022. We expect losses and negative cash flows from operations to continue for the foreseeable future as we engage in further development of PH94B, PH10 and AV-101.</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June 30, 2022, we have financed our operations and technology acquisitions primarily through the issuance and sale of our equity and debt securities for cash proceeds of approximately $208.7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Capital Resources and Going Concern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our fiscal year ended March 31, 2022 (</w:t>
      </w:r>
      <w:r>
        <w:rPr>
          <w:rFonts w:ascii="Arial" w:cs="Arial" w:eastAsia="Arial" w:hAnsi="Arial"/>
          <w:sz w:val="16"/>
          <w:szCs w:val="16"/>
          <w:i w:val="1"/>
          <w:iCs w:val="1"/>
          <w:color w:val="auto"/>
        </w:rPr>
        <w:t>Fiscal 2022</w:t>
      </w:r>
      <w:r>
        <w:rPr>
          <w:rFonts w:ascii="Arial" w:cs="Arial" w:eastAsia="Arial" w:hAnsi="Arial"/>
          <w:sz w:val="16"/>
          <w:szCs w:val="16"/>
          <w:color w:val="auto"/>
        </w:rPr>
        <w:t xml:space="preserve">), holders of outstanding warrants to purchase an aggregate of approximately 7.3 million shares of our common stock exercised such warrants, and we received cash proceeds of approximately $6.2 million. In May 2021, we entered into an Open Market Sale Agreement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(the </w:t>
      </w:r>
      <w:r>
        <w:rPr>
          <w:rFonts w:ascii="Arial" w:cs="Arial" w:eastAsia="Arial" w:hAnsi="Arial"/>
          <w:sz w:val="16"/>
          <w:szCs w:val="16"/>
          <w:i w:val="1"/>
          <w:iCs w:val="1"/>
          <w:color w:val="auto"/>
        </w:rPr>
        <w:t>Sales Agreement</w:t>
      </w:r>
      <w:r>
        <w:rPr>
          <w:rFonts w:ascii="Arial" w:cs="Arial" w:eastAsia="Arial" w:hAnsi="Arial"/>
          <w:sz w:val="16"/>
          <w:szCs w:val="16"/>
          <w:color w:val="auto"/>
        </w:rPr>
        <w:t xml:space="preserve">) with respect to an at-the-market offering program (the </w:t>
      </w:r>
      <w:r>
        <w:rPr>
          <w:rFonts w:ascii="Arial" w:cs="Arial" w:eastAsia="Arial" w:hAnsi="Arial"/>
          <w:sz w:val="16"/>
          <w:szCs w:val="16"/>
          <w:i w:val="1"/>
          <w:iCs w:val="1"/>
          <w:color w:val="auto"/>
        </w:rPr>
        <w:t>ATM</w:t>
      </w:r>
      <w:r>
        <w:rPr>
          <w:rFonts w:ascii="Arial" w:cs="Arial" w:eastAsia="Arial" w:hAnsi="Arial"/>
          <w:sz w:val="16"/>
          <w:szCs w:val="16"/>
          <w:color w:val="auto"/>
        </w:rPr>
        <w:t>) under which we may offer and sell, from time to time, shares of our common stock having an aggregate offering price of up to $75.0 million through our sales agent. During Fiscal 2022, we sold an aggregate of 1,517,798 shares of our common stock and received net cash proceeds of approximately $4.3 million under the ATM. We have not sold any additional shares of our common stock under the Sales Agreement from October 2, 2021 through the date of this Report. During our fiscal year ended March 31, 2021 (</w:t>
      </w:r>
      <w:r>
        <w:rPr>
          <w:rFonts w:ascii="Arial" w:cs="Arial" w:eastAsia="Arial" w:hAnsi="Arial"/>
          <w:sz w:val="16"/>
          <w:szCs w:val="16"/>
          <w:i w:val="1"/>
          <w:iCs w:val="1"/>
          <w:color w:val="auto"/>
        </w:rPr>
        <w:t>Fiscal 2021</w:t>
      </w:r>
      <w:r>
        <w:rPr>
          <w:rFonts w:ascii="Arial" w:cs="Arial" w:eastAsia="Arial" w:hAnsi="Arial"/>
          <w:sz w:val="16"/>
          <w:szCs w:val="16"/>
          <w:color w:val="auto"/>
        </w:rPr>
        <w:t xml:space="preserve">), we received approximately $119 million in net cash proceeds, primarily from public offerings conducted in August 2020 and December 2020, the exercise of approximately 6.6 million outstanding warrants and the upfront license payment pursuant to our sublicense and collaboration agreement for PH94B (the </w:t>
      </w:r>
      <w:r>
        <w:rPr>
          <w:rFonts w:ascii="Arial" w:cs="Arial" w:eastAsia="Arial" w:hAnsi="Arial"/>
          <w:sz w:val="16"/>
          <w:szCs w:val="16"/>
          <w:i w:val="1"/>
          <w:iCs w:val="1"/>
          <w:color w:val="auto"/>
        </w:rPr>
        <w:t>AffaMed Agreement</w:t>
      </w:r>
      <w:r>
        <w:rPr>
          <w:rFonts w:ascii="Arial" w:cs="Arial" w:eastAsia="Arial" w:hAnsi="Arial"/>
          <w:sz w:val="16"/>
          <w:szCs w:val="16"/>
          <w:color w:val="auto"/>
        </w:rPr>
        <w:t xml:space="preserve">), which is described more completely in Note 11, </w:t>
      </w:r>
      <w:r>
        <w:rPr>
          <w:rFonts w:ascii="Arial" w:cs="Arial" w:eastAsia="Arial" w:hAnsi="Arial"/>
          <w:sz w:val="16"/>
          <w:szCs w:val="16"/>
          <w:i w:val="1"/>
          <w:iCs w:val="1"/>
          <w:color w:val="auto"/>
        </w:rPr>
        <w:t>Sublicensing and Collaboration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The financings and other transactions consummated during Fiscal 2022 and Fiscal 2021 have been the primary sources of our liquidity during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Fiscal 2022 and in our current fiscal year. During the quarter ended June 30, 2022, we received approximately $156,100 in proceeds from the exercise of outstanding stock options and sales under our 2019 Employee Stock Ownership Program (the </w:t>
      </w:r>
      <w:r>
        <w:rPr>
          <w:rFonts w:ascii="Arial" w:cs="Arial" w:eastAsia="Arial" w:hAnsi="Arial"/>
          <w:sz w:val="16"/>
          <w:szCs w:val="16"/>
          <w:i w:val="1"/>
          <w:iCs w:val="1"/>
          <w:color w:val="auto"/>
        </w:rPr>
        <w:t>ESPP</w:t>
      </w:r>
      <w:r>
        <w:rPr>
          <w:rFonts w:ascii="Arial" w:cs="Arial" w:eastAsia="Arial" w:hAnsi="Arial"/>
          <w:sz w:val="16"/>
          <w:szCs w:val="16"/>
          <w:color w:val="auto"/>
        </w:rPr>
        <w:t>).</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had cash and cash equivalents of approximately $52.0 million at June 30, 2022, which we believe is sufficient to fund our planned operations for at least the twelve months following the issuance of these financial statements, and indicating our ability to continue as a going concern. We are continuing to evaluate our cash resources given the results of PALISADE-1 and our decisions to (i) pause recruitment and enrollment in PALISADE-2 pending our assessment of an independent third-party interim analysis of current data from subjects randomized in PALISADE-2 to date, and (ii) ending enrollment in the PALISADE OLS study of PH94B. We are also evaluating the resulting implications for the conduct and timing of other clinical trials and the development, regulatory and potential commercialization initiatives for PH94B and our other product candidates. At a minimum, certain of these activities will be deferred or cancelled in the near term, which is expected to reduce the cash required to fund our operations. Moreover, as we have not yet developed products that generate recurring revenue and, in the event we successfully complete future clinical and/or nonclinical programs, we will need to invest substantial additional capital resources to commercialize any of our drug candidates.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When necessary and advantageous, we will seek additional financial resources to fund our planned operations through (i) sales of our equity and/or debt securities in one or more public offerings and/or private placements, (ii) the exercises of some or all of the currently outstanding warrants prior to their expiration, (iii) strategic licensing and development collaborations, and/or (iv) government grants and research awards. Subject to certain restrictions, our Registration Statement on Form S-3 (the </w:t>
      </w:r>
      <w:r>
        <w:rPr>
          <w:rFonts w:ascii="Arial" w:cs="Arial" w:eastAsia="Arial" w:hAnsi="Arial"/>
          <w:sz w:val="18"/>
          <w:szCs w:val="18"/>
          <w:i w:val="1"/>
          <w:iCs w:val="1"/>
          <w:color w:val="auto"/>
        </w:rPr>
        <w:t>S-3 Shelf Registration Statement</w:t>
      </w:r>
      <w:r>
        <w:rPr>
          <w:rFonts w:ascii="Arial" w:cs="Arial" w:eastAsia="Arial" w:hAnsi="Arial"/>
          <w:sz w:val="18"/>
          <w:szCs w:val="18"/>
          <w:color w:val="auto"/>
        </w:rPr>
        <w:t>) remains available for future sales of our equity securities in one or more public offerings from time to time. While we may make additional sales of our equity securities under the S-3 Shelf Registration Statement, we do not have an obligation to do so.</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the potential sale of our equity and/or debt securities, we may also seek to enter research, development and/or commercialization collaborations similar to the AffaMed Agreement, which applies to development of PH94B in certain Pacific-Asian territories, to provide non-dilutive funding for our operations, while also reducing a portion of our future cash outlays and working capital requirements, and/or strategic acquisitions. Although we may seek additional collaborations that could generate revenue and/or provide non-dilutive funding for development and commercialization of our product candidates, no assurance can be provided that any such collaborations, awards or agreements will occur in the future.</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future working capital requirements will depend on many factors, including, without limitation, potential impacts related to the on-going COVID-19 pandemic,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collaborations on terms acceptable to us. To further advance the clinical development of PH94B, PH10, and AV-101, as well as support our operating activities, we plan to continue to carefully manage our operating costs and our clinical and nonclinical programs.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Notwithstanding the foregoing, there can be no assurance that our current strategic collaboration under the AffaMed Agreement will generate revenue from future potential milestone payments or that future financings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common stock may decline, we may be required to reduce, defer, or discontinue certain of our research and development activities, and we may not be able to continue as a going concern. The Condensed Consolidate Financial Statements included in this Report do not include any adjustments that might result from the negative outcome of this uncertainty.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right-of-use assets and lease liabilities and assumptions that have been used historically to value warrants and warrant modifications.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AffaMed Agreement, involving clinical development and commercialization of PH94B for acute treatment of anxiety in adults with SAD, and potentially other anxiety-related disorders, in Greater China, South Korea, and Southeast Asia, has been our only source of revenue for the quarter ended June 30, 2022 and both Fiscal 2022 and Fiscal 2021. The terms of the AffaMed Agreement include a $5.0 million non-refundable upfront license fee which we received in August 2020, potential payments based upon achievement of certain development and commercial milestones, and royalties on product sales. In prior years, we have occasionally generated revenue from collaborative research and development arrangements, licensing and technology transfer agreements, including strategic licenses or sublicenses, and government grants.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xml:space="preserve">) Topic 606,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we recognize revenue when our customers obtain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w:t>
      </w:r>
    </w:p>
    <w:p>
      <w:pPr>
        <w:spacing w:after="0" w:line="2" w:lineRule="exact"/>
        <w:rPr>
          <w:sz w:val="20"/>
          <w:szCs w:val="20"/>
          <w:color w:val="auto"/>
        </w:rPr>
      </w:pPr>
    </w:p>
    <w:p>
      <w:pPr>
        <w:jc w:val="both"/>
        <w:ind w:firstLine="8"/>
        <w:spacing w:after="0" w:line="253" w:lineRule="auto"/>
        <w:tabs>
          <w:tab w:leader="none" w:pos="2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Once a contract is determined to be within the scope of Topic 606, we assess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identify a bundle of goods or services that is distinct.</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transaction price is then determined and allocated to the identified performance obligations in proportion to their standalone selling prices (</w:t>
      </w:r>
      <w:r>
        <w:rPr>
          <w:rFonts w:ascii="Arial" w:cs="Arial" w:eastAsia="Arial" w:hAnsi="Arial"/>
          <w:sz w:val="18"/>
          <w:szCs w:val="18"/>
          <w:i w:val="1"/>
          <w:iCs w:val="1"/>
          <w:color w:val="auto"/>
        </w:rPr>
        <w:t>SSP</w:t>
      </w:r>
      <w:r>
        <w:rPr>
          <w:rFonts w:ascii="Arial" w:cs="Arial" w:eastAsia="Arial" w:hAnsi="Arial"/>
          <w:sz w:val="18"/>
          <w:szCs w:val="18"/>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difference between revenue recognized to-date and the consideration invoiced or received to-date is recognized as either a contract asset/unbilled revenue (revenue earned exceeds cash received) or a contract liability/deferred revenue (cash received exceeds revenue earned). At June 30, 2022, we have recorded deferred revenue of $2,491,500. The following table presents changes in our contract liabilities for the three months ended June 30,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Deductions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2022</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1,244,000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Deferred Revenue - non-current portion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1,557,600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(310,100)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1,247,500</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2,801,600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2,491,500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single combined performance obligation under the AffaMed Agreement, the measure of progress is stand-ready straight-line over the period in which we expect to perform the services related to the license of PH94B. Accordingly, deferred revenue is being recognized on a straight-line basis over the period in which we expect to perform the services.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2022 and 2021, we recognized $310,100 and $354,100, respectively, as revenue related to the AffaMed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quarter ended September 30, 2020, we made cash payments aggregating $345,000 for sublicense fees, which we were obligated to make pursuant to our PH94B license agreement with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and fees for consulting services exclusively related to the AffaMed Agreement. Additionally, on June 24, 2020, we issued 233,645 unregistered shares of our common stock, valued at $125,000, as partial compensation for consulting services related exclusively to the consummation of the AffaMed Agreement. These sublicense fees and consulting payments and the fair value of the common stock issued, aggregating $470,000, were incurred solely to obtain the AffaMed Agreement, and, accordingly, have been capitalized as deferred contract acquisition costs in our Condensed Consolidated Balance Sheet. Capitalized contract acquisition costs are amortized over the period in which we expect to satisfy the performance obligations under the AffaMed Agreement and the amortization expense has been included in general and administrative expense in our Condensed Consolidated Statement of Operations and Comprehensive Loss. During the three months ended June 30, 2022 and 2021, we amortized $29,100 and $33,300, respectively, to general and administrative expense in recognition of the services performed under the arrangement. There has been no impairment loss in relation to the costs capitalized.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 acquisition costs for the three months ended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Deductions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2022</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116,900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146,400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(29,100)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117,300</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263,300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 is composed of both internal and external costs. Internal costs include salaries and employment-related expense, including stock-based compensation expense, of scientific personnel and direct project costs. External research and development expense consists primarily of costs associated with clinical and nonclinical development of PH94B, PH10, AV-101. All such costs are charged to expense as incurred.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record accruals for estimated ongoing clinical trial costs. Clinical trial costs represent costs incurred by contract research organizations (</w:t>
      </w:r>
      <w:r>
        <w:rPr>
          <w:rFonts w:ascii="Arial" w:cs="Arial" w:eastAsia="Arial" w:hAnsi="Arial"/>
          <w:sz w:val="18"/>
          <w:szCs w:val="18"/>
          <w:i w:val="1"/>
          <w:iCs w:val="1"/>
          <w:color w:val="auto"/>
        </w:rPr>
        <w:t>CRO</w:t>
      </w:r>
      <w:r>
        <w:rPr>
          <w:rFonts w:ascii="Arial" w:cs="Arial" w:eastAsia="Arial" w:hAnsi="Arial"/>
          <w:sz w:val="18"/>
          <w:szCs w:val="18"/>
          <w:color w:val="auto"/>
        </w:rPr>
        <w:t>s) and clinical trial sites. Progress payments are generally made to CROs , clinical sites, investigators and other professional service providers. We analyze the progress of clinical trials,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in obtaining product or technology licenses are charged immediately to research and development expense if the product or technology licensed has not achieved regulatory approval or reached technical feasibility and has no alternative future uses, as was the case with our acquisition of the exclusive worldwide licenses for PH94B and PH10 from Pherin during our fiscal year ended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compensation cost for all stock-based awards to employees, independent directors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others nor do we have any awards with market or performance conditions. Non-cash expense attributable to compensatory grants of shares of our common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stock-based compensation expense included in the accompanying Condensed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3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56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329,600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240,800</w:t>
            </w:r>
          </w:p>
        </w:tc>
      </w:tr>
      <w:tr>
        <w:trPr>
          <w:trHeight w:val="216"/>
        </w:trPr>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627,300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349,600</w:t>
            </w:r>
          </w:p>
        </w:tc>
      </w:tr>
      <w:tr>
        <w:trPr>
          <w:trHeight w:val="209"/>
        </w:trPr>
        <w:tc>
          <w:tcPr>
            <w:tcW w:w="56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956,900</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590,400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 amounts reported above include $15,900 and $2,300 in research and development expense for the three months ended June 30, 2022 and 2021, respectively, and $4,900 and $2,700 in general and administrative expense for the three months ended June 30, 2022 and 2021, respectively, attributable to our ESPP.</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three months ended June 30, 2022, we granted from our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options to purchase an aggregate of 615,000 shares of our common stock at exercise prices at the closing market price of our common stock on the date of grant primarily to newly-hired employees. The options to newly hired employees vest 25% on the first anniversary of the grant date with the remaining shares vesting ratably monthly over the next three years. We valued the options granted during the three months ended June 30, 2022 using the Black-Scholes Option Pricing Model and the following assumptions: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Assumption:</w:t>
            </w:r>
          </w:p>
        </w:tc>
        <w:tc>
          <w:tcPr>
            <w:tcW w:w="80" w:type="dxa"/>
            <w:vAlign w:val="bottom"/>
          </w:tcPr>
          <w:p>
            <w:pPr>
              <w:spacing w:after="0"/>
              <w:rPr>
                <w:sz w:val="20"/>
                <w:szCs w:val="20"/>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Weighted Average</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Range</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price per share at grant date</w:t>
            </w: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to</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Exercise price per share</w:t>
            </w: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840" w:type="dxa"/>
            <w:vAlign w:val="bottom"/>
          </w:tcPr>
          <w:p>
            <w:pPr>
              <w:jc w:val="right"/>
              <w:spacing w:after="0"/>
              <w:rPr>
                <w:sz w:val="20"/>
                <w:szCs w:val="20"/>
                <w:color w:val="auto"/>
              </w:rPr>
            </w:pPr>
            <w:r>
              <w:rPr>
                <w:rFonts w:ascii="Arial" w:cs="Arial" w:eastAsia="Arial" w:hAnsi="Arial"/>
                <w:sz w:val="18"/>
                <w:szCs w:val="18"/>
                <w:color w:val="auto"/>
              </w:rPr>
              <w:t>$0.96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to</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2.76% to</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3.23%</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6.08</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5.79 to</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80.14%</w:t>
            </w:r>
          </w:p>
        </w:tc>
        <w:tc>
          <w:tcPr>
            <w:tcW w:w="1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79.14% to 80.77%</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615,000</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per share</w:t>
            </w: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0.83</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quarter ended June 30, 2022, unvested options to purchase an aggregate of 168,749 shares of our common stock were cancelled due to employee terminations; such options were returned to the 2019 Plan to be available for future issuance. At June 30, 2022, there were stock options outstanding under our 2016 Equity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and our 2019 Plan to purchase 19,728,390 shares of our common stock at a weighted average exercise price of $1.45 per share. At that date, there were also 6,846,156 shares of our common stock available for future issuance under the 2019 Plan. There are no additional shares available for issuance under our 2016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Right-of-use Assets and Operating Lease Obligations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account for our leases following the guidance of Accounting Standards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t>
      </w:r>
      <w:r>
        <w:rPr>
          <w:rFonts w:ascii="Arial" w:cs="Arial" w:eastAsia="Arial" w:hAnsi="Arial"/>
          <w:sz w:val="17"/>
          <w:szCs w:val="17"/>
          <w:i w:val="1"/>
          <w:iCs w:val="1"/>
          <w:color w:val="auto"/>
        </w:rPr>
        <w:t>ASU 2016-02</w:t>
      </w:r>
      <w:r>
        <w:rPr>
          <w:rFonts w:ascii="Arial" w:cs="Arial" w:eastAsia="Arial" w:hAnsi="Arial"/>
          <w:sz w:val="17"/>
          <w:szCs w:val="17"/>
          <w:color w:val="auto"/>
        </w:rPr>
        <w:t>). ASU 2016-02 requires that we determine, at the inception of an arrangement, whether the arrangement is or contains a lease, based on the unique facts and circumstances present. Operating lease assets represent our right to use an underlying asset for the lease term (</w:t>
      </w:r>
      <w:r>
        <w:rPr>
          <w:rFonts w:ascii="Arial" w:cs="Arial" w:eastAsia="Arial" w:hAnsi="Arial"/>
          <w:sz w:val="17"/>
          <w:szCs w:val="17"/>
          <w:i w:val="1"/>
          <w:iCs w:val="1"/>
          <w:color w:val="auto"/>
        </w:rPr>
        <w:t>Right-of-use assets</w:t>
      </w:r>
      <w:r>
        <w:rPr>
          <w:rFonts w:ascii="Arial" w:cs="Arial" w:eastAsia="Arial" w:hAnsi="Arial"/>
          <w:sz w:val="17"/>
          <w:szCs w:val="17"/>
          <w:color w:val="auto"/>
        </w:rPr>
        <w:t>) and operating lease liabilities represent our obligation to make lease payments arising from the lease. Right-of-use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not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may include lease incentives, stated rent increases and escalation clauses linked to rates of inflation, when determinable, and are recognized in determining our Right-of-use assets. Our operating lease is reflected in the Right-of-use asset – operating lease; Operating lease obligation – current portion; and Operating lease obligation – non-current portion in our Condensed Consolidated Balance Sheets.</w:t>
      </w:r>
    </w:p>
    <w:p>
      <w:pPr>
        <w:sectPr>
          <w:pgSz w:w="11900" w:h="16838" w:orient="portrait"/>
          <w:cols w:equalWidth="0" w:num="1">
            <w:col w:w="11240"/>
          </w:cols>
          <w:pgMar w:left="320" w:top="125" w:right="339" w:bottom="939"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39"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 Variable lease payments are amounts owed by us to a lessor that are not fixed, such as reimbursement for common area maintenance costs for our facility lease; and are expensed when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Financing leases, formerly referred to as capitalized leases, are treated similarly to operating leases except that the asset subject to the lease is included in the appropriate fixed asset category, rather than recorded as a Right-of-use asset, and depreciated over its estimated useful life, or lease term, if shorter. Refer to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information regarding ASC 842 and its impact on our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which potentially subject us to concentrations of credit risk, consist of cash and cash equivalents. Our investment policies limit any such investments to short-term, low-risk instruments. We deposit cash and cash equivalents with quality financial institutions which are insured to the maximum of federal limitations. Balances in these accounts may exceed federally insured limits at times.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prior to its conversion during Fiscal 2022,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our net loss for both periods presented, potentially dilutive securities were excluded from the computation of diluted net loss per share, as their effect would be antidilutive. Potentially dilutive securities excluded in determining diluted net loss attributable to common stockholders per common share are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04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June 30,</w:t>
            </w: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auto"/>
              </w:rPr>
              <w:t>At March 31,</w:t>
            </w:r>
          </w:p>
        </w:tc>
        <w:tc>
          <w:tcPr>
            <w:tcW w:w="1560" w:type="dxa"/>
            <w:vAlign w:val="bottom"/>
            <w:gridSpan w:val="2"/>
          </w:tcPr>
          <w:p>
            <w:pPr>
              <w:ind w:left="300"/>
              <w:spacing w:after="0"/>
              <w:rPr>
                <w:sz w:val="20"/>
                <w:szCs w:val="20"/>
                <w:color w:val="auto"/>
              </w:rPr>
            </w:pPr>
            <w:r>
              <w:rPr>
                <w:rFonts w:ascii="Arial" w:cs="Arial" w:eastAsia="Arial" w:hAnsi="Arial"/>
                <w:sz w:val="18"/>
                <w:szCs w:val="18"/>
                <w:b w:val="1"/>
                <w:bCs w:val="1"/>
                <w:color w:val="auto"/>
              </w:rPr>
              <w:t>At June 30,</w:t>
            </w:r>
          </w:p>
        </w:tc>
      </w:tr>
      <w:tr>
        <w:trPr>
          <w:trHeight w:val="234"/>
        </w:trPr>
        <w:tc>
          <w:tcPr>
            <w:tcW w:w="12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Series A Preferred stock issued and outstanding </w:t>
            </w:r>
            <w:r>
              <w:rPr>
                <w:rFonts w:ascii="Arial" w:cs="Arial" w:eastAsia="Arial" w:hAnsi="Arial"/>
                <w:sz w:val="25"/>
                <w:szCs w:val="25"/>
                <w:color w:val="auto"/>
                <w:vertAlign w:val="superscript"/>
              </w:rPr>
              <w:t>(1)</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6"/>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Series B Preferred stock issued and outstanding </w:t>
            </w:r>
            <w:r>
              <w:rPr>
                <w:rFonts w:ascii="Arial" w:cs="Arial" w:eastAsia="Arial" w:hAnsi="Arial"/>
                <w:sz w:val="25"/>
                <w:szCs w:val="25"/>
                <w:color w:val="auto"/>
                <w:vertAlign w:val="superscript"/>
              </w:rPr>
              <w:t>(2)</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1,131,669</w:t>
            </w:r>
          </w:p>
        </w:tc>
      </w:tr>
      <w:tr>
        <w:trPr>
          <w:trHeight w:val="216"/>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Series C Preferred stock issued and outstanding </w:t>
            </w:r>
            <w:r>
              <w:rPr>
                <w:rFonts w:ascii="Arial" w:cs="Arial" w:eastAsia="Arial" w:hAnsi="Arial"/>
                <w:sz w:val="25"/>
                <w:szCs w:val="25"/>
                <w:color w:val="auto"/>
                <w:vertAlign w:val="superscript"/>
              </w:rPr>
              <w:t>(3)</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2,318,012</w:t>
            </w:r>
          </w:p>
        </w:tc>
      </w:tr>
      <w:tr>
        <w:trPr>
          <w:trHeight w:val="216"/>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Outstanding options under the Company's Amended and Restated 2016 (formerly</w:t>
            </w: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 Stock Incentive Plan and 2019 Omnibus Equity Incentive Plan</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19,728,390</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19,386,389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15,071,639</w:t>
            </w:r>
          </w:p>
        </w:tc>
      </w:tr>
      <w:tr>
        <w:trPr>
          <w:trHeight w:val="216"/>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9,275,858</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9,275,858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15,139,881</w:t>
            </w:r>
          </w:p>
        </w:tc>
      </w:tr>
      <w:tr>
        <w:trPr>
          <w:trHeight w:val="209"/>
        </w:trPr>
        <w:tc>
          <w:tcPr>
            <w:tcW w:w="128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29,004,248</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28,662,247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34,411,201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1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1</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Assumes exchange under the terms of the October 11, 2012 Note Exchange and Purchase Agreement, as amended.</w:t>
      </w:r>
    </w:p>
    <w:p>
      <w:pPr>
        <w:jc w:val="both"/>
        <w:spacing w:after="0" w:line="218"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2</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Assumes exchange under the terms of the Certificate of Designation of the Relative Rights and Preferences of the Series B 10% Convertible Preferred</w:t>
      </w:r>
      <w:r>
        <w:rPr>
          <w:rFonts w:ascii="Arial" w:cs="Arial" w:eastAsia="Arial" w:hAnsi="Arial"/>
          <w:sz w:val="15"/>
          <w:szCs w:val="15"/>
          <w:color w:val="auto"/>
        </w:rPr>
        <w:t xml:space="preserve"> </w:t>
      </w:r>
      <w:r>
        <w:rPr>
          <w:rFonts w:ascii="Arial" w:cs="Arial" w:eastAsia="Arial" w:hAnsi="Arial"/>
          <w:sz w:val="17"/>
          <w:szCs w:val="17"/>
          <w:color w:val="auto"/>
        </w:rPr>
        <w:t>Stock, effective May 5, 2015; excludes shares of unregistered common stock issuable in payment of dividends on Series B Preferred upon conversion. We issued 3,295,778 unregistered shares of our common stock upon conversion of the Series B Preferred in November 2021.</w:t>
      </w:r>
    </w:p>
    <w:p>
      <w:pPr>
        <w:spacing w:after="0" w:line="2" w:lineRule="exact"/>
        <w:rPr>
          <w:sz w:val="20"/>
          <w:szCs w:val="20"/>
          <w:color w:val="auto"/>
        </w:rPr>
      </w:pPr>
    </w:p>
    <w:p>
      <w:pPr>
        <w:jc w:val="both"/>
        <w:ind w:right="20"/>
        <w:spacing w:after="0" w:line="202"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3</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Assumes exchange under the terms of the Certificate of Designation of the Relative Rights and Preferences of the Series C Convertible Preferred Stock,</w:t>
      </w:r>
      <w:r>
        <w:rPr>
          <w:rFonts w:ascii="Arial" w:cs="Arial" w:eastAsia="Arial" w:hAnsi="Arial"/>
          <w:sz w:val="15"/>
          <w:szCs w:val="15"/>
          <w:color w:val="auto"/>
        </w:rPr>
        <w:t xml:space="preserve"> </w:t>
      </w:r>
      <w:r>
        <w:rPr>
          <w:rFonts w:ascii="Arial" w:cs="Arial" w:eastAsia="Arial" w:hAnsi="Arial"/>
          <w:sz w:val="17"/>
          <w:szCs w:val="17"/>
          <w:color w:val="auto"/>
        </w:rPr>
        <w:t>effective January 25,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do not use derivative instruments for hedging of market risks or for trading or speculative purposes. Our only financial assets that are measured on a recurring basis at fair value were $50,101,200 and $65,094,900 held in money market funds and classified as cash equivalents at June 30, 2022 and March 31, 2022, respectively. Our money market funds are classified within Level 1 of the fair value hierarchy and are valued based on quoted prices in active markets for identical securities. We had no financial liabilities that are measured on a recurring basis at fair value at June 30, 2022 or March 31,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Issued in Connection with Equity Financing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evaluate the appropriate balance sheet classification of warrants we issue as either equity or as a derivative liability. In accordance with ASC 815-40, </w:t>
      </w:r>
      <w:r>
        <w:rPr>
          <w:rFonts w:ascii="Arial" w:cs="Arial" w:eastAsia="Arial" w:hAnsi="Arial"/>
          <w:sz w:val="18"/>
          <w:szCs w:val="18"/>
          <w:i w:val="1"/>
          <w:iCs w:val="1"/>
          <w:color w:val="auto"/>
        </w:rPr>
        <w:t>Derivatives and Hedging-Contracts in the Entity</w:t>
      </w:r>
      <w:r>
        <w:rPr>
          <w:rFonts w:ascii="Arial" w:cs="Arial" w:eastAsia="Arial" w:hAnsi="Arial"/>
          <w:sz w:val="18"/>
          <w:szCs w:val="18"/>
          <w:color w:val="auto"/>
        </w:rPr>
        <w:t>’</w:t>
      </w:r>
      <w:r>
        <w:rPr>
          <w:rFonts w:ascii="Arial" w:cs="Arial" w:eastAsia="Arial" w:hAnsi="Arial"/>
          <w:sz w:val="18"/>
          <w:szCs w:val="18"/>
          <w:i w:val="1"/>
          <w:iCs w:val="1"/>
          <w:color w:val="auto"/>
        </w:rPr>
        <w:t xml:space="preserve">s Own Equity </w:t>
      </w:r>
      <w:r>
        <w:rPr>
          <w:rFonts w:ascii="Arial" w:cs="Arial" w:eastAsia="Arial" w:hAnsi="Arial"/>
          <w:sz w:val="18"/>
          <w:szCs w:val="18"/>
          <w:color w:val="auto"/>
        </w:rPr>
        <w:t>(</w:t>
      </w:r>
      <w:r>
        <w:rPr>
          <w:rFonts w:ascii="Arial" w:cs="Arial" w:eastAsia="Arial" w:hAnsi="Arial"/>
          <w:sz w:val="18"/>
          <w:szCs w:val="18"/>
          <w:i w:val="1"/>
          <w:iCs w:val="1"/>
          <w:color w:val="auto"/>
        </w:rPr>
        <w:t>ASC 815-40</w:t>
      </w:r>
      <w:r>
        <w:rPr>
          <w:rFonts w:ascii="Arial" w:cs="Arial" w:eastAsia="Arial" w:hAnsi="Arial"/>
          <w:sz w:val="18"/>
          <w:szCs w:val="18"/>
          <w:color w:val="auto"/>
        </w:rPr>
        <w:t>), we classify a warrant as equity if it is “indexed to the Company’s equity”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meets several specific conditions for equity classification. A warrant is not considered “indexed to the Company’s equity,” in general, when it contains certain types of exercise contingencies or potential adjustments to its exercise price. If a warrant is not indexed to the Company’s equity or it has net cash settlement that results in the warrants to be accounted for under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or ASC 815-40, it is classified as a derivative liability which is carried on the consolidated balance sheet at fair value with any changes in its fair value recognized immediately in the Statement of Operations and Comprehensive Loss. At June 30, 2022 and March 31, 2022, we had both investor warrants and stock-based compensation warrants outstanding that were classified as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recent accounting pronouncement is of significance or potential significance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xml:space="preserve">) issued ASU 2020-06, </w:t>
      </w:r>
      <w:r>
        <w:rPr>
          <w:rFonts w:ascii="Arial" w:cs="Arial" w:eastAsia="Arial" w:hAnsi="Arial"/>
          <w:sz w:val="16"/>
          <w:szCs w:val="16"/>
          <w:i w:val="1"/>
          <w:iCs w:val="1"/>
          <w:color w:val="auto"/>
        </w:rPr>
        <w:t>Debt</w:t>
      </w:r>
      <w:r>
        <w:rPr>
          <w:rFonts w:ascii="Arial" w:cs="Arial" w:eastAsia="Arial" w:hAnsi="Arial"/>
          <w:sz w:val="16"/>
          <w:szCs w:val="16"/>
          <w:color w:val="auto"/>
        </w:rPr>
        <w:t xml:space="preserve"> – </w:t>
      </w:r>
      <w:r>
        <w:rPr>
          <w:rFonts w:ascii="Arial" w:cs="Arial" w:eastAsia="Arial" w:hAnsi="Arial"/>
          <w:sz w:val="16"/>
          <w:szCs w:val="16"/>
          <w:i w:val="1"/>
          <w:iCs w:val="1"/>
          <w:color w:val="auto"/>
        </w:rPr>
        <w:t>Debt with Conversion and Other Options (Subtopic 470-</w:t>
      </w:r>
    </w:p>
    <w:p>
      <w:pPr>
        <w:spacing w:after="0" w:line="46" w:lineRule="exact"/>
        <w:rPr>
          <w:sz w:val="20"/>
          <w:szCs w:val="20"/>
          <w:color w:val="auto"/>
        </w:rPr>
      </w:pPr>
    </w:p>
    <w:p>
      <w:pPr>
        <w:jc w:val="both"/>
        <w:ind w:firstLine="8"/>
        <w:spacing w:after="0" w:line="255" w:lineRule="auto"/>
        <w:tabs>
          <w:tab w:leader="none" w:pos="306"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Derivatives and Hedging </w:t>
      </w:r>
      <w:r>
        <w:rPr>
          <w:rFonts w:ascii="Arial" w:cs="Arial" w:eastAsia="Arial" w:hAnsi="Arial"/>
          <w:sz w:val="18"/>
          <w:szCs w:val="18"/>
          <w:color w:val="auto"/>
        </w:rPr>
        <w:t>–</w:t>
      </w:r>
      <w:r>
        <w:rPr>
          <w:rFonts w:ascii="Arial" w:cs="Arial" w:eastAsia="Arial" w:hAnsi="Arial"/>
          <w:sz w:val="18"/>
          <w:szCs w:val="18"/>
          <w:i w:val="1"/>
          <w:iCs w:val="1"/>
          <w:color w:val="auto"/>
        </w:rPr>
        <w:t xml:space="preserve"> Contracts in Entity</w:t>
      </w:r>
      <w:r>
        <w:rPr>
          <w:rFonts w:ascii="Arial" w:cs="Arial" w:eastAsia="Arial" w:hAnsi="Arial"/>
          <w:sz w:val="18"/>
          <w:szCs w:val="18"/>
          <w:color w:val="auto"/>
        </w:rPr>
        <w:t>’</w:t>
      </w:r>
      <w:r>
        <w:rPr>
          <w:rFonts w:ascii="Arial" w:cs="Arial" w:eastAsia="Arial" w:hAnsi="Arial"/>
          <w:sz w:val="18"/>
          <w:szCs w:val="18"/>
          <w:i w:val="1"/>
          <w:iCs w:val="1"/>
          <w:color w:val="auto"/>
        </w:rPr>
        <w:t xml:space="preserve">s Own Equity </w:t>
      </w:r>
      <w:r>
        <w:rPr>
          <w:rFonts w:ascii="Arial" w:cs="Arial" w:eastAsia="Arial" w:hAnsi="Arial"/>
          <w:sz w:val="18"/>
          <w:szCs w:val="18"/>
          <w:color w:val="auto"/>
        </w:rPr>
        <w:t>(Subtopic 815-40): Accounting for Convertible Instruments and Contracts in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Own Equity (</w:t>
      </w:r>
      <w:r>
        <w:rPr>
          <w:rFonts w:ascii="Arial" w:cs="Arial" w:eastAsia="Arial" w:hAnsi="Arial"/>
          <w:sz w:val="18"/>
          <w:szCs w:val="18"/>
          <w:i w:val="1"/>
          <w:iCs w:val="1"/>
          <w:color w:val="auto"/>
        </w:rPr>
        <w:t>ASU 2020-06</w:t>
      </w:r>
      <w:r>
        <w:rPr>
          <w:rFonts w:ascii="Arial" w:cs="Arial" w:eastAsia="Arial" w:hAnsi="Arial"/>
          <w:sz w:val="18"/>
          <w:szCs w:val="18"/>
          <w:color w:val="auto"/>
        </w:rPr>
        <w:t>), to reduce complexity in applying U.S. GAAP to certain financial instruments with characteristics of liabilities and equity.</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guidance in ASU 2020-06 simplifies the accounting for convertible debt instruments and convertible preferred stock by removing the existing guidance in ASC 470-20, </w:t>
      </w:r>
      <w:r>
        <w:rPr>
          <w:rFonts w:ascii="Arial" w:cs="Arial" w:eastAsia="Arial" w:hAnsi="Arial"/>
          <w:sz w:val="17"/>
          <w:szCs w:val="17"/>
          <w:i w:val="1"/>
          <w:iCs w:val="1"/>
          <w:color w:val="auto"/>
        </w:rPr>
        <w:t>Debt: Debt with Conversion and Other Options</w:t>
      </w:r>
      <w:r>
        <w:rPr>
          <w:rFonts w:ascii="Arial" w:cs="Arial" w:eastAsia="Arial" w:hAnsi="Arial"/>
          <w:sz w:val="17"/>
          <w:szCs w:val="17"/>
          <w:color w:val="auto"/>
        </w:rPr>
        <w:t>, that requires entities to account for beneficial conversion features and cash conversion features in equity, separately from the host convertible debt or preferred stock. The guidance in ASC 470-20 applies to convertible instruments for which the embedded conversion features are not required to be bifurcated from the host contract and accounted for as derivatives.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These amendments are expected to result in more freestanding financial instruments qualifying for equity classification (and, therefore, not accounted for as derivatives), as well as fewer embedded features requiring separate accounting from the host contract.</w:t>
      </w:r>
    </w:p>
    <w:p>
      <w:pPr>
        <w:sectPr>
          <w:pgSz w:w="11900" w:h="16838" w:orient="portrait"/>
          <w:cols w:equalWidth="0" w:num="1">
            <w:col w:w="11240"/>
          </w:cols>
          <w:pgMar w:left="320" w:top="108"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amendments in ASU 2020-06 further revise the guidance in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to require entities to calculate diluted earnings per share (</w:t>
      </w:r>
      <w:r>
        <w:rPr>
          <w:rFonts w:ascii="Arial" w:cs="Arial" w:eastAsia="Arial" w:hAnsi="Arial"/>
          <w:sz w:val="18"/>
          <w:szCs w:val="18"/>
          <w:i w:val="1"/>
          <w:iCs w:val="1"/>
          <w:color w:val="auto"/>
        </w:rPr>
        <w:t>EPS</w:t>
      </w:r>
      <w:r>
        <w:rPr>
          <w:rFonts w:ascii="Arial" w:cs="Arial" w:eastAsia="Arial" w:hAnsi="Arial"/>
          <w:sz w:val="18"/>
          <w:szCs w:val="18"/>
          <w:color w:val="auto"/>
        </w:rPr>
        <w:t>) for convertible instruments by using the if-converted method. In addition, entities must presume share settlement for purposes of calculating diluted EPS when an instrument may be settled in cash or shares.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ASU 2020-06 are effective for our fiscal year beginning April 1, 2024. We are evaluating the impact of this new guidance, but do not believe that our adoption of ASU 2020-06 will have a material impact on our Consolidated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Note 4. Prepaid Expense and Other Current Assets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rPr>
              <w:t>Prepaid expense and other current assets are composed of the following:</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9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Clinical and nonclinical materials and contract 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996,300</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2,139,600</w:t>
            </w: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Insurance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1,125,600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196,500</w:t>
            </w: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CRO for cancelled project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337,900</w:t>
            </w: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Receivable from collaboration partner</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343,900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71,800</w:t>
            </w:r>
          </w:p>
        </w:tc>
      </w:tr>
      <w:tr>
        <w:trPr>
          <w:trHeight w:val="20"/>
        </w:trPr>
        <w:tc>
          <w:tcPr>
            <w:tcW w:w="98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2,890,300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2,745,800</w:t>
            </w:r>
          </w:p>
        </w:tc>
      </w:tr>
      <w:tr>
        <w:trPr>
          <w:trHeight w:val="20"/>
        </w:trPr>
        <w:tc>
          <w:tcPr>
            <w:tcW w:w="9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reported as receivable from CRO for cancelled project at June 30, 2022 and March 31, 2022 represents the amount of prepayments on a cancelled project net of expense incurred by the CRO prior to project cancellation and was refunded to us in July 2022. The amount reported as receivable from collaboration partner at June 30, 2022 represents payments we made to two CROs for project and clinical trial services on behalf of our collaboration partner. Our collaboration partner has not reimbursed us for these amounts as of the date of this Report.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Note 5. Property and Equipment</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rPr>
              <w:t>Property and equipment is composed of the following:</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9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1,356,400</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1,181,300</w:t>
            </w: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Tenant improvements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214,400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214,400</w:t>
            </w: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72,100</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76,200</w:t>
            </w: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211,200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211,200</w:t>
            </w:r>
          </w:p>
        </w:tc>
      </w:tr>
      <w:tr>
        <w:trPr>
          <w:trHeight w:val="20"/>
        </w:trPr>
        <w:tc>
          <w:tcPr>
            <w:tcW w:w="9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1,854,100</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1,683,100</w:t>
            </w: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(1,286,500)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(1,268,800)</w:t>
            </w:r>
          </w:p>
        </w:tc>
      </w:tr>
      <w:tr>
        <w:trPr>
          <w:trHeight w:val="20"/>
        </w:trPr>
        <w:tc>
          <w:tcPr>
            <w:tcW w:w="98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567,600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414,300</w:t>
            </w:r>
          </w:p>
        </w:tc>
      </w:tr>
      <w:tr>
        <w:trPr>
          <w:trHeight w:val="20"/>
        </w:trPr>
        <w:tc>
          <w:tcPr>
            <w:tcW w:w="9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recorded depreciation and amortization expense of $32,300 and $34,500 for the three-month periods ended June 30, 2022 and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Included in amounts reported above for office furniture and equipment is the right-of-use asset related to a financing lease of certain office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Amounts associated with assets subject to the financing lease are as follows:</w:t>
      </w:r>
    </w:p>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6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subject to financing lease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(14,700)</w:t>
            </w:r>
          </w:p>
        </w:tc>
      </w:tr>
      <w:tr>
        <w:trPr>
          <w:trHeight w:val="210"/>
        </w:trPr>
        <w:tc>
          <w:tcPr>
            <w:tcW w:w="6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book value of office equipment subject to financing lease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10,100</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fully-depreciated office equipment reported at March 31, 2022 was subject to a lease that expired in January 2022. That equipment was replaced subject to a new lease in April 2022. The new lease requires a monthly payment of approximately $200 through June 2027.</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Note 6. Accrued Expense</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rPr>
              <w:t>Accrued expense is composed of the following:</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9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80" w:type="dxa"/>
            <w:vAlign w:val="bottom"/>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expenses for clinical and nonclinical materials, development and contract</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8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453,200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1,070,800</w:t>
            </w: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240,700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66,200</w:t>
            </w: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159,500</w:t>
            </w: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All other</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32,700</w:t>
            </w:r>
          </w:p>
        </w:tc>
      </w:tr>
      <w:tr>
        <w:trPr>
          <w:trHeight w:val="20"/>
        </w:trPr>
        <w:tc>
          <w:tcPr>
            <w:tcW w:w="9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6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1,329,200</w:t>
            </w:r>
          </w:p>
        </w:tc>
      </w:tr>
      <w:tr>
        <w:trPr>
          <w:trHeight w:val="20"/>
        </w:trPr>
        <w:tc>
          <w:tcPr>
            <w:tcW w:w="98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notes payable at June 30, 2022 and March 31, 2022.</w:t>
      </w:r>
    </w:p>
    <w:p>
      <w:pPr>
        <w:sectPr>
          <w:pgSz w:w="11900" w:h="16838" w:orient="portrait"/>
          <w:cols w:equalWidth="0" w:num="1">
            <w:col w:w="11240"/>
          </w:cols>
          <w:pgMar w:left="320" w:top="125" w:right="339" w:bottom="1440" w:gutter="0" w:footer="0" w:header="0"/>
        </w:sectPr>
      </w:pPr>
    </w:p>
    <w:p>
      <w:pPr>
        <w:spacing w:after="0" w:line="2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17145</wp:posOffset>
            </wp:positionV>
            <wp:extent cx="24517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 w:lineRule="exact"/>
        <w:rPr>
          <w:sz w:val="20"/>
          <w:szCs w:val="20"/>
          <w:color w:val="auto"/>
        </w:rPr>
      </w:pPr>
    </w:p>
    <w:p>
      <w:pPr>
        <w:ind w:left="3240"/>
        <w:spacing w:after="0"/>
        <w:tabs>
          <w:tab w:leader="none" w:pos="4600" w:val="left"/>
        </w:tabs>
        <w:rPr>
          <w:sz w:val="20"/>
          <w:szCs w:val="20"/>
          <w:color w:val="auto"/>
        </w:rPr>
      </w:pPr>
      <w:r>
        <w:rPr>
          <w:rFonts w:ascii="Arial" w:cs="Arial" w:eastAsia="Arial" w:hAnsi="Arial"/>
          <w:sz w:val="18"/>
          <w:szCs w:val="18"/>
          <w:color w:val="auto"/>
        </w:rPr>
        <w:t>Principal</w:t>
      </w:r>
      <w:r>
        <w:rPr>
          <w:sz w:val="20"/>
          <w:szCs w:val="20"/>
          <w:color w:val="auto"/>
        </w:rPr>
        <w:tab/>
      </w:r>
      <w:r>
        <w:rPr>
          <w:rFonts w:ascii="Arial" w:cs="Arial" w:eastAsia="Arial" w:hAnsi="Arial"/>
          <w:sz w:val="18"/>
          <w:szCs w:val="18"/>
          <w:color w:val="auto"/>
        </w:rPr>
        <w:t>Accrued</w:t>
      </w:r>
    </w:p>
    <w:p>
      <w:pPr>
        <w:spacing w:after="0" w:line="23" w:lineRule="exact"/>
        <w:rPr>
          <w:sz w:val="20"/>
          <w:szCs w:val="20"/>
          <w:color w:val="auto"/>
        </w:rPr>
      </w:pPr>
    </w:p>
    <w:p>
      <w:pPr>
        <w:ind w:left="3280"/>
        <w:spacing w:after="0"/>
        <w:tabs>
          <w:tab w:leader="none" w:pos="4640" w:val="left"/>
          <w:tab w:leader="none" w:pos="6060" w:val="left"/>
        </w:tabs>
        <w:rPr>
          <w:sz w:val="20"/>
          <w:szCs w:val="20"/>
          <w:color w:val="auto"/>
        </w:rPr>
      </w:pPr>
      <w:r>
        <w:rPr>
          <w:rFonts w:ascii="Arial" w:cs="Arial" w:eastAsia="Arial" w:hAnsi="Arial"/>
          <w:sz w:val="18"/>
          <w:szCs w:val="18"/>
          <w:color w:val="auto"/>
        </w:rPr>
        <w:t>Balance</w:t>
      </w:r>
      <w:r>
        <w:rPr>
          <w:sz w:val="20"/>
          <w:szCs w:val="20"/>
          <w:color w:val="auto"/>
        </w:rPr>
        <w:tab/>
      </w:r>
      <w:r>
        <w:rPr>
          <w:rFonts w:ascii="Arial" w:cs="Arial" w:eastAsia="Arial" w:hAnsi="Arial"/>
          <w:sz w:val="18"/>
          <w:szCs w:val="18"/>
          <w:color w:val="auto"/>
        </w:rPr>
        <w:t>Interest</w:t>
      </w:r>
      <w:r>
        <w:rPr>
          <w:sz w:val="20"/>
          <w:szCs w:val="20"/>
          <w:color w:val="auto"/>
        </w:rPr>
        <w:tab/>
      </w: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14605</wp:posOffset>
            </wp:positionV>
            <wp:extent cx="24517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17145</wp:posOffset>
            </wp:positionV>
            <wp:extent cx="24517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Principal</w:t>
      </w:r>
      <w:r>
        <w:rPr>
          <w:sz w:val="20"/>
          <w:szCs w:val="20"/>
          <w:color w:val="auto"/>
        </w:rPr>
        <w:tab/>
      </w:r>
      <w:r>
        <w:rPr>
          <w:rFonts w:ascii="Arial" w:cs="Arial" w:eastAsia="Arial" w:hAnsi="Arial"/>
          <w:sz w:val="18"/>
          <w:szCs w:val="18"/>
          <w:color w:val="auto"/>
        </w:rPr>
        <w:t>Accrued</w:t>
      </w:r>
    </w:p>
    <w:p>
      <w:pPr>
        <w:spacing w:after="0" w:line="23" w:lineRule="exact"/>
        <w:rPr>
          <w:sz w:val="20"/>
          <w:szCs w:val="20"/>
          <w:color w:val="auto"/>
        </w:rPr>
      </w:pPr>
    </w:p>
    <w:p>
      <w:pPr>
        <w:ind w:left="40"/>
        <w:spacing w:after="0"/>
        <w:tabs>
          <w:tab w:leader="none" w:pos="1380" w:val="left"/>
          <w:tab w:leader="none" w:pos="2820" w:val="left"/>
        </w:tabs>
        <w:rPr>
          <w:sz w:val="20"/>
          <w:szCs w:val="20"/>
          <w:color w:val="auto"/>
        </w:rPr>
      </w:pPr>
      <w:r>
        <w:rPr>
          <w:rFonts w:ascii="Arial" w:cs="Arial" w:eastAsia="Arial" w:hAnsi="Arial"/>
          <w:sz w:val="18"/>
          <w:szCs w:val="18"/>
          <w:color w:val="auto"/>
        </w:rPr>
        <w:t>Balance</w:t>
      </w:r>
      <w:r>
        <w:rPr>
          <w:sz w:val="20"/>
          <w:szCs w:val="20"/>
          <w:color w:val="auto"/>
        </w:rPr>
        <w:tab/>
      </w:r>
      <w:r>
        <w:rPr>
          <w:rFonts w:ascii="Arial" w:cs="Arial" w:eastAsia="Arial" w:hAnsi="Arial"/>
          <w:sz w:val="18"/>
          <w:szCs w:val="18"/>
          <w:color w:val="auto"/>
        </w:rPr>
        <w:t>Interest</w:t>
      </w:r>
      <w:r>
        <w:rPr>
          <w:sz w:val="20"/>
          <w:szCs w:val="20"/>
          <w:color w:val="auto"/>
        </w:rPr>
        <w:tab/>
      </w: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14605</wp:posOffset>
            </wp:positionV>
            <wp:extent cx="2451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3940"/>
          </w:cols>
          <w:pgMar w:left="320" w:top="125" w:right="339" w:bottom="1440" w:gutter="0" w:footer="0" w:header="0"/>
          <w:type w:val="continuous"/>
        </w:sectPr>
      </w:pPr>
    </w:p>
    <w:p>
      <w:pPr>
        <w:spacing w:after="0" w:line="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w w:val="94"/>
              </w:rPr>
              <w:t>3.88% Note payable to insurance</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160"/>
              <w:spacing w:after="0"/>
              <w:rPr>
                <w:sz w:val="20"/>
                <w:szCs w:val="20"/>
                <w:color w:val="auto"/>
              </w:rPr>
            </w:pPr>
            <w:r>
              <w:rPr>
                <w:rFonts w:ascii="Arial" w:cs="Arial" w:eastAsia="Arial" w:hAnsi="Arial"/>
                <w:sz w:val="18"/>
                <w:szCs w:val="18"/>
                <w:color w:val="auto"/>
              </w:rPr>
              <w:t>premium financing company</w:t>
            </w: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1,037,800</w:t>
            </w:r>
          </w:p>
        </w:tc>
        <w:tc>
          <w:tcPr>
            <w:tcW w:w="7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1,037,800</w:t>
            </w:r>
          </w:p>
        </w:tc>
        <w:tc>
          <w:tcPr>
            <w:tcW w:w="7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410"/>
              <w:spacing w:after="0"/>
              <w:rPr>
                <w:sz w:val="20"/>
                <w:szCs w:val="20"/>
                <w:color w:val="auto"/>
              </w:rPr>
            </w:pPr>
            <w:r>
              <w:rPr>
                <w:rFonts w:ascii="Arial" w:cs="Arial" w:eastAsia="Arial" w:hAnsi="Arial"/>
                <w:sz w:val="18"/>
                <w:szCs w:val="18"/>
                <w:color w:val="auto"/>
              </w:rPr>
              <w:t>-  $</w:t>
            </w:r>
          </w:p>
        </w:tc>
        <w:tc>
          <w:tcPr>
            <w:tcW w:w="1360" w:type="dxa"/>
            <w:vAlign w:val="bottom"/>
            <w:vMerge w:val="restart"/>
          </w:tcPr>
          <w:p>
            <w:pPr>
              <w:jc w:val="right"/>
              <w:ind w:right="410"/>
              <w:spacing w:after="0"/>
              <w:rPr>
                <w:sz w:val="20"/>
                <w:szCs w:val="20"/>
                <w:color w:val="auto"/>
              </w:rPr>
            </w:pPr>
            <w:r>
              <w:rPr>
                <w:rFonts w:ascii="Arial" w:cs="Arial" w:eastAsia="Arial" w:hAnsi="Arial"/>
                <w:sz w:val="18"/>
                <w:szCs w:val="18"/>
                <w:color w:val="auto"/>
              </w:rPr>
              <w:t>-  $</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tcPr>
          <w:p>
            <w:pPr>
              <w:ind w:left="160"/>
              <w:spacing w:after="0"/>
              <w:rPr>
                <w:sz w:val="20"/>
                <w:szCs w:val="20"/>
                <w:color w:val="auto"/>
              </w:rPr>
            </w:pPr>
            <w:r>
              <w:rPr>
                <w:rFonts w:ascii="Arial" w:cs="Arial" w:eastAsia="Arial" w:hAnsi="Arial"/>
                <w:sz w:val="18"/>
                <w:szCs w:val="18"/>
                <w:color w:val="auto"/>
              </w:rPr>
              <w:t>(current)</w:t>
            </w:r>
          </w:p>
        </w:tc>
        <w:tc>
          <w:tcPr>
            <w:tcW w:w="4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-410845</wp:posOffset>
            </wp:positionV>
            <wp:extent cx="677227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2275" cy="411480"/>
                    </a:xfrm>
                    <a:prstGeom prst="rect">
                      <a:avLst/>
                    </a:prstGeom>
                    <a:noFill/>
                  </pic:spPr>
                </pic:pic>
              </a:graphicData>
            </a:graphic>
          </wp:anchor>
        </w:drawing>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May 2022, we executed a 3.88% promissory note in the principal amount of $1,139,700 in connection with certain insurance policy premiums. The note is payable in monthly installments of $105,600, including principal and interest, through April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Agreement</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May 2021, we entered into an Open Market Sale Agreement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w:t>
      </w:r>
      <w:r>
        <w:rPr>
          <w:rFonts w:ascii="Arial" w:cs="Arial" w:eastAsia="Arial" w:hAnsi="Arial"/>
          <w:sz w:val="17"/>
          <w:szCs w:val="17"/>
          <w:i w:val="1"/>
          <w:iCs w:val="1"/>
          <w:color w:val="auto"/>
        </w:rPr>
        <w:t>Sales Agreement</w:t>
      </w:r>
      <w:r>
        <w:rPr>
          <w:rFonts w:ascii="Arial" w:cs="Arial" w:eastAsia="Arial" w:hAnsi="Arial"/>
          <w:sz w:val="17"/>
          <w:szCs w:val="17"/>
          <w:color w:val="auto"/>
        </w:rPr>
        <w:t>) with Jefferies LLC, as sales agent (</w:t>
      </w:r>
      <w:r>
        <w:rPr>
          <w:rFonts w:ascii="Arial" w:cs="Arial" w:eastAsia="Arial" w:hAnsi="Arial"/>
          <w:sz w:val="17"/>
          <w:szCs w:val="17"/>
          <w:i w:val="1"/>
          <w:iCs w:val="1"/>
          <w:color w:val="auto"/>
        </w:rPr>
        <w:t>Jefferies</w:t>
      </w:r>
      <w:r>
        <w:rPr>
          <w:rFonts w:ascii="Arial" w:cs="Arial" w:eastAsia="Arial" w:hAnsi="Arial"/>
          <w:sz w:val="17"/>
          <w:szCs w:val="17"/>
          <w:color w:val="auto"/>
        </w:rPr>
        <w:t xml:space="preserve">), with respect to an at-the-market offering program (the </w:t>
      </w:r>
      <w:r>
        <w:rPr>
          <w:rFonts w:ascii="Arial" w:cs="Arial" w:eastAsia="Arial" w:hAnsi="Arial"/>
          <w:sz w:val="17"/>
          <w:szCs w:val="17"/>
          <w:i w:val="1"/>
          <w:iCs w:val="1"/>
          <w:color w:val="auto"/>
        </w:rPr>
        <w:t>ATM</w:t>
      </w:r>
      <w:r>
        <w:rPr>
          <w:rFonts w:ascii="Arial" w:cs="Arial" w:eastAsia="Arial" w:hAnsi="Arial"/>
          <w:sz w:val="17"/>
          <w:szCs w:val="17"/>
          <w:color w:val="auto"/>
        </w:rPr>
        <w:t xml:space="preserve">) under which we may, in our sole discretion, offer and sell, from time to time, shares of our common stock having an aggregate offering price of up to $75.0 million (the </w:t>
      </w:r>
      <w:r>
        <w:rPr>
          <w:rFonts w:ascii="Arial" w:cs="Arial" w:eastAsia="Arial" w:hAnsi="Arial"/>
          <w:sz w:val="17"/>
          <w:szCs w:val="17"/>
          <w:i w:val="1"/>
          <w:iCs w:val="1"/>
          <w:color w:val="auto"/>
        </w:rPr>
        <w:t>Shares</w:t>
      </w:r>
      <w:r>
        <w:rPr>
          <w:rFonts w:ascii="Arial" w:cs="Arial" w:eastAsia="Arial" w:hAnsi="Arial"/>
          <w:sz w:val="17"/>
          <w:szCs w:val="17"/>
          <w:color w:val="auto"/>
        </w:rPr>
        <w:t>) through Jefferies. In transactions occurring during September and October 2021, we sold an aggregate of 1,517,798 shares of our common stock and received net cash proceeds of approximately $4.3 million under the ATM. We have not sold any additional shares of our common stock under the ATM from October 2, 2021 through the date of this Report.</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 transactions under the Sales Agreement on a settlement date basis. All legal fees and accounting expenses incurred in connection with the Sales Agreement are recorded as Deferred Offering Costs and are amortized to Additional Paid-in Capital as costs of the offering as sales of Shares are made under the Sales Agreement. Between execution of the Sales Agreement in May 2021 and March 31, 2022, we incurred legal fees and accounting expenses aggregating approximately $276,500 in connection with the Sales Agreement. During the quarter ended June 30, 2022, we incurred additional legal fees and accounting expenses aggregating $59,400 related to the Sales Agreement. The Sales Agreement will terminate upon the earlier of (i) the sale of all Shares subject to the Sales Agreement or (ii) the termination of the Sales Agreement by Jefferies or by us, as permitted.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 and ESPP Purchases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quarter ended June 30, 2022, the holder of an outstanding stock option exercised such option to purchase 100,000 shares of our common stock and we received cash proceeds of $100,000. During the quarter ended June 30, 2021, holders of an aggregate of 141,449 shares of our common stock exercised such options and we received cash proceeds of $12,900. Certain of the options were exercised on a net exercise basis and we issued an aggregate of 98,328 shares of our common stock pursuant to the exercises. On June 30, 2022, our ESPP completed a purchase period pursuant to which we issued 75,000 shares of our registered common stock and received proceeds of $56,100. On June 30, 2021, our ESPP completed a purchase period pursuant to which we issued 16,251 shares of common stock and received proceeds of $31,600.</w:t>
      </w:r>
    </w:p>
    <w:p>
      <w:pPr>
        <w:sectPr>
          <w:pgSz w:w="11900" w:h="16838" w:orient="portrait"/>
          <w:cols w:equalWidth="0" w:num="1">
            <w:col w:w="11240"/>
          </w:cols>
          <w:pgMar w:left="320" w:top="125" w:right="339"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warrants outstanding and exercisable as of June 30, 2022 and March 31, 2022. All outstanding warrants are currently exercisable and the weighted average exercise price of such warrants at June 30, 2022 is $1.47 per share.</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Warrants</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Exercisable and</w:t>
            </w: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Outstanding at</w:t>
            </w: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80" w:type="dxa"/>
            <w:vAlign w:val="bottom"/>
          </w:tcPr>
          <w:p>
            <w:pPr>
              <w:spacing w:after="0"/>
              <w:rPr>
                <w:sz w:val="18"/>
                <w:szCs w:val="18"/>
                <w:color w:val="auto"/>
              </w:rPr>
            </w:pPr>
          </w:p>
        </w:tc>
        <w:tc>
          <w:tcPr>
            <w:tcW w:w="3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June 30, 2022 and</w:t>
            </w:r>
          </w:p>
        </w:tc>
      </w:t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10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80" w:type="dxa"/>
            <w:vAlign w:val="bottom"/>
          </w:tcPr>
          <w:p>
            <w:pPr>
              <w:spacing w:after="0"/>
              <w:rPr>
                <w:sz w:val="20"/>
                <w:szCs w:val="20"/>
                <w:color w:val="auto"/>
              </w:rPr>
            </w:pPr>
          </w:p>
        </w:tc>
        <w:tc>
          <w:tcPr>
            <w:tcW w:w="3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March 31, 2022</w:t>
            </w:r>
          </w:p>
        </w:tc>
      </w:tr>
      <w:tr>
        <w:trPr>
          <w:trHeight w:val="209"/>
        </w:trPr>
        <w:tc>
          <w:tcPr>
            <w:tcW w:w="2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$0.50</w:t>
            </w:r>
          </w:p>
        </w:tc>
        <w:tc>
          <w:tcPr>
            <w:tcW w:w="2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12/9/2022</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93"/>
              </w:rPr>
              <w:t>$0.73</w:t>
            </w:r>
          </w:p>
        </w:tc>
        <w:tc>
          <w:tcPr>
            <w:tcW w:w="29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7/25/2025</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370,544</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$0.805</w:t>
            </w:r>
          </w:p>
        </w:tc>
        <w:tc>
          <w:tcPr>
            <w:tcW w:w="2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12/31/2022</w:t>
            </w:r>
          </w:p>
        </w:tc>
        <w:tc>
          <w:tcPr>
            <w:tcW w:w="3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76,859</w:t>
            </w: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2980" w:type="dxa"/>
            <w:vAlign w:val="bottom"/>
            <w:gridSpan w:val="2"/>
          </w:tcPr>
          <w:p>
            <w:pPr>
              <w:jc w:val="center"/>
              <w:spacing w:after="0"/>
              <w:rPr>
                <w:sz w:val="20"/>
                <w:szCs w:val="20"/>
                <w:color w:val="auto"/>
              </w:rPr>
            </w:pPr>
            <w:r>
              <w:rPr>
                <w:rFonts w:ascii="Arial" w:cs="Arial" w:eastAsia="Arial" w:hAnsi="Arial"/>
                <w:sz w:val="18"/>
                <w:szCs w:val="18"/>
                <w:color w:val="auto"/>
                <w:w w:val="90"/>
              </w:rPr>
              <w:t>12/13/2022</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6,789,243</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$1.70</w:t>
            </w:r>
          </w:p>
        </w:tc>
        <w:tc>
          <w:tcPr>
            <w:tcW w:w="2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10/5/2022</w:t>
            </w:r>
          </w:p>
        </w:tc>
        <w:tc>
          <w:tcPr>
            <w:tcW w:w="3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12,162</w:t>
            </w: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93"/>
              </w:rPr>
              <w:t>$1.82</w:t>
            </w:r>
          </w:p>
        </w:tc>
        <w:tc>
          <w:tcPr>
            <w:tcW w:w="2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3/7/2023</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880,050</w:t>
            </w:r>
          </w:p>
        </w:tc>
        <w:tc>
          <w:tcPr>
            <w:tcW w:w="80" w:type="dxa"/>
            <w:vAlign w:val="bottom"/>
          </w:tcPr>
          <w:p>
            <w:pPr>
              <w:spacing w:after="0"/>
              <w:rPr>
                <w:sz w:val="18"/>
                <w:szCs w:val="18"/>
                <w:color w:val="auto"/>
              </w:rPr>
            </w:pPr>
          </w:p>
        </w:tc>
      </w:tr>
      <w:tr>
        <w:trPr>
          <w:trHeight w:val="216"/>
        </w:trPr>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$7.00</w:t>
            </w:r>
          </w:p>
        </w:tc>
        <w:tc>
          <w:tcPr>
            <w:tcW w:w="29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3/3/2023</w:t>
            </w:r>
          </w:p>
        </w:tc>
        <w:tc>
          <w:tcPr>
            <w:tcW w:w="8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9,275,858</w:t>
            </w:r>
          </w:p>
        </w:tc>
        <w:tc>
          <w:tcPr>
            <w:tcW w:w="8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2020, we filed a Registration Statement on Form S-3 covering the resale of the shares underlying substantially all of the currently outstanding warrants (the </w:t>
      </w:r>
      <w:r>
        <w:rPr>
          <w:rFonts w:ascii="Arial" w:cs="Arial" w:eastAsia="Arial" w:hAnsi="Arial"/>
          <w:sz w:val="18"/>
          <w:szCs w:val="18"/>
          <w:i w:val="1"/>
          <w:iCs w:val="1"/>
          <w:color w:val="auto"/>
        </w:rPr>
        <w:t>Warrant Registration Statement</w:t>
      </w:r>
      <w:r>
        <w:rPr>
          <w:rFonts w:ascii="Arial" w:cs="Arial" w:eastAsia="Arial" w:hAnsi="Arial"/>
          <w:sz w:val="18"/>
          <w:szCs w:val="18"/>
          <w:color w:val="auto"/>
        </w:rPr>
        <w:t>), except those having an exercise price of $7.00 per share. The SEC declared the Warrant Registration Statement effective on May 13, 2020. No outstanding warrant is subject to any down round anti-dilution protection feature. All of the outstanding warrants are exercisable by the holders only by payment in cash of the stated exercise price per share.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Fiscal 2022, we entered into a consulting agreement with an independent member of our Board to provide corporate development and public relations advisory services. We recorded expense of $45,000 during the quarter ended March 31, 2022 related to this agreement, all of which was included in accounts payable at that date. The agreement continued throughout the quarter ended June 30, 2022, during which we also recorded expense of $45,000, of which $15,000 was included in accounts payable at June 30, 2022. We did not have any related party transactions in the quarter ended June 30,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lease our headquarters office and laboratory space in South San Francisco, California under the terms of a lease that was set to expire on July 31, 2022, but which provided an option to renew for an additional five years at then-current market rates. For the purpose of determining the right-of-use asset and associated lease liability, we determined that the renewal of this lease for the period from August 2022 through July 2027 was reasonably probable at the time we adopted ASC 842. On October 14, 2021, we entered into an amendment to the lease (the </w:t>
      </w:r>
      <w:r>
        <w:rPr>
          <w:rFonts w:ascii="Arial" w:cs="Arial" w:eastAsia="Arial" w:hAnsi="Arial"/>
          <w:sz w:val="16"/>
          <w:szCs w:val="16"/>
          <w:i w:val="1"/>
          <w:iCs w:val="1"/>
          <w:color w:val="auto"/>
        </w:rPr>
        <w:t>Lease Amendment</w:t>
      </w:r>
      <w:r>
        <w:rPr>
          <w:rFonts w:ascii="Arial" w:cs="Arial" w:eastAsia="Arial" w:hAnsi="Arial"/>
          <w:sz w:val="16"/>
          <w:szCs w:val="16"/>
          <w:color w:val="auto"/>
        </w:rPr>
        <w:t xml:space="preserve">), pursuant to which the term of the lease was extended from August 1, 2022 to July 31, 2027 and the base rent under the lease for the five-year extension period was specified. Under the terms of the Lease Amendment, we have the option to renew the lease for an additional five-year term commencing on August 1, 2027. Consistent with our adoption of </w:t>
      </w:r>
      <w:r>
        <w:rPr>
          <w:rFonts w:ascii="Arial" w:cs="Arial" w:eastAsia="Arial" w:hAnsi="Arial"/>
          <w:sz w:val="16"/>
          <w:szCs w:val="16"/>
          <w:i w:val="1"/>
          <w:iCs w:val="1"/>
          <w:color w:val="auto"/>
        </w:rPr>
        <w:t>ASC 842</w:t>
      </w:r>
      <w:r>
        <w:rPr>
          <w:rFonts w:ascii="Arial" w:cs="Arial" w:eastAsia="Arial" w:hAnsi="Arial"/>
          <w:sz w:val="16"/>
          <w:szCs w:val="16"/>
          <w:color w:val="auto"/>
        </w:rPr>
        <w:t>, beginning April 1, 2019, we recorded this lease in our Consolidated Balance Sheet as an operating lease. The lease of our South San Francisco facilities does not include any restrictions or covenants requiring special treatment under ASC 842.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presentation of the operating lease in our Condensed Consolidated Balance Sheet:</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March 31,</w:t>
            </w:r>
          </w:p>
        </w:tc>
      </w:tr>
      <w:tr>
        <w:trPr>
          <w:trHeight w:val="234"/>
        </w:trPr>
        <w:tc>
          <w:tcPr>
            <w:tcW w:w="678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rPr>
              <w:t>As of June 30, 2022</w:t>
            </w:r>
          </w:p>
        </w:tc>
        <w:tc>
          <w:tcPr>
            <w:tcW w:w="12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Right of use asset – operating lease</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2,565,000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2,662,000</w:t>
            </w:r>
          </w:p>
        </w:tc>
      </w:tr>
      <w:tr>
        <w:trPr>
          <w:trHeight w:val="20"/>
        </w:trPr>
        <w:tc>
          <w:tcPr>
            <w:tcW w:w="6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operating lease obligation</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442,600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433,300</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Non-current operating lease obligation</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2,491,200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2,605,400</w:t>
            </w:r>
          </w:p>
        </w:tc>
        <w:tc>
          <w:tcPr>
            <w:tcW w:w="100" w:type="dxa"/>
            <w:vAlign w:val="bottom"/>
          </w:tcPr>
          <w:p>
            <w:pPr>
              <w:spacing w:after="0"/>
              <w:rPr>
                <w:sz w:val="18"/>
                <w:szCs w:val="18"/>
                <w:color w:val="auto"/>
              </w:rPr>
            </w:pPr>
          </w:p>
        </w:tc>
      </w:tr>
      <w:tr>
        <w:trPr>
          <w:trHeight w:val="250"/>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2,933,800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3,038,700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operating lease costs in the Company’s Condensed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2"/>
              </w:rPr>
              <w:t>For the Three Months</w:t>
            </w: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For the Three Months Ended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b w:val="1"/>
                <w:bCs w:val="1"/>
                <w:color w:val="auto"/>
                <w:w w:val="88"/>
              </w:rPr>
              <w:t>June 30, 2021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197,200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235,700</w:t>
            </w:r>
          </w:p>
        </w:tc>
        <w:tc>
          <w:tcPr>
            <w:tcW w:w="160" w:type="dxa"/>
            <w:vAlign w:val="bottom"/>
          </w:tcPr>
          <w:p>
            <w:pPr>
              <w:spacing w:after="0"/>
              <w:rPr>
                <w:sz w:val="18"/>
                <w:szCs w:val="18"/>
                <w:color w:val="auto"/>
              </w:rPr>
            </w:pPr>
          </w:p>
        </w:tc>
      </w:tr>
      <w:tr>
        <w:trPr>
          <w:trHeight w:val="432"/>
        </w:trPr>
        <w:tc>
          <w:tcPr>
            <w:tcW w:w="10160" w:type="dxa"/>
            <w:vAlign w:val="bottom"/>
            <w:gridSpan w:val="11"/>
          </w:tcPr>
          <w:p>
            <w:pPr>
              <w:jc w:val="right"/>
              <w:ind w:right="1130"/>
              <w:spacing w:after="0"/>
              <w:rPr>
                <w:sz w:val="20"/>
                <w:szCs w:val="20"/>
                <w:color w:val="auto"/>
              </w:rPr>
            </w:pPr>
            <w:r>
              <w:rPr>
                <w:rFonts w:ascii="Arial" w:cs="Arial" w:eastAsia="Arial" w:hAnsi="Arial"/>
                <w:sz w:val="18"/>
                <w:szCs w:val="18"/>
                <w:color w:val="auto"/>
                <w:w w:val="89"/>
              </w:rPr>
              <w:t>The minimum (base rental) lease payments related to our South San Francisco operating lease are expected to be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Years Ending March 31,</w:t>
            </w: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2023 (remaining nine months)</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507,000</w:t>
            </w:r>
          </w:p>
        </w:tc>
      </w:tr>
      <w:tr>
        <w:trPr>
          <w:trHeight w:val="216"/>
        </w:trPr>
        <w:tc>
          <w:tcPr>
            <w:tcW w:w="340" w:type="dxa"/>
            <w:vAlign w:val="bottom"/>
            <w:gridSpan w:val="2"/>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2024</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689,500</w:t>
            </w:r>
          </w:p>
        </w:tc>
      </w:tr>
      <w:tr>
        <w:trPr>
          <w:trHeight w:val="216"/>
        </w:trPr>
        <w:tc>
          <w:tcPr>
            <w:tcW w:w="340" w:type="dxa"/>
            <w:vAlign w:val="bottom"/>
            <w:gridSpan w:val="2"/>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710,200</w:t>
            </w:r>
          </w:p>
        </w:tc>
      </w:tr>
      <w:tr>
        <w:trPr>
          <w:trHeight w:val="216"/>
        </w:trPr>
        <w:tc>
          <w:tcPr>
            <w:tcW w:w="340" w:type="dxa"/>
            <w:vAlign w:val="bottom"/>
            <w:gridSpan w:val="2"/>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2026</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731,500</w:t>
            </w:r>
          </w:p>
        </w:tc>
      </w:tr>
      <w:tr>
        <w:trPr>
          <w:trHeight w:val="216"/>
        </w:trPr>
        <w:tc>
          <w:tcPr>
            <w:tcW w:w="340" w:type="dxa"/>
            <w:vAlign w:val="bottom"/>
            <w:gridSpan w:val="2"/>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753,500</w:t>
            </w: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Thereafter</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253,600</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expense</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3,645,300</w:t>
            </w: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(711,500)</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230"/>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Present value of operating lease liabilities</w:t>
            </w: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2,933,800</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remaining lease term, which does not include the optional five-year extension at the expiration of the lease period ending July 31, 2027, and the discount rate assumption for our South San Francisco operating lease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As of June 30,</w:t>
            </w:r>
          </w:p>
        </w:tc>
      </w:tr>
      <w:tr>
        <w:trPr>
          <w:trHeight w:val="234"/>
        </w:trPr>
        <w:tc>
          <w:tcPr>
            <w:tcW w:w="90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Assumed remaining lease term in years</w:t>
            </w: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5.08</w:t>
            </w: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Assumed discount rate</w:t>
            </w: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w w:val="90"/>
              </w:rPr>
              <w:t>8.54%</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Supplemental disclosure of cash flow information related to our operating lease included in cash flows used by operating activities in the condensed consolidated statements of cash flows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For the Three Months</w:t>
            </w:r>
          </w:p>
        </w:tc>
      </w:tr>
      <w:tr>
        <w:trPr>
          <w:trHeight w:val="216"/>
        </w:trPr>
        <w:tc>
          <w:tcPr>
            <w:tcW w:w="5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For the Three Months Ended</w:t>
            </w:r>
          </w:p>
        </w:tc>
        <w:tc>
          <w:tcPr>
            <w:tcW w:w="16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5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June 30, 2021</w:t>
            </w:r>
          </w:p>
        </w:tc>
        <w:tc>
          <w:tcPr>
            <w:tcW w:w="100" w:type="dxa"/>
            <w:vAlign w:val="bottom"/>
          </w:tcPr>
          <w:p>
            <w:pPr>
              <w:spacing w:after="0"/>
              <w:rPr>
                <w:sz w:val="20"/>
                <w:szCs w:val="20"/>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paid for amounts included in the measurement of lease liabilities</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2022, we did not record any new right of use assets arising from new operating lease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$3,500 in each of the three-month periods ended June 30, 2022 and 2021 attributable to this lease.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Sublicensing and Collaborative Agreements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24, 2020, we entered into a license and collaboration agreement with EverInsight Therapeutics Inc. (</w:t>
      </w:r>
      <w:r>
        <w:rPr>
          <w:rFonts w:ascii="Arial" w:cs="Arial" w:eastAsia="Arial" w:hAnsi="Arial"/>
          <w:sz w:val="16"/>
          <w:szCs w:val="16"/>
          <w:i w:val="1"/>
          <w:iCs w:val="1"/>
          <w:color w:val="auto"/>
        </w:rPr>
        <w:t>EverInsight</w:t>
      </w:r>
      <w:r>
        <w:rPr>
          <w:rFonts w:ascii="Arial" w:cs="Arial" w:eastAsia="Arial" w:hAnsi="Arial"/>
          <w:sz w:val="16"/>
          <w:szCs w:val="16"/>
          <w:color w:val="auto"/>
        </w:rPr>
        <w:t xml:space="preserve"> ). Subsequent to entering into this agreement, in October 2020, EverInsight merged with AffaMed Therapeutics, Inc. (</w:t>
      </w:r>
      <w:r>
        <w:rPr>
          <w:rFonts w:ascii="Arial" w:cs="Arial" w:eastAsia="Arial" w:hAnsi="Arial"/>
          <w:sz w:val="16"/>
          <w:szCs w:val="16"/>
          <w:i w:val="1"/>
          <w:iCs w:val="1"/>
          <w:color w:val="auto"/>
        </w:rPr>
        <w:t>AffaMed</w:t>
      </w:r>
      <w:r>
        <w:rPr>
          <w:rFonts w:ascii="Arial" w:cs="Arial" w:eastAsia="Arial" w:hAnsi="Arial"/>
          <w:sz w:val="16"/>
          <w:szCs w:val="16"/>
          <w:color w:val="auto"/>
        </w:rPr>
        <w:t xml:space="preserve">), which as a combined entity is focusing on developing and commercializing therapeutics to address ophthalmologic and CNS disorders in Greater China (which includes Mainland China, Hong Kong, Macau and Taiwan) and beyond. Accordingly, we are now referring to EverInsight as AffaMed and our June 2020 license and collaboration agreement as the AffaMed Agreement. Under the AffaMed Agreement, we granted AffaMed an exclusive license to develop and commercialize PH94B for SAD and other anxiety-related disorders in Greater China, South Korea and Southeast Asia (which includes Indonesia, Malaysia, Philippines, Thailand and Vietnam) (collectively, the </w:t>
      </w:r>
      <w:r>
        <w:rPr>
          <w:rFonts w:ascii="Arial" w:cs="Arial" w:eastAsia="Arial" w:hAnsi="Arial"/>
          <w:sz w:val="16"/>
          <w:szCs w:val="16"/>
          <w:i w:val="1"/>
          <w:iCs w:val="1"/>
          <w:color w:val="auto"/>
        </w:rPr>
        <w:t>Territory</w:t>
      </w:r>
      <w:r>
        <w:rPr>
          <w:rFonts w:ascii="Arial" w:cs="Arial" w:eastAsia="Arial" w:hAnsi="Arial"/>
          <w:sz w:val="16"/>
          <w:szCs w:val="16"/>
          <w:color w:val="auto"/>
        </w:rPr>
        <w:t>). We retain exclusive development and commercialization rights for PH94B in the U.S. and throughout the rest of the world.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AffaMed Agreement, AffaMed is responsible for all costs related to developing, obtaining regulatory approval of, and commercializing PH94B for treatment of SAD, and potentially other anxiety-related indications, in the Territory. A joint development committee has been established between us and AffaMed to coordinate and review the development and commercialization plans with respect to PH94B in the Territory.</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responsible for pursuing clinical development and regulatory submissions of PH94B for acute treatment of anxiety in adults with SAD, and potentially other anxiety-related indications, in the United States on a “best efforts” basis, with no guarantee of success. AffaMed has the option to participate in a Phase 3 clinical trial of PH94B involving all or a portion of the Territory and will be responsible for a portion of the costs of such a trial, if conducted. We will transfer all development data (nonclinical and clinical data) and our regulatory documentation related to PH94B throughout the term as it is developed or generated or otherwise comes into our control. We will grant to AffaMed a Right of Reference to all of our regulatory documentation and our development data.</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AffaMed Agreement, AffaMed agreed to pay us a non-refundable upfront license payment of $5.0 million within 30 business days of the effective date of the AffaMed Agreement, and AffaMed paid the $5.0 million in August 2020. Additionally, upon successful development and commercialization of PH94B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determined that we have one combined performance obligation for the license to develop and commercialize PH94B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as the combined performance obligation is satisfied over time using an output method. The measure of progress is stand-ready straight-line over the period in which we expect to perform the services related to the license of PH94B.</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June 30, 2022 and 2021, we recognized $310,100 and $354,100, respectively, as sublicense revenue under the AffaMed Agreement. At June 30, 2022, the aggregate amount of the transaction price allocated to the remaining performance obligation is $2,491,500 which will be recognized as revenue as the services are completed. Significant management judgment is required to determine the level of effort attributable to the AffaMed Agreement and the period over which we expect to complete our performance obligations under the arrangement. The performance period or measure of progress is estimated at the inception of the arrangement and re-evaluated in subsequent reporting periods. This re-evaluation may shorten or lengthen the period over which we recognize revenue. At June 30, 2022, we estimated that we would complete our performance obligations during mid-calendar 2024. We are currently assessing the impact on completion of our performance obligations in light of the results of PALISADE-1, which did not achieve its primary efficacy endpoint, and the impending interim analysis of PALISADE-2. We will adjust our estimates, as necessary, in subsequent periods as we obtain more definitive information on which to base our projections.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earlier terminated due to certain material breaches of the contract, or otherwise, the AffaMed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the date of this Report and have identified the following matters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Options from 2019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July 1, 2022 through the date of this Report, we have granted options to purchase 257,000 shares of our common stock under the terms of our 2019 Plan to two newly-hired employees and to a consultant. The options have an exercise price equal to the quoted closing market price of our common stock on the Nasdaq Capital Market on the date of grant, a term of ten years and the new employee grants vest 25% on the first anniversary of the grant date and ratably on a monthly basis for three years thereafter and the consultant grant vests 25% upon grant with the balance vesting ratably monthly over a period of one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w:t>
      </w:r>
      <w:r>
        <w:rPr>
          <w:rFonts w:ascii="Arial" w:cs="Arial" w:eastAsia="Arial" w:hAnsi="Arial"/>
          <w:sz w:val="16"/>
          <w:szCs w:val="16"/>
          <w:color w:val="auto"/>
        </w:rPr>
        <w:t>“</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w:t>
      </w:r>
      <w:r>
        <w:rPr>
          <w:rFonts w:ascii="Arial" w:cs="Arial" w:eastAsia="Arial" w:hAnsi="Arial"/>
          <w:sz w:val="16"/>
          <w:szCs w:val="16"/>
          <w:i w:val="1"/>
          <w:iCs w:val="1"/>
          <w:color w:val="auto"/>
        </w:rPr>
        <w:t xml:space="preserve">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domestic and foreign regulatory agencies, the impact of competitive products, product development, commercialization and technological difficulties, the effect of our accounting policies, and other risks as detailed in the section entitled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late clinical-stage, biopharmaceutical company striving to transform the treatment landscape for individuals living with anxiety,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We are focused on developing and commercializing innovative therapeutics with the potential to be faster-acting, and with fewer side effects and safety concerns, than products that are currently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Each of our drug candidates has a differentiated potential mechanism of action (</w:t>
      </w:r>
      <w:r>
        <w:rPr>
          <w:rFonts w:ascii="Arial" w:cs="Arial" w:eastAsia="Arial" w:hAnsi="Arial"/>
          <w:sz w:val="18"/>
          <w:szCs w:val="18"/>
          <w:i w:val="1"/>
          <w:iCs w:val="1"/>
          <w:color w:val="auto"/>
        </w:rPr>
        <w:t>MOA</w:t>
      </w:r>
      <w:r>
        <w:rPr>
          <w:rFonts w:ascii="Arial" w:cs="Arial" w:eastAsia="Arial" w:hAnsi="Arial"/>
          <w:sz w:val="18"/>
          <w:szCs w:val="18"/>
          <w:color w:val="auto"/>
        </w:rPr>
        <w:t>), has been well-tolerated in all clinical studies to date, and may have therapeutic potential in multiple CNS indications. Our goal is to become a biopharmaceutical company that develops and commercializes innovative CNS therapies for highly prevalent neuropsychiatric and neurological indications where current treatment options are inadequate to meet the needs of millions of patients in the U.S. and worldwide.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clinical-stage candidates belong primarily to a new class of neuroactive steroids known as pherines, which are odorless, tasteless and active on chemosensory neurons in the nasal passages . They have the potential to treat multiple anxiety and depression disorders without systemic uptake and without direct activation of GABA-A receptors or other CNS neurons in the brain, in distinct contrast to the mechanism of action of benzodiazepines, for example, which typically are taken orally, require systemic uptake and directly modulate GABA-A receptors.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most advanced product candidate, PH94B, is currently being evaluated as a potential treatment of multiple anxiety disorders, including for adults with social anxiety disorder (</w:t>
      </w:r>
      <w:r>
        <w:rPr>
          <w:rFonts w:ascii="Arial" w:cs="Arial" w:eastAsia="Arial" w:hAnsi="Arial"/>
          <w:sz w:val="17"/>
          <w:szCs w:val="17"/>
          <w:i w:val="1"/>
          <w:iCs w:val="1"/>
          <w:color w:val="auto"/>
        </w:rPr>
        <w:t>SAD</w:t>
      </w:r>
      <w:r>
        <w:rPr>
          <w:rFonts w:ascii="Arial" w:cs="Arial" w:eastAsia="Arial" w:hAnsi="Arial"/>
          <w:sz w:val="17"/>
          <w:szCs w:val="17"/>
          <w:color w:val="auto"/>
        </w:rPr>
        <w:t>). On July 22, 2022, we announced that PALISADE-1, our single administration assessment Phase 3 clinical study of PH94B for the acute treatment of anxiety in adults with SAD did not achieve its primary efficacy endpoint. PH94B’s safety profile in the study was favorable and consistent with all prior clinical studies to date. As discussed below, as of the date of this Report, we have paused enrollment in PALISADE-2, our replicate Phase 3 clinical trial in SAD, while an independent third-party conducts an interim data analysis of the study based on subjects randomized to date. When the interim analysis is complete, we will assess the results and determine next steps with respect to the study.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In addition, in August 2022 we opted to end recruitment and enrollment in the PALISADE Open-Label Safety Study (</w:t>
      </w:r>
      <w:r>
        <w:rPr>
          <w:rFonts w:ascii="Arial" w:cs="Arial" w:eastAsia="Arial" w:hAnsi="Arial"/>
          <w:sz w:val="18"/>
          <w:szCs w:val="18"/>
          <w:i w:val="1"/>
          <w:iCs w:val="1"/>
          <w:color w:val="auto"/>
        </w:rPr>
        <w:t>PALISADE OLS</w:t>
      </w:r>
      <w:r>
        <w:rPr>
          <w:rFonts w:ascii="Arial" w:cs="Arial" w:eastAsia="Arial" w:hAnsi="Arial"/>
          <w:sz w:val="18"/>
          <w:szCs w:val="18"/>
          <w:color w:val="auto"/>
        </w:rPr>
        <w:t>), a multiple-use, multiple-assessment long-term safety study of PH94B for the treatment of SAD. Preliminary data from the PALISADE OLS appears to support functional improvement and reduction of severity of SAD after use of PH94B on an as-needed basis over an extended exposure period when measured using the Liebowitz Social Anxiety Scale (</w:t>
      </w:r>
      <w:r>
        <w:rPr>
          <w:rFonts w:ascii="Arial" w:cs="Arial" w:eastAsia="Arial" w:hAnsi="Arial"/>
          <w:sz w:val="18"/>
          <w:szCs w:val="18"/>
          <w:i w:val="1"/>
          <w:iCs w:val="1"/>
          <w:color w:val="auto"/>
        </w:rPr>
        <w:t>LSAS</w:t>
      </w:r>
      <w:r>
        <w:rPr>
          <w:rFonts w:ascii="Arial" w:cs="Arial" w:eastAsia="Arial" w:hAnsi="Arial"/>
          <w:sz w:val="18"/>
          <w:szCs w:val="18"/>
          <w:color w:val="auto"/>
        </w:rPr>
        <w:t>). The LSAS is a well-established 24-item questionnaire, developed in 1987 by Dr. Michael Liebowitz, while a Professor of Psychiatry at Columbia University. The LSAS is commonly used to assess the range of social interaction and performance situations feared by a patient in order to assist in the diagnosis of SAD and was the primary efficacy endpoint supporting the approval of the three antidepressants currently approved by the FDA for treatment of SAD.</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remain steadfast in our commitment to changing the trajectory of mental health care and in the potential of our drug candidates to achieve our mission. As to PH94B in SAD, we believe the combination of the overall safety profile of PH94B in studies to date, data from two Phase 2 clinical studies of PH94B in SAD, and emerging preliminary LSAS data from our PALISADE OLS study indicate a potential for SAD patients to achieve cumulative functional improvement with longer uses of PH94B, while still being used acutely, as-needed. Accordingly, in parallel with the conduct of the independent third-party interim analysis of PALISADE 2, we are preparing to meet with the U.S. Food and Drug Administration (</w:t>
      </w:r>
      <w:r>
        <w:rPr>
          <w:rFonts w:ascii="Arial" w:cs="Arial" w:eastAsia="Arial" w:hAnsi="Arial"/>
          <w:sz w:val="17"/>
          <w:szCs w:val="17"/>
          <w:i w:val="1"/>
          <w:iCs w:val="1"/>
          <w:color w:val="auto"/>
        </w:rPr>
        <w:t>FDA</w:t>
      </w:r>
      <w:r>
        <w:rPr>
          <w:rFonts w:ascii="Arial" w:cs="Arial" w:eastAsia="Arial" w:hAnsi="Arial"/>
          <w:sz w:val="17"/>
          <w:szCs w:val="17"/>
          <w:color w:val="auto"/>
        </w:rPr>
        <w:t>) to discuss potential next steps for late-stage clinical development of PH94B as a potential treatment for SAD, including assessing PH94B’s therapeutic potential to achieve cumulative functional improvement over multiple uses during an extended exposure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further description of PH94B and our other product candidates, as well as our clinical and non-clinical development programs is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PH94B Nasal Spray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PH94B is a first-in-class synthetic investigational pherine nasal spray designed with a novel rapid-onset MOA that regulates the olfactory-amygdala neural circuits of fear and anxiety and attenuates the tone of the sympathetic autonomic nervous system. PH94B is administered intranasally in low microgram doses, and is intended to be used as needed by a person with SAD before an anxiety provoking event, similar to the use of a rescue inhaler before a predictable asthma attack. The proposed MOA of PH94B is fundamentally differentiated from all currently approved anti-anxiety medications, including the antidepressants approved by the FDA for the treatment of SAD, as well as all benzodiazepines and beta blockers prescribed for treatment of SAD on an off-label basis. The MOA for PH94B does not involve systemic uptake, direct activation of GABA-A receptors in the brain, or binding to neuronal receptors in the CNS. Rather, when administered intranasally, PH94B binds to chemosensory neurons in the nose that activate neural circuits involving olfactory bulb neurons and the limbic amygdala, a region in the brain that is involved in the pathophysiology of SAD and potentially other anxiety and mood disorders.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currently evaluating PH94B for the potential treatment of multiple anxiety disorders, including for adults with SAD and for adults experiencing Adjustment Disorder with Anxiety (</w:t>
      </w:r>
      <w:r>
        <w:rPr>
          <w:rFonts w:ascii="Arial" w:cs="Arial" w:eastAsia="Arial" w:hAnsi="Arial"/>
          <w:sz w:val="17"/>
          <w:szCs w:val="17"/>
          <w:i w:val="1"/>
          <w:iCs w:val="1"/>
          <w:color w:val="auto"/>
        </w:rPr>
        <w:t>AjDA</w:t>
      </w:r>
      <w:r>
        <w:rPr>
          <w:rFonts w:ascii="Arial" w:cs="Arial" w:eastAsia="Arial" w:hAnsi="Arial"/>
          <w:sz w:val="17"/>
          <w:szCs w:val="17"/>
          <w:color w:val="auto"/>
        </w:rPr>
        <w:t>). Both pre-clinical and Phase 2 clinical data to date suggest that PH94B has the potential to achieve rapid-onset anti-anxiety effects without systemic uptake or transport into the brain, reducing the risk of side effects and other safety concerns such as abuse potential associated with certain other pharmaceuticals that act directly on the CNS and are sometimes prescribed for anxiety disorders.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SAD Phase 1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Autonomic System Biomarker Study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Pherines such as PH94B appear to modulate the activity of the limbic-hypothalamic autonomic nervous system. To evaluate the pharmacodynamic activity of PH94B, a single-blind, randomized study (n =16) was performed to compare the effect of PH94B and steroidal hormones (estradiol, progesterone, cortisol, and testosterone) on the electrogram recorded from the mucosal lining of the vomeronasal organ (</w:t>
      </w:r>
      <w:r>
        <w:rPr>
          <w:rFonts w:ascii="Arial" w:cs="Arial" w:eastAsia="Arial" w:hAnsi="Arial"/>
          <w:sz w:val="17"/>
          <w:szCs w:val="17"/>
          <w:i w:val="1"/>
          <w:iCs w:val="1"/>
          <w:color w:val="auto"/>
        </w:rPr>
        <w:t>VNO</w:t>
      </w:r>
      <w:r>
        <w:rPr>
          <w:rFonts w:ascii="Arial" w:cs="Arial" w:eastAsia="Arial" w:hAnsi="Arial"/>
          <w:sz w:val="17"/>
          <w:szCs w:val="17"/>
          <w:color w:val="auto"/>
        </w:rPr>
        <w:t>) nasal chemosensory epithelium (including the VNO pit area) and autonomic nervous system function in healthy male (n = 8) and female (n = 8) subjects. Intranasal administration of PH94B (400 ng 0.4 µg) significantly increased the amplitude of the electrogram, decreased cardiac and respiratory frequency rate (within physiologic range), and decreased the frequency of electrodermal activity (skin conductance) events. Local intranasal application of steroidal hormones, estradiol, progesterone, cortisol, and testosterone (400 ng 0.4 µg each), had no significant effect on the electrical response of the mucosal lining of the nasal chemosensory epithelium (including the VNO pit area) or the measures of autonomic nervous system function. Volunteers felt calmer and less tense per self-report, suggesting an anxiolytic effect. We believe these results demonstrate the biological activity of PH94B and provide support for evaluating potential behavioral changes after intranasal PH94B administration.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Dose Response Study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Phase 1 dose response pharmacology study, the increased electrical activity of the nasal chemosensory epithelium electrogram of nasal receptors (</w:t>
      </w:r>
      <w:r>
        <w:rPr>
          <w:rFonts w:ascii="Arial" w:cs="Arial" w:eastAsia="Arial" w:hAnsi="Arial"/>
          <w:sz w:val="18"/>
          <w:szCs w:val="18"/>
          <w:i w:val="1"/>
          <w:iCs w:val="1"/>
          <w:color w:val="auto"/>
        </w:rPr>
        <w:t>EGNR</w:t>
      </w:r>
      <w:r>
        <w:rPr>
          <w:rFonts w:ascii="Arial" w:cs="Arial" w:eastAsia="Arial" w:hAnsi="Arial"/>
          <w:sz w:val="18"/>
          <w:szCs w:val="18"/>
          <w:color w:val="auto"/>
        </w:rPr>
        <w:t>) was shown to be dose dependent and similar in both male and female healthy volunteers after receiving ascending doses of PH94B. Maximal EGNR amplitude was achieved at the 3.2 μg dose in both men (n=10) and women (n=10), and no significant increase was seen at higher doses (6.4 μg and 12.8 μg).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SAD Phase 2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Positive Results in Public Speaking and Social Interaction-Induced Stressors in a Clinical Setting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Phase 2 development of PH94B began with a two-part public speaking and social interaction challenge study. In this randomized, double-blind, placebo-controlled Phase 2 clinical trial (n=91) conducted at three clinical sites, 91 adult female subjects diagnosed with SAD underwent a placebo baseline period followed a week later by a randomized treatment period and intranasal administration of 1.6 μg of PH94B. PH94B (1.6 μg) was administered intranasally 15 minutes prior to both a performance challenge (public speaking) and a social interaction challenge simulation, which took place at the clinical sites. The two challenges were separated by a 30-minute rest period. The primary outcome measure was the Subjective Units of Distress Scale (</w:t>
      </w:r>
      <w:r>
        <w:rPr>
          <w:rFonts w:ascii="Arial" w:cs="Arial" w:eastAsia="Arial" w:hAnsi="Arial"/>
          <w:sz w:val="16"/>
          <w:szCs w:val="16"/>
          <w:i w:val="1"/>
          <w:iCs w:val="1"/>
          <w:color w:val="auto"/>
        </w:rPr>
        <w:t>SUDS</w:t>
      </w:r>
      <w:r>
        <w:rPr>
          <w:rFonts w:ascii="Arial" w:cs="Arial" w:eastAsia="Arial" w:hAnsi="Arial"/>
          <w:sz w:val="16"/>
          <w:szCs w:val="16"/>
          <w:color w:val="auto"/>
        </w:rPr>
        <w:t xml:space="preserve">). Peer-reviewed results published in the </w:t>
      </w:r>
      <w:r>
        <w:rPr>
          <w:rFonts w:ascii="Arial" w:cs="Arial" w:eastAsia="Arial" w:hAnsi="Arial"/>
          <w:sz w:val="16"/>
          <w:szCs w:val="16"/>
          <w:i w:val="1"/>
          <w:iCs w:val="1"/>
          <w:color w:val="auto"/>
        </w:rPr>
        <w:t>American Journal of Psychiatry</w:t>
      </w:r>
      <w:r>
        <w:rPr>
          <w:rFonts w:ascii="Arial" w:cs="Arial" w:eastAsia="Arial" w:hAnsi="Arial"/>
          <w:sz w:val="16"/>
          <w:szCs w:val="16"/>
          <w:color w:val="auto"/>
        </w:rPr>
        <w:t xml:space="preserve"> (Monti, et al., Am. J. Psychiatry (2014) 171:675-682) showed statistically significant results for reducing anxiety during a public speaking performance and during social interactions in a clinical setting. During the public speaking challenge, subjects randomized to treatment with PH94B (n = 45) showed a 26.7-point improvement in mean SUDS scores following the treatment visit with PH94B as compared to the SUDS scores during the baseline visit (placebo treatment). In comparison, subjects randomized to treatment with placebo (n = 46) showed an improvement of only 14.0 points in mean SUDS scores compared to baseline. The PH94B treatment group’s improvement in the public speaking challenge significantly exceeded that of the placebo group’s improvement (t = 3.16, p = 0.002).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Positive Results in SAD Outpatients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PH94B is designed with the potential to lower anxiety acutely, on an as-needed basis, and to achieve cumulative functional improvement with continued use. Accordingly, the protocol for a subsequent randomized, double-blind, placebo-controlled multiple administration assessment Phase 2 crossover study (n=22) involving both adult males (n =11) and females (n=11), required subjects to self-administer PH94B or placebo nasal spray in an outpatient setting (i.e., not in a clinical environment) acutely, on an as-needed basis, just prior to an anxiety-provoking situation, up to four times a day, for two weeks. The primary efficacy measure in the study was the SUDS and the secondary efficacy measure was the LSAS. Dr. Michael Liebowitz, the innovator of the LSAS, was the Principal Investigator of this study.</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change from baseline SUDS scores was significantly greater for all subjects while taking PH94B compared with the placebo group. The average change from baseline SUDS score was 15.6 points for all subjects while on PH94B and was 8.3 points while on placebo (paired t-test = 3.09; p = 0.006; effect size 0.658). During the first two weeks of treatment, subjects who received PH94B first dropped an average of 23 points in LSAS score, while those who received placebo first dropped only eight points on average, showing a trend difference (p = 0.07) with a large effect size of 0.812.</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Looking at only the first two weeks of treatment, subjects who received PH94B first had a significantly greater decrease in their avoidance score on the LSAS than those who received placebo first (p = 0.02, Cohen’s d = 1.078). A large effect size (0.78) and trend to significance (p = 0.083) in favor of PH94B also was observed when comparing overall the Clinical Global Impression (</w:t>
      </w:r>
      <w:r>
        <w:rPr>
          <w:rFonts w:ascii="Arial" w:cs="Arial" w:eastAsia="Arial" w:hAnsi="Arial"/>
          <w:sz w:val="16"/>
          <w:szCs w:val="16"/>
          <w:i w:val="1"/>
          <w:iCs w:val="1"/>
          <w:color w:val="auto"/>
        </w:rPr>
        <w:t>CGI</w:t>
      </w:r>
      <w:r>
        <w:rPr>
          <w:rFonts w:ascii="Arial" w:cs="Arial" w:eastAsia="Arial" w:hAnsi="Arial"/>
          <w:sz w:val="16"/>
          <w:szCs w:val="16"/>
          <w:color w:val="auto"/>
        </w:rPr>
        <w:t>) score means for PH94B and placebo during the first two weeks of treatment. Patient Global Impression of Change (</w:t>
      </w:r>
      <w:r>
        <w:rPr>
          <w:rFonts w:ascii="Arial" w:cs="Arial" w:eastAsia="Arial" w:hAnsi="Arial"/>
          <w:sz w:val="16"/>
          <w:szCs w:val="16"/>
          <w:i w:val="1"/>
          <w:iCs w:val="1"/>
          <w:color w:val="auto"/>
        </w:rPr>
        <w:t>PGI-C</w:t>
      </w:r>
      <w:r>
        <w:rPr>
          <w:rFonts w:ascii="Arial" w:cs="Arial" w:eastAsia="Arial" w:hAnsi="Arial"/>
          <w:sz w:val="16"/>
          <w:szCs w:val="16"/>
          <w:color w:val="auto"/>
        </w:rPr>
        <w:t>) ratings also showed improvement for PH94B after two weeks of treatment (p = 0.024).</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drug-related serious adverse events (</w:t>
      </w:r>
      <w:r>
        <w:rPr>
          <w:rFonts w:ascii="Arial" w:cs="Arial" w:eastAsia="Arial" w:hAnsi="Arial"/>
          <w:sz w:val="18"/>
          <w:szCs w:val="18"/>
          <w:i w:val="1"/>
          <w:iCs w:val="1"/>
          <w:color w:val="auto"/>
        </w:rPr>
        <w:t>SAEs</w:t>
      </w:r>
      <w:r>
        <w:rPr>
          <w:rFonts w:ascii="Arial" w:cs="Arial" w:eastAsia="Arial" w:hAnsi="Arial"/>
          <w:sz w:val="18"/>
          <w:szCs w:val="18"/>
          <w:color w:val="auto"/>
        </w:rPr>
        <w:t>) were reported during the study. All adverse events (</w:t>
      </w:r>
      <w:r>
        <w:rPr>
          <w:rFonts w:ascii="Arial" w:cs="Arial" w:eastAsia="Arial" w:hAnsi="Arial"/>
          <w:sz w:val="18"/>
          <w:szCs w:val="18"/>
          <w:i w:val="1"/>
          <w:iCs w:val="1"/>
          <w:color w:val="auto"/>
        </w:rPr>
        <w:t>AEs</w:t>
      </w:r>
      <w:r>
        <w:rPr>
          <w:rFonts w:ascii="Arial" w:cs="Arial" w:eastAsia="Arial" w:hAnsi="Arial"/>
          <w:sz w:val="18"/>
          <w:szCs w:val="18"/>
          <w:color w:val="auto"/>
        </w:rPr>
        <w:t>) were mild or moderate and the frequencies of their occurrence did not differ meaningfully between active and placebo treatments.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this multiple-administration assessment Phase 2 study conducted outside a clinical environment indicates the potential for cumulative functional improvement with longer use of PH94B, while still being used acutely, as-needed, as subjects are increasingly able to engage in previously difficult social and performance situations in their daily lives with less anxiety.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SAD PALISADE Phase 3 Program (PALISADE-1, PALISADE-2 and PALISADE OLS)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22, 2022, we announced that PALISADE-1, our single administration assessment Phase 3 clinical study of PH94B for the acute treatment of anxiety in adults with SAD did not achieve its primary endpoint, as measured by change from baseline using the SUDS as compared to placebo. The study involved self-administration of a single dose of PH94B by subjects randomized to the treatment arm of the study prior to a public speaking challenge, which was conducted in a clinical setting. As we continue to evaluate the topline results from PALISADE-1, we have paused recruitment and enrollment in PALISADE-2, a replicate study of PALISADE-1, while an independent third-party biostatistician conducts an interim analysis of available data from subjects randomized in PALISADE-2 to date. Although PALISADE-1 did not meet its primary efficacy endpoint, the safety and tolerability of PH94B in PALISADE-1 were favorable and consistent with previously reported results from previous clinical trials.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opted to end recruitment and enrollment in the PALISADE OLS study of PH94B to assess potential cumulative functional improvement as measured by the LSAS from preliminary data (not published) involving nearly 200 subjects enrolled in the study who have used PH94B acutely, as needed, multiple times over multiple different periods of time. As noted above, we believe preliminary data from the PALISADE OLS study of PH94B are encouraging and suggest that continued as-needed use of PH94B has potential to achieve cumulative functional improvement in the severity of SAD when measured with the LSAS. In addition, to date in the PALISADE OLS, we believe PH94B's safety profile has been favorable and consistent with reported results from all previous clinical trials.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noted above, taking into consideration the results of PALISADE-1, and as we await the interim analysis of PALISADE-2, we believe the combination of the overall safety profile of PH94B in studies to date, data from two Phase 2 clinical studies of PH94B in SAD, and emerging preliminary LSAS data from our PALISADE OLS study indicate a potential for SAD patients to achieve cumulative functional improvement with longer uses of PH94B, while still being used acutely, as-needed. Accordingly, while the the independent third-party biostatistician conducts the interim analysis of PALISADE 2, we are preparing to meet with the FDA to discuss potential next steps for late-stage clinical development of PH94B as a potential treatment for SAD, including assessing PH94B’s therapeutic potential to achieve cumulative functional improvement over multiple uses during an extended exposure period. After the results of the interim analysis are available to us, we plan to meet with the FDA and pursue consensus on clearly defined path forward for further Phase 3 development of PH94B in SAD.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Exploratory Phase 2A Development for AjDA and Future Development Opportunities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exploratory Phase 2A clinical study of PH94B to assess the therapeutic potential of PH94B in adults experiencing Adjustment Disorder with Anxiety (</w:t>
      </w:r>
      <w:r>
        <w:rPr>
          <w:rFonts w:ascii="Arial" w:cs="Arial" w:eastAsia="Arial" w:hAnsi="Arial"/>
          <w:sz w:val="16"/>
          <w:szCs w:val="16"/>
          <w:i w:val="1"/>
          <w:iCs w:val="1"/>
          <w:color w:val="auto"/>
        </w:rPr>
        <w:t>AjDA</w:t>
      </w:r>
      <w:r>
        <w:rPr>
          <w:rFonts w:ascii="Arial" w:cs="Arial" w:eastAsia="Arial" w:hAnsi="Arial"/>
          <w:sz w:val="16"/>
          <w:szCs w:val="16"/>
          <w:color w:val="auto"/>
        </w:rPr>
        <w:t>) is ongoing. Adjustment Disorder (</w:t>
      </w:r>
      <w:r>
        <w:rPr>
          <w:rFonts w:ascii="Arial" w:cs="Arial" w:eastAsia="Arial" w:hAnsi="Arial"/>
          <w:sz w:val="16"/>
          <w:szCs w:val="16"/>
          <w:i w:val="1"/>
          <w:iCs w:val="1"/>
          <w:color w:val="auto"/>
        </w:rPr>
        <w:t>AjD</w:t>
      </w:r>
      <w:r>
        <w:rPr>
          <w:rFonts w:ascii="Arial" w:cs="Arial" w:eastAsia="Arial" w:hAnsi="Arial"/>
          <w:sz w:val="16"/>
          <w:szCs w:val="16"/>
          <w:color w:val="auto"/>
        </w:rPr>
        <w:t>) refers to a maladaptive emotional or behavioral response to an identifiable stressor. AjD occurs within three months of exposure to the stressor as evidenced by marked distress that is out of proportion to the socially or culturally expected reactions to the stressor, or that represents significant impairment in social, occupational or other important areas of daily functioning. Current pharmacological treatments for AjDA vary widely and include antidepressants (SSRIs and SNRIs), benzodiazepines, buspirone and natural products such as cannabidiol. Our randomized, double-blind, placebo-controlled exploratory Phase 2A study in AjDA involves daily use of PH94B in an outpatient setting for 28 days.</w:t>
      </w:r>
    </w:p>
    <w:p>
      <w:pPr>
        <w:spacing w:after="0" w:line="16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plan to assess additional potential development opportunities involving PH94B, for both potential acute and continued use in the treatment of other anxiety-related disorders, including procedural anxiety, post-traumatic stress disorder, postpartum anxiety and panic disorder.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PH10 Nasal Spray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PH10 is an investigational pherine nasal spray with a potential rapid-onset MOA that is fundamentally differentiated from the MOA of all currently approved treatments for depression disorders. PH10, which is administered at microgram-level doses, engages and activates chemosensory cells in the nasal passages, connected to neural circuits in the brain that produce antidepressant effects. Specifically, PH10’s proposed MOA involves binding to peripheral chemosensory neurons in the nasal passages to regulate the olfactory-amygdala neural circuits believed to increase activity of the limbic-hypothalamic sympathetic nervous system and increase the release of catecholamines. Importantly, unlike all currently approved oral antidepressants (</w:t>
      </w:r>
      <w:r>
        <w:rPr>
          <w:rFonts w:ascii="Arial" w:cs="Arial" w:eastAsia="Arial" w:hAnsi="Arial"/>
          <w:sz w:val="18"/>
          <w:szCs w:val="18"/>
          <w:i w:val="1"/>
          <w:iCs w:val="1"/>
          <w:color w:val="auto"/>
        </w:rPr>
        <w:t>ADs</w:t>
      </w:r>
      <w:r>
        <w:rPr>
          <w:rFonts w:ascii="Arial" w:cs="Arial" w:eastAsia="Arial" w:hAnsi="Arial"/>
          <w:sz w:val="18"/>
          <w:szCs w:val="18"/>
          <w:color w:val="auto"/>
        </w:rPr>
        <w:t>) and rapid-onset ketamine-based therapy (</w:t>
      </w:r>
      <w:r>
        <w:rPr>
          <w:rFonts w:ascii="Arial" w:cs="Arial" w:eastAsia="Arial" w:hAnsi="Arial"/>
          <w:sz w:val="18"/>
          <w:szCs w:val="18"/>
          <w:i w:val="1"/>
          <w:iCs w:val="1"/>
          <w:color w:val="auto"/>
        </w:rPr>
        <w:t>KBT</w:t>
      </w:r>
      <w:r>
        <w:rPr>
          <w:rFonts w:ascii="Arial" w:cs="Arial" w:eastAsia="Arial" w:hAnsi="Arial"/>
          <w:sz w:val="18"/>
          <w:szCs w:val="18"/>
          <w:color w:val="auto"/>
        </w:rPr>
        <w:t>), including both intravenous ketamine and intranasal ketamine (esketamine), we believe PH10 does not require systemic uptake to produce rapid-onset of antidepressant effects.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 small (n=30) exploratory randomized, double-blind, placebo-controlled parallel design Phase 2A in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 conducted in Mexico, at a 6.4 μg dose administered intranasally twice daily for 8 weeks, PH10 significantly reduced depressive symptoms as early as one week based on the 17-item Hamilton Depression Scale (</w:t>
      </w:r>
      <w:r>
        <w:rPr>
          <w:rFonts w:ascii="Arial" w:cs="Arial" w:eastAsia="Arial" w:hAnsi="Arial"/>
          <w:sz w:val="17"/>
          <w:szCs w:val="17"/>
          <w:i w:val="1"/>
          <w:iCs w:val="1"/>
          <w:color w:val="auto"/>
        </w:rPr>
        <w:t>HAM-D-17</w:t>
      </w:r>
      <w:r>
        <w:rPr>
          <w:rFonts w:ascii="Arial" w:cs="Arial" w:eastAsia="Arial" w:hAnsi="Arial"/>
          <w:sz w:val="17"/>
          <w:szCs w:val="17"/>
          <w:color w:val="auto"/>
        </w:rPr>
        <w:t>) scores compared to placebo (p = 0.022). PH10 was well-tolerated and did not cause psychological side effects (such as dissociation and hallucinations) or other safety concerns that may be associated with KBT.. Our planned U.S. Phase 1/2B clinical program for PH10 is designed to evaluate its potential as a fast-acting stand-alone treatment for MDD. We are currently preparing our U.S. Investigational New Drug (</w:t>
      </w:r>
      <w:r>
        <w:rPr>
          <w:rFonts w:ascii="Arial" w:cs="Arial" w:eastAsia="Arial" w:hAnsi="Arial"/>
          <w:sz w:val="17"/>
          <w:szCs w:val="17"/>
          <w:i w:val="1"/>
          <w:iCs w:val="1"/>
          <w:color w:val="auto"/>
        </w:rPr>
        <w:t>IND</w:t>
      </w:r>
      <w:r>
        <w:rPr>
          <w:rFonts w:ascii="Arial" w:cs="Arial" w:eastAsia="Arial" w:hAnsi="Arial"/>
          <w:sz w:val="17"/>
          <w:szCs w:val="17"/>
          <w:color w:val="auto"/>
        </w:rPr>
        <w:t>) application to enable clinical development of PH10 in the U.S. . We are planning to initiate a small Phase 1 study of PH10 in the U.S. before the end of calendar 2022 to facilitate potential Phase 2B development of PH10 in the U.S. for treatment of MDD beginning in calendar 2023. We may also have potential opportunities to develop PH10 for other depression-related disorders.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AV-101</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AV-101 is an oral prodrug of 7-chloro-kynurenic acid (7-Cl-KYNA), which is a potent and selective antagonist of the glycine co-agonist site of the NMDAR that inhibits the function of the NMDAR. Unlike ketamine and many other NMDAR antagonists, 7-Cl-KYNA is not an ion channel blocker. At doses administered in the Company’s studies completed to date, AV-101 has been observed to be well tolerated and has not exhibited dissociative or hallucinogenic psychological side effects or safety concerns, unlike other modulators of the NMDAR. Based on observations and findings from preclinical studies, we believe that AV-101, in combination with FDA-approved oral probenecid, has the potential to become a new oral treatment alternative for certain CNS indications involving the NMDAR. We are presently conducting an exploratory Phase 1B drug-drug interaction clinical study of AV-101 in combination with probenecid.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has granted Fast Track designation for development of AV-101 as a potential adjunctive treatment for MDD and as a non-opioid treatment for neuropathic pain.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Therapeutics, Inc., a California corporation d/b/a VistaStem (</w:t>
      </w:r>
      <w:r>
        <w:rPr>
          <w:rFonts w:ascii="Arial" w:cs="Arial" w:eastAsia="Arial" w:hAnsi="Arial"/>
          <w:sz w:val="18"/>
          <w:szCs w:val="18"/>
          <w:i w:val="1"/>
          <w:iCs w:val="1"/>
          <w:color w:val="auto"/>
        </w:rPr>
        <w:t>VistaStem</w:t>
      </w:r>
      <w:r>
        <w:rPr>
          <w:rFonts w:ascii="Arial" w:cs="Arial" w:eastAsia="Arial" w:hAnsi="Arial"/>
          <w:sz w:val="18"/>
          <w:szCs w:val="18"/>
          <w:color w:val="auto"/>
        </w:rPr>
        <w:t>), is our wholly owned subsidiary. For the relevant periods, our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 owned inactive subsidiaries, Artemis Neuroscience, Inc., a Maryland corporation which was dissolved in April 2022, and VistaStem Canada, Inc., a corporation organized under the laws of Ontario, Canada which was dissolved in June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2022, as filed with the SEC on June 23, 2022, and in Note 3 to the accompanying unaudited Condensed Consolidated Financial Statements included in Part 1, Item 1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not yet achieved recurring revenue-generating status from any of our product candidates or technologies in amounts sufficient to sustain our operations and enable our strategic business plans. Since acquiring our exclusive worldwide licenses to PH94B and PH10 in 2018, we have devoted substantial resources to advance initiatives related to research, development, and contract manufacturing of our intranasal investigational product candidates, PH94B and PH10, including initiatives related to manufacturing processes, analytical methods and production programs for drug substance and finished drug product, as well as for preclinical studies and clinical studies focused on potential commercialization of these product candidates for neuropsychiatry indications. During calendar 2021 and to date in calendar 2022, we allocated significant resources to our PALISADE Phase 3 Program evaluating PH94B for the acute treatment of anxiety in adults with SAD, and we conducted, and are continuing to conduct, various preclinical studies and manufacturing activities intended to enable submission of our U.S. IND for PH10 in MDD and initiation of a small Phase 1 clinical study of PH10 to facilitate potential Phase 2B clinical development of PH10 in the U.S. as a stand-alone treatment for MDD. With respect to AV-101, our current focus is evaluating AV-101 in combination with probenecid which may provide opportunities to explore the therapeutic potential of the combination for certain CNS indications involving the NMDAR. We have continuing initiatives for creating, protecting and patenting intellectual property (</w:t>
      </w:r>
      <w:r>
        <w:rPr>
          <w:rFonts w:ascii="Arial" w:cs="Arial" w:eastAsia="Arial" w:hAnsi="Arial"/>
          <w:sz w:val="17"/>
          <w:szCs w:val="17"/>
          <w:i w:val="1"/>
          <w:iCs w:val="1"/>
          <w:color w:val="auto"/>
        </w:rPr>
        <w:t>IP</w:t>
      </w:r>
      <w:r>
        <w:rPr>
          <w:rFonts w:ascii="Arial" w:cs="Arial" w:eastAsia="Arial" w:hAnsi="Arial"/>
          <w:sz w:val="17"/>
          <w:szCs w:val="17"/>
          <w:color w:val="auto"/>
        </w:rPr>
        <w:t>) related to our product candidates and technologies, with the corollary initiatives of recruiting and retaining personnel and raising working capital. At June 30, 2022, we had an accumulated deficit of approximately $287.4 million. Our net loss for the quarters ended June 30, 2022 and 2021 was approximately $19.8 million and $7.7 million, respectively, and for the fiscal years ended March 31, 2022 (</w:t>
      </w:r>
      <w:r>
        <w:rPr>
          <w:rFonts w:ascii="Arial" w:cs="Arial" w:eastAsia="Arial" w:hAnsi="Arial"/>
          <w:sz w:val="17"/>
          <w:szCs w:val="17"/>
          <w:i w:val="1"/>
          <w:iCs w:val="1"/>
          <w:color w:val="auto"/>
        </w:rPr>
        <w:t>Fiscal 2022</w:t>
      </w:r>
      <w:r>
        <w:rPr>
          <w:rFonts w:ascii="Arial" w:cs="Arial" w:eastAsia="Arial" w:hAnsi="Arial"/>
          <w:sz w:val="17"/>
          <w:szCs w:val="17"/>
          <w:color w:val="auto"/>
        </w:rPr>
        <w:t>) and 2021 (</w:t>
      </w:r>
      <w:r>
        <w:rPr>
          <w:rFonts w:ascii="Arial" w:cs="Arial" w:eastAsia="Arial" w:hAnsi="Arial"/>
          <w:sz w:val="17"/>
          <w:szCs w:val="17"/>
          <w:i w:val="1"/>
          <w:iCs w:val="1"/>
          <w:color w:val="auto"/>
        </w:rPr>
        <w:t>Fiscal 2021</w:t>
      </w:r>
      <w:r>
        <w:rPr>
          <w:rFonts w:ascii="Arial" w:cs="Arial" w:eastAsia="Arial" w:hAnsi="Arial"/>
          <w:sz w:val="17"/>
          <w:szCs w:val="17"/>
          <w:color w:val="auto"/>
        </w:rPr>
        <w:t>) was approximately $47.8 million and $17.9 million, respectively. We expect losses to continue for the foreseeable future, primarily as we engage in further research, development and regulatory activities related to PH94B, PH10 and AV-101.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Three Months Ended June 30, 2022</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Throughout Fiscal 2022 and through the date of this Report, we have continued to advance our nonclinical and clinical development, manufacturing, and regulatory activities necessary for (i) Phase 3 clinical development of PH94B as a potential acute treatment of anxiety in adults with SAD, (ii) advancing our Phase 2A clinical study of PH94B in adults experiencing AjDA, (iii) initiating a small Phase 1 study of PH10 in the U.S. to facilitate potential Phase 2B development as a stand-alone treatment of MDD and (iv) exploratory Phase 1B development of AV-101 in combination with probenecid to assess potential opportunities to develop the combination for treatment of certain CNS indications.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initiated our PALISADE Phase 3 Program for PH94B in SAD with the commencement of PALISADE-1 in May 2021 and PALISADE-2 in August 2021. During Fiscal 2022, we also initiated the PALISADE OLS and advanced our Phase 2A clinical study of PH94B in adults experiencing AjDA. We achieved last patient out of PALISADE-1 in June 2022 and commenced analysis of the data generated throughout the study. As noted above, in July 2022 we determined that PALISADE-1 did not achieve its primary efficacy endpoint. Accordingly, we are actively investigating, on multiple fronts, potential contributors to that outcome. As noted above, we have paused recruitment and enrollment of PALISADE-2 while we engage an independent third-party statistician to conduct an interim assessment of data currently available from randomized subjects in that study. The results of that interim assessment will help guide near-term activities related to both PALISADE-2 and future clinical trials of PH94B in SAD and/or other anxiety indications. In addition, we ended enrollment in our PALISADE OLS and are assessing preliminary data from the study that we believe supports continued late-stage clinical development of PH94B as a potential treatment for SAD in a manner consistent with both data observed in Phase 2 development of PH94B in SAD, i.e., with multiple assessments of PH94B’s potential efficacy, as compared to placebo, when used acutely, as-needed, over an extended period of time in an outpatient setting, rather than a single administration assessment in an anxiety-provoking public speaking challenge conducted in a clinical setting.</w:t>
      </w:r>
    </w:p>
    <w:p>
      <w:pPr>
        <w:spacing w:after="0" w:line="1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Beginning in the fourth quarter of Fiscal 2021, throughout Fiscal 2022, and continuing through the date of this Report, we have expanded our employee infrastructure with experienced personnel additions across multiple functional areas, including clinical operations, clinical research, data management, chemistry, manufacturing and controls (</w:t>
      </w:r>
      <w:r>
        <w:rPr>
          <w:rFonts w:ascii="Arial" w:cs="Arial" w:eastAsia="Arial" w:hAnsi="Arial"/>
          <w:sz w:val="16"/>
          <w:szCs w:val="16"/>
          <w:i w:val="1"/>
          <w:iCs w:val="1"/>
          <w:color w:val="auto"/>
        </w:rPr>
        <w:t>CMC</w:t>
      </w:r>
      <w:r>
        <w:rPr>
          <w:rFonts w:ascii="Arial" w:cs="Arial" w:eastAsia="Arial" w:hAnsi="Arial"/>
          <w:sz w:val="16"/>
          <w:szCs w:val="16"/>
          <w:color w:val="auto"/>
        </w:rPr>
        <w:t>) and quality assurance, biostatistics and clinical analytics, regulatory affairs, medical affairs, translational medicine, commercial operations, legal, contracts and corporate affairs, development operations, and investor and public relations.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Throughout Fiscal 2021 and Fiscal 2022 and through the date of this Report, strains of SARS-CoV-2, commonly referred to as COVID-19 and multiple variants of the virus, have spread globally and the outbreak has been declared a pandemic by the World Health Organization and a public health emergency in the U.S. by the U.S. Secretary of Health and Human Services. Operations at our headquarters in South San Francisco were significantly curtailed during Fiscal 2021 and the first half of Fiscal 2022, and, to some extent, periodically thereafter, while state and local restrictions required remote working conditions. Most of our employee additions since Fiscal 2021 are geographically located away from our headquarters facility in South San Francisco and routinely work remotely. Our employees have worked efficiently and productively while remotely-located and working from home whether as a result of the COVID-19 pandemic or otherwise. From time to time during the COVID-19 pandemic, however, the efficiency and productivity of certain preclinical and clinical development programs and our third-party collaborators, including, among others, contract research and development organizations (</w:t>
      </w:r>
      <w:r>
        <w:rPr>
          <w:rFonts w:ascii="Arial" w:cs="Arial" w:eastAsia="Arial" w:hAnsi="Arial"/>
          <w:sz w:val="16"/>
          <w:szCs w:val="16"/>
          <w:i w:val="1"/>
          <w:iCs w:val="1"/>
          <w:color w:val="auto"/>
        </w:rPr>
        <w:t>CROs</w:t>
      </w:r>
      <w:r>
        <w:rPr>
          <w:rFonts w:ascii="Arial" w:cs="Arial" w:eastAsia="Arial" w:hAnsi="Arial"/>
          <w:sz w:val="16"/>
          <w:szCs w:val="16"/>
          <w:color w:val="auto"/>
        </w:rPr>
        <w:t>), contract manufacturing organizations (</w:t>
      </w:r>
      <w:r>
        <w:rPr>
          <w:rFonts w:ascii="Arial" w:cs="Arial" w:eastAsia="Arial" w:hAnsi="Arial"/>
          <w:sz w:val="16"/>
          <w:szCs w:val="16"/>
          <w:i w:val="1"/>
          <w:iCs w:val="1"/>
          <w:color w:val="auto"/>
        </w:rPr>
        <w:t>CMOs</w:t>
      </w:r>
      <w:r>
        <w:rPr>
          <w:rFonts w:ascii="Arial" w:cs="Arial" w:eastAsia="Arial" w:hAnsi="Arial"/>
          <w:sz w:val="16"/>
          <w:szCs w:val="16"/>
          <w:color w:val="auto"/>
        </w:rPr>
        <w:t>) and other third-party service providers have been, and may be in the future, impacted by prevailing surges in the spread of variants of COVID-19, such as spreads induced by the Delta and Omicron variants and their sub-variants during Fiscal 2021, Fiscal 2022 and thereafter, shelter-in-place orders, social distancing measures, travel bans and restrictions, and certain business and government closures or reductions in service. From time to time since the beginning of the COVID-19 pandemic, we have experienced delays in the delivery of supplies of active pharmaceutical product (</w:t>
      </w:r>
      <w:r>
        <w:rPr>
          <w:rFonts w:ascii="Arial" w:cs="Arial" w:eastAsia="Arial" w:hAnsi="Arial"/>
          <w:sz w:val="16"/>
          <w:szCs w:val="16"/>
          <w:i w:val="1"/>
          <w:iCs w:val="1"/>
          <w:color w:val="auto"/>
        </w:rPr>
        <w:t>API</w:t>
      </w:r>
      <w:r>
        <w:rPr>
          <w:rFonts w:ascii="Arial" w:cs="Arial" w:eastAsia="Arial" w:hAnsi="Arial"/>
          <w:sz w:val="16"/>
          <w:szCs w:val="16"/>
          <w:color w:val="auto"/>
        </w:rPr>
        <w:t>) or other key materials required to continue development of PH94B and PH10, as well as temporary disruptions in the availability of third-party personnel and others involved in the conduct of our preclinical and clinical programs. Future unexpected delays may result in a significant, material delay or disruption to our current clinical and nonclinical development plans, programs, and operations.</w:t>
      </w:r>
    </w:p>
    <w:p>
      <w:pPr>
        <w:spacing w:after="0" w:line="16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We did not complete any capital-raising or other significant financing activities during the quarter ended June 30, 2022. In May 2021, we entered into an Open Market Sale Agreement </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(the </w:t>
      </w:r>
      <w:r>
        <w:rPr>
          <w:rFonts w:ascii="Arial" w:cs="Arial" w:eastAsia="Arial" w:hAnsi="Arial"/>
          <w:sz w:val="18"/>
          <w:szCs w:val="18"/>
          <w:i w:val="1"/>
          <w:iCs w:val="1"/>
          <w:color w:val="auto"/>
        </w:rPr>
        <w:t>Sales Agreement</w:t>
      </w:r>
      <w:r>
        <w:rPr>
          <w:rFonts w:ascii="Arial" w:cs="Arial" w:eastAsia="Arial" w:hAnsi="Arial"/>
          <w:sz w:val="18"/>
          <w:szCs w:val="18"/>
          <w:color w:val="auto"/>
        </w:rPr>
        <w:t>) with Jefferies LLC as sales agent (</w:t>
      </w:r>
      <w:r>
        <w:rPr>
          <w:rFonts w:ascii="Arial" w:cs="Arial" w:eastAsia="Arial" w:hAnsi="Arial"/>
          <w:sz w:val="18"/>
          <w:szCs w:val="18"/>
          <w:i w:val="1"/>
          <w:iCs w:val="1"/>
          <w:color w:val="auto"/>
        </w:rPr>
        <w:t>Jefferies</w:t>
      </w:r>
      <w:r>
        <w:rPr>
          <w:rFonts w:ascii="Arial" w:cs="Arial" w:eastAsia="Arial" w:hAnsi="Arial"/>
          <w:sz w:val="18"/>
          <w:szCs w:val="18"/>
          <w:color w:val="auto"/>
        </w:rPr>
        <w:t xml:space="preserve">), with respect to an at-the-market offering program (the </w:t>
      </w:r>
      <w:r>
        <w:rPr>
          <w:rFonts w:ascii="Arial" w:cs="Arial" w:eastAsia="Arial" w:hAnsi="Arial"/>
          <w:sz w:val="18"/>
          <w:szCs w:val="18"/>
          <w:i w:val="1"/>
          <w:iCs w:val="1"/>
          <w:color w:val="auto"/>
        </w:rPr>
        <w:t>ATM</w:t>
      </w:r>
      <w:r>
        <w:rPr>
          <w:rFonts w:ascii="Arial" w:cs="Arial" w:eastAsia="Arial" w:hAnsi="Arial"/>
          <w:sz w:val="18"/>
          <w:szCs w:val="18"/>
          <w:color w:val="auto"/>
        </w:rPr>
        <w:t>) under which we may, at our option, offer and sell, from time to time, shares of our common stock having an aggregate offering price of up to $75.0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through Jefferies as our sales agent. During September and early October 2021, we sold an aggregate of 1,517,798 shares of our common stock and received gross cash proceeds of approximately $4.45 million under the ATM. We have not sold any shares under the ATM from October 2, 2021 through the date of this Report.</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results of PALISADE-1, we are carefully monitoring our cash resources and critically evaluating our internal and external research and development and general and administrative expenditures, which includes pausing recruitment and enrollment in PALISADE-2, ending enrollment in our PALISADE OLS, deferring multiple potential NDA-enabling nonclinical development and manufacturing activities of PH94B and pausing a substantial portion of PH94B pre-commercialization initiatives pending further assessment of the results of PALISADE-1 and assessment of the independent third-party interim analysis of PALISADE-2.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June 30, 2022 and 2021 (amounts in thousands).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5"/>
              </w:rPr>
              <w:t>Three Months Ended June 30,</w:t>
            </w:r>
          </w:p>
        </w:tc>
      </w:tr>
      <w:tr>
        <w:trPr>
          <w:trHeight w:val="223"/>
        </w:trPr>
        <w:tc>
          <w:tcPr>
            <w:tcW w:w="6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09"/>
        </w:trPr>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w:t>
            </w:r>
          </w:p>
        </w:tc>
      </w:tr>
      <w:tr>
        <w:trPr>
          <w:trHeight w:val="209"/>
        </w:trPr>
        <w:tc>
          <w:tcPr>
            <w:tcW w:w="6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5,457</w:t>
            </w:r>
          </w:p>
        </w:tc>
      </w:tr>
      <w:tr>
        <w:trPr>
          <w:trHeight w:val="216"/>
        </w:trPr>
        <w:tc>
          <w:tcPr>
            <w:tcW w:w="6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4,792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2,643</w:t>
            </w:r>
          </w:p>
        </w:tc>
      </w:tr>
      <w:tr>
        <w:trPr>
          <w:trHeight w:val="20"/>
        </w:trPr>
        <w:tc>
          <w:tcPr>
            <w:tcW w:w="6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8,100</w:t>
            </w:r>
          </w:p>
        </w:tc>
      </w:tr>
      <w:tr>
        <w:trPr>
          <w:trHeight w:val="209"/>
        </w:trPr>
        <w:tc>
          <w:tcPr>
            <w:tcW w:w="64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(7,746)</w:t>
            </w:r>
          </w:p>
        </w:tc>
      </w:tr>
      <w:tr>
        <w:trPr>
          <w:trHeight w:val="216"/>
        </w:trPr>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09"/>
        </w:trPr>
        <w:tc>
          <w:tcPr>
            <w:tcW w:w="64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(7,741)</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0"/>
        </w:trPr>
        <w:tc>
          <w:tcPr>
            <w:tcW w:w="6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(19,776)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(7,744)</w:t>
            </w:r>
          </w:p>
        </w:tc>
      </w:tr>
      <w:tr>
        <w:trPr>
          <w:trHeight w:val="216"/>
        </w:trPr>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 Stock</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r>
      <w:tr>
        <w:trPr>
          <w:trHeight w:val="20"/>
        </w:trPr>
        <w:tc>
          <w:tcPr>
            <w:tcW w:w="64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(19,776)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(8,106)</w:t>
            </w:r>
          </w:p>
        </w:tc>
      </w:tr>
      <w:tr>
        <w:trPr>
          <w:trHeight w:val="20"/>
        </w:trPr>
        <w:tc>
          <w:tcPr>
            <w:tcW w:w="6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We recognized $310,100 in sublicense revenue pursuant to the AffaMed Agreement in the quarter ended June 30, 2022, compared to $354,100 in the quarter ended June 30, 2021. As described more completely in Note 11, </w:t>
      </w:r>
      <w:r>
        <w:rPr>
          <w:rFonts w:ascii="Arial" w:cs="Arial" w:eastAsia="Arial" w:hAnsi="Arial"/>
          <w:sz w:val="16"/>
          <w:szCs w:val="16"/>
          <w:i w:val="1"/>
          <w:iCs w:val="1"/>
          <w:color w:val="auto"/>
        </w:rPr>
        <w:t>Sublicensing and Collaboration Agreements</w:t>
      </w:r>
      <w:r>
        <w:rPr>
          <w:rFonts w:ascii="Arial" w:cs="Arial" w:eastAsia="Arial" w:hAnsi="Arial"/>
          <w:sz w:val="16"/>
          <w:szCs w:val="16"/>
          <w:color w:val="auto"/>
        </w:rPr>
        <w:t>, to our Condensed Consolidated Financial Statements in Part I of this Report (</w:t>
      </w:r>
      <w:r>
        <w:rPr>
          <w:rFonts w:ascii="Arial" w:cs="Arial" w:eastAsia="Arial" w:hAnsi="Arial"/>
          <w:sz w:val="16"/>
          <w:szCs w:val="16"/>
          <w:i w:val="1"/>
          <w:iCs w:val="1"/>
          <w:color w:val="auto"/>
        </w:rPr>
        <w:t>Note 11</w:t>
      </w:r>
      <w:r>
        <w:rPr>
          <w:rFonts w:ascii="Arial" w:cs="Arial" w:eastAsia="Arial" w:hAnsi="Arial"/>
          <w:sz w:val="16"/>
          <w:szCs w:val="16"/>
          <w:color w:val="auto"/>
        </w:rPr>
        <w:t>), on June 24, 2020, we entered into the AffaMed Agreement, pursuant to which we received a non-refundable upfront license fee payment of $5.0 million on August 3, 2020, which payment permitted the commencement of our revenue recognition under the AffaMed Agreement. We expect to recognize an aggregate of approximately $2.5 million in revenue pursuant to this payment in future periods during our current fiscal year and thereafter, as described in Note 11. However, we are currently assessing the impact on completion of our performance obligations in light of the results of the PALISADE-1. We will adjust our estimates, as necessary, in subsequent periods as we obtain more definitive information on which to base our projections. While we may potentially receive additional cash payments and royalties in the future under the AffaMed Agreement in the event certain performance-based milestones and commercial sales are achieved, there can be no assurance that the AffaMed Agreement will provide any additional revenue beyond that noted or cash payments to us in the near term, or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Research and development (</w:t>
      </w:r>
      <w:r>
        <w:rPr>
          <w:rFonts w:ascii="Arial" w:cs="Arial" w:eastAsia="Arial" w:hAnsi="Arial"/>
          <w:sz w:val="17"/>
          <w:szCs w:val="17"/>
          <w:i w:val="1"/>
          <w:iCs w:val="1"/>
          <w:color w:val="auto"/>
        </w:rPr>
        <w:t>R&amp;D</w:t>
      </w:r>
      <w:r>
        <w:rPr>
          <w:rFonts w:ascii="Arial" w:cs="Arial" w:eastAsia="Arial" w:hAnsi="Arial"/>
          <w:sz w:val="17"/>
          <w:szCs w:val="17"/>
          <w:color w:val="auto"/>
        </w:rPr>
        <w:t>) expense increased by $9.8 million, from $5.5 million for the quarter ended June 30, 2021 to $15.3 million for the quarter ended June 30, 2022. Expense related to conducting our PALISADE Phase 3 Program for PH94B, including PALISADE-1, PALISADE-2 and the PALISADE OLS study, and the PH94B Phase 2 Study in AjDA, as well as nonclinical development and outsourced manufacturing activities for both PH94B and PH10, accounted for the increased expenses of approximately $9.1 million during the quarter ended June 30, 2022 in relation to the comparable quarter in the prior year. As a result of pausing recruitment and enrollment in PALISADE-2, ending enrollment in the PALISADE OLS study and deferring certain previously projected NDA-enabling nonclinical and clinical development of PH94B subsequent to June 30, 2022, we expect R&amp;D expense to decrease in subsequent periods, as compared to the period ended June 30,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Salaries and benefits expense for the quarter ended June 30, 2022 increased by approximately $345,000 versus the comparable prior-year quarter primarily due to the hiring of additional regulatory, clinical, CMC and data management personnel partially offset by a reduction in the accrual for estimated additional compensation expense resulting from the achievement of certain corporate objectives during the 2022 calendar year versus the 2021 calendar year. Noncash research and development expense, primarily stock-based compensation and depreciation in both periods, accounted for approximately $353,000 and $267,000 for the quarters ended June 30, 2022 and 2021, respectively. The following table indicates the primary components of research and development expense for each of the periods (amounts in thousands):</w:t>
      </w:r>
    </w:p>
    <w:p>
      <w:pPr>
        <w:spacing w:after="0" w:line="174"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6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Clinical and nonclinical studies and development expenses: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PH94B and PH10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w:t>
            </w:r>
          </w:p>
        </w:tc>
      </w:tr>
      <w:tr>
        <w:trPr>
          <w:trHeight w:val="216"/>
        </w:trPr>
        <w:tc>
          <w:tcPr>
            <w:tcW w:w="6300" w:type="dxa"/>
            <w:vAlign w:val="bottom"/>
          </w:tcPr>
          <w:p>
            <w:pPr>
              <w:ind w:left="16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18"/>
                <w:szCs w:val="18"/>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15,291</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5,457</w:t>
            </w:r>
          </w:p>
        </w:tc>
      </w:tr>
      <w:tr>
        <w:trPr>
          <w:trHeight w:val="20"/>
        </w:trPr>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increase in salaries and benefits expense for the quarter ended June 30, 2022 primarily reflects the addition of eleven additional management and staff positions across multiple functional disciplines, including biostatistics and clinical analytics, clinical operations, chemistry, manufacturing and controls, and regulatory affairs during the period from July 2021 through June 2022. Also contributing to the increase is the impact of salary increases effective in January 2022 to our R&amp;D management and staff. These increases are partially offset by a reduction of approximately $302,000 in the accrual for estimated additional compensation expense for R&amp;D officers and employees pursuant to achievement of calendar year 2022 corporate operational objectives compared to the accrual at June 30, 2021 for achievement of calendar 2021 objectives. We are currently evaluating our salaries and benefit expense following the topline results of PALISADE-1 and the subsequent impact on other studies in our PALISADE Phase 3 development program. As of the date of this Report, we expect our R&amp;D salary and benefit expense to remain consistent in subsequent periods.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Stock-based compensation expense for the quarter ended June 30, 2022 reflects the amortization of option grants made to our R&amp;D staff and certain clinical and scientific consultants since May 2019, in addition to grants to new employees as indicated above. All outstanding options granted to R&amp;D employees and consultants prior to May 2019 have become fully vested and amortized prior to the quarter ended June 30, 2022 and the May 2019 grants became fully vested in the current quarter. Grants awarded after June 30, 2021, including those granted to new employees, account for approximately $140,000 of expense in the quarter ended June 30, 2022, offset by an expense reduction of approximately $66,000 attributable to certain options granted between May 2019 and May 2020 that became fully vested and amortized prior to or during the quarter ended June 30, 2022. ESPP expense for the quarter ended June 30, 2022 was $15,900 compared to $2,300 in the quarter ended June 30, 2021.</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Consulting and other professional services in both periods reflects fees incurred, generally on an as-needed basis, for project-based scientific, nonclinical and clinical development and regulatory advisory and analytical services rendered to us by third parties primarily in support of our PH94B and PH10 development initiatives. Expense for the quarter ended June 30, 2022 also includes nominal contract recruiting services for certain specialized R&amp;D employee and consultant positions.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significant increase in PH94B and PH10 clinical and nonclinical project expense during the quarter ended June 30, 2022 compared to the quarter ended June 30, 2021 is primarily due to the conduct of PALISADE-1, which began in May 2021 as the initial study in the PH94B PALISADE Phase 3 Program in SAD, compared to conducting PALISADE-1, PALISADE-2, the PALISADE OLS study and the Phase 2A clinical trial of PH94B in AjDA during the quarter ended June 30, 2022 as well as additional nonclinical and preclinical development activities for PH94B and PH10 in both periods. During the quarters ended June 30, 2022 and 2021, manufacturing, formulation, validation and analysis of sufficient quantities of drug substance and drug product for the clinical trials and other developmental requirements were significant initiatives for advancing both PH94B and PH10. Due to its later stage of development, costs for PH94B initiatives have significantly exceeded those for PH10 during both Fiscal 2022 and Fiscal 2021. However, as a result of pausing of PALISADE-2 and ending enrollment in the PALISADE OLS study subsequent to June 30, 2022, we expect costs associated with our continued PH94B-related initiatives, including our Phase 2 AjDA study and other nonclinical studies of PH94B, to substantially decrease in subsequent periods. We anticipate an increase in clinical development expense associated with PH10 as we initiate U.S. Phase 1 development of PH10 to facilitate potential U.S. Phase 2B development of PH10 for treatment of MDD. In both periods, AV-101 project expense includes costs for certain preclinical studies related to the use of AV-101 with adjunctive probenecid and certain AV-101 manufacturing stability studies. Expense in the quarter ended June 30, 2022 also includes the impact of our ongoing exploratory Phase 1B AV-101 and probenecid clinical trial.</w:t>
      </w:r>
    </w:p>
    <w:p>
      <w:pPr>
        <w:sectPr>
          <w:pgSz w:w="11900" w:h="16838" w:orient="portrait"/>
          <w:cols w:equalWidth="0" w:num="1">
            <w:col w:w="11240"/>
          </w:cols>
          <w:pgMar w:left="320" w:top="125" w:right="33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Condensed Consolidated Financial Statements in Part I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General and administrative (</w:t>
      </w:r>
      <w:r>
        <w:rPr>
          <w:rFonts w:ascii="Arial" w:cs="Arial" w:eastAsia="Arial" w:hAnsi="Arial"/>
          <w:sz w:val="16"/>
          <w:szCs w:val="16"/>
          <w:i w:val="1"/>
          <w:iCs w:val="1"/>
          <w:color w:val="auto"/>
        </w:rPr>
        <w:t>G&amp;A</w:t>
      </w:r>
      <w:r>
        <w:rPr>
          <w:rFonts w:ascii="Arial" w:cs="Arial" w:eastAsia="Arial" w:hAnsi="Arial"/>
          <w:sz w:val="16"/>
          <w:szCs w:val="16"/>
          <w:color w:val="auto"/>
        </w:rPr>
        <w:t>) expense increased by approximately $2.2 million to approximately $4.8 million for the quarter ended June 30, 2022, compared to approximately $2.6 million for the quarter ended June 30, 2021. Certain pre-commercialization market research studies and analyses initiated during the quarter ended June 30, 2022 in expectation of positive PALISADE-1 results contributed approximately $1.2 million to the increase. We are currently evaluating the extent and timing of such future activities, although it is not currently anticipated that such expenditures will recur in the short term at or near the same level as expended during the quarter ended June 30, 2022. Salary and benefits expense and stock-based compensation increased as a result of new G&amp;A employees hired between July 2021 and June 2022 and related option grants upon employment, partially offset by a reduction in the accrual for estimated additional compensation expense resulting from the achievement of certain corporate objectives during the 2022 calendar year versus the 2021 calendar year. Insurance expense increased in the quarter ended June 30, 2022 as a result of increased coverage amounts and new coverages added to our insurance portfolio. In the quarter ended June 30, 2021, we expensed, as a noncash charge, $232,000 of deferred offering costs attributable to a previous financing arrangement that we terminated in June 2021. Noncash general and administrative expense, approximately $673,000 and $632,000 in the quarters ended June 30, 2022 and 2021, respectively, primarily reflects stock-based compensation and depreciation in 2022 and stock based compensation, depreciation, and the write-off of the deferred offering costs in 2021. The following table indicates the primary components of general and administrative expense for each of the periods (amounts in thousands):</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1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58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5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627</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fees and other consulting services</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Legal, accounting and other professional fees</w:t>
            </w:r>
          </w:p>
        </w:tc>
        <w:tc>
          <w:tcPr>
            <w:tcW w:w="9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693</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474</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Investor and public relations</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Pre-launch marketing studies and analyses</w:t>
            </w:r>
          </w:p>
        </w:tc>
        <w:tc>
          <w:tcPr>
            <w:tcW w:w="9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1,301</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Travel expenses</w:t>
            </w:r>
          </w:p>
        </w:tc>
        <w:tc>
          <w:tcPr>
            <w:tcW w:w="9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Sublicense contract amortized acquisition expense</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Rent and utilities</w:t>
            </w:r>
          </w:p>
        </w:tc>
        <w:tc>
          <w:tcPr>
            <w:tcW w:w="9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 off of deferred offering costs</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All other expenses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r>
      <w:tr>
        <w:trPr>
          <w:trHeight w:val="20"/>
        </w:trPr>
        <w:tc>
          <w:tcPr>
            <w:tcW w:w="5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8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2,643</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increase in salaries and benefits expense for the quarter ended June 30, 2022 primarily results from the full-quarter impact of the addition of our Chief Commercial Officer in May, and the additions of our Vice President, Medical Affairs in October 2021, our Vice President, Strategic Insights and Analytics in November 2021, our Vice President, Human Resources in January 2022, our Chief Legal Officer in May 2022 and two other administrative employees in August 2021 and June 2022. Also contributing to the increase is the impact of salary increases effective beginning in January 2022 granted to members of our management and administrative staff. Offsetting this increase is a reduction of approximately $207,000 in the accrual at June 30, 2022 for estimated additional compensation expense for officers and administrative employees pursuant to achievement of calendar year 2022 corporate operational objectives compared to the accrual at June 30, 2021 for achievement of calendar year 2021 objectives. As of the date of this Report, we expect our G&amp;A salary and benefit expense to remain consistent in subsequent periods.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Stock-based compensation expense for the quarter ended June 30, 2022 reflects the amortization of option grants made to our G&amp;A officers and staff and certain consultants since May 2019, in addition to grants to new employees as indicated above. With the exception of options granted in May 2019 and September 2019, all outstanding options granted to G&amp;A employees and consultants prior to October 2020 have become fully vested and amortized prior to the quarter ended June 30, 2022 and the May 2019 grants became fully vested in the current quarter. Grants awarded after June 30, 2021, including those granted to new employees, account for approximately $426,000 of expense in the quarter ended June 30, 2022, offset by an expense reduction of approximately $150,000 attributable to certain options granted between May 2019 and June 2020 that became fully vested and amortized prior to or during the quarter ended June 30, 2022. ESPP expense for the quarter ended June 30, 2022 was approximately $4,900 compared to $2,700 in the quarter ended June 30, 2021.</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Board fees and other consulting services represents, in both periods, fees paid as consideration for Board and Board Committee services to the independent members of our Board of Directors. We modified our cash compensation policy for our independent Board members at the beginning of Fiscal 2022, increasing payments to reflect current market conditions and we added one new independent Board member in April 2021 and two additional independent members during July 2021. Expenses for the quarter ended June 30, 2022 also include recruiting fees for certain administrative positions.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Legal, accounting and other professional fees for both periods include expenses related to routine and project-based legal services as well as accounting services related to the audit of our annual financial statements. Expense for both periods includes the cost of certain outsourced financial and accounting services and our information technology service provider. Expense in the quarter ended June 30, 2021 also included costs related to our implementation of new accounting software. Expense in both periods also includes legal counsel and other costs related to patent prosecution and protection pursuant to our stem cell technology license agreements, our AV-101 patents, or patents that we have elected to pursue for commercial purposes, recurring annual license fees, and costs we have incurred to advance various patent applications in the U.S. and numerous foreign countries, primarily with respect to AV-101 and our stem cell technology platform, but also nominally with respect to our PH94B and PH10 intellectual property portfolios.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Investor and public relations expense in both periods includes the fees of our various external service providers for a broad spectrum of investor relations, public relations and social media services, and, primarily in the quarter ended June 30, 2022, additional market awareness and strategic advisory and support functions and initiatives. During both years,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both periods, we incurred expenses for a number of pre-commercialization studies, analyses, projections, strategic modeling and awareness services, primarily attributable to PH94B as a potential acute treatment of anxiety in adults with SAD. Given the results of PALISADE-1 and the resulting delay to our anticipated commercialization timeline for PH94B, we expect these expenditures to substantially decrease as we pause pre-commercialization initiatives pending the results of the independent third-party interim analysis of PALISADE-2.</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increase in insurance expense is primarily attributable to the increased coverage obtained under our directors’ and officers’ liability insurance upon renewal of our policy in May 2022 and additional coverages, including cybersecurity, added to our insurance program during Fiscal 2022.</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periodic shelter-in-place restrictions and travel and workplace precautions and restrictions associated with the COVID-19 pandemic continuing throughout both Fiscal 2021 and Fiscal 2022,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have generally occurred remotely without requiring in-person business travel by our executives. We incurred nominal travel expense in the quarter ended June 30, 2022 for attendance at seminars, and for vendor audits, clinical trial site visits and certain investor-focused events, as conditions have permitted.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Condensed Consolidated Financial Statements in Part I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Beginning in the quarter ended September 30, 2020, we began to amortize the deferred contract acquisition costs related to our acquisition of the AffaMed Agreement,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AffaMed Agreement. The contract acquisition costs are amortized over the expected term of the services to be provided under the AffaMed Agreement. During the quarters ended June 30, 2022 and 2021, we amortized $29,100 and $33,300, respectively, of contract acquisition costs.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2021, we terminated the equity line agreement with Lincoln Park Capital. Upon termination of the agreement, we expensed the remaining $232,100 of deferred offering costs related to the agreement as a noncash charge to G&amp;A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totaled $2,300 for the quarter ended June 30, 2022, compared to $5,100 for the quarter ended June 30, 2021. The following table indicates the primary components of interest income and expense for each of the periods (amounts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29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expense on financing lease and insurance premium financing note</w:t>
            </w:r>
          </w:p>
        </w:tc>
        <w:tc>
          <w:tcPr>
            <w:tcW w:w="11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3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income, net</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30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0"/>
        </w:trPr>
        <w:tc>
          <w:tcPr>
            <w:tcW w:w="7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quarters ended June 30, 2022 and 2021, interest income relates to cash deposits in interest-bearing cash equivalent accounts. Interest expense for the quarter ended June 30, 2022 relates to interest paid on the insurance premium financing note and in both periods on our financing lease of office equipment subject to ASC 842. We did not finance insurance premiums for policies that renewed in February 2021 or February 2022 or in May 2021.</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approximately $361,800 during the quarter ended June 30, 2021 attributable to the 10% cumulative dividend accrued on then-outstanding shares of our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xml:space="preserve">) as an additional deduction in arriving at net loss attributable to common stockholders in the Condensed Consolidated Financial Statements. In November 2021, the custodial holder of 1,131,669 outstanding shares of our Series B Preferred exercised its rights for conversion into common stock under the terms of the Certificate of Designation of the Relative Rights and Preferences of the Series B 10% Convertible Preferred Stock </w:t>
      </w:r>
      <w:r>
        <w:rPr>
          <w:rFonts w:ascii="Arial" w:cs="Arial" w:eastAsia="Arial" w:hAnsi="Arial"/>
          <w:sz w:val="17"/>
          <w:szCs w:val="17"/>
          <w:i w:val="1"/>
          <w:iCs w:val="1"/>
          <w:color w:val="auto"/>
        </w:rPr>
        <w:t>(Series B Certificate of Designation)</w:t>
      </w:r>
      <w:r>
        <w:rPr>
          <w:rFonts w:ascii="Arial" w:cs="Arial" w:eastAsia="Arial" w:hAnsi="Arial"/>
          <w:sz w:val="17"/>
          <w:szCs w:val="17"/>
          <w:color w:val="auto"/>
        </w:rPr>
        <w:t xml:space="preserve"> and we issued 1,131,669 shares of our common stock upon conversion. From initial issuance in May 2015 through the time of conversion in November 2021, the Series B Preferred had accrued 10% dividends aggregating $7,217,800 and, in accordance with the terms of the Series B Certificate of Designation, we issued 3,295,778 shares of our unregistered common stock in payment of the accrued dividends. Following this conversion there were no additional shares of Series B Preferred outstanding and no further accrual of dividends on the Series B Preferred.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June 30, 2022, we have financed our operations and technology acquisitions primarily through the issuance and sale of our equity and debt securities for cash proceeds of approximately $208.7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During Fiscal 2022, holders of outstanding warrants to purchase an aggregate of approximately 7.3 million shares of our common stock exercised such warrants, and we received cash proceeds of approximately $6.2 million. In May 2021, we entered into an Open Market Sale Agreement </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w:t>
      </w:r>
      <w:r>
        <w:rPr>
          <w:rFonts w:ascii="Arial" w:cs="Arial" w:eastAsia="Arial" w:hAnsi="Arial"/>
          <w:sz w:val="17"/>
          <w:szCs w:val="17"/>
          <w:i w:val="1"/>
          <w:iCs w:val="1"/>
          <w:color w:val="auto"/>
        </w:rPr>
        <w:t>Sales</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with respect to an at-the-market offering program (the</w:t>
      </w:r>
      <w:r>
        <w:rPr>
          <w:rFonts w:ascii="Arial" w:cs="Arial" w:eastAsia="Arial" w:hAnsi="Arial"/>
          <w:sz w:val="17"/>
          <w:szCs w:val="17"/>
          <w:i w:val="1"/>
          <w:iCs w:val="1"/>
          <w:color w:val="auto"/>
        </w:rPr>
        <w:t xml:space="preserve"> ATM</w:t>
      </w:r>
      <w:r>
        <w:rPr>
          <w:rFonts w:ascii="Arial" w:cs="Arial" w:eastAsia="Arial" w:hAnsi="Arial"/>
          <w:sz w:val="17"/>
          <w:szCs w:val="17"/>
          <w:color w:val="auto"/>
        </w:rPr>
        <w:t>) under which we may offer and sell, from time to time,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having an aggregate offering price of up to $75.0 million through our sales agent. During Fiscal 2022, we sold an aggregate of 1,517,798 shares of our common stock and received net cash proceeds of approximately $4.3 million under the ATM. We have not sold any additional shares of our common stock under the Sales Agreement from October 2, 2021 through the date of this Report. During our fiscal year ended March 31, 2021 (</w:t>
      </w:r>
      <w:r>
        <w:rPr>
          <w:rFonts w:ascii="Arial" w:cs="Arial" w:eastAsia="Arial" w:hAnsi="Arial"/>
          <w:sz w:val="17"/>
          <w:szCs w:val="17"/>
          <w:i w:val="1"/>
          <w:iCs w:val="1"/>
          <w:color w:val="auto"/>
        </w:rPr>
        <w:t>Fiscal 2021</w:t>
      </w:r>
      <w:r>
        <w:rPr>
          <w:rFonts w:ascii="Arial" w:cs="Arial" w:eastAsia="Arial" w:hAnsi="Arial"/>
          <w:sz w:val="17"/>
          <w:szCs w:val="17"/>
          <w:color w:val="auto"/>
        </w:rPr>
        <w:t xml:space="preserve">), we received approximately $119 million in net cash proceeds, primarily from public offerings conducted in August 2020 and December 2020, the exercise of approximately 6.4 million outstanding warrants and the upfront license payment pursuant to our sublicense and collaboration agreement for PH94B (the </w:t>
      </w:r>
      <w:r>
        <w:rPr>
          <w:rFonts w:ascii="Arial" w:cs="Arial" w:eastAsia="Arial" w:hAnsi="Arial"/>
          <w:sz w:val="17"/>
          <w:szCs w:val="17"/>
          <w:i w:val="1"/>
          <w:iCs w:val="1"/>
          <w:color w:val="auto"/>
        </w:rPr>
        <w:t>AffaMed Agreement</w:t>
      </w:r>
      <w:r>
        <w:rPr>
          <w:rFonts w:ascii="Arial" w:cs="Arial" w:eastAsia="Arial" w:hAnsi="Arial"/>
          <w:sz w:val="17"/>
          <w:szCs w:val="17"/>
          <w:color w:val="auto"/>
        </w:rPr>
        <w:t>), which is described more completely in Note 11,</w:t>
      </w:r>
      <w:r>
        <w:rPr>
          <w:rFonts w:ascii="Arial" w:cs="Arial" w:eastAsia="Arial" w:hAnsi="Arial"/>
          <w:sz w:val="17"/>
          <w:szCs w:val="17"/>
          <w:i w:val="1"/>
          <w:iCs w:val="1"/>
          <w:color w:val="auto"/>
        </w:rPr>
        <w:t xml:space="preserve"> Sublicensing and Collaboration Agreements</w:t>
      </w:r>
      <w:r>
        <w:rPr>
          <w:rFonts w:ascii="Arial" w:cs="Arial" w:eastAsia="Arial" w:hAnsi="Arial"/>
          <w:sz w:val="17"/>
          <w:szCs w:val="17"/>
          <w:color w:val="auto"/>
        </w:rPr>
        <w:t>. The financings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consummated during Fiscal 2022 and Fiscal 2021 have been the primary sources of our liquidity during Fiscal 2022 and in our current fiscal year. During the quarter ended June 30, 2022, we received approximately $156,100 in proceeds from the exercise of outstanding stock options and sales under our 2019 Employee Stock Ownership Program (the </w:t>
      </w:r>
      <w:r>
        <w:rPr>
          <w:rFonts w:ascii="Arial" w:cs="Arial" w:eastAsia="Arial" w:hAnsi="Arial"/>
          <w:sz w:val="17"/>
          <w:szCs w:val="17"/>
          <w:i w:val="1"/>
          <w:iCs w:val="1"/>
          <w:color w:val="auto"/>
        </w:rPr>
        <w:t>ESPP</w:t>
      </w:r>
      <w:r>
        <w:rPr>
          <w:rFonts w:ascii="Arial" w:cs="Arial" w:eastAsia="Arial" w:hAnsi="Arial"/>
          <w:sz w:val="17"/>
          <w:szCs w:val="17"/>
          <w:color w:val="auto"/>
        </w:rPr>
        <w:t>).</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had cash and cash equivalents of approximately $52.0 million at June 30, 2022, which we believe is sufficient to fund our planned operations for at least the twelve months following the issuance of these financial statements, and indicating our ability to continue as a going concern. We are continuing to evaluate our cash resources given the results of PALISADE-1 and our decisions to (i) pause recruitment and enrollment in PALISADE-2 pending our assessment of an independent third-party interim analysis of current data from subjects randomized in PALISADE-2 to date, and (ii) ending enrollment in the PALISADE OLS study of PH94B. We are also evaluating the resulting implications for the conduct and timing of other clinical trials and the development, regulatory and potential commercialization initiatives for PH94B and our other product candidates. At a minimum, certain of these activities will be deferred or cancelled in the near term, which is expected to reduce the cash required to fund our operations. Moreover, as we have not yet developed products that generate recurring revenue and, in the event we successfully complete future clinical and/or nonclinical programs, we will need to invest substantial additional capital resources to commercialize any of our drug candidates.</w:t>
      </w:r>
    </w:p>
    <w:p>
      <w:pPr>
        <w:sectPr>
          <w:pgSz w:w="11900" w:h="16838" w:orient="portrait"/>
          <w:cols w:equalWidth="0" w:num="1">
            <w:col w:w="11240"/>
          </w:cols>
          <w:pgMar w:left="320" w:top="125"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When necessary and advantageous, we will seek additional financial resources to fund our planned operations through (i) sales of our equity and/or debt securities in one or more public offerings and/or private placements, (ii) the exercises of some or all of the currently outstanding warrants prior to their expiration, (iii) strategic licensing and development collaborations, and/or (iv) government grants and research awards. Subject to certain restrictions, our Registration Statement on Form S-3 (the </w:t>
      </w:r>
      <w:r>
        <w:rPr>
          <w:rFonts w:ascii="Arial" w:cs="Arial" w:eastAsia="Arial" w:hAnsi="Arial"/>
          <w:sz w:val="18"/>
          <w:szCs w:val="18"/>
          <w:i w:val="1"/>
          <w:iCs w:val="1"/>
          <w:color w:val="auto"/>
        </w:rPr>
        <w:t>S-3 Shelf Registration Statement</w:t>
      </w:r>
      <w:r>
        <w:rPr>
          <w:rFonts w:ascii="Arial" w:cs="Arial" w:eastAsia="Arial" w:hAnsi="Arial"/>
          <w:sz w:val="18"/>
          <w:szCs w:val="18"/>
          <w:color w:val="auto"/>
        </w:rPr>
        <w:t>) remains available for future sales of our equity securities in one or more public offerings from time to time. While we may make additional sales of our equity securities under the S-3 Shelf Registration Statement, we do not have an obligation to do so.</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potential sale our equity and/or debt securities, we may also seek to enter research, development and/or commercialization collaborations similar to the AffaMed Agreement to provide non-dilutive funding for our operations, while also reducing a portion of our future cash outlays and working capital requirements. Although we may seek additional collaborations that could generate revenue and/or provide non-dilutive funding for development and commercialization of our product candidates, no assurance can be provided that any such collaborations, awards or agreements will occur in the future.</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future working capital requirements will depend on many factors, including, without limitation, potential impacts related to the on-going COVID-19 pandemic, the scope and nature of opportunities related to our success and the success of certain other companies in nonclinical and clinical trials, including our development and commercialization of our current product candidates, the availability of, and our ability to enter into collaborations on terms acceptable to us. To further advance the clinical development of PH94B, PH10, and AV-101, as well as support our operating activities, we plan to continue to carefully manage our routine operating costs and our clinical and nonclinical programs and, when appropriate, pre-launch commercialization initiatives.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foregoing, there can be no assurance that our current strategic collaboration under the AffaMed Agreement will generate revenue from future potential milestone payments, or that future financings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 The Condensed Consolidated Financial Statements do not include any adjustments that might result from the negative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5"/>
              </w:rPr>
              <w:t>Three Months Ended June 30,</w:t>
            </w:r>
          </w:p>
        </w:tc>
      </w:tr>
      <w:tr>
        <w:trPr>
          <w:trHeight w:val="210"/>
        </w:trPr>
        <w:tc>
          <w:tcPr>
            <w:tcW w:w="58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(15,968)</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(6,173)</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992</w:t>
            </w:r>
          </w:p>
        </w:tc>
      </w:tr>
      <w:tr>
        <w:trPr>
          <w:trHeight w:val="209"/>
        </w:trPr>
        <w:tc>
          <w:tcPr>
            <w:tcW w:w="58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(16,149)</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(5,331)</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68,135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103,108</w:t>
            </w:r>
          </w:p>
        </w:tc>
      </w:tr>
      <w:tr>
        <w:trPr>
          <w:trHeight w:val="20"/>
        </w:trPr>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97,777</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described above, the combination of the net proceeds we received from public offerings in Fiscal 2021, from transactions under our ATM in Fiscal 2022 and from warrant exercises in both Fiscal 2021 and Fiscal 2022, have been the primary sources of our available cash during Fiscal 2022 and in the quarter ended June 30, 2022. The increase in cash used in operations during the quarter ended June 30, 2022 reflects the continued operation of PH94B clinical trials including PALISADE-1, PALISADE-2, the PALISADE OLS, and the Phase 2 AjDA study, as well as ongoing manufacturing initiatives and other nonclinical studies of our product candidates. Additionally, during Fiscal 2022, we expanded our internal capabilities with the addition of numerous senior personnel with significant expertise in disciplines critical to the advancement of our product pipeline. In both periods, but to a much greater extent in the quarter ended June 30, 2022, in parallel with our clinical and regulatory initiatives, and in expectation of positive results from the PALISADE Phase 3 studies, we have engaged in customary pre-commercialization analyses, modeling, planning and awareness initiatives. Given the results of the PALISADE-1 study, we are currently evaluating the extent and timing of such future activities. Cash used in investing activities in the quarter ended June 30, 2022 reflects laboratory analytical equipment acquired for our internal studies and experiments on both PH94B and PH10 and cash used in the quarter ended June 30, 2021 primarily reflects the cost of laboratory analytical equipment acquired for use by our CMO in connection with the development and production of PH94B drug product. Cash used by financing activities in the quarter ended June 30, 2022 is primarily the result of the proceeds of option exercises and the purchase of common stock under our ESPP, net of a principal payment on our insurance premium financing note and expenditures related to the ATM transaction with Jefferies and recorded as deferred offering costs. Cash provided by financing activities in the quarter ended June 30, 2021 is primarily the result of warrant exercises, net of expenditures related to the ATM transaction with Jefferies and recorded as deferred offering costs.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relating to recent accounting pronouncements and the expected impact of such pronouncements on our condensed consolidated financial statements, see Note 3 of the Notes to Condensed Consolidated Financial Statements included In Part I of this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was no change in our internal control over financial reporting (as defined in Rule 13a-15(f) of the Exchange Act) from that described in our Annual Report on Form 10-K for our fiscal year ended March 31, 2022,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xml:space="preserve"> on June 23, 2022, that occurred during the quarter ended June 30, 2022, to which this Report relates, that has materially affected, or is reasonably likely to materially affect, our internal control over financial reporting.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Our business is subject to substantial risk and an investment in our securities involves various risks. Some of the material risks include those set forth below. You should consider carefully these risks, and those discussed under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below, before investing in our securities. These risks include, among others:</w:t>
      </w:r>
    </w:p>
    <w:p>
      <w:pPr>
        <w:spacing w:after="0" w:line="184" w:lineRule="exact"/>
        <w:rPr>
          <w:sz w:val="20"/>
          <w:szCs w:val="20"/>
          <w:color w:val="auto"/>
        </w:rPr>
      </w:pPr>
    </w:p>
    <w:p>
      <w:pPr>
        <w:ind w:left="980" w:right="20" w:hanging="486"/>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Failures of our current and/or future clinical studies of our product candidates, or delays in the commencement of completion of our clinical trials, could result in increased costs to us and could delay, prevent or limit our ability to generate revenue and continue our business;</w:t>
      </w:r>
    </w:p>
    <w:p>
      <w:pPr>
        <w:spacing w:after="0" w:line="123"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development stage biopharmaceutical company with no recurring revenues from product sales or approved products, and limited experience developing or commercializing new drug candidates, which makes it difficult to assess our future viability;</w:t>
      </w:r>
    </w:p>
    <w:p>
      <w:pPr>
        <w:spacing w:after="0" w:line="170"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depend heavily on the success of our current CNS product candidates, PH94B, PH10 and AV-101, and we cannot be certain that we will be able to obtain regulatory approval for, or successfully commercialize, any of our current or future product candidates;</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retain or attract key management and scientific personnel, we may be unable to successfully produce, develop and commercialize our product candidates;</w:t>
      </w:r>
    </w:p>
    <w:p>
      <w:pPr>
        <w:spacing w:after="0" w:line="170" w:lineRule="exact"/>
        <w:rPr>
          <w:rFonts w:ascii="Arial" w:cs="Arial" w:eastAsia="Arial" w:hAnsi="Arial"/>
          <w:sz w:val="18"/>
          <w:szCs w:val="18"/>
          <w:color w:val="auto"/>
        </w:rPr>
      </w:pPr>
    </w:p>
    <w:p>
      <w:pPr>
        <w:jc w:val="both"/>
        <w:ind w:left="980" w:hanging="486"/>
        <w:spacing w:after="0" w:line="31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successful completion of clinical or nonclinical studies in any of our development programs may not be sufficient to cause the FDA to approve of any NDA that we may submit or cause any other agency to provide regulatory approval of any of our product candidates and, even if approved, does not ensure acceptance of such product candidates by clinicians leading to a revenue stream to support our operations;</w:t>
      </w:r>
    </w:p>
    <w:p>
      <w:pPr>
        <w:spacing w:after="0" w:line="148" w:lineRule="exact"/>
        <w:rPr>
          <w:rFonts w:ascii="Arial" w:cs="Arial" w:eastAsia="Arial" w:hAnsi="Arial"/>
          <w:sz w:val="16"/>
          <w:szCs w:val="16"/>
          <w:color w:val="auto"/>
        </w:rPr>
      </w:pPr>
    </w:p>
    <w:p>
      <w:pPr>
        <w:jc w:val="both"/>
        <w:ind w:left="980" w:hanging="486"/>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has had, and may continue to have, an impact on our business, including delays and potential delays in manufacturing and testing of certain drug substance and drug products, potential delays in recruitment and enrollment in our planned clinical and nonclinical studies of our product candidates and potential impact of the results of our clinical and nonclinical studies of our product candidates;</w:t>
      </w:r>
    </w:p>
    <w:p>
      <w:pPr>
        <w:spacing w:after="0" w:line="186"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7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3"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75" w:lineRule="exact"/>
        <w:rPr>
          <w:rFonts w:ascii="Arial" w:cs="Arial" w:eastAsia="Arial" w:hAnsi="Arial"/>
          <w:sz w:val="16"/>
          <w:szCs w:val="16"/>
          <w:color w:val="auto"/>
        </w:rPr>
      </w:pPr>
    </w:p>
    <w:p>
      <w:pPr>
        <w:ind w:left="980" w:right="2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require substantial additional financing to execute our long-term business plan, including further development and commercialization of our CNS product candidates, and to continue to operate as a going concern;</w:t>
      </w:r>
    </w:p>
    <w:p>
      <w:pPr>
        <w:spacing w:after="0" w:line="17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raising additional capital in equity-based financing transactions is likely to cause substantial dilution to our existing stockholders, may restrict our operations or require us to relinquish rights, and may require us to seek stockholder approval to authorize additional shares of our common stock;</w:t>
      </w:r>
    </w:p>
    <w:p>
      <w:pPr>
        <w:spacing w:after="0" w:line="183"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the continued listing requirements of the Nasdaq Capital Market, our common stock may be delisted and the price of our common stock and our ability to access the capital markets could be negatively impacted; and</w:t>
      </w:r>
    </w:p>
    <w:p>
      <w:pPr>
        <w:spacing w:after="0" w:line="170"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other risks and uncertainties, including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below.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unable to effectively manage the impact of these and other risks, our ability to operate and execute our business plan would be substantially impaired. In turn, the value of our securities would be materially reduced.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of our current and/or future clinical studies of our product candidates could result in increased costs to us and could delay, prevent or limit our ability to generate revenue and continue our business.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PALISADE-1 Phase 3 clinical study of PH94B for the acute treatment of anxiety in adults with SAD did not achieve its primary endpoint, as measured by change from baseline using the SUDS as compared to placebo. Successful completion of our nonclinical and clinical trials is a prerequisite to submitting an NDA and, consequently, the ultimate approval required before commercial marketing of any product candidate we may develop. Failure of any of our current and/or future clinical and nonclinical trials to achieve the planned endpoints, such our PALISADE-1 Phase 3 clinical trial of PH94B, could result in increased costs to us and could delay, prevent or limit our ability to generate revenue and continue our business.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CNS drug candidates and we cannot be certain that we will be able to obtain regulatory approval for, or successfully commercialize any of our product candidates.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CNS drug candidates, as well as, but to a more limited extent, our ability to acquire, license or produce, develop and commercialize additional product candidates. Each of our current investigational CNS drug candidates will require substantial additional nonclinical and clinical development, manufacturing and regulatory approval before any of them may be commercialized, and there can be no assurance that any of them will ever achieve regulatory approval.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permitted to market our product candidates in the U.S.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87" w:lineRule="exact"/>
        <w:rPr>
          <w:sz w:val="20"/>
          <w:szCs w:val="20"/>
          <w:color w:val="auto"/>
        </w:rPr>
      </w:pPr>
    </w:p>
    <w:p>
      <w:pPr>
        <w:jc w:val="both"/>
        <w:ind w:left="820" w:hanging="488"/>
        <w:spacing w:after="0" w:line="311"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submit an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48" w:lineRule="exact"/>
        <w:rPr>
          <w:rFonts w:ascii="Arial" w:cs="Arial" w:eastAsia="Arial" w:hAnsi="Arial"/>
          <w:sz w:val="16"/>
          <w:szCs w:val="16"/>
          <w:color w:val="auto"/>
        </w:rPr>
      </w:pPr>
    </w:p>
    <w:p>
      <w:pPr>
        <w:ind w:left="820" w:right="2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FDA advisory committee may recommend, or the FDA may require, a Risk Evaluation and Mitigation Strategies (</w:t>
      </w:r>
      <w:r>
        <w:rPr>
          <w:rFonts w:ascii="Arial" w:cs="Arial" w:eastAsia="Arial" w:hAnsi="Arial"/>
          <w:sz w:val="18"/>
          <w:szCs w:val="18"/>
          <w:i w:val="1"/>
          <w:iCs w:val="1"/>
          <w:color w:val="auto"/>
        </w:rPr>
        <w:t>REMS</w:t>
      </w:r>
      <w:r>
        <w:rPr>
          <w:rFonts w:ascii="Arial" w:cs="Arial" w:eastAsia="Arial" w:hAnsi="Arial"/>
          <w:sz w:val="18"/>
          <w:szCs w:val="18"/>
          <w:color w:val="auto"/>
        </w:rPr>
        <w:t>) safety program as a condition of approval or post-approval;</w:t>
      </w:r>
    </w:p>
    <w:p>
      <w:pPr>
        <w:spacing w:after="0" w:line="197"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70" w:lineRule="exact"/>
        <w:rPr>
          <w:rFonts w:ascii="Arial" w:cs="Arial" w:eastAsia="Arial" w:hAnsi="Arial"/>
          <w:sz w:val="18"/>
          <w:szCs w:val="18"/>
          <w:color w:val="auto"/>
        </w:rPr>
      </w:pPr>
    </w:p>
    <w:p>
      <w:pPr>
        <w:jc w:val="both"/>
        <w:ind w:left="820" w:hanging="488"/>
        <w:spacing w:after="0" w:line="34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jc w:val="both"/>
        <w:spacing w:after="0" w:line="269" w:lineRule="auto"/>
        <w:rPr>
          <w:sz w:val="20"/>
          <w:szCs w:val="20"/>
          <w:color w:val="auto"/>
        </w:rPr>
      </w:pPr>
      <w:r>
        <w:rPr>
          <w:rFonts w:ascii="Arial" w:cs="Arial" w:eastAsia="Arial" w:hAnsi="Arial"/>
          <w:sz w:val="17"/>
          <w:szCs w:val="17"/>
          <w:color w:val="auto"/>
        </w:rPr>
        <w:t>In addition,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w:t>
      </w:r>
      <w:r>
        <w:rPr>
          <w:rFonts w:ascii="Arial" w:cs="Arial" w:eastAsia="Arial" w:hAnsi="Arial"/>
          <w:sz w:val="17"/>
          <w:szCs w:val="17"/>
          <w:i w:val="1"/>
          <w:iCs w:val="1"/>
          <w:color w:val="auto"/>
        </w:rPr>
        <w:t>QS</w:t>
      </w:r>
      <w:r>
        <w:rPr>
          <w:rFonts w:ascii="Arial" w:cs="Arial" w:eastAsia="Arial" w:hAnsi="Arial"/>
          <w:sz w:val="17"/>
          <w:szCs w:val="17"/>
          <w:color w:val="auto"/>
        </w:rPr>
        <w:t>) regulations applicable to medical devices. Problems associated with the device component of the combination product candidate may delay or prevent approval.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impacted and may continue to adversely impact our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Beginning in late-2019, a new strain of coronavirus (</w:t>
      </w:r>
      <w:r>
        <w:rPr>
          <w:rFonts w:ascii="Arial" w:cs="Arial" w:eastAsia="Arial" w:hAnsi="Arial"/>
          <w:sz w:val="18"/>
          <w:szCs w:val="18"/>
          <w:i w:val="1"/>
          <w:iCs w:val="1"/>
          <w:color w:val="auto"/>
        </w:rPr>
        <w:t>COVID-19</w:t>
      </w:r>
      <w:r>
        <w:rPr>
          <w:rFonts w:ascii="Arial" w:cs="Arial" w:eastAsia="Arial" w:hAnsi="Arial"/>
          <w:sz w:val="18"/>
          <w:szCs w:val="18"/>
          <w:color w:val="auto"/>
        </w:rPr>
        <w:t>) spread across the world, and the outbreak has since been declared a pandemic by the World Health Organization. The U.S. Secretary of Health and Human Services has also declared a public health emergency in the U.S. in response to the outbreak. Considerable uncertainty still surrounds COVID-19 and variant strains of the COVID-19 virus and their potential effects, and the extent of and effectiveness of responses taken on international, national and local levels. Measures taken to limit the impact of the pandemic, including shelter-in-place orders, social distancing measures, travel bans and restrictions, and business and government shutdowns, resulted in significant negative economic impacts on a global basis.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the emergence of variant strains of the COVID-19 virus, such as the Delta and Omicron variants, and the emergence of subvariants of the virus, such as the subvariants of Omicron, we cannot at this time accurately predict the potential future effects of the pandemic on our operations. Uncertainties remain as to the duration of the pandemic, the success of treatments and vaccines designed to combat the pandemic, and the length, scope and episodic nature of the travel restrictions and business disruptions, including business closures imposed by the governments of impacted countries and localities. The continued COVID-19 pandemic, the spread of variant and subvariant strains of the COVID-19 virus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or those of our collaborators. The COVID-19 pandemic has impacted our business and may continue to do so as the pandemic persists. Additionally, future outbreaks may have several adverse effects on our business, results of operations and financial condition.</w:t>
      </w:r>
    </w:p>
    <w:p>
      <w:pPr>
        <w:spacing w:after="0" w:line="181" w:lineRule="exact"/>
        <w:rPr>
          <w:sz w:val="20"/>
          <w:szCs w:val="20"/>
          <w:color w:val="auto"/>
        </w:rPr>
      </w:pPr>
    </w:p>
    <w:p>
      <w:pPr>
        <w:jc w:val="both"/>
        <w:ind w:left="660" w:hanging="328"/>
        <w:spacing w:after="0" w:line="293"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Adverse impact on product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faced, and may continue to face, delays and other disruptions to our ongoing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for PH94B, PH10 and AV-101 due to the ongoing COVID-19 pandemic, which may, in turn, have an adverse impact on the outcome of our clinical and nonclinical trials. Regulatory oversight and actions regarding our products may be disrupted or delayed in regions impacted by COVID-19, including the United States and elsewhere, which may impact review and approval timelines for products in development. Although we remain invested in continuing our development programs for our current product candidates, unforeseen circumstances related to the COVID-19 pandemic may impair our ability to conduct nonclinical and clinical studies in a timely and/or effective manner.</w:t>
      </w:r>
    </w:p>
    <w:p>
      <w:pPr>
        <w:spacing w:after="0" w:line="164" w:lineRule="exact"/>
        <w:rPr>
          <w:rFonts w:ascii="Arial" w:cs="Arial" w:eastAsia="Arial" w:hAnsi="Arial"/>
          <w:sz w:val="16"/>
          <w:szCs w:val="16"/>
          <w:color w:val="auto"/>
        </w:rPr>
      </w:pPr>
    </w:p>
    <w:p>
      <w:pPr>
        <w:jc w:val="both"/>
        <w:ind w:left="660"/>
        <w:spacing w:after="0" w:line="293" w:lineRule="auto"/>
        <w:rPr>
          <w:rFonts w:ascii="Arial" w:cs="Arial" w:eastAsia="Arial" w:hAnsi="Arial"/>
          <w:sz w:val="16"/>
          <w:szCs w:val="16"/>
          <w:color w:val="auto"/>
        </w:rPr>
      </w:pPr>
      <w:r>
        <w:rPr>
          <w:rFonts w:ascii="Arial" w:cs="Arial" w:eastAsia="Arial" w:hAnsi="Arial"/>
          <w:sz w:val="16"/>
          <w:szCs w:val="16"/>
          <w:color w:val="auto"/>
        </w:rPr>
        <w:t>In addition, recent medical literature has reported that the SARS-COV-2 virus, which causes COVID-19, may cause long-term and reversible olfactory dysfunction (</w:t>
      </w:r>
      <w:r>
        <w:rPr>
          <w:rFonts w:ascii="Arial" w:cs="Arial" w:eastAsia="Arial" w:hAnsi="Arial"/>
          <w:sz w:val="16"/>
          <w:szCs w:val="16"/>
          <w:i w:val="1"/>
          <w:iCs w:val="1"/>
          <w:color w:val="auto"/>
        </w:rPr>
        <w:t>OD</w:t>
      </w:r>
      <w:r>
        <w:rPr>
          <w:rFonts w:ascii="Arial" w:cs="Arial" w:eastAsia="Arial" w:hAnsi="Arial"/>
          <w:sz w:val="16"/>
          <w:szCs w:val="16"/>
          <w:color w:val="auto"/>
        </w:rPr>
        <w:t>) in approximately 30% of affected individuals. OD may occur in cases where the SARS-COV-2 virus damages the nasal chemosensory epithelium, a structure in the nose where the types of cells are found that respond to pherines such as PH94B and PH10. Accordingly, there is a risk that the prevalence of OD caused by COVID-19 infections may interfere with the ability of PH94B and/or PH10 to provide a therapeutic benefit, which, may, in turn, have a materially adverse impact on results of our clinical trials designed to assess the efficacy of these product candidates or a negative impact on potential future sales should either PH94B or PH10 be approved for commercialization.</w:t>
      </w:r>
    </w:p>
    <w:p>
      <w:pPr>
        <w:spacing w:after="0" w:line="164" w:lineRule="exact"/>
        <w:rPr>
          <w:rFonts w:ascii="Arial" w:cs="Arial" w:eastAsia="Arial" w:hAnsi="Arial"/>
          <w:sz w:val="16"/>
          <w:szCs w:val="16"/>
          <w:color w:val="auto"/>
        </w:rPr>
      </w:pPr>
    </w:p>
    <w:p>
      <w:pPr>
        <w:jc w:val="both"/>
        <w:ind w:left="660" w:hanging="328"/>
        <w:spacing w:after="0" w:line="27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Negative impacts on our employees, collaborators and suppliers: COVID-19 has impacted, and variant and subvariant strains of COVID-19 or another highly transmissible and pathogenic infectious disease may impact or continue to impact, the health of our employees, collaborators,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Arial" w:cs="Arial" w:eastAsia="Arial" w:hAnsi="Arial"/>
          <w:sz w:val="17"/>
          <w:szCs w:val="17"/>
          <w:i w:val="1"/>
          <w:iCs w:val="1"/>
          <w:color w:val="auto"/>
        </w:rPr>
        <w:t>API</w:t>
      </w:r>
      <w:r>
        <w:rPr>
          <w:rFonts w:ascii="Arial" w:cs="Arial" w:eastAsia="Arial" w:hAnsi="Arial"/>
          <w:sz w:val="17"/>
          <w:szCs w:val="17"/>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COVID-19 has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clinical sites involved in our clinical studies and other contractors. The ongoing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if it believes that the respective designation is no longer supported by data from our clinical development programs.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FDA will grant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as is the case for results from our PALISADE-1 clinical trial.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future nonclinical or clinical study of PH94B, PH10 or AV-101 fail(s) to produce positive results, the development timeline and regulatory approval and commercialization prospects for PH94B, PH10 or AV-101 and, correspondingly, our business and financial prospects, could be materially adversely affected.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changes in planned timing or nature of clinical trials compared to completed clinical trials could impede our ability to meet our clinical development objectives for our product candidates</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example, the timing of planned clinical trials may be affected by delays caused by the ongoing COVID-19 pandemic, including potential delays in recruitment and enrollment in our planned clinical and nonclinical studies or supply chain disruptions experienced by certain of our CMOs and/or CROs.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related to the COVID-19 pandemic could cause us to incur additional costs or delay initiation or completion of planned clinical and/or nonclinical trials.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or safety concerns attributable to our product candidates occur, they may adversely affect or delay our clinical development and commercialization of PH94B, PH10 or AV-101.</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were reported in any clinical trials of any of our product candidates completed to date, if treatment-related SAEs or other undesirable side effects or safety concerns, or unexpected characteristics attributable to PH94B, PH10 and/or AV-101, are reported in any future clinical trials involving our drug candidates,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46" w:lineRule="exact"/>
        <w:rPr>
          <w:sz w:val="20"/>
          <w:szCs w:val="20"/>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70" w:lineRule="exact"/>
        <w:rPr>
          <w:rFonts w:ascii="Arial" w:cs="Arial" w:eastAsia="Arial" w:hAnsi="Arial"/>
          <w:sz w:val="18"/>
          <w:szCs w:val="18"/>
          <w:color w:val="auto"/>
        </w:rPr>
      </w:pPr>
    </w:p>
    <w:p>
      <w:pPr>
        <w:jc w:val="both"/>
        <w:ind w:left="820" w:hanging="488"/>
        <w:spacing w:after="0" w:line="263"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xml:space="preserve"> drug safety program or REMS-like plan to ensure that the benefits of the product outweigh its risks;</w:t>
      </w:r>
    </w:p>
    <w:p>
      <w:pPr>
        <w:spacing w:after="0" w:line="18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 which in turn could delay or prevent us from generating significant revenue from the sale of our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nonclinical and clinical studies of PH94B, PH10, AV-101 or other our product candidates could result in increased costs to us and could delay, prevent or limit our ability to generate revenue and continue our business.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need to successfully complete at least one Phase 3 clinical trial and certain other clinical and nonclinical studies prior to our potential submission of an NDA for regulatory approval of PH94B as an acute treatment of anxiety in adults with SAD, or for any other anxiety disorder such as AjDA. For PH10, at present, we believe we will need to complete at least one additional Phase 2B clinical study, two adequate and well-controlled Phase 3 clinical trials, as well as standard nonclinical and long-term clinical safety studies, as well as other smaller clinical studies prior to the potential submission of a NDA for regulatory approval of PH10 as a stand-alone rapid-onset treatment for MDD, or any other depression disorder. For AV-101 in combination with probenecid, at present, for treatment of any CNS indication, we believe we will need to complete our ongoing exploratory Phase 1B clinical study, two Phase 2 clinical studies, two adequate and well-controlled Phase 3 clinical trials, additional toxicology and other standard nonclinical and long-term clinical safety studies, as well as certain standard smaller clinical studies prior to the potential submission of an NDA for regulatory approval in any CNS indication.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79" w:lineRule="exact"/>
        <w:rPr>
          <w:sz w:val="20"/>
          <w:szCs w:val="20"/>
          <w:color w:val="auto"/>
        </w:rPr>
      </w:pPr>
    </w:p>
    <w:p>
      <w:pPr>
        <w:ind w:left="820" w:hanging="488"/>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due to events resulting from the ongoing COVID-19 pandemic, including potential delays in recruitment and enrollment in clinical and nonclinical studies of our product candidates;</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52" w:lineRule="exact"/>
        <w:rPr>
          <w:rFonts w:ascii="Arial" w:cs="Arial" w:eastAsia="Arial" w:hAnsi="Arial"/>
          <w:sz w:val="18"/>
          <w:szCs w:val="18"/>
          <w:color w:val="auto"/>
        </w:rPr>
      </w:pPr>
    </w:p>
    <w:p>
      <w:pPr>
        <w:ind w:left="820" w:right="20" w:hanging="488"/>
        <w:spacing w:after="0" w:line="308"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46" w:lineRule="exact"/>
        <w:rPr>
          <w:rFonts w:ascii="Arial" w:cs="Arial" w:eastAsia="Arial" w:hAnsi="Arial"/>
          <w:sz w:val="17"/>
          <w:szCs w:val="17"/>
          <w:color w:val="auto"/>
        </w:rPr>
      </w:pPr>
    </w:p>
    <w:p>
      <w:pPr>
        <w:ind w:left="820" w:hanging="488"/>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52" w:lineRule="exact"/>
        <w:rPr>
          <w:rFonts w:ascii="Arial" w:cs="Arial" w:eastAsia="Arial" w:hAnsi="Arial"/>
          <w:sz w:val="18"/>
          <w:szCs w:val="18"/>
          <w:color w:val="auto"/>
        </w:rPr>
      </w:pPr>
    </w:p>
    <w:p>
      <w:pPr>
        <w:ind w:left="820" w:hanging="488"/>
        <w:spacing w:after="0" w:line="308"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46" w:lineRule="exact"/>
        <w:rPr>
          <w:rFonts w:ascii="Arial" w:cs="Arial" w:eastAsia="Arial" w:hAnsi="Arial"/>
          <w:sz w:val="17"/>
          <w:szCs w:val="17"/>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52"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7"/>
          <w:szCs w:val="17"/>
          <w:i w:val="1"/>
          <w:iCs w:val="1"/>
          <w:color w:val="auto"/>
        </w:rPr>
        <w:t>DSMB</w:t>
      </w:r>
      <w:r>
        <w:rPr>
          <w:rFonts w:ascii="Arial" w:cs="Arial" w:eastAsia="Arial" w:hAnsi="Arial"/>
          <w:sz w:val="17"/>
          <w:szCs w:val="17"/>
          <w:color w:val="auto"/>
        </w:rPr>
        <w:t>), overseeing the clinical trial at issue or other regulatory authorities due to a number of factors, including, among others:</w:t>
      </w:r>
    </w:p>
    <w:p>
      <w:pPr>
        <w:spacing w:after="0" w:line="165" w:lineRule="exact"/>
        <w:rPr>
          <w:sz w:val="20"/>
          <w:szCs w:val="20"/>
          <w:color w:val="auto"/>
        </w:rPr>
      </w:pPr>
    </w:p>
    <w:p>
      <w:pPr>
        <w:ind w:left="820" w:hanging="488"/>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52"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70"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nonclinical carcinogenicity studies, adverse side effects or lack of effectiveness;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ectPr>
          <w:pgSz w:w="11900" w:h="16838" w:orient="portrait"/>
          <w:cols w:equalWidth="0" w:num="1">
            <w:col w:w="11240"/>
          </w:cols>
          <w:pgMar w:left="320" w:top="125" w:right="339" w:bottom="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PH94B, PH10, AV-101 or other CNS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PH94B, PH10, AV-101 or other CNS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CNS product candidates may be harmed and our ability to generate product revenue will be delayed.</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rely, and expect that we will continue to rely, on third parties to conduct our nonclinical and clinical trials of our current CNS product candidates and will continue to do so for any other future CNS product candidates. If these third parties do not successfully carry out their contractual duties and/or meet expected deadlines, completion of our nonclinical or clinical trials and development of PH94B, PH10, AV-101 or other CNS future product candidates may be delayed and we may not be able to obtain regulatory approval for or commercialize PH94B, PH10, AV-101 or other future CNS product candidates and our business could be substantially harmed.</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 parties for efficient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and inefficiencies in coordinating activities. CROs and other outside parties may:</w:t>
      </w:r>
    </w:p>
    <w:p>
      <w:pPr>
        <w:spacing w:after="0" w:line="166" w:lineRule="exact"/>
        <w:rPr>
          <w:sz w:val="20"/>
          <w:szCs w:val="20"/>
          <w:color w:val="auto"/>
        </w:rPr>
      </w:pPr>
    </w:p>
    <w:p>
      <w:pPr>
        <w:ind w:left="820" w:hanging="488"/>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disruptions to their operations, such as staff attrition, reduced staffing and supply chain disruptions, as a result of the ongoing COVID-19 pandemic;</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 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completely on third parties to manufacture, formulate, analyze, hold and distribute supplies of our CNS product candidates for all nonclinical and clinical studies, and we intend to continue to rely on third parties to produce all nonclinical, clinical and commercial supplies of our CNS product candidates in the future.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PH94B, PH10 and AV-101 API and formulate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due to supply chain disruptions caused by the ongoing COVID-19 pandemic or otherwise,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PH94B, PH10 and AV-101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PH94B, PH10 and AV-101, we do not yet have long-term supply agreements in place with our CMOs and each batch of PH94B, PH10 and AV-101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CMO-related delays in the manufacture and formulation of PH94B, PH10 or AV-101 API and/or finished drug product will not occur in the future.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Additionally,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7"/>
          <w:szCs w:val="17"/>
          <w:i w:val="1"/>
          <w:iCs w:val="1"/>
          <w:color w:val="auto"/>
        </w:rPr>
        <w:t>QSR</w:t>
      </w:r>
      <w:r>
        <w:rPr>
          <w:rFonts w:ascii="Arial" w:cs="Arial" w:eastAsia="Arial" w:hAnsi="Arial"/>
          <w:sz w:val="17"/>
          <w:szCs w:val="17"/>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PH94B, PH10, AV-101 or any other CNS product candidate in the U.S., we may never receive regulatory approval to market PH94B, PH10, AV-101 or any other CNS product candidate outside of the U.S.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market PH94B, PH10, AV-101 or any other CNS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any of our CNS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Before we can commercialize our product candidates in the U.S. or any market outside the U.S., the U.S. Drug Enforcement Administration (</w:t>
      </w:r>
      <w:r>
        <w:rPr>
          <w:rFonts w:ascii="Arial" w:cs="Arial" w:eastAsia="Arial" w:hAnsi="Arial"/>
          <w:sz w:val="17"/>
          <w:szCs w:val="17"/>
          <w:i w:val="1"/>
          <w:iCs w:val="1"/>
          <w:color w:val="auto"/>
        </w:rPr>
        <w:t>DEA</w:t>
      </w:r>
      <w:r>
        <w:rPr>
          <w:rFonts w:ascii="Arial" w:cs="Arial" w:eastAsia="Arial" w:hAnsi="Arial"/>
          <w:sz w:val="17"/>
          <w:szCs w:val="17"/>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broad sales and marketing capabilities on our own or enter into agreements with third parties to market and sell our CNS product candidates, we may not be able to generate any revenue.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have limited internal resources for the sale, marketing and distribution of pharmaceutical products, and we may not be able to create broad internal capabilities in the foreseeable future. Therefore, to market our CNS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such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CNS product candidates, our product candidates may not achieve broad market acceptance, which would limit the revenue that we generate from their sales.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commercial success of our CNS product candidates, if approved by the FDA or other regulatory authorities, will depend upon the awareness and acceptance of our product candidates among the medical community, including physicians, patients and healthcare payers. Market acceptance of our product candidates, if approved, will depend on a number of factors, including, among others:</w:t>
      </w:r>
    </w:p>
    <w:p>
      <w:pPr>
        <w:spacing w:after="0" w:line="184" w:lineRule="exact"/>
        <w:rPr>
          <w:sz w:val="20"/>
          <w:szCs w:val="20"/>
          <w:color w:val="auto"/>
        </w:rPr>
      </w:pPr>
    </w:p>
    <w:p>
      <w:pPr>
        <w:jc w:val="both"/>
        <w:ind w:left="820" w:hanging="488"/>
        <w:spacing w:after="0" w:line="263"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83"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product candidates by the FDA or other applicable regulatory authorities;</w:t>
      </w:r>
    </w:p>
    <w:p>
      <w:pPr>
        <w:spacing w:after="0" w:line="263" w:lineRule="exact"/>
        <w:rPr>
          <w:rFonts w:ascii="Arial" w:cs="Arial" w:eastAsia="Arial" w:hAnsi="Arial"/>
          <w:sz w:val="17"/>
          <w:szCs w:val="17"/>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CNS product candidates are approved but do not achieve an adequate level of acceptance by patients, physicians and payers, we may not generate sufficient revenue from our product candidates to become or remain profitable. Before granting reimbursement approval, healthcare payers may require us to demonstrate that our product candidates, in addition to treating these target indications, also provide incremental health benefits to patients. Our efforts to educate the medical community and third-party payers about the benefits of our product candidates may require significant resources and may never be successful.</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CNS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57" w:lineRule="exact"/>
        <w:rPr>
          <w:sz w:val="20"/>
          <w:szCs w:val="20"/>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receive marketing approval for our CNS product candidates, we may still face future development and regulatory difficulties.</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receive marketing approval for our CNS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drug safety program. Any REMS or comparable drug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2" w:lineRule="exact"/>
        <w:rPr>
          <w:sz w:val="20"/>
          <w:szCs w:val="20"/>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Competing therapies could emerge adversely affecting our opportunity to generate revenue from the sale of our CNS product candidates.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Currently, management is unaware of any FDA-approved rapid-onset, acute treatment of anxiety in adults with SAD having the same mechanism of pharmacological action and safety profile as PH94B. Also, management is currently unaware of any FDA-approved oral treatment for MDD having the same mechanism of pharmacological action and safety profile as our intranasally-administered PH10 or our orally 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PH10 or AV-101 in combination with probenecid may have therapeutic potential. Additionally, other non-pharmaceutical treatment options, such psychotherapy and electroconvulsive therapy (</w:t>
      </w:r>
      <w:r>
        <w:rPr>
          <w:rFonts w:ascii="Arial" w:cs="Arial" w:eastAsia="Arial" w:hAnsi="Arial"/>
          <w:sz w:val="18"/>
          <w:szCs w:val="18"/>
          <w:i w:val="1"/>
          <w:iCs w:val="1"/>
          <w:color w:val="auto"/>
        </w:rPr>
        <w:t>ECT</w:t>
      </w:r>
      <w:r>
        <w:rPr>
          <w:rFonts w:ascii="Arial" w:cs="Arial" w:eastAsia="Arial" w:hAnsi="Arial"/>
          <w:sz w:val="18"/>
          <w:szCs w:val="18"/>
          <w:color w:val="auto"/>
        </w:rPr>
        <w:t>) are used before or instead of standard antidepressant medications to treat patients with MDD.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respect to PH94B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and certain investigational oral drug candidates in Phase 2 development.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potential competitors, alone or with their collaborators, have substantially greater financial, technical and human resources than we do and significantly greater experience in the discovery and development, obtaining FDA and other regulatory approvals, and the commercialization of investigational product candidates.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two oral drug candidates in Phase 2 development that act on the alpha-7 nicotinic acetylcholine receptor, one in development by Bionomics and the other in development by Vanda. With respect to PH10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new drug candidates and/or medical device technologies for such indications, including, but not limited to, Abbott Laboratories, Acadia, Allergan, Alkermes, Aptynix, AstraZeneca, Axsome, Eli Lilly, GlaxoSmithKline, IntraCellular, Janssen, Lundbeck, Merck, Neurocrine, Novartis, Ono, Otsuka, Pfizer, Relmada, Roche, Sage, Sumitomo Dainippon, Takeda and Xenon,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drug development programs and the potential commercialization of our investigational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AffaMed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derive revenue from research and development fees, license fees, milestone payments and royalties under any collaborative arrangement into which we enter, including the AffaMed Agreement and the Bayer Agreement.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CNS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CNS product candidates with therapeutic and commercial potential. We may fail to pursue additional development opportunities for PH94B, PH10 or AV-101, or identify additional CNS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strategically focus on a limited number of research and development programs and product candidates and are currently focused primarily on development of PH94B, PH10 and AV-101.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do not currently have any products on the market, once we begin commercializing our CNS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payers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64" w:lineRule="exact"/>
        <w:rPr>
          <w:sz w:val="20"/>
          <w:szCs w:val="20"/>
          <w:color w:val="auto"/>
        </w:rPr>
      </w:pPr>
    </w:p>
    <w:p>
      <w:pPr>
        <w:jc w:val="both"/>
        <w:ind w:left="820" w:hanging="488"/>
        <w:spacing w:after="0" w:line="259"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86" w:lineRule="exact"/>
        <w:rPr>
          <w:rFonts w:ascii="Arial" w:cs="Arial" w:eastAsia="Arial" w:hAnsi="Arial"/>
          <w:sz w:val="18"/>
          <w:szCs w:val="18"/>
          <w:color w:val="auto"/>
        </w:rPr>
      </w:pPr>
    </w:p>
    <w:p>
      <w:pPr>
        <w:jc w:val="both"/>
        <w:ind w:left="820" w:hanging="488"/>
        <w:spacing w:after="0" w:line="286"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5" w:lineRule="exact"/>
        <w:rPr>
          <w:rFonts w:ascii="Arial" w:cs="Arial" w:eastAsia="Arial" w:hAnsi="Arial"/>
          <w:sz w:val="17"/>
          <w:szCs w:val="17"/>
          <w:color w:val="auto"/>
        </w:rPr>
      </w:pPr>
    </w:p>
    <w:p>
      <w:pPr>
        <w:jc w:val="both"/>
        <w:ind w:left="820" w:hanging="488"/>
        <w:spacing w:after="0" w:line="259"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6"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jc w:val="both"/>
        <w:ind w:left="820" w:hanging="488"/>
        <w:spacing w:after="0" w:line="259"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86" w:lineRule="exact"/>
        <w:rPr>
          <w:rFonts w:ascii="Arial" w:cs="Arial" w:eastAsia="Arial" w:hAnsi="Arial"/>
          <w:sz w:val="18"/>
          <w:szCs w:val="18"/>
          <w:color w:val="auto"/>
        </w:rPr>
      </w:pPr>
    </w:p>
    <w:p>
      <w:pPr>
        <w:jc w:val="both"/>
        <w:ind w:left="820" w:hanging="488"/>
        <w:spacing w:after="0" w:line="259"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payers, including private insurers, and some state laws require pharmaceutical companies to comply with the pharmaceutical industry’s voluntary compliance guidelines and the relevant compliance.</w:t>
      </w:r>
    </w:p>
    <w:p>
      <w:pPr>
        <w:spacing w:after="0" w:line="186"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an acute treatment of anxiety in adults with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CNS product candidates.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Market acceptance and sales of our product candidates will depend heavily on reimbursement policies and may be affected by healthcare reform measures. Government authorities and third-party payers,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payers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CNS product candidates. Even if we have obtained FDA Orphan Drug designation for a product candidate, there may be limits to the regulatory exclusivity afforded by such designation.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in the future, choose to seek FDA Orphan Drug designation for one or more of our current or future CNS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such as our collaboration with AffaMed to develop and commercialize PH94B in key Asian markets. If we commercialize our product candidates in foreign markets, we would be subject to additional risks and uncertainties, including:</w:t>
      </w:r>
    </w:p>
    <w:p>
      <w:pPr>
        <w:spacing w:after="0" w:line="184" w:lineRule="exact"/>
        <w:rPr>
          <w:sz w:val="20"/>
          <w:szCs w:val="20"/>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development-stage biopharmaceutical company with no recurring revenues from product sales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development-stage biopharmaceutical company. We currently have no approved products and no recurring revenues from product sales,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or continue to accomplish the following fundamental objectives, either on our own or with collaborators:</w:t>
      </w:r>
    </w:p>
    <w:p>
      <w:pPr>
        <w:spacing w:after="0" w:line="171" w:lineRule="exact"/>
        <w:rPr>
          <w:sz w:val="20"/>
          <w:szCs w:val="20"/>
          <w:color w:val="auto"/>
        </w:rPr>
      </w:pPr>
    </w:p>
    <w:p>
      <w:pPr>
        <w:ind w:left="820" w:hanging="488"/>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 and obtain required regulatory approvals for commercialization of PH94B, PH10, AV-101 and/or other CNS product candidates;</w:t>
      </w:r>
    </w:p>
    <w:p>
      <w:pPr>
        <w:spacing w:after="0" w:line="263" w:lineRule="exact"/>
        <w:rPr>
          <w:rFonts w:ascii="Arial" w:cs="Arial" w:eastAsia="Arial" w:hAnsi="Arial"/>
          <w:sz w:val="17"/>
          <w:szCs w:val="17"/>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maintain sales, distribution and marketing capabilities, and/or enter into strategic partnering arrangements to access such capabilities;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52"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future success is highly dependent upon our ability to successfully develop and commercialize, on our own or with collaborators, any of our current CNS product candidates, acquire or license additional CNS product candidates, and we cannot provide any assurance that we will successfully develop and commercialize PH94B, PH10, or AV-101 or acquire or license additional CNS product candidates, or that, if approved, PH94B, PH10, AV-101 or any other CNS product candidate will be successfully commercialized.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Business development and research and development programs designed to identify, acquire or license additional product candidates require substantial technical, financial and human resources, whether or not any additional CNS product candidate is acquired or licensed. We are in the beginning stages of building a sales and marketing infrastructure, including hiring certain executive officers and other employees that have pharmaceutical sales, marketing or distribution experience. In addition, if beneficial, we may seek to collaborate with others to develop and commercialize PH94B, PH10, AV-101, and/or other CNS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or other CNS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ectPr>
          <w:pgSz w:w="11900" w:h="16838" w:orient="portrait"/>
          <w:cols w:equalWidth="0" w:num="1">
            <w:col w:w="11240"/>
          </w:cols>
          <w:pgMar w:left="320" w:top="125" w:right="3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Although we maintain workers' compensation insurance to cover us for costs and expense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approximately $19.8 million and $7.7 million for the quarters ended June 30, 2022 and 2021, respectively, and $47.8 million and $17.9 million during our fiscal years ended March 31, 2022 and 2021, respectively. At June 30, 2022, we had an accumulated deficit of approximately $287.4 million and our auditors have included a qualification to their opinion on our Financial Statements at March 31, 2022 as a result of the uncertainty of our ability to continue as a going concern.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 to significantly increase in connection with planned nonclinical and clinical studies, and out-sourced manufacturing, of our product candidates. In addition, if we obtain marketing approval for our product candidates, we expect to incur significant commercial operations expense, including medical education, sales and marketing expense.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become profitable depends upon our ability to generate recurring revenues. Through June 30, 2022, we have generated approximately $23.0 million in revenues, consisting of receipts of non-dilutive cash payments from collaborators, sublicense revenue, including the $5.0 million cash payment received under the AffaMed Agreement during the quarter ended September 30, 2020, a substantial portion of which remains recorded as deferred revenue at June 30, 2022,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CNS product candidate, or we enter into one or more development and commercialization agreements with respect to PH94B, PH10, AV-101 or one or more other future CNS product candidates. Our ability to generate recurring revenue depends on a number of factors, including, but not limited to, our ability to:</w:t>
      </w:r>
    </w:p>
    <w:p>
      <w:pPr>
        <w:spacing w:after="0" w:line="165" w:lineRule="exact"/>
        <w:rPr>
          <w:sz w:val="20"/>
          <w:szCs w:val="20"/>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52" w:lineRule="exact"/>
        <w:rPr>
          <w:rFonts w:ascii="Arial" w:cs="Arial" w:eastAsia="Arial" w:hAnsi="Arial"/>
          <w:sz w:val="18"/>
          <w:szCs w:val="18"/>
          <w:color w:val="auto"/>
        </w:rPr>
      </w:pPr>
    </w:p>
    <w:p>
      <w:pPr>
        <w:jc w:val="center"/>
        <w:ind w:left="5540" w:right="360" w:hanging="5208"/>
        <w:spacing w:after="0" w:line="559" w:lineRule="auto"/>
        <w:tabs>
          <w:tab w:leader="none" w:pos="8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CNS product candidates;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820" w:hanging="488"/>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complete and compose successful regulatory submissions such as NDAs or comparable documents for both the U.S. and foreign jurisdictions;</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commercialize our CNS product candidates, if approved, by developing a sales force and/or entering into collaborations with third parties for sales and marketing capabilities; and</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market acceptance of our CNS product candidates in the medical community and with third-party payers.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long-term business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our inception through 2019, a substantial portion of our resources were dedicated to research and development of AV-101 and VistaStem’s stem cell technology platform. In particular, (i) for AV-101, we expended substantial resources on research and development of methods and processes relating to the production of API and drug product, IND-enabling preclinical studies, Phase 1 clinical safety studies, and a Phase 2 clinical study and (ii) for VistaStem, development of cardiac stem cell technology.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2019, we have expended a considerable portion of our resources for research, clinical development, manufacturing and regulatory expense related to PH94B, including costs related to the PALISADE Phase 3 Program, as well as for research and development of methods and processes relating to the production of PH10 API and drug product and U.S. IND-enabling preclinical studies involving PH10. We expect to continue to expend substantial resources for the foreseeable future developing and commercializing PH94B, PH10 and AV-101 on our own and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PH94B and our other product candidates, should the FDA approve any of such product candidates for sale.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had cash and cash equivalents of approximately $52.0 million at June 30, 2022,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next twelve months, we plan to (i) continue to advance our opportunities to explore PH94B’s therapeutic potential beyond SAD in a series of small clinical and nonclinical studies, (ii) complete clinical, if any, and nonclinical preparations to initiate Phase 2B clinical development of PH10 as a potential stand-alone treatment for MDD, (iii) complete our exploratory Phase 1B drug-drug interaction clinical study of AV-101 in combination with probenecid to better understand opportunities to explore its therapeutic potential in certain neurological disorders, and (iv) conduct various nonclinical studies involving PH94B, PH10 and AV-101.</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received the $5 million upfront payment under the AffaMed Agreement in August 2020 and expect to recognize that amount as revenue in future periods, we have no other recurring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transactions involving our stem cell technology, or (iii) obtain approval from the FDA and other regulatory authorities and successfully commercialize PH94B, or one of our other product candidates, on our own in the U.S. and through collaborations outside the U.S.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PH94B or our other current CNS product candidates, on our own or in collaboration with others. As in prior periods, we will continue to incur substantial costs associated with other clinical and nonclinical development programs for PH94B, PH10 and AV-101. In addition, other unanticipated costs may arise. As a result of these and other factors, we will need to seek additional capital to meet our future operating plans and requirements, including capital necessary to develop, obtain regulatory approval for, and to commercialize PH94B and our other CNS product candidates, and may seek additional capital in the event there exists favorable market conditions or strategic considerations, even if we believe we have sufficient funds for our current or future operating plans and requirements.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pursue and complete additional financing arrangements in the future. Even if we believe we have sufficient funds for our current or future operating plans and requirements, we may seek additional capital if market conditions are favorable or if we have specific strategic considerations.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may depend on many factors, including:</w:t>
      </w:r>
    </w:p>
    <w:p>
      <w:pPr>
        <w:spacing w:after="0" w:line="225" w:lineRule="exact"/>
        <w:rPr>
          <w:sz w:val="20"/>
          <w:szCs w:val="20"/>
          <w:color w:val="auto"/>
        </w:rPr>
      </w:pPr>
    </w:p>
    <w:p>
      <w:pPr>
        <w:ind w:left="820" w:hanging="48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ectPr>
          <w:pgSz w:w="11900" w:h="16838" w:orient="portrait"/>
          <w:cols w:equalWidth="0" w:num="1">
            <w:col w:w="11240"/>
          </w:cols>
          <w:pgMar w:left="320" w:top="125" w:right="339" w:bottom="144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75" w:lineRule="exact"/>
        <w:rPr>
          <w:rFonts w:ascii="Arial" w:cs="Arial" w:eastAsia="Arial" w:hAnsi="Arial"/>
          <w:sz w:val="16"/>
          <w:szCs w:val="16"/>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manufacturing and formulating our product candidates and any products we successfully commercialize;</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collaborative arrangements and the financial terms of such agreements;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receipt and amount of potential future licensee fees, milestone payments, and sales of, or royalties on, our future products, if any; and</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necessary, 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volatile and/or recessionary economic conditions in the U.S. or abroad could adversely affect our business or our access to capital markets in a material manner.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our principal sources of capital used to fund our development programs and other operations have been the net proceeds we received from sales of equity securities. We have and will continue to use significant capital for the development and commercialization of our product candidates, and, as such, we expect to seek additional capital from future issuance(s) of our securities, which may consist of issuances of equity and/or debt securities, to fund our planned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Accordingly, our results of operations and the implementation of both our short-term and long-term business plan could be adversely affected by general conditions in the global economy, including conditions that are outside of our control, such as the impact of health and safety concerns from the current COVID-19 pandemic. The ongoing COVID-19 pandemic has resulted in extreme volatility and disruptions in the capital and credit markets.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previously identified material weaknesses in our internal control over financial reporting, and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previously identified material weaknesses in our internal control over financial reporting that, as of March 31, 2022, were remediated. A material weakness is a deficiency, or combination of deficiencies, in internal control over financial reporting, such that there is a reasonable possibility that a material misstatement of our annual or interim condensed consolidated financial statements will not be prevented or detected on a timely basis.</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Although we have determined that the previously identified material weaknesses have been remediated as of March 31, 2022, we cannot assure you that we will not identify other material weaknesses in the future, which could negatively impact our results of operations in future periods.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Implementing any appropriate changes to our internal control over financial reporting may entail substantial costs to modify our existing processes and take significant time to complete. These changes may not, however, be effective in establishing and maintaining the adequacy of our internal control, and any failure to maintain that adequacy, or consequent inability to produce accurate financial statements on a timely basis, could increase our operating costs and harm our business.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the Securities and Exchange Commission or other regulatory authorities, which could require additional financial and management resources.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is likely to cause substantial dilution to our existing stockholders, may restrict our operations or require us to relinquish rights, and may require us to seek stockholder approval to authorize additional shares of our common stock.</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pursue private and public equity offerings, debt financings, and strategic acquisitions, collaborations and licensing arrangements in the future. To the extent that we raise additional capital through the sale of common stock or securities convertible or exchangeable into common stock, or to the extent, for strategic purposes or in the context of strategic acquisitions, we issue shares of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would involve agreements that include covenants limiting or restricting our ability to take specific actions, such as incurring additional debt, making capital expenditures or declaring dividends. If we raise additional funds through collaboration, strategic acquisitions, partnerships and licensing arrangements with third parties, we may have to relinquish valuable rights to our product candidates, our intellectual property, future revenue streams or grant licenses on terms that are not favorable to us.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require substantial additional financing to fund future operations, including research and development activities for our CNS product candidates and our anticipated pre-launch and other commercialization activities, assuming our clinical development programs are successful and we receive necessary regulatory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2022, we had federal and state net operating loss carryforwards of approximately $182.2 million and $65.5 million, respectively, which have begun to expire in fiscal 2022 and will continue to expire in future periods.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prior or future offerings of our debt and/or equity securities, private placements, sales of our common stock by our existing stockholders or additional sales of our common stock by us could have a material adverse effect on our results of operations in future years. We have not yet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attract senior management and key scientific personnel, we may be unable to successfully produce, develop and commercialize our product candidates.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and technical personnel across multiple key functions, including, but not limited to clinical operations, commercial operations, finance, human resources, information technology, manufacturing and quality assurance, regulatory affairs and medical affairs. We are highly dependent upon our Chief Executive Officer, Chief Medical Officer, Chief Financial Officer, and Chief Commercial Officer, as well as our other senior management personnel, advisors, consultants and scientific and clinical collaborators. As of the date of this Report, we have 38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have not historically experienced unique difficulties attracting and retaining qualified employees, we could experience such problems following our change in business plans as a result of the negative results of our PALISADE-1 clinical trial or in the future. Competition for qualified personnel in the pharmaceuticals field is intense, and we may not be able to attract and retain quality personnel on acceptable terms.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seek to advance development of our product candidates, we will need to further expand our research and development capabilities and our contractual arrangements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financial performance and our ability to develop and commercialize our product candidates and to compete effectively will depend, in part, on our ability to manage any future growth effectively. To that end, we must be able to manage our research, development and regulatory efforts effectively, and hire, train and integrate additional management, administrative, research and development, regulatory, commercial and other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or any other product candidate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820" w:hanging="488"/>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ectPr>
          <w:pgSz w:w="11900" w:h="16838" w:orient="portrait"/>
          <w:cols w:equalWidth="0" w:num="1">
            <w:col w:w="11240"/>
          </w:cols>
          <w:pgMar w:left="320" w:top="125" w:right="339" w:bottom="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currently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development programs or otherwise materially harm our operations.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Remote working arrangements driven by the COVID-19 pandemic could significantly increase the Company</w:t>
      </w:r>
      <w:r>
        <w:rPr>
          <w:rFonts w:ascii="Arial" w:cs="Arial" w:eastAsia="Arial" w:hAnsi="Arial"/>
          <w:sz w:val="16"/>
          <w:szCs w:val="16"/>
          <w:color w:val="auto"/>
        </w:rPr>
        <w:t>’</w:t>
      </w:r>
      <w:r>
        <w:rPr>
          <w:rFonts w:ascii="Arial" w:cs="Arial" w:eastAsia="Arial" w:hAnsi="Arial"/>
          <w:sz w:val="16"/>
          <w:szCs w:val="16"/>
          <w:b w:val="1"/>
          <w:bCs w:val="1"/>
          <w:i w:val="1"/>
          <w:iCs w:val="1"/>
          <w:color w:val="auto"/>
        </w:rPr>
        <w:t>s digital and cybersecurity risks.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pandemic has caused us to significantly modify our business practices. Most of our employees are geographically dispersed from our headquarters facility in South San Francisco and now routinely work remotely. With the continuing COVID-19-driven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Company's business.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 candidates, or form strategic alliances, in the future, and we may not realize the benefits of such acquisitions.</w:t>
      </w:r>
    </w:p>
    <w:p>
      <w:pPr>
        <w:spacing w:after="0" w:line="2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acquire additional businesses or CNS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politics in the U.S. could diminish the value of the pharmaceutical industry, thereby diminishing the value of our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political environment in the U.S. has led many incumbents and political candidates to propose various measures to reduce the prices for pharmaceuticals. These proposals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certain stem cell technology.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own and have licensed issued and allowed patents and patent applications relating to PH94B, PH10 and AV-101 in the U.S. and selected countries in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obtain valid and enforceable patents depends, among other factors, on whether the differences between our technology and the prior art allow our inventions to be patentable over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varies among countries in which we pursue patents.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7"/>
          <w:szCs w:val="17"/>
          <w:i w:val="1"/>
          <w:iCs w:val="1"/>
          <w:color w:val="auto"/>
        </w:rPr>
        <w:t>USPTO</w:t>
      </w:r>
      <w:r>
        <w:rPr>
          <w:rFonts w:ascii="Arial" w:cs="Arial" w:eastAsia="Arial" w:hAnsi="Arial"/>
          <w:sz w:val="17"/>
          <w:szCs w:val="17"/>
          <w:color w:val="auto"/>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 based on that post. Another source of uncertainty pertains to patent properties that were in-licensed by us for which prior art submissions were under the control of the licensor. We rely on these licensors to have satisfied the relevant disclosure obligations.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820" w:hanging="488"/>
        <w:spacing w:after="0" w:line="263"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Arial" w:cs="Arial" w:eastAsia="Arial" w:hAnsi="Arial"/>
          <w:sz w:val="18"/>
          <w:szCs w:val="18"/>
          <w:i w:val="1"/>
          <w:iCs w:val="1"/>
          <w:color w:val="auto"/>
        </w:rPr>
        <w:t>per se</w:t>
      </w:r>
      <w:r>
        <w:rPr>
          <w:rFonts w:ascii="Arial" w:cs="Arial" w:eastAsia="Arial" w:hAnsi="Arial"/>
          <w:sz w:val="18"/>
          <w:szCs w:val="18"/>
          <w:color w:val="auto"/>
        </w:rPr>
        <w:t xml:space="preserve"> have expired;</w:t>
      </w:r>
    </w:p>
    <w:p>
      <w:pPr>
        <w:spacing w:after="0" w:line="183" w:lineRule="exact"/>
        <w:rPr>
          <w:rFonts w:ascii="Arial" w:cs="Arial" w:eastAsia="Arial" w:hAnsi="Arial"/>
          <w:sz w:val="18"/>
          <w:szCs w:val="18"/>
          <w:color w:val="auto"/>
        </w:rPr>
      </w:pPr>
    </w:p>
    <w:p>
      <w:pPr>
        <w:ind w:left="820" w:hanging="48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820" w:hanging="488"/>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52"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or derivation proceedings before the United States or other jurisdictions.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biopharmaceutical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820" w:hanging="48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63" w:lineRule="exact"/>
        <w:rPr>
          <w:rFonts w:ascii="Arial" w:cs="Arial" w:eastAsia="Arial" w:hAnsi="Arial"/>
          <w:sz w:val="17"/>
          <w:szCs w:val="17"/>
          <w:color w:val="auto"/>
        </w:rPr>
      </w:pPr>
    </w:p>
    <w:p>
      <w:pPr>
        <w:ind w:left="820" w:hanging="488"/>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PH94B, PH10 and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70" w:lineRule="exact"/>
        <w:rPr>
          <w:sz w:val="20"/>
          <w:szCs w:val="20"/>
          <w:color w:val="auto"/>
        </w:rPr>
      </w:pPr>
    </w:p>
    <w:p>
      <w:pPr>
        <w:ind w:left="820" w:hanging="488"/>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0"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Some intellectual property which we have licensed may have been discovered through government-funded programs and thus may be subject to federal regulations such as </w:t>
      </w:r>
      <w:r>
        <w:rPr>
          <w:rFonts w:ascii="Arial" w:cs="Arial" w:eastAsia="Arial" w:hAnsi="Arial"/>
          <w:sz w:val="18"/>
          <w:szCs w:val="18"/>
          <w:color w:val="auto"/>
        </w:rPr>
        <w:t>“</w:t>
      </w:r>
      <w:r>
        <w:rPr>
          <w:rFonts w:ascii="Arial" w:cs="Arial" w:eastAsia="Arial" w:hAnsi="Arial"/>
          <w:sz w:val="18"/>
          <w:szCs w:val="18"/>
          <w:b w:val="1"/>
          <w:bCs w:val="1"/>
          <w:i w:val="1"/>
          <w:iCs w:val="1"/>
          <w:color w:val="auto"/>
        </w:rPr>
        <w:t>march-in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8"/>
          <w:szCs w:val="18"/>
          <w:i w:val="1"/>
          <w:iCs w:val="1"/>
          <w:color w:val="auto"/>
        </w:rPr>
        <w:t>Bayh-Dole Act</w:t>
      </w:r>
      <w:r>
        <w:rPr>
          <w:rFonts w:ascii="Arial" w:cs="Arial" w:eastAsia="Arial" w:hAnsi="Arial"/>
          <w:sz w:val="18"/>
          <w:szCs w:val="18"/>
          <w:color w:val="auto"/>
        </w:rPr>
        <w:t>). These U.S. government rights in certain inventions developed under a government-funded program include a non-exclusive, non-transferable, irrevocable worldwide license to use inventions for any governmental purpose.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7"/>
          <w:szCs w:val="17"/>
          <w:i w:val="1"/>
          <w:iCs w:val="1"/>
          <w:color w:val="auto"/>
        </w:rPr>
        <w:t>Mayo Collaborative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DBA Mayo Medical Laboratories, et al. v. Prometheus Laboratories, Inc.</w:t>
      </w:r>
      <w:r>
        <w:rPr>
          <w:rFonts w:ascii="Arial" w:cs="Arial" w:eastAsia="Arial" w:hAnsi="Arial"/>
          <w:sz w:val="17"/>
          <w:szCs w:val="17"/>
          <w:color w:val="auto"/>
        </w:rPr>
        <w:t>, the Court held that several claims drawn to measuring drug metabolite levels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7"/>
          <w:szCs w:val="17"/>
          <w:i w:val="1"/>
          <w:iCs w:val="1"/>
          <w:color w:val="auto"/>
        </w:rPr>
        <w:t>Association for Molecular Pathology v. Myriad Genetics, Inc</w:t>
      </w:r>
      <w:r>
        <w:rPr>
          <w:rFonts w:ascii="Arial" w:cs="Arial" w:eastAsia="Arial" w:hAnsi="Arial"/>
          <w:sz w:val="17"/>
          <w:szCs w:val="17"/>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8"/>
          <w:szCs w:val="18"/>
          <w:i w:val="1"/>
          <w:iCs w:val="1"/>
          <w:color w:val="auto"/>
        </w:rPr>
        <w:t>Ariosa Diagnostics, Inc. v. Sequenom, Inc</w:t>
      </w:r>
      <w:r>
        <w:rPr>
          <w:rFonts w:ascii="Arial" w:cs="Arial" w:eastAsia="Arial" w:hAnsi="Arial"/>
          <w:sz w:val="18"/>
          <w:szCs w:val="18"/>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87" w:lineRule="exact"/>
        <w:rPr>
          <w:sz w:val="20"/>
          <w:szCs w:val="20"/>
          <w:color w:val="auto"/>
        </w:rPr>
      </w:pPr>
    </w:p>
    <w:p>
      <w:pPr>
        <w:ind w:left="820" w:hanging="488"/>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52"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regard to our stem cell technology, if, instead of identifying a potential NCE candidate based on information available to us in the public domain, we seek to in-license a NCE candidate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NCEs that we may produce and develop. If we are unable to obtain ownership or substantial economic participation rights over intellectual property related to NCEs we produce and develop, our business may be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last reported price of our common stock on August 10, 2022, as reported on the Nasdaq Capital Market, was $0.17 per share, which amount is below the minimum bid price of $1.00 per share required under listing rules of the Nasdaq Stock Market (</w:t>
      </w:r>
      <w:r>
        <w:rPr>
          <w:rFonts w:ascii="Arial" w:cs="Arial" w:eastAsia="Arial" w:hAnsi="Arial"/>
          <w:sz w:val="18"/>
          <w:szCs w:val="18"/>
          <w:i w:val="1"/>
          <w:iCs w:val="1"/>
          <w:color w:val="auto"/>
        </w:rPr>
        <w:t>Nasdaq</w:t>
      </w:r>
      <w:r>
        <w:rPr>
          <w:rFonts w:ascii="Arial" w:cs="Arial" w:eastAsia="Arial" w:hAnsi="Arial"/>
          <w:sz w:val="18"/>
          <w:szCs w:val="18"/>
          <w:color w:val="auto"/>
        </w:rPr>
        <w:t>). No assurance can be given that we will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spacing w:after="0" w:line="146" w:lineRule="exact"/>
        <w:rPr>
          <w:sz w:val="20"/>
          <w:szCs w:val="20"/>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volatility resulting from uncertainty and general economic conditions caused by the ongoing COVID-19 pandemic;</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or purchases of large blocks of our common stock, including sales or purchases by our executive officers, directors and significant stockholders;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including under our Sales Agreement, could significantly reduce the market price of our common stock and impair our ability to raise adequate capital through the sale of additional equity securities.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Future sales and issuances of a substantial number of shares of our common stock in the public market or the perception that any such sales and issuances are occurring or might occur, could significantly reduce the market price for our common stock and impair our ability to raise adequate capital through the sale of equity securities.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Restated Articles of Incorporation, as amended (the </w:t>
      </w:r>
      <w:r>
        <w:rPr>
          <w:rFonts w:ascii="Arial" w:cs="Arial" w:eastAsia="Arial" w:hAnsi="Arial"/>
          <w:sz w:val="18"/>
          <w:szCs w:val="18"/>
          <w:i w:val="1"/>
          <w:iCs w:val="1"/>
          <w:color w:val="auto"/>
        </w:rPr>
        <w:t>Articles</w:t>
      </w:r>
      <w:r>
        <w:rPr>
          <w:rFonts w:ascii="Arial" w:cs="Arial" w:eastAsia="Arial" w:hAnsi="Arial"/>
          <w:sz w:val="18"/>
          <w:szCs w:val="18"/>
          <w:color w:val="auto"/>
        </w:rPr>
        <w:t>), permit us to issue up to 10.0 million shares of preferred stock. Our Board has authorized the issuance of 9.5 million shares of preferred stock, of which there are no shares remaining outstanding as of the date of this Report. As a result, our Board could authorize the issuance of additional series of preferred stock in the future, up to a maximum of 500,000 shares,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achieve a return on their investment will depend on appreciation in the price of our common stock.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the reporting requirements of the Securities Exchange Act of 1934, as amended (</w:t>
      </w:r>
      <w:r>
        <w:rPr>
          <w:rFonts w:ascii="Arial" w:cs="Arial" w:eastAsia="Arial" w:hAnsi="Arial"/>
          <w:sz w:val="17"/>
          <w:szCs w:val="17"/>
          <w:i w:val="1"/>
          <w:iCs w:val="1"/>
          <w:color w:val="auto"/>
        </w:rPr>
        <w:t>Exchange Act</w:t>
      </w:r>
      <w:r>
        <w:rPr>
          <w:rFonts w:ascii="Arial" w:cs="Arial" w:eastAsia="Arial" w:hAnsi="Arial"/>
          <w:sz w:val="17"/>
          <w:szCs w:val="17"/>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5"/>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96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Indemnification Agreement, dated May 13, 2022, by and between VistaGen Therapeutics, Inc. and Reid G. Adler J.D., filed herewith.</w:t>
            </w:r>
          </w:p>
        </w:tc>
        <w:tc>
          <w:tcPr>
            <w:tcW w:w="240" w:type="dxa"/>
            <w:vAlign w:val="bottom"/>
            <w:gridSpan w:val="2"/>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gridSpan w:val="5"/>
          </w:tcPr>
          <w:p>
            <w:pPr>
              <w:spacing w:after="0"/>
              <w:rPr>
                <w:sz w:val="20"/>
                <w:szCs w:val="20"/>
                <w:color w:val="auto"/>
              </w:rPr>
            </w:pPr>
            <w:r>
              <w:rPr>
                <w:rFonts w:ascii="Arial" w:cs="Arial" w:eastAsia="Arial" w:hAnsi="Arial"/>
                <w:sz w:val="18"/>
                <w:szCs w:val="18"/>
                <w:color w:val="0000EE"/>
                <w:w w:val="92"/>
              </w:rPr>
              <w:t>Certification of the Principal Executive Officer required by Rule 13a-14(a) under the Securities Exchange Act of 1934, as amended, as</w:t>
            </w:r>
          </w:p>
        </w:tc>
      </w:tr>
      <w:tr>
        <w:trPr>
          <w:trHeight w:val="196"/>
        </w:trPr>
        <w:tc>
          <w:tcPr>
            <w:tcW w:w="1360" w:type="dxa"/>
            <w:vAlign w:val="bottom"/>
          </w:tcPr>
          <w:p>
            <w:pPr>
              <w:spacing w:after="0"/>
              <w:rPr>
                <w:sz w:val="17"/>
                <w:szCs w:val="17"/>
                <w:color w:val="auto"/>
              </w:rPr>
            </w:pPr>
          </w:p>
        </w:tc>
        <w:tc>
          <w:tcPr>
            <w:tcW w:w="48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49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3"/>
              </w:rPr>
              <w:t>Certification of the Principal Financial Officer required by Rule 13a-14(a) under the Securities Exchange Act of 1934, as amended, as</w:t>
            </w:r>
          </w:p>
        </w:tc>
      </w:tr>
      <w:tr>
        <w:trPr>
          <w:trHeight w:val="196"/>
        </w:trPr>
        <w:tc>
          <w:tcPr>
            <w:tcW w:w="1360" w:type="dxa"/>
            <w:vAlign w:val="bottom"/>
          </w:tcPr>
          <w:p>
            <w:pPr>
              <w:spacing w:after="0"/>
              <w:rPr>
                <w:sz w:val="17"/>
                <w:szCs w:val="17"/>
                <w:color w:val="auto"/>
              </w:rPr>
            </w:pPr>
          </w:p>
        </w:tc>
        <w:tc>
          <w:tcPr>
            <w:tcW w:w="48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5000" w:type="dxa"/>
            <w:vAlign w:val="bottom"/>
            <w:gridSpan w:val="4"/>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32*</w:t>
            </w:r>
          </w:p>
        </w:tc>
        <w:tc>
          <w:tcPr>
            <w:tcW w:w="98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Certification of the Principal Executive and Financial Officers required by Rule 13a-14(b) and Section 1350 of Chapter 63 of Title 18 of</w:t>
            </w:r>
          </w:p>
        </w:tc>
      </w:tr>
      <w:tr>
        <w:trPr>
          <w:trHeight w:val="196"/>
        </w:trPr>
        <w:tc>
          <w:tcPr>
            <w:tcW w:w="1360" w:type="dxa"/>
            <w:vAlign w:val="bottom"/>
          </w:tcPr>
          <w:p>
            <w:pPr>
              <w:spacing w:after="0"/>
              <w:rPr>
                <w:sz w:val="17"/>
                <w:szCs w:val="17"/>
                <w:color w:val="auto"/>
              </w:rPr>
            </w:pPr>
          </w:p>
        </w:tc>
        <w:tc>
          <w:tcPr>
            <w:tcW w:w="68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the United States Code, as adopted pursuant to Section 906 of the Sarbanes-Oxley Act of 2002</w:t>
            </w:r>
          </w:p>
        </w:tc>
        <w:tc>
          <w:tcPr>
            <w:tcW w:w="3060" w:type="dxa"/>
            <w:vAlign w:val="bottom"/>
            <w:gridSpan w:val="3"/>
          </w:tcPr>
          <w:p>
            <w:pPr>
              <w:spacing w:after="0"/>
              <w:rPr>
                <w:sz w:val="17"/>
                <w:szCs w:val="17"/>
                <w:color w:val="auto"/>
              </w:rPr>
            </w:pPr>
          </w:p>
        </w:tc>
      </w:tr>
      <w:tr>
        <w:trPr>
          <w:trHeight w:val="438"/>
        </w:trPr>
        <w:tc>
          <w:tcPr>
            <w:tcW w:w="1360" w:type="dxa"/>
            <w:vAlign w:val="bottom"/>
          </w:tcPr>
          <w:p>
            <w:pPr>
              <w:spacing w:after="0"/>
              <w:rPr>
                <w:sz w:val="20"/>
                <w:szCs w:val="20"/>
                <w:color w:val="auto"/>
              </w:rPr>
            </w:pPr>
            <w:r>
              <w:rPr>
                <w:rFonts w:ascii="Arial" w:cs="Arial" w:eastAsia="Arial" w:hAnsi="Arial"/>
                <w:sz w:val="18"/>
                <w:szCs w:val="18"/>
                <w:color w:val="auto"/>
              </w:rPr>
              <w:t>101.INS *</w:t>
            </w:r>
          </w:p>
        </w:tc>
        <w:tc>
          <w:tcPr>
            <w:tcW w:w="9880" w:type="dxa"/>
            <w:vAlign w:val="bottom"/>
            <w:gridSpan w:val="5"/>
          </w:tcPr>
          <w:p>
            <w:pPr>
              <w:spacing w:after="0"/>
              <w:rPr>
                <w:sz w:val="20"/>
                <w:szCs w:val="20"/>
                <w:color w:val="auto"/>
              </w:rPr>
            </w:pPr>
            <w:r>
              <w:rPr>
                <w:rFonts w:ascii="Arial" w:cs="Arial" w:eastAsia="Arial" w:hAnsi="Arial"/>
                <w:sz w:val="18"/>
                <w:szCs w:val="18"/>
                <w:color w:val="auto"/>
                <w:w w:val="96"/>
              </w:rPr>
              <w:t>The instance document does not appear in the Interactive Data File because its XBRL tags are embedded within the Inline XBRL</w:t>
            </w:r>
          </w:p>
        </w:tc>
      </w:tr>
      <w:tr>
        <w:trPr>
          <w:trHeight w:val="216"/>
        </w:trPr>
        <w:tc>
          <w:tcPr>
            <w:tcW w:w="1360" w:type="dxa"/>
            <w:vAlign w:val="bottom"/>
          </w:tcPr>
          <w:p>
            <w:pPr>
              <w:spacing w:after="0"/>
              <w:rPr>
                <w:sz w:val="18"/>
                <w:szCs w:val="18"/>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 Filed herewith.</w:t>
            </w:r>
          </w:p>
        </w:tc>
        <w:tc>
          <w:tcPr>
            <w:tcW w:w="4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4880" w:type="dxa"/>
            <w:vAlign w:val="bottom"/>
          </w:tcPr>
          <w:p>
            <w:pPr>
              <w:ind w:left="4180"/>
              <w:spacing w:after="0"/>
              <w:rPr>
                <w:sz w:val="20"/>
                <w:szCs w:val="20"/>
                <w:color w:val="auto"/>
              </w:rPr>
            </w:pPr>
            <w:r>
              <w:rPr>
                <w:rFonts w:ascii="Arial" w:cs="Arial" w:eastAsia="Arial" w:hAnsi="Arial"/>
                <w:sz w:val="18"/>
                <w:szCs w:val="18"/>
                <w:color w:val="auto"/>
              </w:rPr>
              <w:t>64</w:t>
            </w:r>
          </w:p>
        </w:tc>
        <w:tc>
          <w:tcPr>
            <w:tcW w:w="1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40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2022</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320" w:top="125" w:right="5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is entered into, effective as of May 13, 2022, between VistaGen Therapeutics, Inc., a Nevada corporation (the "Company"), and Reid G. Adler.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Indemnitee is an officer of the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currently being asserted against directors and officers of corporations; and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in recognition of lndemnitee's need for substantial protection against personal liability in order to enhance Indemnitee's continued and effective service to the Company, and in order to induce Indemnitee to provide services to the Company as an officer,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above premises and of lndemnitee's continuing to serve the Company directly or, at its request, with another enterprise, and intending to be legally bound hereby, the parties agree as follows:</w:t>
      </w:r>
    </w:p>
    <w:p>
      <w:pPr>
        <w:spacing w:after="0" w:line="170" w:lineRule="exact"/>
        <w:rPr>
          <w:sz w:val="20"/>
          <w:szCs w:val="20"/>
          <w:color w:val="auto"/>
        </w:rPr>
      </w:pPr>
    </w:p>
    <w:p>
      <w:pPr>
        <w:ind w:left="840" w:hanging="184"/>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Definitions: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25" w:lineRule="exact"/>
        <w:rPr>
          <w:rFonts w:ascii="Arial" w:cs="Arial" w:eastAsia="Arial" w:hAnsi="Arial"/>
          <w:sz w:val="18"/>
          <w:szCs w:val="18"/>
          <w:color w:val="auto"/>
        </w:rPr>
      </w:pPr>
    </w:p>
    <w:p>
      <w:pPr>
        <w:jc w:val="both"/>
        <w:ind w:firstLine="1304"/>
        <w:spacing w:after="0" w:line="268" w:lineRule="auto"/>
        <w:tabs>
          <w:tab w:leader="none" w:pos="1564"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conve1ied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184" w:lineRule="exact"/>
        <w:rPr>
          <w:rFonts w:ascii="Arial" w:cs="Arial" w:eastAsia="Arial" w:hAnsi="Arial"/>
          <w:sz w:val="17"/>
          <w:szCs w:val="17"/>
          <w:color w:val="auto"/>
        </w:rPr>
      </w:pPr>
    </w:p>
    <w:p>
      <w:pPr>
        <w:jc w:val="both"/>
        <w:ind w:firstLine="1304"/>
        <w:spacing w:after="0" w:line="279" w:lineRule="auto"/>
        <w:tabs>
          <w:tab w:leader="none" w:pos="1540"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spacing w:after="0" w:line="171" w:lineRule="exact"/>
        <w:rPr>
          <w:rFonts w:ascii="Arial" w:cs="Arial" w:eastAsia="Arial" w:hAnsi="Arial"/>
          <w:sz w:val="17"/>
          <w:szCs w:val="17"/>
          <w:color w:val="auto"/>
        </w:rPr>
      </w:pPr>
    </w:p>
    <w:p>
      <w:pPr>
        <w:jc w:val="both"/>
        <w:ind w:firstLine="1304"/>
        <w:spacing w:after="0" w:line="272" w:lineRule="auto"/>
        <w:tabs>
          <w:tab w:leader="none" w:pos="1551"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Indemnifiable Event</w:t>
      </w:r>
      <w:r>
        <w:rPr>
          <w:rFonts w:ascii="Arial" w:cs="Arial" w:eastAsia="Arial" w:hAnsi="Arial"/>
          <w:sz w:val="17"/>
          <w:szCs w:val="17"/>
          <w:color w:val="auto"/>
        </w:rPr>
        <w:t>: any event or occurrence that takes place either prior to or after the execution of this Agreement, related to the fact that Indemnitee is or was a director or officer of the Company, or while a director or officer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ind w:left="1540" w:hanging="236"/>
        <w:spacing w:after="0"/>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Independent Counsel</w:t>
      </w:r>
      <w:r>
        <w:rPr>
          <w:rFonts w:ascii="Arial" w:cs="Arial" w:eastAsia="Arial" w:hAnsi="Arial"/>
          <w:sz w:val="18"/>
          <w:szCs w:val="18"/>
          <w:color w:val="auto"/>
        </w:rPr>
        <w:t>: the person or body appointed in connection with Section 3.</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21"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the person or body appointed in accordance with Section 3.</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any securities of the Company that vote generally in the election of directors.</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Agreement to Indemnify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72"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General Agreement</w:t>
      </w:r>
      <w:r>
        <w:rPr>
          <w:rFonts w:ascii="Arial" w:cs="Arial" w:eastAsia="Arial" w:hAnsi="Arial"/>
          <w:sz w:val="17"/>
          <w:szCs w:val="17"/>
          <w:color w:val="auto"/>
        </w:rPr>
        <w:t>. General Agreement.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177" w:lineRule="exact"/>
        <w:rPr>
          <w:rFonts w:ascii="Arial" w:cs="Arial" w:eastAsia="Arial" w:hAnsi="Arial"/>
          <w:sz w:val="17"/>
          <w:szCs w:val="17"/>
          <w:color w:val="auto"/>
        </w:rPr>
      </w:pPr>
    </w:p>
    <w:p>
      <w:pPr>
        <w:jc w:val="both"/>
        <w:ind w:firstLine="1304"/>
        <w:spacing w:after="0" w:line="255" w:lineRule="auto"/>
        <w:tabs>
          <w:tab w:leader="none" w:pos="160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Initiation of Proceeding</w:t>
      </w:r>
      <w:r>
        <w:rPr>
          <w:rFonts w:ascii="Arial" w:cs="Arial" w:eastAsia="Arial" w:hAnsi="Arial"/>
          <w:sz w:val="18"/>
          <w:szCs w:val="18"/>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192" w:lineRule="exact"/>
        <w:rPr>
          <w:rFonts w:ascii="Arial" w:cs="Arial" w:eastAsia="Arial" w:hAnsi="Arial"/>
          <w:sz w:val="18"/>
          <w:szCs w:val="18"/>
          <w:color w:val="auto"/>
        </w:rPr>
      </w:pPr>
    </w:p>
    <w:p>
      <w:pPr>
        <w:jc w:val="both"/>
        <w:ind w:firstLine="1304"/>
        <w:spacing w:after="0" w:line="270"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Expense Advances</w:t>
      </w:r>
      <w:r>
        <w:rPr>
          <w:rFonts w:ascii="Arial" w:cs="Arial" w:eastAsia="Arial" w:hAnsi="Arial"/>
          <w:sz w:val="17"/>
          <w:szCs w:val="17"/>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ai1d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155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po1iion thereof to which Indemnitee is entitled.</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6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Prohibited Indemnification</w:t>
      </w:r>
      <w:r>
        <w:rPr>
          <w:rFonts w:ascii="Arial" w:cs="Arial" w:eastAsia="Arial" w:hAnsi="Arial"/>
          <w:sz w:val="18"/>
          <w:szCs w:val="18"/>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9" w:name="page70"/>
    <w:bookmarkEnd w:id="69"/>
    <w:p>
      <w:pPr>
        <w:jc w:val="both"/>
        <w:ind w:firstLine="656"/>
        <w:spacing w:after="0" w:line="286" w:lineRule="auto"/>
        <w:tabs>
          <w:tab w:leader="none" w:pos="84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Reviewing Party</w:t>
      </w:r>
      <w:r>
        <w:rPr>
          <w:rFonts w:ascii="Arial" w:cs="Arial" w:eastAsia="Arial" w:hAnsi="Arial"/>
          <w:sz w:val="16"/>
          <w:szCs w:val="16"/>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170" w:lineRule="exact"/>
        <w:rPr>
          <w:rFonts w:ascii="Arial" w:cs="Arial" w:eastAsia="Arial" w:hAnsi="Arial"/>
          <w:sz w:val="16"/>
          <w:szCs w:val="16"/>
          <w:color w:val="auto"/>
        </w:rPr>
      </w:pPr>
    </w:p>
    <w:p>
      <w:pPr>
        <w:ind w:left="840" w:hanging="184"/>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Indemnification Process and Appeal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311" w:lineRule="auto"/>
        <w:tabs>
          <w:tab w:leader="none" w:pos="1554"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Indemnification Payment</w:t>
      </w:r>
      <w:r>
        <w:rPr>
          <w:rFonts w:ascii="Arial" w:cs="Arial" w:eastAsia="Arial" w:hAnsi="Arial"/>
          <w:sz w:val="16"/>
          <w:szCs w:val="16"/>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148" w:lineRule="exact"/>
        <w:rPr>
          <w:rFonts w:ascii="Arial" w:cs="Arial" w:eastAsia="Arial" w:hAnsi="Arial"/>
          <w:sz w:val="16"/>
          <w:szCs w:val="16"/>
          <w:color w:val="auto"/>
        </w:rPr>
      </w:pPr>
    </w:p>
    <w:p>
      <w:pPr>
        <w:jc w:val="both"/>
        <w:ind w:firstLine="1304"/>
        <w:spacing w:after="0" w:line="293" w:lineRule="auto"/>
        <w:tabs>
          <w:tab w:leader="none" w:pos="1551"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Suit to Enforce Rights</w:t>
      </w:r>
      <w:r>
        <w:rPr>
          <w:rFonts w:ascii="Arial" w:cs="Arial" w:eastAsia="Arial" w:hAnsi="Arial"/>
          <w:sz w:val="16"/>
          <w:szCs w:val="16"/>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California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164" w:lineRule="exact"/>
        <w:rPr>
          <w:rFonts w:ascii="Arial" w:cs="Arial" w:eastAsia="Arial" w:hAnsi="Arial"/>
          <w:sz w:val="16"/>
          <w:szCs w:val="16"/>
          <w:color w:val="auto"/>
        </w:rPr>
      </w:pPr>
    </w:p>
    <w:p>
      <w:pPr>
        <w:jc w:val="both"/>
        <w:ind w:firstLine="1304"/>
        <w:spacing w:after="0" w:line="268" w:lineRule="auto"/>
        <w:tabs>
          <w:tab w:leader="none" w:pos="154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Defense to Indemnification, Burden of Proof, and Presumptions</w:t>
      </w:r>
      <w:r>
        <w:rPr>
          <w:rFonts w:ascii="Arial" w:cs="Arial" w:eastAsia="Arial" w:hAnsi="Arial"/>
          <w:sz w:val="17"/>
          <w:szCs w:val="17"/>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186" w:lineRule="exact"/>
        <w:rPr>
          <w:rFonts w:ascii="Arial" w:cs="Arial" w:eastAsia="Arial" w:hAnsi="Arial"/>
          <w:sz w:val="17"/>
          <w:szCs w:val="17"/>
          <w:color w:val="auto"/>
        </w:rPr>
      </w:pPr>
    </w:p>
    <w:p>
      <w:pPr>
        <w:ind w:firstLine="656"/>
        <w:spacing w:after="0" w:line="277" w:lineRule="auto"/>
        <w:tabs>
          <w:tab w:leader="none" w:pos="84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Incurred in Enforcing Rights</w:t>
      </w:r>
      <w:r>
        <w:rPr>
          <w:rFonts w:ascii="Arial" w:cs="Arial" w:eastAsia="Arial" w:hAnsi="Arial"/>
          <w:sz w:val="18"/>
          <w:szCs w:val="18"/>
          <w:color w:val="auto"/>
        </w:rPr>
        <w:t>. The Company shall indemnify Indemnitee against any and all Expenses that are incurred by Indemnitee in connection with any action brought by Indemnitee for</w:t>
      </w:r>
    </w:p>
    <w:p>
      <w:pPr>
        <w:spacing w:after="0" w:line="170" w:lineRule="exact"/>
        <w:rPr>
          <w:rFonts w:ascii="Arial" w:cs="Arial" w:eastAsia="Arial" w:hAnsi="Arial"/>
          <w:sz w:val="18"/>
          <w:szCs w:val="18"/>
          <w:color w:val="auto"/>
        </w:rPr>
      </w:pPr>
    </w:p>
    <w:p>
      <w:pPr>
        <w:ind w:left="1300" w:right="20" w:firstLine="652"/>
        <w:spacing w:after="0" w:line="342" w:lineRule="auto"/>
        <w:tabs>
          <w:tab w:leader="none" w:pos="2176" w:val="left"/>
        </w:tabs>
        <w:numPr>
          <w:ilvl w:val="2"/>
          <w:numId w:val="35"/>
        </w:numPr>
        <w:rPr>
          <w:rFonts w:ascii="Arial" w:cs="Arial" w:eastAsia="Arial" w:hAnsi="Arial"/>
          <w:sz w:val="16"/>
          <w:szCs w:val="16"/>
          <w:color w:val="auto"/>
        </w:rPr>
      </w:pPr>
      <w:r>
        <w:rPr>
          <w:rFonts w:ascii="Arial" w:cs="Arial" w:eastAsia="Arial" w:hAnsi="Arial"/>
          <w:sz w:val="16"/>
          <w:szCs w:val="16"/>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123" w:lineRule="exact"/>
        <w:rPr>
          <w:rFonts w:ascii="Arial" w:cs="Arial" w:eastAsia="Arial" w:hAnsi="Arial"/>
          <w:sz w:val="16"/>
          <w:szCs w:val="16"/>
          <w:color w:val="auto"/>
        </w:rPr>
      </w:pPr>
    </w:p>
    <w:p>
      <w:pPr>
        <w:jc w:val="both"/>
        <w:ind w:left="1300" w:firstLine="652"/>
        <w:spacing w:after="0" w:line="259" w:lineRule="auto"/>
        <w:tabs>
          <w:tab w:leader="none" w:pos="2235" w:val="left"/>
        </w:tabs>
        <w:numPr>
          <w:ilvl w:val="2"/>
          <w:numId w:val="35"/>
        </w:numPr>
        <w:rPr>
          <w:rFonts w:ascii="Arial" w:cs="Arial" w:eastAsia="Arial" w:hAnsi="Arial"/>
          <w:sz w:val="18"/>
          <w:szCs w:val="18"/>
          <w:color w:val="auto"/>
        </w:rPr>
      </w:pPr>
      <w:r>
        <w:rPr>
          <w:rFonts w:ascii="Arial" w:cs="Arial" w:eastAsia="Arial" w:hAnsi="Arial"/>
          <w:sz w:val="18"/>
          <w:szCs w:val="18"/>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0" w:name="page71"/>
    <w:bookmarkEnd w:id="70"/>
    <w:p>
      <w:pPr>
        <w:ind w:left="840" w:hanging="184"/>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Proceeding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183" w:lineRule="exact"/>
        <w:rPr>
          <w:rFonts w:ascii="Arial" w:cs="Arial" w:eastAsia="Arial" w:hAnsi="Arial"/>
          <w:sz w:val="18"/>
          <w:szCs w:val="18"/>
          <w:color w:val="auto"/>
        </w:rPr>
      </w:pPr>
    </w:p>
    <w:p>
      <w:pPr>
        <w:jc w:val="both"/>
        <w:ind w:firstLine="1304"/>
        <w:spacing w:after="0" w:line="268" w:lineRule="auto"/>
        <w:tabs>
          <w:tab w:leader="none" w:pos="1551"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Defense</w:t>
      </w:r>
      <w:r>
        <w:rPr>
          <w:rFonts w:ascii="Arial" w:cs="Arial" w:eastAsia="Arial" w:hAnsi="Arial"/>
          <w:sz w:val="17"/>
          <w:szCs w:val="17"/>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186" w:lineRule="exact"/>
        <w:rPr>
          <w:rFonts w:ascii="Arial" w:cs="Arial" w:eastAsia="Arial" w:hAnsi="Arial"/>
          <w:sz w:val="17"/>
          <w:szCs w:val="17"/>
          <w:color w:val="auto"/>
        </w:rPr>
      </w:pPr>
    </w:p>
    <w:p>
      <w:pPr>
        <w:jc w:val="both"/>
        <w:ind w:firstLine="1304"/>
        <w:spacing w:after="0" w:line="25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Settlement of Claims</w:t>
      </w:r>
      <w:r>
        <w:rPr>
          <w:rFonts w:ascii="Arial" w:cs="Arial" w:eastAsia="Arial" w:hAnsi="Arial"/>
          <w:sz w:val="18"/>
          <w:szCs w:val="18"/>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196" w:lineRule="exact"/>
        <w:rPr>
          <w:rFonts w:ascii="Arial" w:cs="Arial" w:eastAsia="Arial" w:hAnsi="Arial"/>
          <w:sz w:val="18"/>
          <w:szCs w:val="18"/>
          <w:color w:val="auto"/>
        </w:rPr>
      </w:pPr>
    </w:p>
    <w:p>
      <w:pPr>
        <w:jc w:val="both"/>
        <w:ind w:firstLine="656"/>
        <w:spacing w:after="0" w:line="285" w:lineRule="auto"/>
        <w:tabs>
          <w:tab w:leader="none" w:pos="84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Establishment of Trust</w:t>
      </w:r>
      <w:r>
        <w:rPr>
          <w:rFonts w:ascii="Arial" w:cs="Arial" w:eastAsia="Arial" w:hAnsi="Arial"/>
          <w:sz w:val="16"/>
          <w:szCs w:val="16"/>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1" w:name="page72"/>
    <w:bookmarkEnd w:id="71"/>
    <w:p>
      <w:pPr>
        <w:jc w:val="both"/>
        <w:ind w:firstLine="656"/>
        <w:spacing w:after="0" w:line="279" w:lineRule="auto"/>
        <w:tabs>
          <w:tab w:leader="none" w:pos="82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Non-Exclusivity</w:t>
      </w:r>
      <w:r>
        <w:rPr>
          <w:rFonts w:ascii="Arial" w:cs="Arial" w:eastAsia="Arial" w:hAnsi="Arial"/>
          <w:sz w:val="17"/>
          <w:szCs w:val="17"/>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spacing w:after="0" w:line="171" w:lineRule="exact"/>
        <w:rPr>
          <w:rFonts w:ascii="Arial" w:cs="Arial" w:eastAsia="Arial" w:hAnsi="Arial"/>
          <w:sz w:val="17"/>
          <w:szCs w:val="17"/>
          <w:color w:val="auto"/>
        </w:rPr>
      </w:pPr>
    </w:p>
    <w:p>
      <w:pPr>
        <w:jc w:val="both"/>
        <w:ind w:firstLine="656"/>
        <w:spacing w:after="0" w:line="263" w:lineRule="auto"/>
        <w:tabs>
          <w:tab w:leader="none" w:pos="82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83" w:lineRule="exact"/>
        <w:rPr>
          <w:rFonts w:ascii="Arial" w:cs="Arial" w:eastAsia="Arial" w:hAnsi="Arial"/>
          <w:sz w:val="18"/>
          <w:szCs w:val="18"/>
          <w:color w:val="auto"/>
        </w:rPr>
      </w:pPr>
    </w:p>
    <w:p>
      <w:pPr>
        <w:jc w:val="both"/>
        <w:ind w:firstLine="656"/>
        <w:spacing w:after="0" w:line="296" w:lineRule="auto"/>
        <w:tabs>
          <w:tab w:leader="none" w:pos="91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161" w:lineRule="exact"/>
        <w:rPr>
          <w:rFonts w:ascii="Arial" w:cs="Arial" w:eastAsia="Arial" w:hAnsi="Arial"/>
          <w:sz w:val="16"/>
          <w:szCs w:val="16"/>
          <w:color w:val="auto"/>
        </w:rPr>
      </w:pPr>
    </w:p>
    <w:p>
      <w:pPr>
        <w:jc w:val="both"/>
        <w:ind w:firstLine="656"/>
        <w:spacing w:after="0" w:line="257" w:lineRule="auto"/>
        <w:tabs>
          <w:tab w:leader="none" w:pos="91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binding unless in the form of a writing signed by the pa1iy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183" w:lineRule="exact"/>
        <w:rPr>
          <w:rFonts w:ascii="Arial" w:cs="Arial" w:eastAsia="Arial" w:hAnsi="Arial"/>
          <w:sz w:val="18"/>
          <w:szCs w:val="18"/>
          <w:color w:val="auto"/>
        </w:rPr>
      </w:pPr>
    </w:p>
    <w:p>
      <w:pPr>
        <w:jc w:val="both"/>
        <w:ind w:firstLine="656"/>
        <w:spacing w:after="0" w:line="271" w:lineRule="auto"/>
        <w:tabs>
          <w:tab w:leader="none" w:pos="91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178" w:lineRule="exact"/>
        <w:rPr>
          <w:rFonts w:ascii="Arial" w:cs="Arial" w:eastAsia="Arial" w:hAnsi="Arial"/>
          <w:sz w:val="17"/>
          <w:szCs w:val="17"/>
          <w:color w:val="auto"/>
        </w:rPr>
      </w:pPr>
    </w:p>
    <w:p>
      <w:pPr>
        <w:jc w:val="both"/>
        <w:ind w:firstLine="656"/>
        <w:spacing w:after="0" w:line="257" w:lineRule="auto"/>
        <w:tabs>
          <w:tab w:leader="none" w:pos="91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187" w:lineRule="exact"/>
        <w:rPr>
          <w:rFonts w:ascii="Arial" w:cs="Arial" w:eastAsia="Arial" w:hAnsi="Arial"/>
          <w:sz w:val="18"/>
          <w:szCs w:val="18"/>
          <w:color w:val="auto"/>
        </w:rPr>
      </w:pPr>
    </w:p>
    <w:p>
      <w:pPr>
        <w:ind w:firstLine="656"/>
        <w:spacing w:after="0" w:line="277" w:lineRule="auto"/>
        <w:tabs>
          <w:tab w:leader="none" w:pos="93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3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to Indemnitee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Reid G. Adler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4716 Newcomb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Arlington, VA 22304</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IN WITNESS WHEREOF, the parties hereto have duly executed and delivered this Agreement as of the day specified above.</w:t>
      </w:r>
    </w:p>
    <w:p>
      <w:pPr>
        <w:sectPr>
          <w:pgSz w:w="11900" w:h="16838" w:orient="portrait"/>
          <w:cols w:equalWidth="0" w:num="1">
            <w:col w:w="9479"/>
          </w:cols>
          <w:pgMar w:left="980" w:top="800" w:right="1440" w:bottom="1440" w:gutter="0" w:footer="0" w:header="0"/>
        </w:sectPr>
      </w:pP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r>
        <w:rPr>
          <w:rFonts w:ascii="Arial" w:cs="Arial" w:eastAsia="Arial" w:hAnsi="Arial"/>
          <w:sz w:val="18"/>
          <w:szCs w:val="18"/>
          <w:color w:val="auto"/>
        </w:rPr>
        <w:t>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Reid G. Adler</w:t>
      </w:r>
      <w:r>
        <w:rPr>
          <w:rFonts w:ascii="Arial" w:cs="Arial" w:eastAsia="Arial" w:hAnsi="Arial"/>
          <w:sz w:val="18"/>
          <w:szCs w:val="18"/>
          <w:color w:val="auto"/>
        </w:rPr>
        <w:t>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Reid G. Adler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Chief Legal Officer</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479"/>
          </w:cols>
          <w:pgMar w:left="980" w:top="800" w:right="1440"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25"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9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1052"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332"/>
        <w:spacing w:after="0" w:line="308" w:lineRule="auto"/>
        <w:tabs>
          <w:tab w:leader="none" w:pos="1089"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3" w:lineRule="auto"/>
        <w:tabs>
          <w:tab w:leader="none" w:pos="92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9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332"/>
        <w:spacing w:after="0" w:line="277" w:lineRule="auto"/>
        <w:tabs>
          <w:tab w:leader="none" w:pos="8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7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11, 2022</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/s/ Shawn K. Singh</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9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10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332"/>
        <w:spacing w:after="0" w:line="308" w:lineRule="auto"/>
        <w:tabs>
          <w:tab w:leader="none" w:pos="1089"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3" w:lineRule="auto"/>
        <w:tabs>
          <w:tab w:leader="none" w:pos="92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9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332"/>
        <w:spacing w:after="0" w:line="277" w:lineRule="auto"/>
        <w:tabs>
          <w:tab w:leader="none" w:pos="8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7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11, 2022</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/s/ Jerrold D. Dotson</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June 30, 2022,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8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August 11,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Roman"/>
      <w:start w:val="1"/>
    </w:lvl>
  </w:abstractNum>
  <w:abstractNum w:abstractNumId="3">
    <w:nsid w:val="721DA317"/>
    <w:multiLevelType w:val="hybridMultilevel"/>
    <w:lvl w:ilvl="0">
      <w:lvlJc w:val="left"/>
      <w:lvlText w:val="(%1)"/>
      <w:numFmt w:val="lowerRoman"/>
      <w:start w:val="1"/>
    </w:lvl>
  </w:abstractNum>
  <w:abstractNum w:abstractNumId="4">
    <w:nsid w:val="2443A858"/>
    <w:multiLevelType w:val="hybridMultilevel"/>
    <w:lvl w:ilvl="0">
      <w:lvlJc w:val="left"/>
      <w:lvlText w:val="%1)"/>
      <w:numFmt w:val="decimal"/>
      <w:start w:val="20"/>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lvl w:ilvl="1">
      <w:lvlJc w:val="left"/>
      <w:lvlText w:val="(%2)"/>
      <w:numFmt w:val="lowerLetter"/>
      <w:start w:val="1"/>
    </w:lvl>
  </w:abstractNum>
  <w:abstractNum w:abstractNumId="32">
    <w:nsid w:val="3804823E"/>
    <w:multiLevelType w:val="hybridMultilevel"/>
    <w:lvl w:ilvl="0">
      <w:lvlJc w:val="left"/>
      <w:lvlText w:val="%1"/>
      <w:numFmt w:val="decimal"/>
      <w:start w:val="1"/>
    </w:lvl>
    <w:lvl w:ilvl="1">
      <w:lvlJc w:val="left"/>
      <w:lvlText w:val="(%2)"/>
      <w:numFmt w:val="lowerLetter"/>
      <w:start w:val="5"/>
    </w:lvl>
  </w:abstractNum>
  <w:abstractNum w:abstractNumId="33">
    <w:nsid w:val="77465F01"/>
    <w:multiLevelType w:val="hybridMultilevel"/>
    <w:lvl w:ilvl="0">
      <w:lvlJc w:val="left"/>
      <w:lvlText w:val="%1."/>
      <w:numFmt w:val="decimal"/>
      <w:start w:val="2"/>
    </w:lvl>
    <w:lvl w:ilvl="1">
      <w:lvlJc w:val="left"/>
      <w:lvlText w:val="(%2)"/>
      <w:numFmt w:val="lowerLetter"/>
      <w:start w:val="1"/>
    </w:lvl>
  </w:abstractNum>
  <w:abstractNum w:abstractNumId="34">
    <w:nsid w:val="7724C67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5">
    <w:nsid w:val="5C482A97"/>
    <w:multiLevelType w:val="hybridMultilevel"/>
    <w:lvl w:ilvl="0">
      <w:lvlJc w:val="left"/>
      <w:lvlText w:val="%1."/>
      <w:numFmt w:val="decimal"/>
      <w:start w:val="6"/>
    </w:lvl>
    <w:lvl w:ilvl="1">
      <w:lvlJc w:val="left"/>
      <w:lvlText w:val="(%2)"/>
      <w:numFmt w:val="lowerLetter"/>
      <w:start w:val="1"/>
    </w:lvl>
  </w:abstractNum>
  <w:abstractNum w:abstractNumId="36">
    <w:nsid w:val="2463B9EA"/>
    <w:multiLevelType w:val="hybridMultilevel"/>
    <w:lvl w:ilvl="0">
      <w:lvlJc w:val="left"/>
      <w:lvlText w:val="%1."/>
      <w:numFmt w:val="decimal"/>
      <w:start w:val="8"/>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2022-08-11T16:15:45Z</dcterms:created>
  <dcterms:modified xsi:type="dcterms:W3CDTF">2022-08-11T16:15:45Z</dcterms:modified>
</cp:coreProperties>
</file>