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1,589,495.00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1,589,495.00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1,589,495.00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1,589,495.00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1,589,495.00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1,589,495.00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1,289,734.00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1,289,734.00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1,289,734.00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II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1,289,734.00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1,289,734.00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1,289,734.00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158,606.00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158,606.00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158,606.00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158,606.00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158,606.00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158,606.00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92840H400</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2,879,229.00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2,879,229.00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2,879,229.00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3,084,324.00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3,084,324.00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3,084,324.00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INC/IL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3,084,324.00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3,084,324.00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3,084,324.00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LAMPERT MARK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289"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3,084,324.00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3,084,324.00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3,084,324.00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28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39"/>
        <w:spacing w:after="0"/>
        <w:rPr>
          <w:sz w:val="20"/>
          <w:szCs w:val="20"/>
          <w:color w:val="auto"/>
        </w:rPr>
      </w:pPr>
      <w:r>
        <w:rPr>
          <w:rFonts w:ascii="Times New Roman" w:cs="Times New Roman" w:eastAsia="Times New Roman" w:hAnsi="Times New Roman"/>
          <w:sz w:val="22"/>
          <w:szCs w:val="22"/>
          <w:color w:val="auto"/>
        </w:rPr>
        <w:t>343 Allerton Ave.,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355" w:right="1440" w:bottom="289" w:gutter="0" w:footer="0" w:header="0"/>
          <w:type w:val="continuous"/>
        </w:sectPr>
      </w:pPr>
    </w:p>
    <w:bookmarkStart w:id="8" w:name="page9"/>
    <w:bookmarkEnd w:id="8"/>
    <w:p>
      <w:pPr>
        <w:ind w:left="920" w:right="200"/>
        <w:spacing w:after="0" w:line="238" w:lineRule="auto"/>
        <w:rPr>
          <w:sz w:val="20"/>
          <w:szCs w:val="20"/>
          <w:color w:val="auto"/>
        </w:rPr>
      </w:pPr>
      <w:r>
        <w:rPr>
          <w:rFonts w:ascii="Times New Roman" w:cs="Times New Roman" w:eastAsia="Times New Roman" w:hAnsi="Times New Roman"/>
          <w:sz w:val="22"/>
          <w:szCs w:val="22"/>
          <w:color w:val="auto"/>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right="100"/>
        <w:spacing w:after="0" w:line="253" w:lineRule="auto"/>
        <w:rPr>
          <w:sz w:val="20"/>
          <w:szCs w:val="20"/>
          <w:color w:val="auto"/>
        </w:rPr>
      </w:pPr>
      <w:r>
        <w:rPr>
          <w:rFonts w:ascii="Times New Roman" w:cs="Times New Roman" w:eastAsia="Times New Roman" w:hAnsi="Times New Roman"/>
          <w:sz w:val="21"/>
          <w:szCs w:val="21"/>
          <w:color w:val="auto"/>
        </w:rPr>
        <w:t>Biotechnology Value Fund, L.P. 44 Montgomery St., 40th Floor San Francisco, California 94104 BVF I GP LLC 44 Montgomery St., 40th Floor San Francisco, California 94104 Biotechnology Value Fund II, L.P. 44 Montgomery St.,</w:t>
      </w:r>
    </w:p>
    <w:p>
      <w:pPr>
        <w:spacing w:after="0" w:line="1" w:lineRule="exact"/>
        <w:rPr>
          <w:sz w:val="20"/>
          <w:szCs w:val="20"/>
          <w:color w:val="auto"/>
        </w:rPr>
      </w:pPr>
    </w:p>
    <w:p>
      <w:pPr>
        <w:ind w:left="920" w:right="120" w:hanging="912"/>
        <w:spacing w:after="0" w:line="21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 Citizenship:</w:t>
      </w:r>
    </w:p>
    <w:p>
      <w:pPr>
        <w:spacing w:after="0" w:line="204"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December 31, 2024, the Reporting Persons and a certain Partners managed account ("Partners Managed Account") held tranche 1 warrants (the "T1 Warrants") exercisable for an aggregate of 1,394,310 Shares (or Pre-Funded Warrants in lieu thereof), subject to the T1 Warrants Blocker (as defined below). Each T1 Warrant is exercisable at an exercise price of $5.38 per Share, subject to certain adjustments. The T1 Warrants are exercisable at any time on or after October 4, 2023 and will expire 60 days after the later of (i) the date on which the Issuer first publicly discloses, whether by press release or Form 8-K filing, the top-line data for its PALISADE-3 Phase 3 clinical trial of fasedienol for the acute treatment of anxiety in adults with social anxiety disorder ("SAD") and (ii) the date on which the Issuer first publicly discloses, whether by press release or Form 8-K filing, the top-line data for its PALISADE-4 Phase 3 clinical trial of fasedienol for the acute treatment of anxiety in adults with SAD. However, under the T1 Warrant, the Issuer may not effect the exercise of any T1 Warrant, and a holder thereof will not be entitled to exercise any portion of any T1 Warrant, which, upon giving effect to such exercise, would cause the aggregate number of Shares beneficially owned by the holder of the T1 Warrant (together with its affiliates) to exceed 9.99% of the number of Shares outstanding immediately after giving effect to the exercise (the "T1 Warrants Blocker"). As of the close of business on December 31, 2024, the T1 Warrants Blocker did not limit the exercise of any of the T1 Warrants held by the Reporting Persons and the Partners Managed Account. As of the close of business on December 31, 2024, the Reporting Persons and the Partners Managed Account held tranche 2 warrants (the "T2 Warrants") exercisable for an aggregate of 1,690,014 Shares (or Pre-Funded Warrants in lieu thereof), subject to the</w:t>
      </w:r>
    </w:p>
    <w:p>
      <w:pPr>
        <w:sectPr>
          <w:pgSz w:w="11900" w:h="16839" w:orient="portrait"/>
          <w:cols w:equalWidth="0" w:num="1">
            <w:col w:w="11120"/>
          </w:cols>
          <w:pgMar w:left="360" w:top="111" w:right="419" w:bottom="0" w:gutter="0" w:footer="0" w:header="0"/>
        </w:sectPr>
      </w:pPr>
    </w:p>
    <w:bookmarkStart w:id="9" w:name="page10"/>
    <w:bookmarkEnd w:id="9"/>
    <w:p>
      <w:pPr>
        <w:ind w:left="920" w:right="60"/>
        <w:spacing w:after="0" w:line="243" w:lineRule="auto"/>
        <w:rPr>
          <w:sz w:val="20"/>
          <w:szCs w:val="20"/>
          <w:color w:val="auto"/>
        </w:rPr>
      </w:pPr>
      <w:r>
        <w:rPr>
          <w:rFonts w:ascii="Times New Roman" w:cs="Times New Roman" w:eastAsia="Times New Roman" w:hAnsi="Times New Roman"/>
          <w:sz w:val="21"/>
          <w:szCs w:val="21"/>
          <w:color w:val="auto"/>
        </w:rPr>
        <w:t>T2 Warrants Blocker (as defined below). Each T2 Warrant is exercisable at an exercise price of $8.877 per Share, subject to certain adjustments. The T2 Warrants are exercisable at any time on or after October 4, 2023 and will expire on October 4, 2028. Under the T2 Warrant, the Issuer may not effect the exercise of any T2 Warrant, and a holder thereof will not be entitled to exercise any portion of any T2 Warrant, which, upon giving effect to such exercise, would cause the aggregate number of Shares beneficially owned by the holder of the T2 Warrant (together with its affiliates) to exceed 9.99% of the number of Shares outstanding immediately after giving effect to the exercise (the "T2 Warrants Blocker"). As of the close of business on December 31, 2024, the T2 Warrants Blocker did not limit the exercise of any of the T2 Warrants held by the Reporting Persons and the Partners Managed Account. As of the close of business on December 31, 2024 (i) BVF beneficially owned 1,589,495 Shares, consisting of 718,552 Shares underlying the T1 Warrants held by it and 870,943 Shares underlying the T2 Warrants held by it;</w:t>
      </w:r>
    </w:p>
    <w:p>
      <w:pPr>
        <w:spacing w:after="0" w:line="10" w:lineRule="exact"/>
        <w:rPr>
          <w:sz w:val="20"/>
          <w:szCs w:val="20"/>
          <w:color w:val="auto"/>
        </w:rPr>
      </w:pPr>
    </w:p>
    <w:p>
      <w:pPr>
        <w:ind w:left="920" w:firstLine="6"/>
        <w:spacing w:after="0" w:line="231" w:lineRule="auto"/>
        <w:tabs>
          <w:tab w:leader="none" w:pos="123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BVF2 beneficially owned 1,289,734 Shares, consisting of 583,042 Shares underlying the T1 Warrants held by it and 706,692 Shares underlying the T2 Warrants held by it; and (iii) Trading Fund OS beneficially owned 158,606 Shares, consisting of 71,700 Shares underlying the T1 Warrants held by it and 86,906 Shares underlying the T2 Warrants held by it. BVF GP, as the general partner of BVF, may be deemed to beneficially own the 1,589,495 Shares beneficially owned by BVF. BVF2 GP, as the general partner of BVF2, may be deemed to beneficially own the 1,289,734 Shares beneficially owned by BVF2. Partners OS, as the general partner of Trading Fund OS, may be deemed to beneficially own the 158,606 Shares beneficially owned by Trading Fund OS. BVF GPH, as the sole member of each of BVF GP and BVF2 GP, may be deemed to beneficially own the 2,879,229 Shares beneficially owned in the aggregate by BVF and BVF2. Partners, as the investment manager of BVF, BVF2 and Trading Fund OS, and the sole member of Partners OS, may be deemed to beneficially own the 3,084,324 Shares beneficially owned in the aggregate by BVF, BVF2 and Trading Fund OS and held in the Partners Managed Account, including 46,489 Shares held in the Partners Managed Account, which consists of 21,016 Shares underlying the T1 Warrants held by it, and 25,473 Shares underlying the T2 Warrants held by it. BVF Inc., as the general partner of Partners, may be deemed to beneficially own the 3,084,324 Shares beneficially owned by Partners. Mr. Lampert, as a director and officer of BVF Inc., may be deemed to beneficially own the 3,084,324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8"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The following percentages are based upon a denominator that is the sum of (i) 27,843,466 Shares outstanding as of November 6, 2024, which is the total number of Shares outstanding as reported in the Issuer's Quarterly Report on Form 10-Q filed with the Securities and Exchange Commission on November 7, 2024, (ii) certain or all of the 3,084,324 Shares underlying the T1 Warrants and T2 Warrants in the aggregate held by the Reporting Persons and the Partners Managed Account, as applicable. As of the close of business on December 31, 2024, (i) BVF beneficially</w:t>
      </w:r>
    </w:p>
    <w:p>
      <w:pPr>
        <w:spacing w:after="0" w:line="1" w:lineRule="exact"/>
        <w:rPr>
          <w:sz w:val="20"/>
          <w:szCs w:val="20"/>
          <w:color w:val="auto"/>
        </w:rPr>
      </w:pPr>
    </w:p>
    <w:p>
      <w:pPr>
        <w:ind w:left="920" w:right="60" w:hanging="912"/>
        <w:spacing w:after="0" w:line="232"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approximately 5.4% of the outstanding Shares, (ii) BVF2 beneficially owned approximately 4.4% of the outstanding Shares, (iii) Trading Fund OS beneficially owned less than 1% of the outstanding Shares, (iv) BVF GP may be deemed to beneficially own approximately 5.4% of the outstanding Shares, (v) BVF2 GP may be deemed to beneficially own approximately 4.4% of the outstanding Shares, (vi) Partners OS may be deemed to beneficially own less than 1% of the outstanding Shares, (vii) BVF GPH may be deemed to beneficially own approximately 9.4% of the outstanding Shares, and (viii) each of Partners, BVF Inc. and Mr. Lampert may be deemed to beneficially own approximately 9.97% of the outstanding Shares (less than 1% of the outstanding Shares are held in the Partners Managed Account).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220" w:firstLine="6"/>
        <w:spacing w:after="0" w:line="486" w:lineRule="auto"/>
        <w:tabs>
          <w:tab w:leader="none" w:pos="123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300" w:firstLine="6"/>
        <w:spacing w:after="0" w:line="486" w:lineRule="auto"/>
        <w:tabs>
          <w:tab w:leader="none" w:pos="129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920" w:right="5100" w:firstLine="6"/>
        <w:spacing w:after="0" w:line="486" w:lineRule="auto"/>
        <w:tabs>
          <w:tab w:leader="none" w:pos="128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120"/>
          </w:cols>
          <w:pgMar w:left="360" w:top="111" w:right="41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October 16, 2023.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BVF 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BVF II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ectPr>
          <w:pgSz w:w="11900" w:h="16838" w:orient="portrait"/>
          <w:cols w:equalWidth="0" w:num="1">
            <w:col w:w="11140"/>
          </w:cols>
          <w:pgMar w:left="360" w:top="409" w:right="399" w:bottom="0" w:gutter="0" w:footer="0" w:header="0"/>
          <w:type w:val="continuous"/>
        </w:sectPr>
      </w:pPr>
    </w:p>
    <w:bookmarkStart w:id="11" w:name="page12"/>
    <w:bookmarkEnd w:id="11"/>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BVF INC/IL</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LAMPERT MARK N</w:t>
      </w:r>
    </w:p>
    <w:p>
      <w:pPr>
        <w:spacing w:after="0" w:line="152"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Name/Title: Mark N. Lampert</w:t>
      </w:r>
    </w:p>
    <w:p>
      <w:pPr>
        <w:spacing w:after="0" w:line="44"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2025-02-14T16:00:07Z</dcterms:created>
  <dcterms:modified xsi:type="dcterms:W3CDTF">2025-02-14T16:00:07Z</dcterms:modified>
</cp:coreProperties>
</file>