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23, 2017</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240" w:type="dxa"/>
            <w:vAlign w:val="bottom"/>
          </w:tcPr>
          <w:p>
            <w:pPr>
              <w:jc w:val="center"/>
              <w:ind w:right="332"/>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tcPr>
          <w:p>
            <w:pPr>
              <w:jc w:val="right"/>
              <w:ind w:right="1572"/>
              <w:spacing w:after="0"/>
              <w:rPr>
                <w:sz w:val="20"/>
                <w:szCs w:val="20"/>
                <w:color w:val="auto"/>
              </w:rPr>
            </w:pPr>
            <w:r>
              <w:rPr>
                <w:rFonts w:ascii="Arial" w:cs="Arial" w:eastAsia="Arial" w:hAnsi="Arial"/>
                <w:sz w:val="18"/>
                <w:szCs w:val="18"/>
                <w:b w:val="1"/>
                <w:bCs w:val="1"/>
                <w:color w:val="auto"/>
              </w:rPr>
              <w:t>20-5093315</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color w:val="auto"/>
                <w:w w:val="89"/>
              </w:rPr>
              <w:t>(State or other jurisdiction of</w:t>
            </w:r>
          </w:p>
        </w:tc>
        <w:tc>
          <w:tcPr>
            <w:tcW w:w="4580" w:type="dxa"/>
            <w:vAlign w:val="bottom"/>
          </w:tcPr>
          <w:p>
            <w:pPr>
              <w:jc w:val="center"/>
              <w:ind w:left="332"/>
              <w:spacing w:after="0"/>
              <w:rPr>
                <w:sz w:val="20"/>
                <w:szCs w:val="20"/>
                <w:color w:val="auto"/>
              </w:rPr>
            </w:pPr>
            <w:r>
              <w:rPr>
                <w:rFonts w:ascii="Arial" w:cs="Arial" w:eastAsia="Arial" w:hAnsi="Arial"/>
                <w:sz w:val="18"/>
                <w:szCs w:val="18"/>
                <w:color w:val="auto"/>
                <w:w w:val="90"/>
              </w:rPr>
              <w:t>(I.R.S. Employer</w:t>
            </w:r>
          </w:p>
        </w:tc>
      </w:tr>
      <w:tr>
        <w:trPr>
          <w:trHeight w:val="222"/>
        </w:trPr>
        <w:tc>
          <w:tcPr>
            <w:tcW w:w="4240" w:type="dxa"/>
            <w:vAlign w:val="bottom"/>
          </w:tcPr>
          <w:p>
            <w:pPr>
              <w:jc w:val="center"/>
              <w:ind w:right="332"/>
              <w:spacing w:after="0"/>
              <w:rPr>
                <w:sz w:val="20"/>
                <w:szCs w:val="20"/>
                <w:color w:val="auto"/>
              </w:rPr>
            </w:pPr>
            <w:r>
              <w:rPr>
                <w:rFonts w:ascii="Arial" w:cs="Arial" w:eastAsia="Arial" w:hAnsi="Arial"/>
                <w:sz w:val="18"/>
                <w:szCs w:val="18"/>
                <w:color w:val="auto"/>
                <w:w w:val="89"/>
              </w:rPr>
              <w:t>incorporation or organization)</w:t>
            </w:r>
          </w:p>
        </w:tc>
        <w:tc>
          <w:tcPr>
            <w:tcW w:w="4580" w:type="dxa"/>
            <w:vAlign w:val="bottom"/>
          </w:tcPr>
          <w:p>
            <w:pPr>
              <w:jc w:val="center"/>
              <w:ind w:left="35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4240" w:type="dxa"/>
            <w:vAlign w:val="bottom"/>
          </w:tcPr>
          <w:p>
            <w:pPr>
              <w:spacing w:after="0"/>
              <w:rPr>
                <w:sz w:val="24"/>
                <w:szCs w:val="24"/>
                <w:color w:val="auto"/>
              </w:rPr>
            </w:pPr>
          </w:p>
        </w:tc>
        <w:tc>
          <w:tcPr>
            <w:tcW w:w="4580" w:type="dxa"/>
            <w:vAlign w:val="bottom"/>
          </w:tcPr>
          <w:p>
            <w:pPr>
              <w:jc w:val="center"/>
              <w:ind w:left="332"/>
              <w:spacing w:after="0"/>
              <w:rPr>
                <w:sz w:val="20"/>
                <w:szCs w:val="20"/>
                <w:color w:val="auto"/>
              </w:rPr>
            </w:pPr>
            <w:r>
              <w:rPr>
                <w:rFonts w:ascii="Arial" w:cs="Arial" w:eastAsia="Arial" w:hAnsi="Arial"/>
                <w:sz w:val="18"/>
                <w:szCs w:val="18"/>
                <w:b w:val="1"/>
                <w:bCs w:val="1"/>
                <w:color w:val="auto"/>
                <w:w w:val="88"/>
              </w:rPr>
              <w:t>Shawn K. Singh</w:t>
            </w:r>
          </w:p>
        </w:tc>
      </w:tr>
      <w:tr>
        <w:trPr>
          <w:trHeight w:val="216"/>
        </w:trPr>
        <w:tc>
          <w:tcPr>
            <w:tcW w:w="4240" w:type="dxa"/>
            <w:vAlign w:val="bottom"/>
          </w:tcPr>
          <w:p>
            <w:pPr>
              <w:spacing w:after="0"/>
              <w:rPr>
                <w:sz w:val="18"/>
                <w:szCs w:val="18"/>
                <w:color w:val="auto"/>
              </w:rPr>
            </w:pPr>
          </w:p>
        </w:tc>
        <w:tc>
          <w:tcPr>
            <w:tcW w:w="4580" w:type="dxa"/>
            <w:vAlign w:val="bottom"/>
          </w:tcPr>
          <w:p>
            <w:pPr>
              <w:jc w:val="center"/>
              <w:ind w:left="332"/>
              <w:spacing w:after="0"/>
              <w:rPr>
                <w:sz w:val="20"/>
                <w:szCs w:val="20"/>
                <w:color w:val="auto"/>
              </w:rPr>
            </w:pPr>
            <w:r>
              <w:rPr>
                <w:rFonts w:ascii="Arial" w:cs="Arial" w:eastAsia="Arial" w:hAnsi="Arial"/>
                <w:sz w:val="18"/>
                <w:szCs w:val="18"/>
                <w:b w:val="1"/>
                <w:bCs w:val="1"/>
                <w:color w:val="auto"/>
                <w:w w:val="89"/>
              </w:rPr>
              <w:t>Chief Executive Officer</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VistaGen Therapeutics, Inc.</w:t>
            </w:r>
          </w:p>
        </w:tc>
        <w:tc>
          <w:tcPr>
            <w:tcW w:w="4580" w:type="dxa"/>
            <w:vAlign w:val="bottom"/>
          </w:tcPr>
          <w:p>
            <w:pPr>
              <w:jc w:val="center"/>
              <w:ind w:left="332"/>
              <w:spacing w:after="0"/>
              <w:rPr>
                <w:sz w:val="20"/>
                <w:szCs w:val="20"/>
                <w:color w:val="auto"/>
              </w:rPr>
            </w:pPr>
            <w:r>
              <w:rPr>
                <w:rFonts w:ascii="Arial" w:cs="Arial" w:eastAsia="Arial" w:hAnsi="Arial"/>
                <w:sz w:val="18"/>
                <w:szCs w:val="18"/>
                <w:b w:val="1"/>
                <w:bCs w:val="1"/>
                <w:color w:val="auto"/>
                <w:w w:val="88"/>
              </w:rPr>
              <w:t>c/o VistaGen Therapeutics, Inc.</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343 Allerton Avenue</w:t>
            </w:r>
          </w:p>
        </w:tc>
        <w:tc>
          <w:tcPr>
            <w:tcW w:w="458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343 Allerton Avenue</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4580" w:type="dxa"/>
            <w:vAlign w:val="bottom"/>
          </w:tcPr>
          <w:p>
            <w:pPr>
              <w:jc w:val="center"/>
              <w:ind w:left="332"/>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22"/>
        </w:trPr>
        <w:tc>
          <w:tcPr>
            <w:tcW w:w="42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(650) 577-3600</w:t>
            </w:r>
          </w:p>
        </w:tc>
        <w:tc>
          <w:tcPr>
            <w:tcW w:w="4580" w:type="dxa"/>
            <w:vAlign w:val="bottom"/>
          </w:tcPr>
          <w:p>
            <w:pPr>
              <w:jc w:val="right"/>
              <w:ind w:right="1432"/>
              <w:spacing w:after="0"/>
              <w:rPr>
                <w:sz w:val="20"/>
                <w:szCs w:val="20"/>
                <w:color w:val="auto"/>
              </w:rPr>
            </w:pPr>
            <w:r>
              <w:rPr>
                <w:rFonts w:ascii="Arial" w:cs="Arial" w:eastAsia="Arial" w:hAnsi="Arial"/>
                <w:sz w:val="18"/>
                <w:szCs w:val="18"/>
                <w:b w:val="1"/>
                <w:bCs w:val="1"/>
                <w:color w:val="auto"/>
              </w:rPr>
              <w:t>(650) 577-3600</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color w:val="auto"/>
                <w:w w:val="88"/>
              </w:rPr>
              <w:t>(Address, including zip code, and telephone number,</w:t>
            </w:r>
          </w:p>
        </w:tc>
        <w:tc>
          <w:tcPr>
            <w:tcW w:w="4580" w:type="dxa"/>
            <w:vAlign w:val="bottom"/>
          </w:tcPr>
          <w:p>
            <w:pPr>
              <w:jc w:val="center"/>
              <w:ind w:left="332"/>
              <w:spacing w:after="0"/>
              <w:rPr>
                <w:sz w:val="20"/>
                <w:szCs w:val="20"/>
                <w:color w:val="auto"/>
              </w:rPr>
            </w:pPr>
            <w:r>
              <w:rPr>
                <w:rFonts w:ascii="Arial" w:cs="Arial" w:eastAsia="Arial" w:hAnsi="Arial"/>
                <w:sz w:val="18"/>
                <w:szCs w:val="18"/>
                <w:color w:val="auto"/>
                <w:w w:val="87"/>
              </w:rPr>
              <w:t>(Name, address, including zip code, and telephone number,</w:t>
            </w:r>
          </w:p>
        </w:tc>
      </w:tr>
      <w:tr>
        <w:trPr>
          <w:trHeight w:val="216"/>
        </w:trPr>
        <w:tc>
          <w:tcPr>
            <w:tcW w:w="4240" w:type="dxa"/>
            <w:vAlign w:val="bottom"/>
          </w:tcPr>
          <w:p>
            <w:pPr>
              <w:jc w:val="center"/>
              <w:ind w:right="332"/>
              <w:spacing w:after="0"/>
              <w:rPr>
                <w:sz w:val="20"/>
                <w:szCs w:val="20"/>
                <w:color w:val="auto"/>
              </w:rPr>
            </w:pPr>
            <w:r>
              <w:rPr>
                <w:rFonts w:ascii="Arial" w:cs="Arial" w:eastAsia="Arial" w:hAnsi="Arial"/>
                <w:sz w:val="18"/>
                <w:szCs w:val="18"/>
                <w:color w:val="auto"/>
                <w:w w:val="88"/>
              </w:rPr>
              <w:t>including area code of Registrant’s principal executive</w:t>
            </w:r>
          </w:p>
        </w:tc>
        <w:tc>
          <w:tcPr>
            <w:tcW w:w="4580" w:type="dxa"/>
            <w:vAlign w:val="bottom"/>
          </w:tcPr>
          <w:p>
            <w:pPr>
              <w:jc w:val="center"/>
              <w:ind w:left="332"/>
              <w:spacing w:after="0"/>
              <w:rPr>
                <w:sz w:val="20"/>
                <w:szCs w:val="20"/>
                <w:color w:val="auto"/>
              </w:rPr>
            </w:pPr>
            <w:r>
              <w:rPr>
                <w:rFonts w:ascii="Arial" w:cs="Arial" w:eastAsia="Arial" w:hAnsi="Arial"/>
                <w:sz w:val="18"/>
                <w:szCs w:val="18"/>
                <w:color w:val="auto"/>
                <w:w w:val="88"/>
              </w:rPr>
              <w:t>including area code, of agent for service)</w:t>
            </w:r>
          </w:p>
        </w:tc>
      </w:tr>
      <w:tr>
        <w:trPr>
          <w:trHeight w:val="222"/>
        </w:trPr>
        <w:tc>
          <w:tcPr>
            <w:tcW w:w="4240" w:type="dxa"/>
            <w:vAlign w:val="bottom"/>
          </w:tcPr>
          <w:p>
            <w:pPr>
              <w:jc w:val="center"/>
              <w:ind w:right="332"/>
              <w:spacing w:after="0"/>
              <w:rPr>
                <w:sz w:val="20"/>
                <w:szCs w:val="20"/>
                <w:color w:val="auto"/>
              </w:rPr>
            </w:pPr>
            <w:r>
              <w:rPr>
                <w:rFonts w:ascii="Arial" w:cs="Arial" w:eastAsia="Arial" w:hAnsi="Arial"/>
                <w:sz w:val="18"/>
                <w:szCs w:val="18"/>
                <w:color w:val="auto"/>
                <w:w w:val="91"/>
              </w:rPr>
              <w:t>offices),</w:t>
            </w:r>
          </w:p>
        </w:tc>
        <w:tc>
          <w:tcPr>
            <w:tcW w:w="458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public)</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including all communications sent to the agent for service, should be sent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Daniel W. Rumsey, Esq.</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Disclosure Law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 W. Broadway,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(619) 795-1134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of the Securities Act of 1933, other than securities offered only in connection with dividend or interest reinvestment plans,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please check the following box.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please check the following box. [ ]</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350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2520" w:type="dxa"/>
            <w:vAlign w:val="bottom"/>
          </w:tcPr>
          <w:p>
            <w:pPr>
              <w:ind w:left="900"/>
              <w:spacing w:after="0"/>
              <w:rPr>
                <w:sz w:val="20"/>
                <w:szCs w:val="20"/>
                <w:color w:val="auto"/>
              </w:rPr>
            </w:pPr>
            <w:r>
              <w:rPr>
                <w:rFonts w:ascii="Arial" w:cs="Arial" w:eastAsia="Arial" w:hAnsi="Arial"/>
                <w:sz w:val="18"/>
                <w:szCs w:val="18"/>
                <w:color w:val="auto"/>
              </w:rPr>
              <w:t>[ ]</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350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2520" w:type="dxa"/>
            <w:vAlign w:val="bottom"/>
          </w:tcPr>
          <w:p>
            <w:pPr>
              <w:ind w:left="900"/>
              <w:spacing w:after="0"/>
              <w:rPr>
                <w:sz w:val="20"/>
                <w:szCs w:val="20"/>
                <w:color w:val="auto"/>
              </w:rPr>
            </w:pPr>
            <w:r>
              <w:rPr>
                <w:rFonts w:ascii="Arial" w:cs="Arial" w:eastAsia="Arial" w:hAnsi="Arial"/>
                <w:sz w:val="18"/>
                <w:szCs w:val="18"/>
                <w:color w:val="auto"/>
              </w:rPr>
              <w:t>[X]</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8"/>
        </w:trPr>
        <w:tc>
          <w:tcPr>
            <w:tcW w:w="3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r>
      <w:tr>
        <w:trPr>
          <w:trHeight w:val="304"/>
        </w:trPr>
        <w:tc>
          <w:tcPr>
            <w:tcW w:w="3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4480" w:type="dxa"/>
            <w:vAlign w:val="bottom"/>
            <w:gridSpan w:val="2"/>
          </w:tcPr>
          <w:p>
            <w:pPr>
              <w:jc w:val="right"/>
              <w:ind w:right="1028"/>
              <w:spacing w:after="0"/>
              <w:rPr>
                <w:sz w:val="20"/>
                <w:szCs w:val="20"/>
                <w:color w:val="auto"/>
              </w:rPr>
            </w:pPr>
            <w:r>
              <w:rPr>
                <w:rFonts w:ascii="Arial" w:cs="Arial" w:eastAsia="Arial" w:hAnsi="Arial"/>
                <w:sz w:val="18"/>
                <w:szCs w:val="18"/>
                <w:b w:val="1"/>
                <w:bCs w:val="1"/>
                <w:color w:val="auto"/>
                <w:w w:val="98"/>
              </w:rPr>
              <w:t>CALCULATION OF REGISTRATION FEE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184"/>
              <w:spacing w:after="0"/>
              <w:rPr>
                <w:sz w:val="20"/>
                <w:szCs w:val="20"/>
                <w:color w:val="auto"/>
              </w:rPr>
            </w:pPr>
            <w:r>
              <w:rPr>
                <w:rFonts w:ascii="Arial" w:cs="Arial" w:eastAsia="Arial" w:hAnsi="Arial"/>
                <w:sz w:val="18"/>
                <w:szCs w:val="18"/>
                <w:b w:val="1"/>
                <w:bCs w:val="1"/>
                <w:color w:val="auto"/>
                <w:w w:val="84"/>
              </w:rPr>
              <w:t>Proposed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20" w:type="dxa"/>
            <w:vAlign w:val="bottom"/>
          </w:tcPr>
          <w:p>
            <w:pPr>
              <w:jc w:val="center"/>
              <w:ind w:left="8"/>
              <w:spacing w:after="0"/>
              <w:rPr>
                <w:sz w:val="20"/>
                <w:szCs w:val="20"/>
                <w:color w:val="auto"/>
              </w:rPr>
            </w:pPr>
            <w:r>
              <w:rPr>
                <w:rFonts w:ascii="Arial" w:cs="Arial" w:eastAsia="Arial" w:hAnsi="Arial"/>
                <w:sz w:val="18"/>
                <w:szCs w:val="18"/>
                <w:b w:val="1"/>
                <w:bCs w:val="1"/>
                <w:color w:val="auto"/>
                <w:w w:val="84"/>
              </w:rPr>
              <w:t>Proposed</w:t>
            </w:r>
          </w:p>
        </w:tc>
        <w:tc>
          <w:tcPr>
            <w:tcW w:w="300" w:type="dxa"/>
            <w:vAlign w:val="bottom"/>
          </w:tcPr>
          <w:p>
            <w:pPr>
              <w:spacing w:after="0"/>
              <w:rPr>
                <w:sz w:val="18"/>
                <w:szCs w:val="18"/>
                <w:color w:val="auto"/>
              </w:rPr>
            </w:pPr>
          </w:p>
        </w:tc>
        <w:tc>
          <w:tcPr>
            <w:tcW w:w="1200" w:type="dxa"/>
            <w:vAlign w:val="bottom"/>
          </w:tcPr>
          <w:p>
            <w:pPr>
              <w:jc w:val="center"/>
              <w:ind w:right="184"/>
              <w:spacing w:after="0"/>
              <w:rPr>
                <w:sz w:val="20"/>
                <w:szCs w:val="20"/>
                <w:color w:val="auto"/>
              </w:rPr>
            </w:pPr>
            <w:r>
              <w:rPr>
                <w:rFonts w:ascii="Arial" w:cs="Arial" w:eastAsia="Arial" w:hAnsi="Arial"/>
                <w:sz w:val="18"/>
                <w:szCs w:val="18"/>
                <w:b w:val="1"/>
                <w:bCs w:val="1"/>
                <w:color w:val="auto"/>
                <w:w w:val="93"/>
              </w:rPr>
              <w:t>Maximum</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20" w:type="dxa"/>
            <w:vAlign w:val="bottom"/>
          </w:tcPr>
          <w:p>
            <w:pPr>
              <w:jc w:val="center"/>
              <w:ind w:left="8"/>
              <w:spacing w:after="0"/>
              <w:rPr>
                <w:sz w:val="20"/>
                <w:szCs w:val="20"/>
                <w:color w:val="auto"/>
              </w:rPr>
            </w:pPr>
            <w:r>
              <w:rPr>
                <w:rFonts w:ascii="Arial" w:cs="Arial" w:eastAsia="Arial" w:hAnsi="Arial"/>
                <w:sz w:val="18"/>
                <w:szCs w:val="18"/>
                <w:b w:val="1"/>
                <w:bCs w:val="1"/>
                <w:color w:val="auto"/>
                <w:w w:val="93"/>
              </w:rPr>
              <w:t>Maximum</w:t>
            </w:r>
          </w:p>
        </w:tc>
        <w:tc>
          <w:tcPr>
            <w:tcW w:w="300" w:type="dxa"/>
            <w:vAlign w:val="bottom"/>
          </w:tcPr>
          <w:p>
            <w:pPr>
              <w:spacing w:after="0"/>
              <w:rPr>
                <w:sz w:val="18"/>
                <w:szCs w:val="18"/>
                <w:color w:val="auto"/>
              </w:rPr>
            </w:pPr>
          </w:p>
        </w:tc>
        <w:tc>
          <w:tcPr>
            <w:tcW w:w="1200" w:type="dxa"/>
            <w:vAlign w:val="bottom"/>
          </w:tcPr>
          <w:p>
            <w:pPr>
              <w:jc w:val="center"/>
              <w:ind w:right="244"/>
              <w:spacing w:after="0"/>
              <w:rPr>
                <w:sz w:val="20"/>
                <w:szCs w:val="20"/>
                <w:color w:val="auto"/>
              </w:rPr>
            </w:pPr>
            <w:r>
              <w:rPr>
                <w:rFonts w:ascii="Arial" w:cs="Arial" w:eastAsia="Arial" w:hAnsi="Arial"/>
                <w:sz w:val="18"/>
                <w:szCs w:val="18"/>
                <w:b w:val="1"/>
                <w:bCs w:val="1"/>
                <w:color w:val="auto"/>
                <w:w w:val="85"/>
              </w:rPr>
              <w:t>Aggregate</w:t>
            </w:r>
          </w:p>
        </w:tc>
        <w:tc>
          <w:tcPr>
            <w:tcW w:w="220" w:type="dxa"/>
            <w:vAlign w:val="bottom"/>
          </w:tcPr>
          <w:p>
            <w:pPr>
              <w:spacing w:after="0"/>
              <w:rPr>
                <w:sz w:val="18"/>
                <w:szCs w:val="18"/>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16"/>
        </w:trPr>
        <w:tc>
          <w:tcPr>
            <w:tcW w:w="4040" w:type="dxa"/>
            <w:vAlign w:val="bottom"/>
          </w:tcPr>
          <w:p>
            <w:pPr>
              <w:ind w:left="1560"/>
              <w:spacing w:after="0"/>
              <w:rPr>
                <w:sz w:val="20"/>
                <w:szCs w:val="20"/>
                <w:color w:val="auto"/>
              </w:rPr>
            </w:pPr>
            <w:r>
              <w:rPr>
                <w:rFonts w:ascii="Arial" w:cs="Arial" w:eastAsia="Arial" w:hAnsi="Arial"/>
                <w:sz w:val="18"/>
                <w:szCs w:val="18"/>
                <w:b w:val="1"/>
                <w:bCs w:val="1"/>
                <w:color w:val="auto"/>
                <w:w w:val="85"/>
              </w:rPr>
              <w:t>Title of each class of securities to</w:t>
            </w:r>
          </w:p>
        </w:tc>
        <w:tc>
          <w:tcPr>
            <w:tcW w:w="30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 to be</w:t>
            </w:r>
          </w:p>
        </w:tc>
        <w:tc>
          <w:tcPr>
            <w:tcW w:w="1420" w:type="dxa"/>
            <w:vAlign w:val="bottom"/>
          </w:tcPr>
          <w:p>
            <w:pPr>
              <w:jc w:val="center"/>
              <w:ind w:left="28"/>
              <w:spacing w:after="0"/>
              <w:rPr>
                <w:sz w:val="20"/>
                <w:szCs w:val="20"/>
                <w:color w:val="auto"/>
              </w:rPr>
            </w:pPr>
            <w:r>
              <w:rPr>
                <w:rFonts w:ascii="Arial" w:cs="Arial" w:eastAsia="Arial" w:hAnsi="Arial"/>
                <w:sz w:val="18"/>
                <w:szCs w:val="18"/>
                <w:b w:val="1"/>
                <w:bCs w:val="1"/>
                <w:color w:val="auto"/>
                <w:w w:val="90"/>
              </w:rPr>
              <w:t>Offering Price</w:t>
            </w:r>
          </w:p>
        </w:tc>
        <w:tc>
          <w:tcPr>
            <w:tcW w:w="300" w:type="dxa"/>
            <w:vAlign w:val="bottom"/>
          </w:tcPr>
          <w:p>
            <w:pPr>
              <w:spacing w:after="0"/>
              <w:rPr>
                <w:sz w:val="18"/>
                <w:szCs w:val="18"/>
                <w:color w:val="auto"/>
              </w:rPr>
            </w:pPr>
          </w:p>
        </w:tc>
        <w:tc>
          <w:tcPr>
            <w:tcW w:w="12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Offering</w:t>
            </w:r>
          </w:p>
        </w:tc>
        <w:tc>
          <w:tcPr>
            <w:tcW w:w="220" w:type="dxa"/>
            <w:vAlign w:val="bottom"/>
          </w:tcPr>
          <w:p>
            <w:pPr>
              <w:spacing w:after="0"/>
              <w:rPr>
                <w:sz w:val="18"/>
                <w:szCs w:val="18"/>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Registration</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be registered</w:t>
            </w:r>
          </w:p>
        </w:tc>
        <w:tc>
          <w:tcPr>
            <w:tcW w:w="3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Registered</w:t>
            </w:r>
          </w:p>
        </w:tc>
        <w:tc>
          <w:tcPr>
            <w:tcW w:w="1420" w:type="dxa"/>
            <w:vAlign w:val="bottom"/>
            <w:tcBorders>
              <w:bottom w:val="single" w:sz="8" w:color="auto"/>
            </w:tcBorders>
          </w:tcPr>
          <w:p>
            <w:pPr>
              <w:jc w:val="center"/>
              <w:ind w:left="28"/>
              <w:spacing w:after="0"/>
              <w:rPr>
                <w:sz w:val="20"/>
                <w:szCs w:val="20"/>
                <w:color w:val="auto"/>
              </w:rPr>
            </w:pPr>
            <w:r>
              <w:rPr>
                <w:rFonts w:ascii="Arial" w:cs="Arial" w:eastAsia="Arial" w:hAnsi="Arial"/>
                <w:sz w:val="18"/>
                <w:szCs w:val="18"/>
                <w:b w:val="1"/>
                <w:bCs w:val="1"/>
                <w:color w:val="auto"/>
                <w:w w:val="92"/>
              </w:rPr>
              <w:t>Per Unit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84"/>
              <w:spacing w:after="0"/>
              <w:rPr>
                <w:sz w:val="20"/>
                <w:szCs w:val="20"/>
                <w:color w:val="auto"/>
              </w:rPr>
            </w:pPr>
            <w:r>
              <w:rPr>
                <w:rFonts w:ascii="Arial" w:cs="Arial" w:eastAsia="Arial" w:hAnsi="Arial"/>
                <w:sz w:val="18"/>
                <w:szCs w:val="18"/>
                <w:b w:val="1"/>
                <w:bCs w:val="1"/>
                <w:color w:val="auto"/>
                <w:w w:val="86"/>
              </w:rPr>
              <w:t>Price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Fee (3)</w:t>
            </w:r>
          </w:p>
        </w:tc>
        <w:tc>
          <w:tcPr>
            <w:tcW w:w="0" w:type="dxa"/>
            <w:vAlign w:val="bottom"/>
          </w:tcPr>
          <w:p>
            <w:pPr>
              <w:spacing w:after="0"/>
              <w:rPr>
                <w:sz w:val="1"/>
                <w:szCs w:val="1"/>
                <w:color w:val="auto"/>
              </w:rPr>
            </w:pPr>
          </w:p>
        </w:tc>
      </w:tr>
      <w:tr>
        <w:trPr>
          <w:trHeight w:val="156"/>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3060" w:type="dxa"/>
            <w:vAlign w:val="bottom"/>
            <w:vMerge w:val="restart"/>
            <w:shd w:val="clear" w:color="auto" w:fill="CCEEFF"/>
          </w:tcPr>
          <w:p>
            <w:pPr>
              <w:jc w:val="right"/>
              <w:ind w:right="530"/>
              <w:spacing w:after="0"/>
              <w:rPr>
                <w:sz w:val="20"/>
                <w:szCs w:val="20"/>
                <w:color w:val="auto"/>
              </w:rPr>
            </w:pPr>
            <w:r>
              <w:rPr>
                <w:rFonts w:ascii="Arial" w:cs="Arial" w:eastAsia="Arial" w:hAnsi="Arial"/>
                <w:sz w:val="12"/>
                <w:szCs w:val="12"/>
                <w:color w:val="auto"/>
              </w:rPr>
              <w:t>(1)</w:t>
            </w:r>
          </w:p>
        </w:tc>
        <w:tc>
          <w:tcPr>
            <w:tcW w:w="142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(2)</w:t>
            </w: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524"/>
              <w:spacing w:after="0"/>
              <w:rPr>
                <w:sz w:val="20"/>
                <w:szCs w:val="20"/>
                <w:color w:val="auto"/>
              </w:rPr>
            </w:pPr>
            <w:r>
              <w:rPr>
                <w:rFonts w:ascii="Arial" w:cs="Arial" w:eastAsia="Arial" w:hAnsi="Arial"/>
                <w:sz w:val="12"/>
                <w:szCs w:val="12"/>
                <w:color w:val="auto"/>
              </w:rPr>
              <w:t>(2)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040" w:type="dxa"/>
            <w:vAlign w:val="bottom"/>
            <w:vMerge w:val="continue"/>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40" w:type="dxa"/>
            <w:vAlign w:val="bottom"/>
            <w:vMerge w:val="restart"/>
          </w:tcPr>
          <w:p>
            <w:pPr>
              <w:spacing w:after="0"/>
              <w:rPr>
                <w:sz w:val="20"/>
                <w:szCs w:val="20"/>
                <w:color w:val="auto"/>
              </w:rPr>
            </w:pPr>
            <w:r>
              <w:rPr>
                <w:rFonts w:ascii="Arial" w:cs="Arial" w:eastAsia="Arial" w:hAnsi="Arial"/>
                <w:sz w:val="18"/>
                <w:szCs w:val="18"/>
                <w:color w:val="auto"/>
              </w:rPr>
              <w:t>Preferred Stock, par value $0.001 per share</w:t>
            </w:r>
          </w:p>
        </w:tc>
        <w:tc>
          <w:tcPr>
            <w:tcW w:w="3060" w:type="dxa"/>
            <w:vAlign w:val="bottom"/>
            <w:vMerge w:val="restart"/>
          </w:tcPr>
          <w:p>
            <w:pPr>
              <w:jc w:val="right"/>
              <w:ind w:right="530"/>
              <w:spacing w:after="0"/>
              <w:rPr>
                <w:sz w:val="20"/>
                <w:szCs w:val="20"/>
                <w:color w:val="auto"/>
              </w:rPr>
            </w:pPr>
            <w:r>
              <w:rPr>
                <w:rFonts w:ascii="Arial" w:cs="Arial" w:eastAsia="Arial" w:hAnsi="Arial"/>
                <w:sz w:val="12"/>
                <w:szCs w:val="12"/>
                <w:color w:val="auto"/>
              </w:rPr>
              <w:t>(1)</w:t>
            </w:r>
          </w:p>
        </w:tc>
        <w:tc>
          <w:tcPr>
            <w:tcW w:w="1420" w:type="dxa"/>
            <w:vAlign w:val="bottom"/>
          </w:tcPr>
          <w:p>
            <w:pPr>
              <w:jc w:val="right"/>
              <w:ind w:right="468"/>
              <w:spacing w:after="0"/>
              <w:rPr>
                <w:sz w:val="20"/>
                <w:szCs w:val="20"/>
                <w:color w:val="auto"/>
              </w:rPr>
            </w:pPr>
            <w:r>
              <w:rPr>
                <w:rFonts w:ascii="Arial" w:cs="Arial" w:eastAsia="Arial" w:hAnsi="Arial"/>
                <w:sz w:val="12"/>
                <w:szCs w:val="12"/>
                <w:color w:val="auto"/>
              </w:rPr>
              <w:t>(2)</w:t>
            </w:r>
          </w:p>
        </w:tc>
        <w:tc>
          <w:tcPr>
            <w:tcW w:w="300" w:type="dxa"/>
            <w:vAlign w:val="bottom"/>
          </w:tcPr>
          <w:p>
            <w:pPr>
              <w:spacing w:after="0"/>
              <w:rPr>
                <w:sz w:val="13"/>
                <w:szCs w:val="13"/>
                <w:color w:val="auto"/>
              </w:rPr>
            </w:pPr>
          </w:p>
        </w:tc>
        <w:tc>
          <w:tcPr>
            <w:tcW w:w="1200" w:type="dxa"/>
            <w:vAlign w:val="bottom"/>
            <w:vMerge w:val="restart"/>
          </w:tcPr>
          <w:p>
            <w:pPr>
              <w:jc w:val="right"/>
              <w:ind w:right="524"/>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04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3060" w:type="dxa"/>
            <w:vAlign w:val="bottom"/>
            <w:vMerge w:val="restart"/>
            <w:shd w:val="clear" w:color="auto" w:fill="CCEEFF"/>
          </w:tcPr>
          <w:p>
            <w:pPr>
              <w:jc w:val="right"/>
              <w:ind w:right="530"/>
              <w:spacing w:after="0"/>
              <w:rPr>
                <w:sz w:val="20"/>
                <w:szCs w:val="20"/>
                <w:color w:val="auto"/>
              </w:rPr>
            </w:pPr>
            <w:r>
              <w:rPr>
                <w:rFonts w:ascii="Arial" w:cs="Arial" w:eastAsia="Arial" w:hAnsi="Arial"/>
                <w:sz w:val="12"/>
                <w:szCs w:val="12"/>
                <w:color w:val="auto"/>
              </w:rPr>
              <w:t>(1)</w:t>
            </w:r>
          </w:p>
        </w:tc>
        <w:tc>
          <w:tcPr>
            <w:tcW w:w="142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(2)</w:t>
            </w: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524"/>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040" w:type="dxa"/>
            <w:vAlign w:val="bottom"/>
            <w:vMerge w:val="continue"/>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40" w:type="dxa"/>
            <w:vAlign w:val="bottom"/>
            <w:vMerge w:val="restart"/>
          </w:tcPr>
          <w:p>
            <w:pPr>
              <w:spacing w:after="0"/>
              <w:rPr>
                <w:sz w:val="20"/>
                <w:szCs w:val="20"/>
                <w:color w:val="auto"/>
              </w:rPr>
            </w:pPr>
            <w:r>
              <w:rPr>
                <w:rFonts w:ascii="Arial" w:cs="Arial" w:eastAsia="Arial" w:hAnsi="Arial"/>
                <w:sz w:val="18"/>
                <w:szCs w:val="18"/>
                <w:color w:val="auto"/>
              </w:rPr>
              <w:t>Warrants</w:t>
            </w:r>
          </w:p>
        </w:tc>
        <w:tc>
          <w:tcPr>
            <w:tcW w:w="3060" w:type="dxa"/>
            <w:vAlign w:val="bottom"/>
            <w:vMerge w:val="restart"/>
          </w:tcPr>
          <w:p>
            <w:pPr>
              <w:jc w:val="right"/>
              <w:ind w:right="530"/>
              <w:spacing w:after="0"/>
              <w:rPr>
                <w:sz w:val="20"/>
                <w:szCs w:val="20"/>
                <w:color w:val="auto"/>
              </w:rPr>
            </w:pPr>
            <w:r>
              <w:rPr>
                <w:rFonts w:ascii="Arial" w:cs="Arial" w:eastAsia="Arial" w:hAnsi="Arial"/>
                <w:sz w:val="12"/>
                <w:szCs w:val="12"/>
                <w:color w:val="auto"/>
              </w:rPr>
              <w:t>(1)</w:t>
            </w:r>
          </w:p>
        </w:tc>
        <w:tc>
          <w:tcPr>
            <w:tcW w:w="1420" w:type="dxa"/>
            <w:vAlign w:val="bottom"/>
          </w:tcPr>
          <w:p>
            <w:pPr>
              <w:jc w:val="right"/>
              <w:ind w:right="468"/>
              <w:spacing w:after="0"/>
              <w:rPr>
                <w:sz w:val="20"/>
                <w:szCs w:val="20"/>
                <w:color w:val="auto"/>
              </w:rPr>
            </w:pPr>
            <w:r>
              <w:rPr>
                <w:rFonts w:ascii="Arial" w:cs="Arial" w:eastAsia="Arial" w:hAnsi="Arial"/>
                <w:sz w:val="12"/>
                <w:szCs w:val="12"/>
                <w:color w:val="auto"/>
              </w:rPr>
              <w:t>(2)</w:t>
            </w:r>
          </w:p>
        </w:tc>
        <w:tc>
          <w:tcPr>
            <w:tcW w:w="300" w:type="dxa"/>
            <w:vAlign w:val="bottom"/>
          </w:tcPr>
          <w:p>
            <w:pPr>
              <w:spacing w:after="0"/>
              <w:rPr>
                <w:sz w:val="13"/>
                <w:szCs w:val="13"/>
                <w:color w:val="auto"/>
              </w:rPr>
            </w:pPr>
          </w:p>
        </w:tc>
        <w:tc>
          <w:tcPr>
            <w:tcW w:w="1200" w:type="dxa"/>
            <w:vAlign w:val="bottom"/>
            <w:vMerge w:val="restart"/>
          </w:tcPr>
          <w:p>
            <w:pPr>
              <w:jc w:val="right"/>
              <w:ind w:right="524"/>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04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Units</w:t>
            </w:r>
          </w:p>
        </w:tc>
        <w:tc>
          <w:tcPr>
            <w:tcW w:w="3060" w:type="dxa"/>
            <w:vAlign w:val="bottom"/>
            <w:vMerge w:val="restart"/>
            <w:shd w:val="clear" w:color="auto" w:fill="CCEEFF"/>
          </w:tcPr>
          <w:p>
            <w:pPr>
              <w:jc w:val="right"/>
              <w:ind w:right="530"/>
              <w:spacing w:after="0"/>
              <w:rPr>
                <w:sz w:val="20"/>
                <w:szCs w:val="20"/>
                <w:color w:val="auto"/>
              </w:rPr>
            </w:pPr>
            <w:r>
              <w:rPr>
                <w:rFonts w:ascii="Arial" w:cs="Arial" w:eastAsia="Arial" w:hAnsi="Arial"/>
                <w:sz w:val="12"/>
                <w:szCs w:val="12"/>
                <w:color w:val="auto"/>
              </w:rPr>
              <w:t>(1)</w:t>
            </w:r>
          </w:p>
        </w:tc>
        <w:tc>
          <w:tcPr>
            <w:tcW w:w="142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(2)</w:t>
            </w: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524"/>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040" w:type="dxa"/>
            <w:vAlign w:val="bottom"/>
            <w:vMerge w:val="continue"/>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060" w:type="dxa"/>
            <w:vAlign w:val="bottom"/>
            <w:vMerge w:val="restart"/>
          </w:tcPr>
          <w:p>
            <w:pPr>
              <w:jc w:val="right"/>
              <w:ind w:right="530"/>
              <w:spacing w:after="0"/>
              <w:rPr>
                <w:sz w:val="20"/>
                <w:szCs w:val="20"/>
                <w:color w:val="auto"/>
              </w:rPr>
            </w:pPr>
            <w:r>
              <w:rPr>
                <w:rFonts w:ascii="Arial" w:cs="Arial" w:eastAsia="Arial" w:hAnsi="Arial"/>
                <w:sz w:val="12"/>
                <w:szCs w:val="12"/>
                <w:b w:val="1"/>
                <w:bCs w:val="1"/>
                <w:color w:val="auto"/>
              </w:rPr>
              <w:t>(1)</w:t>
            </w:r>
          </w:p>
        </w:tc>
        <w:tc>
          <w:tcPr>
            <w:tcW w:w="1420" w:type="dxa"/>
            <w:vAlign w:val="bottom"/>
          </w:tcPr>
          <w:p>
            <w:pPr>
              <w:jc w:val="right"/>
              <w:ind w:right="468"/>
              <w:spacing w:after="0"/>
              <w:rPr>
                <w:sz w:val="20"/>
                <w:szCs w:val="20"/>
                <w:color w:val="auto"/>
              </w:rPr>
            </w:pPr>
            <w:r>
              <w:rPr>
                <w:rFonts w:ascii="Arial" w:cs="Arial" w:eastAsia="Arial" w:hAnsi="Arial"/>
                <w:sz w:val="12"/>
                <w:szCs w:val="12"/>
                <w:b w:val="1"/>
                <w:bCs w:val="1"/>
                <w:color w:val="auto"/>
              </w:rPr>
              <w:t>(2)</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ind w:right="24"/>
              <w:spacing w:after="0"/>
              <w:rPr>
                <w:sz w:val="20"/>
                <w:szCs w:val="20"/>
                <w:color w:val="auto"/>
              </w:rPr>
            </w:pPr>
            <w:r>
              <w:rPr>
                <w:rFonts w:ascii="Arial" w:cs="Arial" w:eastAsia="Arial" w:hAnsi="Arial"/>
                <w:sz w:val="18"/>
                <w:szCs w:val="18"/>
                <w:b w:val="1"/>
                <w:bCs w:val="1"/>
                <w:color w:val="auto"/>
              </w:rPr>
              <w:t>100,000,000</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11,590</w:t>
            </w:r>
          </w:p>
        </w:tc>
        <w:tc>
          <w:tcPr>
            <w:tcW w:w="0" w:type="dxa"/>
            <w:vAlign w:val="bottom"/>
          </w:tcPr>
          <w:p>
            <w:pPr>
              <w:spacing w:after="0"/>
              <w:rPr>
                <w:sz w:val="1"/>
                <w:szCs w:val="1"/>
                <w:color w:val="auto"/>
              </w:rPr>
            </w:pPr>
          </w:p>
        </w:tc>
      </w:tr>
      <w:tr>
        <w:trPr>
          <w:trHeight w:val="69"/>
        </w:trPr>
        <w:tc>
          <w:tcPr>
            <w:tcW w:w="404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660" w:hanging="328"/>
        <w:spacing w:after="0" w:line="28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There are being registered hereunder such indeterminate number of shares of common stock and preferred stock, such indeterminate principal amount of debt securities and such indeterminate number of warrants and units as shall have an aggregate offering price not to exceed $100,000,000. If any debt securities are issued at an original issue discount, then the principal amount of such debt securities shall be in such greater amount as shall result in an aggregate offering price not to exceed $100,000,000, less the aggregate dollar amount of all securities previously issued hereunder. Any securities registered hereunder may be sold separately or as units with other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76"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both"/>
        <w:ind w:left="120" w:right="220"/>
        <w:spacing w:after="0" w:line="262" w:lineRule="auto"/>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520" w:val="left"/>
          <w:tab w:leader="none" w:pos="926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6"/>
          <w:szCs w:val="16"/>
          <w:b w:val="1"/>
          <w:bCs w:val="1"/>
          <w:color w:val="FF0000"/>
        </w:rPr>
        <w:t>DATED JANUARY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289560</wp:posOffset>
            </wp:positionV>
            <wp:extent cx="2392680" cy="155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offer and sell, in one or more offerings, up to $100,000,000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quoted on The NASDAQ Capital Market under the symbol “VTGN”. The last reported sale price of our common stock on January 20, 2017 was $3.40 per share.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w:t>
      </w:r>
      <w:r>
        <w:rPr>
          <w:rFonts w:ascii="Arial" w:cs="Arial" w:eastAsia="Arial" w:hAnsi="Arial"/>
          <w:sz w:val="16"/>
          <w:szCs w:val="16"/>
          <w:color w:val="auto"/>
        </w:rPr>
        <w:t>tion” in this prospectus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20, 2017, the aggregate market value of our outstanding common stock held by non-affiliates was approximately $19.9 million, which was calculated based on 5,848,556 shares of outstanding common stock held by non-affiliates, at a price per share of $3.40. Pursuant to General Instruction I.B.6 of Form S-3, in no event will we sell the securities described in this prospectus in a public primary offering with a value exceeding more than one-third of the aggregate market value of our common stock held by non-affiliates in any 12-month period, so long as the aggregate market value of our outstanding common stock held by non-affiliates remains below $75 million. During the 12 calendar months prior to and including the date of this prospectus, we have not offered or sold any securities pursuant to General Instruction I.B.6 of Form S-3.</w:t>
      </w:r>
    </w:p>
    <w:p>
      <w:pPr>
        <w:spacing w:after="0" w:line="192"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color w:val="auto"/>
        </w:rPr>
        <w:t>Our business and investing in shares of our common stock involves significant risks. You should review carefully the risks and uncertainties referenced under the heading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on page 5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3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The date of this prospectus is [_________], 2017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134"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40" w:type="dxa"/>
            <w:vAlign w:val="bottom"/>
          </w:tcPr>
          <w:p>
            <w:pPr>
              <w:jc w:val="center"/>
              <w:ind w:left="2452"/>
              <w:spacing w:after="0"/>
              <w:rPr>
                <w:sz w:val="20"/>
                <w:szCs w:val="20"/>
                <w:color w:val="auto"/>
              </w:rPr>
            </w:pPr>
            <w:r>
              <w:rPr>
                <w:rFonts w:ascii="Arial" w:cs="Arial" w:eastAsia="Arial" w:hAnsi="Arial"/>
                <w:sz w:val="18"/>
                <w:szCs w:val="18"/>
                <w:b w:val="1"/>
                <w:bCs w:val="1"/>
                <w:color w:val="auto"/>
                <w:w w:val="98"/>
              </w:rPr>
              <w:t>VISTAGEN THERAPEUTICS, INC.</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jc w:val="center"/>
              <w:ind w:left="2472"/>
              <w:spacing w:after="0"/>
              <w:rPr>
                <w:sz w:val="20"/>
                <w:szCs w:val="20"/>
                <w:color w:val="auto"/>
              </w:rPr>
            </w:pPr>
            <w:r>
              <w:rPr>
                <w:rFonts w:ascii="Arial" w:cs="Arial" w:eastAsia="Arial" w:hAnsi="Arial"/>
                <w:sz w:val="18"/>
                <w:szCs w:val="18"/>
                <w:b w:val="1"/>
                <w:bCs w:val="1"/>
                <w:color w:val="auto"/>
                <w:w w:val="96"/>
              </w:rPr>
              <w:t>TABLE OF CONTENTS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560" w:type="dxa"/>
            <w:vAlign w:val="bottom"/>
          </w:tcPr>
          <w:p>
            <w:pPr>
              <w:ind w:left="17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Company Overview</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Cautionary Notes Regarding Forward-Looking Statements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Capital Stock</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Debt Securities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Warrants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Units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Provisions of Nevada Law and Our Articles of Incorporation and Bylaws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Information By Reference</w:t>
            </w:r>
          </w:p>
        </w:tc>
        <w:tc>
          <w:tcPr>
            <w:tcW w:w="2560" w:type="dxa"/>
            <w:vAlign w:val="bottom"/>
            <w:shd w:val="clear" w:color="auto" w:fill="CCEEFF"/>
          </w:tcPr>
          <w:p>
            <w:pPr>
              <w:jc w:val="center"/>
              <w:ind w:left="133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prospectus is part of a registration statement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specific information about the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the section titled “Risk Factors” on page 5, before deciding whether to purchase shares of our common stock.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clinical-stage biopharmaceutical company focused on developing and commercializing new generation therapies for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xml:space="preserve">) disorders.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Unless the context otherwise requires, the words “</w:t>
      </w:r>
      <w:r>
        <w:rPr>
          <w:rFonts w:ascii="Arial" w:cs="Arial" w:eastAsia="Arial" w:hAnsi="Arial"/>
          <w:sz w:val="16"/>
          <w:szCs w:val="16"/>
          <w:i w:val="1"/>
          <w:iCs w:val="1"/>
          <w:color w:val="auto"/>
        </w:rPr>
        <w:t>VistaGen Therapeutics, Inc.</w:t>
      </w:r>
      <w:r>
        <w:rPr>
          <w:rFonts w:ascii="Arial" w:cs="Arial" w:eastAsia="Arial" w:hAnsi="Arial"/>
          <w:sz w:val="16"/>
          <w:szCs w:val="16"/>
          <w:color w:val="auto"/>
        </w:rPr>
        <w:t>” “</w:t>
      </w:r>
      <w:r>
        <w:rPr>
          <w:rFonts w:ascii="Arial" w:cs="Arial" w:eastAsia="Arial" w:hAnsi="Arial"/>
          <w:sz w:val="16"/>
          <w:szCs w:val="16"/>
          <w:i w:val="1"/>
          <w:iCs w:val="1"/>
          <w:color w:val="auto"/>
        </w:rPr>
        <w:t>VistaGen</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the Company</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 a Nevada corporation.</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AV-101, our lead product candidate, is a new generation, oral antidepressant drug candidate in Phase 2 development, initially for the adjunctive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We believe AV-101 may also have therapeutic potential in other CNS indications, including chronic neuropathic pain, epilepsy, Huntington’s disease and Parkinson’s disease.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adjunctively with standard antidepressants.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ongoing Phase 2a clinical study of AV-101 as a monotherapy (</w:t>
      </w:r>
      <w:r>
        <w:rPr>
          <w:rFonts w:ascii="Arial" w:cs="Arial" w:eastAsia="Arial" w:hAnsi="Arial"/>
          <w:sz w:val="16"/>
          <w:szCs w:val="16"/>
          <w:i w:val="1"/>
          <w:iCs w:val="1"/>
          <w:color w:val="auto"/>
        </w:rPr>
        <w:t>Phase 2a Study</w:t>
      </w:r>
      <w:r>
        <w:rPr>
          <w:rFonts w:ascii="Arial" w:cs="Arial" w:eastAsia="Arial" w:hAnsi="Arial"/>
          <w:sz w:val="16"/>
          <w:szCs w:val="16"/>
          <w:color w:val="auto"/>
        </w:rPr>
        <w:t>) in subjects with treatment-resistant MDD is being conducted and fully funded by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NIMH. The Principal Investigator of the Phase 2a Study is Dr. Carlos Zarate, Jr., Chief of the NIMH’s Experimental Therapeutics &amp; Pathophysiology Branch and its Section on Neurobiology and Treatment of Mood and Anxiety Disorders. Previous NIMH studies, including studies conducted by Dr. Zarate,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ketamine, a NMDAR antagonist, in patients with treatment-resistant MDD. These NIMH studies, as well as clinical research by Yale University and other academic institutions, have demonstrated robust antidepressant effects in MDD patients within twenty-four hours of a single low dose of I.V. ketamine. We believe orally-administered AV-101 may have potential to deliver ketamine-like fast-acting antidepressant effects without ketamine’s serious side effects. We currently anticipate top line results in this Phase 2a Study in as early as the second quarter of 2017.</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preparing to launch our Phase 2b clinical study of AV-101 as an adjunctive treatment of MDD in patients with an inadequate response to standard, FDA-approved antidepressants (</w:t>
      </w:r>
      <w:r>
        <w:rPr>
          <w:rFonts w:ascii="Arial" w:cs="Arial" w:eastAsia="Arial" w:hAnsi="Arial"/>
          <w:sz w:val="18"/>
          <w:szCs w:val="18"/>
          <w:i w:val="1"/>
          <w:iCs w:val="1"/>
          <w:color w:val="auto"/>
        </w:rPr>
        <w:t>Phase 2b Study</w:t>
      </w:r>
      <w:r>
        <w:rPr>
          <w:rFonts w:ascii="Arial" w:cs="Arial" w:eastAsia="Arial" w:hAnsi="Arial"/>
          <w:sz w:val="18"/>
          <w:szCs w:val="18"/>
          <w:color w:val="auto"/>
        </w:rPr>
        <w:t>). We currently anticipate commencement of this multi-center, multi-dose, double blind, placebo-controlled efficacy and safety study in the first half of 2017.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Research Institute, will be the Principal Investigator of the Phase 2b Study. Dr. Fava was the co-Principal Investigator with Dr. A. John Rush of the largest clinical trial conducted in depression to date, the STAR*D study, whose findings were published in journals such as the New England Journal of Medicine (</w:t>
      </w:r>
      <w:r>
        <w:rPr>
          <w:rFonts w:ascii="Arial" w:cs="Arial" w:eastAsia="Arial" w:hAnsi="Arial"/>
          <w:sz w:val="18"/>
          <w:szCs w:val="18"/>
          <w:i w:val="1"/>
          <w:iCs w:val="1"/>
          <w:color w:val="auto"/>
        </w:rPr>
        <w:t>NEJM</w:t>
      </w:r>
      <w:r>
        <w:rPr>
          <w:rFonts w:ascii="Arial" w:cs="Arial" w:eastAsia="Arial" w:hAnsi="Arial"/>
          <w:sz w:val="18"/>
          <w:szCs w:val="18"/>
          <w:color w:val="auto"/>
        </w:rPr>
        <w:t>) and the Journal of the American Medical Association (</w:t>
      </w:r>
      <w:r>
        <w:rPr>
          <w:rFonts w:ascii="Arial" w:cs="Arial" w:eastAsia="Arial" w:hAnsi="Arial"/>
          <w:sz w:val="18"/>
          <w:szCs w:val="18"/>
          <w:i w:val="1"/>
          <w:iCs w:val="1"/>
          <w:color w:val="auto"/>
        </w:rPr>
        <w:t>JAMA</w:t>
      </w:r>
      <w:r>
        <w:rPr>
          <w:rFonts w:ascii="Arial" w:cs="Arial" w:eastAsia="Arial" w:hAnsi="Arial"/>
          <w:sz w:val="18"/>
          <w:szCs w:val="18"/>
          <w:color w:val="auto"/>
        </w:rPr>
        <w:t>). We currently completing enrollment of the Phase 2b Study in the fourth quarter of 2018.</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as well as potential cellular therapies involving stem cell-derived blood, cartilage, heart and liver cells. Our small molecule drug rescue programs utilize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w:t>
      </w:r>
      <w:r>
        <w:rPr>
          <w:rFonts w:ascii="Arial" w:cs="Arial" w:eastAsia="Arial" w:hAnsi="Arial"/>
          <w:sz w:val="16"/>
          <w:szCs w:val="16"/>
          <w:i w:val="1"/>
          <w:iCs w:val="1"/>
          <w:color w:val="auto"/>
        </w:rPr>
        <w:t>3D</w:t>
      </w:r>
      <w:r>
        <w:rPr>
          <w:rFonts w:ascii="Arial" w:cs="Arial" w:eastAsia="Arial" w:hAnsi="Arial"/>
          <w:sz w:val="16"/>
          <w:szCs w:val="16"/>
          <w:color w:val="auto"/>
        </w:rPr>
        <w:t>, our customized cardiac bioassay system, to develop NCEs for our internal pipeline. In December 2016, we exclusively sublicensed to BlueRock Therapeutics</w:t>
      </w:r>
      <w:r>
        <w:rPr>
          <w:rFonts w:ascii="Arial" w:cs="Arial" w:eastAsia="Arial" w:hAnsi="Arial"/>
          <w:sz w:val="16"/>
          <w:szCs w:val="16"/>
          <w:i w:val="1"/>
          <w:iCs w:val="1"/>
          <w:color w:val="auto"/>
        </w:rPr>
        <w:t xml:space="preserve"> </w:t>
      </w:r>
      <w:r>
        <w:rPr>
          <w:rFonts w:ascii="Arial" w:cs="Arial" w:eastAsia="Arial" w:hAnsi="Arial"/>
          <w:sz w:val="16"/>
          <w:szCs w:val="16"/>
          <w:color w:val="auto"/>
        </w:rPr>
        <w:t>LP, a stem cell research company established in December 2016 by Bayer AG and Versant Ventures, rights to certain proprietary technologies relating to the production of cardiac stem cells for the treatment of heart disease.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include using blood, cartilage, and/or liver cells derived 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350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Most standard, FDA-approved antidepressants target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treatment-resistant depression patients often seek to treat their depression with non-drug-related approaches, such as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or to augment their inadequate response to standard antidepressants by adding an atypical antipsychotic (such as, for example, aripiprazole) to their treatment regimen, despite only modest potential therapeutic benefit and significant risk of additional side effects from such augmentation options.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 standard, FDA-approved antidepressants have risks of significant side effects, including, among others, potential anxiety, metabolic syndrome, sleep disturbance and sexual dysfunction. They also have a “Black Box” warning due to risks of worsening depression and suicide in certain groups.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our oral new generation antidepressant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6"/>
          <w:szCs w:val="16"/>
          <w:i w:val="1"/>
          <w:iCs w:val="1"/>
          <w:color w:val="auto"/>
        </w:rPr>
        <w:t>Journal of Pharmacology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antidepressant-like responses following a single treatment. These responses were equivalent to those seen with a single, IV administered sub-anesthetic control dose of ketamine, a NMDAR antagonist. In the same preclinical studies, a standard antidepressant, the SSRI fluoxetine, did not induce rapid onset antidepressant-like responses. In addition, these studies confirmed that the fast-acting antidepressant effects of AV-101 were mediated through the GlyB site and involved the activation of a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Activation of the AMPA receptor pathway is a final common pathway feature of new generation antidepressants.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completion of our NIH-funded, randomized, double blind, placebo-controlled AV-101 Phase 1a and Phase 1b safety studies, we are now collaborating with the NIMH in a Phase 2a study. Under our February 2015 CRADA, the NIMH is funding, and Dr. Carlos Zarate Jr. of the NIMH, as Principal Investigator, is conducting our ongoing Phase 2a Study of AV-101 as a monotherapy in subjects with treatment-resistant MDD. The trial is expected to enroll 20 to 24 patients. The first patient was dosed in November 2015, and we currently anticipate topline results as early as the second quarter of 2017.</w:t>
      </w:r>
    </w:p>
    <w:p>
      <w:pPr>
        <w:spacing w:after="0" w:line="16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are preparing to launch our approximately 280-patient Phase 2b Study of AV-101 for the adjunctive treatment of MDD in patients with an inadequate response to standard, FDA-approved antidepressants. We currently anticipate the launch of the Phase 2b Study, with Dr. Maurizio Fava of Harvard Medical School serving as Principal Investigator, in the first half of 2017. We currently anticipate completing enrollment of the Phase 2b Study in the fourth quarter of 2018.</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several preclinical studies support the hypothesis that AV-101 also has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NCEs, including small molecule NCEs with regenerative potential, for CNS and other diseases, as well as potential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We are currently focused on potential commercial applications of our stem cell technology platform involving (i) use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NCE drug discovery and drug rescue to expand our internal drug candidate pipeline, leveraging substantial prior research and development investments by pharmaceutical companies and others related to public domain NCEs terminated before FDA approval due to heart toxicity risks and (ii) RM. With respect to RM, in December 2016, we exclusively sublicensed to BlueRock Therapeutics LP, a stem cell research company established in December 2016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our exclusive sublicense agreement with BlueRock Therapeutics, we may pursue these additional RM applications in collaboration with third-parties.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5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820" w:hanging="650"/>
        <w:spacing w:after="0" w:line="33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 development stage biopharmaceutical company with no sources of recurring revenue or approved products, and limited experience developing new drug, biological and/or regenerative medicine candidates, which makes it difficult to assess our future viability;</w:t>
      </w:r>
    </w:p>
    <w:p>
      <w:pPr>
        <w:spacing w:after="0" w:line="139"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some of our programs have been partially or substantially supported by government grants and agreements, which may not be available to us in the future;</w:t>
      </w:r>
    </w:p>
    <w:p>
      <w:pPr>
        <w:spacing w:after="0" w:line="185" w:lineRule="exact"/>
        <w:rPr>
          <w:rFonts w:ascii="Arial" w:cs="Arial" w:eastAsia="Arial" w:hAnsi="Arial"/>
          <w:sz w:val="18"/>
          <w:szCs w:val="18"/>
          <w:color w:val="auto"/>
        </w:rPr>
      </w:pPr>
    </w:p>
    <w:p>
      <w:pPr>
        <w:jc w:val="both"/>
        <w:ind w:left="820" w:right="20" w:hanging="650"/>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in our Annual Report on Form 10-K for the fiscal year ended March 31, 2016, as well as subsequently filed Quarterly Reports on Form 10-Q, which</w:t>
      </w:r>
      <w:r>
        <w:rPr>
          <w:rFonts w:ascii="Arial" w:cs="Arial" w:eastAsia="Arial" w:hAnsi="Arial"/>
          <w:sz w:val="16"/>
          <w:szCs w:val="16"/>
          <w:i w:val="1"/>
          <w:iCs w:val="1"/>
          <w:color w:val="auto"/>
        </w:rPr>
        <w:t xml:space="preserve"> </w:t>
      </w:r>
      <w:r>
        <w:rPr>
          <w:rFonts w:ascii="Arial" w:cs="Arial" w:eastAsia="Arial" w:hAnsi="Arial"/>
          <w:sz w:val="16"/>
          <w:szCs w:val="16"/>
          <w:color w:val="auto"/>
        </w:rPr>
        <w:t>risk factors are incorporated herein by reference, and may be amended, supplemented or superseded from time to time by other reports we file with the SEC in the future and any prospectus supplement related to a particular offering. The risks and uncertainties we have described in our Annual Report on Form 10-K for the fiscal year ended March 31, 2016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and/or any applicable prospectus supplement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820" w:hanging="650"/>
        <w:spacing w:after="0" w:line="33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820" w:hanging="650"/>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820" w:hanging="650"/>
        <w:spacing w:after="0" w:line="33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2016 and subsequent Quarterly Reports on Form 10-Q, which risk factors are incorporated herein by reference.</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ratio of earnings to fixed charges for recently completed fiscal years and any required interim periods will be specified in a prospectus supplement or in a document that we file with the SEC and incorporated by reference in the future.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we have no current commitments or obligations to do so. We may set forth additional information on the use of proceeds from the sale or the securities we offer under this prospectus in a prospectus supplement relating to the specific offering. We cannot currently allocate specific percentages of the net proceeds that we may use for the purposes specified above. As a result, our management will have broad discretion in the allocation of the net proceeds. Pending the application of the net proceeds, we intend to invest the net proceeds in short- and intermediate-term, interest-bearing obligations, investment-grade instruments, certificates of deposit or direct or guaranteed obligations of the U.S. government.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30.0 million shares of common stock, $0.001 par value per share, and 10.0 million shares of preferred stock, $0.001 par value per share. The following is a description of our common stock and certain provisions of our Restated Articles of Incorporation (</w:t>
      </w:r>
      <w:r>
        <w:rPr>
          <w:rFonts w:ascii="Arial" w:cs="Arial" w:eastAsia="Arial" w:hAnsi="Arial"/>
          <w:sz w:val="18"/>
          <w:szCs w:val="18"/>
          <w:i w:val="1"/>
          <w:iCs w:val="1"/>
          <w:color w:val="auto"/>
        </w:rPr>
        <w:t>Articles</w:t>
      </w:r>
      <w:r>
        <w:rPr>
          <w:rFonts w:ascii="Arial" w:cs="Arial" w:eastAsia="Arial" w:hAnsi="Arial"/>
          <w:sz w:val="18"/>
          <w:szCs w:val="18"/>
          <w:color w:val="auto"/>
        </w:rPr>
        <w:t>), and 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20, 2017, there were issued and outstanding, or reserved for issuance:</w:t>
      </w:r>
    </w:p>
    <w:p>
      <w:pPr>
        <w:spacing w:after="0" w:line="225" w:lineRule="exact"/>
        <w:rPr>
          <w:sz w:val="20"/>
          <w:szCs w:val="20"/>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8,581,471 shares of common stock held by approximately 700 stockholders of record;</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4,550,370 shares of common stock that have been reserved for issuance upon exercise of outstanding warrants, with a weighted average exercise price of $6.30 per share;</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1,659,324 shares of common stock reserved for issuance upon exercise of outstanding stock options under our 1999 Stock Incentive Plan and our Amended and Restated 2016 Stock Incentive Plan, with a weighted average exercise price of $4.76 per share; and</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1,334,911 shares of common stock reserved for future issuance in connection with future grants under our Amended and Restated 2016 Stock Incentive Plan.</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20, 2017,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jc w:val="both"/>
        <w:ind w:firstLine="8"/>
        <w:spacing w:after="0" w:line="302"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January 20,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Series B Preferred shall have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January 20, 2017,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39" w:lineRule="exact"/>
        <w:rPr>
          <w:sz w:val="20"/>
          <w:szCs w:val="20"/>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section describes the general terms and provisions of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event that we issue any debt securities, we will issue such senior debt securities under a senior indenture that we will enter into with the trustee named in such senior indenture. We will file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indentures will be qualified under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 We use the term “trustee” to refer to either the trustee under the senior indenture or the trustee under the subordinated indenture, as applicable.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summaries of material provisions of potential senior debt securities,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will describe in the applicable prospectus supplement or free writing prospectus the terms of the series of debt securities being offered, including:</w:t>
      </w:r>
    </w:p>
    <w:p>
      <w:pPr>
        <w:spacing w:after="0" w:line="248" w:lineRule="exact"/>
        <w:rPr>
          <w:sz w:val="20"/>
          <w:szCs w:val="20"/>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depository will be;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85" w:lineRule="exact"/>
        <w:rPr>
          <w:rFonts w:ascii="Arial" w:cs="Arial" w:eastAsia="Arial" w:hAnsi="Arial"/>
          <w:sz w:val="18"/>
          <w:szCs w:val="18"/>
          <w:color w:val="auto"/>
        </w:rPr>
      </w:pPr>
    </w:p>
    <w:p>
      <w:pPr>
        <w:ind w:left="820" w:hanging="650"/>
        <w:spacing w:after="0" w:line="33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9" w:lineRule="exact"/>
        <w:rPr>
          <w:rFonts w:ascii="Arial" w:cs="Arial" w:eastAsia="Arial" w:hAnsi="Arial"/>
          <w:sz w:val="16"/>
          <w:szCs w:val="16"/>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9" w:name="page20"/>
    <w:bookmarkEnd w:id="19"/>
    <w:p>
      <w:pPr>
        <w:ind w:left="820" w:hanging="650"/>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185" w:lineRule="exact"/>
        <w:rPr>
          <w:rFonts w:ascii="Arial" w:cs="Arial" w:eastAsia="Arial" w:hAnsi="Arial"/>
          <w:sz w:val="18"/>
          <w:szCs w:val="18"/>
          <w:color w:val="auto"/>
        </w:rPr>
      </w:pPr>
    </w:p>
    <w:p>
      <w:pPr>
        <w:jc w:val="both"/>
        <w:ind w:left="820" w:right="20" w:hanging="650"/>
        <w:spacing w:after="0" w:line="370" w:lineRule="auto"/>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16" w:lineRule="exact"/>
        <w:rPr>
          <w:rFonts w:ascii="Arial" w:cs="Arial" w:eastAsia="Arial" w:hAnsi="Arial"/>
          <w:sz w:val="15"/>
          <w:szCs w:val="15"/>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certain material or special United States federal income tax considerations applicable to the debt securities;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48" w:lineRule="exact"/>
        <w:rPr>
          <w:rFonts w:ascii="Arial" w:cs="Arial" w:eastAsia="Arial" w:hAnsi="Arial"/>
          <w:sz w:val="16"/>
          <w:szCs w:val="16"/>
          <w:color w:val="auto"/>
        </w:rPr>
      </w:pPr>
    </w:p>
    <w:p>
      <w:pPr>
        <w:ind w:left="820" w:hanging="65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248" w:lineRule="exact"/>
        <w:rPr>
          <w:rFonts w:ascii="Arial" w:cs="Arial" w:eastAsia="Arial" w:hAnsi="Arial"/>
          <w:sz w:val="16"/>
          <w:szCs w:val="16"/>
          <w:color w:val="auto"/>
        </w:rPr>
      </w:pPr>
    </w:p>
    <w:p>
      <w:pPr>
        <w:jc w:val="both"/>
        <w:ind w:left="820" w:hanging="650"/>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186" w:lineRule="exact"/>
        <w:rPr>
          <w:sz w:val="20"/>
          <w:szCs w:val="20"/>
          <w:color w:val="auto"/>
        </w:rPr>
      </w:pPr>
    </w:p>
    <w:p>
      <w:pPr>
        <w:ind w:left="820" w:hanging="650"/>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pay interest when due and payable and our failure continues for 90 days and the time for payment has not been extended;</w:t>
      </w:r>
    </w:p>
    <w:p>
      <w:pPr>
        <w:spacing w:after="0" w:line="248"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185" w:lineRule="exact"/>
        <w:rPr>
          <w:rFonts w:ascii="Arial" w:cs="Arial" w:eastAsia="Arial" w:hAnsi="Arial"/>
          <w:sz w:val="18"/>
          <w:szCs w:val="18"/>
          <w:color w:val="auto"/>
        </w:rPr>
      </w:pPr>
    </w:p>
    <w:p>
      <w:pPr>
        <w:jc w:val="both"/>
        <w:ind w:left="820" w:hanging="650"/>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describe in each applicable prospectus supplement or free writing prospectus any additional events of default relating to the relevant series of debt securities.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0" w:lineRule="exact"/>
        <w:rPr>
          <w:sz w:val="20"/>
          <w:szCs w:val="20"/>
          <w:color w:val="auto"/>
        </w:rPr>
      </w:pPr>
    </w:p>
    <w:p>
      <w:pPr>
        <w:ind w:left="820" w:hanging="65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if:</w:t>
      </w:r>
    </w:p>
    <w:p>
      <w:pPr>
        <w:spacing w:after="0" w:line="186" w:lineRule="exact"/>
        <w:rPr>
          <w:sz w:val="20"/>
          <w:szCs w:val="20"/>
          <w:color w:val="auto"/>
        </w:rPr>
      </w:pPr>
    </w:p>
    <w:p>
      <w:pPr>
        <w:ind w:left="5560" w:right="3080" w:hanging="5390"/>
        <w:spacing w:after="0" w:line="769" w:lineRule="auto"/>
        <w:tabs>
          <w:tab w:leader="none" w:pos="8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1" w:name="page22"/>
    <w:bookmarkEnd w:id="21"/>
    <w:p>
      <w:pPr>
        <w:jc w:val="both"/>
        <w:ind w:left="820" w:hanging="650"/>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194"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86"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w:t>
      </w:r>
      <w:r>
        <w:rPr>
          <w:rFonts w:ascii="Arial" w:cs="Arial" w:eastAsia="Arial" w:hAnsi="Arial"/>
          <w:sz w:val="18"/>
          <w:szCs w:val="18"/>
          <w:i w:val="1"/>
          <w:iCs w:val="1"/>
          <w:color w:val="auto"/>
        </w:rPr>
        <w:t>Description of Our Debt Securities—Consolidation, Merger or Sale</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85" w:lineRule="exact"/>
        <w:rPr>
          <w:rFonts w:ascii="Arial" w:cs="Arial" w:eastAsia="Arial" w:hAnsi="Arial"/>
          <w:sz w:val="18"/>
          <w:szCs w:val="18"/>
          <w:color w:val="auto"/>
        </w:rPr>
      </w:pPr>
    </w:p>
    <w:p>
      <w:pPr>
        <w:jc w:val="both"/>
        <w:ind w:left="820" w:hanging="650"/>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Debt Securities—General </w:t>
      </w:r>
      <w:r>
        <w:rPr>
          <w:rFonts w:ascii="Arial" w:cs="Arial" w:eastAsia="Arial" w:hAnsi="Arial"/>
          <w:sz w:val="18"/>
          <w:szCs w:val="18"/>
          <w:color w:val="auto"/>
        </w:rPr>
        <w:t>,” to establish the form of any certifications required to be furnished pursuant to the terms of the indenture or any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 or to add to the rights of the holders of any series of debt securities;</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such purpose;</w:t>
      </w:r>
    </w:p>
    <w:p>
      <w:pPr>
        <w:spacing w:after="0" w:line="225" w:lineRule="exact"/>
        <w:rPr>
          <w:rFonts w:ascii="Arial" w:cs="Arial" w:eastAsia="Arial" w:hAnsi="Arial"/>
          <w:sz w:val="18"/>
          <w:szCs w:val="18"/>
          <w:color w:val="auto"/>
        </w:rPr>
      </w:pPr>
    </w:p>
    <w:p>
      <w:pPr>
        <w:jc w:val="both"/>
        <w:ind w:left="820" w:hanging="650"/>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152" w:lineRule="exact"/>
        <w:rPr>
          <w:sz w:val="20"/>
          <w:szCs w:val="20"/>
          <w:color w:val="auto"/>
        </w:rPr>
      </w:pPr>
    </w:p>
    <w:p>
      <w:pPr>
        <w:ind w:left="820" w:hanging="65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stated maturity of the series of debt securities;</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or repurchase of any debt securities; or</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Discharge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194"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event that we issue debt securities, we will issue such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9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167" w:lineRule="exact"/>
        <w:rPr>
          <w:sz w:val="20"/>
          <w:szCs w:val="20"/>
          <w:color w:val="auto"/>
        </w:rPr>
      </w:pPr>
    </w:p>
    <w:p>
      <w:pPr>
        <w:jc w:val="both"/>
        <w:ind w:left="820" w:hanging="650"/>
        <w:spacing w:after="0" w:line="25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94"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Debt Securities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common stock, preferred stock and/or debt securities in one or more series. Warrants may be offered independently or together with common stock, preferred stock and/or debt securities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will issue the warrants under a warrant agreement which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debt securities are offered, the prospectus supplement or free writing prospectus will describe the following terms, to the extent applicable:</w:t>
      </w:r>
    </w:p>
    <w:p>
      <w:pPr>
        <w:spacing w:after="0" w:line="139" w:lineRule="exact"/>
        <w:rPr>
          <w:sz w:val="20"/>
          <w:szCs w:val="20"/>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currencies in which the warrants are being offered;</w:t>
      </w:r>
    </w:p>
    <w:p>
      <w:pPr>
        <w:spacing w:after="0" w:line="22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currencies, denominations and terms of the series of debt securities that can be purchased if a holder exercises a warrant;</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any series of debt securities with which the warrants are being offered and the number of warrants offered with each such debt security;</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series of debt securities;</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the series of debt securities that can be purchased if a holder exercises a warrant and the price at which and currencies in which such principal amount may be purchased upon exercise;</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such right expires;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warrants for the purchase of common stock or preferred stock are offered, the prospectus supplement or free writing prospectus will describe the following terms, to the extent applicable:</w:t>
      </w:r>
    </w:p>
    <w:p>
      <w:pPr>
        <w:spacing w:after="0" w:line="186"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820" w:hanging="650"/>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 or series of preferred stock;</w:t>
      </w:r>
    </w:p>
    <w:p>
      <w:pPr>
        <w:spacing w:after="0" w:line="248" w:lineRule="exact"/>
        <w:rPr>
          <w:rFonts w:ascii="Arial" w:cs="Arial" w:eastAsia="Arial" w:hAnsi="Arial"/>
          <w:sz w:val="16"/>
          <w:szCs w:val="16"/>
          <w:color w:val="auto"/>
        </w:rPr>
      </w:pPr>
    </w:p>
    <w:p>
      <w:pPr>
        <w:jc w:val="both"/>
        <w:ind w:left="820" w:hanging="650"/>
        <w:spacing w:after="0" w:line="25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4" w:lineRule="exact"/>
        <w:rPr>
          <w:rFonts w:ascii="Arial" w:cs="Arial" w:eastAsia="Arial" w:hAnsi="Arial"/>
          <w:sz w:val="18"/>
          <w:szCs w:val="18"/>
          <w:color w:val="auto"/>
        </w:rPr>
      </w:pPr>
    </w:p>
    <w:p>
      <w:pPr>
        <w:ind w:left="820" w:hanging="65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holder of a warrant is entitled to purchase the principal amount of debt securities or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820" w:right="20" w:hanging="650"/>
        <w:spacing w:after="0" w:line="26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820" w:right="20" w:hanging="650"/>
        <w:spacing w:after="0" w:line="26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warrant or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6" w:name="page27"/>
    <w:bookmarkEnd w:id="26"/>
    <w:p>
      <w:pPr>
        <w:ind w:left="820" w:hanging="650"/>
        <w:spacing w:after="0" w:line="332"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39" w:lineRule="exact"/>
        <w:rPr>
          <w:rFonts w:ascii="Arial" w:cs="Arial" w:eastAsia="Arial" w:hAnsi="Arial"/>
          <w:sz w:val="16"/>
          <w:szCs w:val="16"/>
          <w:color w:val="auto"/>
        </w:rPr>
      </w:pPr>
    </w:p>
    <w:p>
      <w:pPr>
        <w:ind w:left="820" w:right="20" w:hanging="650"/>
        <w:spacing w:after="0" w:line="26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48"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warrant and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and preferred stock warrants may have additional rights under the following circumstances:</w:t>
      </w:r>
    </w:p>
    <w:p>
      <w:pPr>
        <w:spacing w:after="0" w:line="225" w:lineRule="exact"/>
        <w:rPr>
          <w:sz w:val="20"/>
          <w:szCs w:val="20"/>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 stock, as applicable;</w:t>
      </w:r>
    </w:p>
    <w:p>
      <w:pPr>
        <w:spacing w:after="0" w:line="22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debt securities,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820" w:hanging="650"/>
        <w:spacing w:after="0" w:line="26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debt securities,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ARTICLES OF INCORPORATION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Nevada Revised Statutes, or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97" w:lineRule="exact"/>
        <w:rPr>
          <w:sz w:val="20"/>
          <w:szCs w:val="20"/>
          <w:color w:val="auto"/>
        </w:rPr>
      </w:pPr>
    </w:p>
    <w:p>
      <w:pPr>
        <w:ind w:left="820" w:hanging="650"/>
        <w:spacing w:after="0" w:line="332"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39" w:lineRule="exact"/>
        <w:rPr>
          <w:rFonts w:ascii="Arial" w:cs="Arial" w:eastAsia="Arial" w:hAnsi="Arial"/>
          <w:sz w:val="16"/>
          <w:szCs w:val="16"/>
          <w:color w:val="auto"/>
        </w:rPr>
      </w:pPr>
    </w:p>
    <w:p>
      <w:pPr>
        <w:ind w:left="820" w:hanging="650"/>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85" w:lineRule="exact"/>
        <w:rPr>
          <w:rFonts w:ascii="Arial" w:cs="Arial" w:eastAsia="Arial" w:hAnsi="Arial"/>
          <w:sz w:val="18"/>
          <w:szCs w:val="18"/>
          <w:color w:val="auto"/>
        </w:rPr>
      </w:pPr>
    </w:p>
    <w:p>
      <w:pPr>
        <w:ind w:left="820" w:hanging="650"/>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of directors for action; or</w:t>
      </w:r>
    </w:p>
    <w:p>
      <w:pPr>
        <w:spacing w:after="0" w:line="185" w:lineRule="exact"/>
        <w:rPr>
          <w:rFonts w:ascii="Arial" w:cs="Arial" w:eastAsia="Arial" w:hAnsi="Arial"/>
          <w:sz w:val="18"/>
          <w:szCs w:val="18"/>
          <w:color w:val="auto"/>
        </w:rPr>
      </w:pPr>
    </w:p>
    <w:p>
      <w:pPr>
        <w:ind w:left="820" w:hanging="65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was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Provisions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4" w:lineRule="exact"/>
        <w:rPr>
          <w:sz w:val="20"/>
          <w:szCs w:val="20"/>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underwriters, if applicable;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may provide agents and underwriters with indemnification against civil liabilities related to this offering,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contribution with respect to payments that the agents or underwriters may make with respect to these liabilities. Agents and underwriters may engage in transactions with, or perform services for, us in the ordinary course of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offered by this prospectus will be passed upon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 of DLG beneficially own an aggregate of 65,987 registered and/or restricted shares of our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financial statements of the Company incorporated in this prospectus by reference to the Annual Report on Form 10-K for the fiscal year ended March 31, 2016 have been audited by OUM &amp; Co. LLP, an independent registered public accounting firm, as set forth in their report thereon.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2016, filed on June 24, 2016;</w:t>
      </w:r>
    </w:p>
    <w:p>
      <w:pPr>
        <w:spacing w:after="0" w:line="15"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12, 2016;</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14, 2016;</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on May 16, 2016;</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on June 22, 2016;</w:t>
      </w:r>
    </w:p>
    <w:p>
      <w:pPr>
        <w:spacing w:after="0" w:line="9" w:lineRule="exact"/>
        <w:rPr>
          <w:rFonts w:ascii="Arial" w:cs="Arial" w:eastAsia="Arial" w:hAnsi="Arial"/>
          <w:sz w:val="18"/>
          <w:szCs w:val="18"/>
          <w:color w:val="auto"/>
        </w:rPr>
      </w:pPr>
    </w:p>
    <w:p>
      <w:pPr>
        <w:ind w:left="820" w:hanging="65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on August 17, 2016;</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820" w:hanging="65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Report on Form 8-K filed on December 14, 2016; and</w:t>
      </w:r>
    </w:p>
    <w:p>
      <w:pPr>
        <w:spacing w:after="0" w:line="9" w:lineRule="exact"/>
        <w:rPr>
          <w:rFonts w:ascii="Arial" w:cs="Arial" w:eastAsia="Arial" w:hAnsi="Arial"/>
          <w:sz w:val="18"/>
          <w:szCs w:val="18"/>
          <w:color w:val="auto"/>
        </w:rPr>
      </w:pPr>
    </w:p>
    <w:p>
      <w:pPr>
        <w:ind w:left="820" w:hanging="650"/>
        <w:spacing w:after="0" w:line="261"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426720</wp:posOffset>
            </wp:positionV>
            <wp:extent cx="2392680" cy="1551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$ 100,000,000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[______________],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585470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FINRA filing fee (if applicable)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miscellaneous fees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OFFICERS AND DIRECTORS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0" w:type="dxa"/>
            <w:vAlign w:val="bottom"/>
            <w:gridSpan w:val="2"/>
          </w:tcPr>
          <w:p>
            <w:pPr>
              <w:spacing w:after="0"/>
              <w:rPr>
                <w:sz w:val="20"/>
                <w:szCs w:val="20"/>
                <w:color w:val="auto"/>
              </w:rPr>
            </w:pPr>
            <w:r>
              <w:rPr>
                <w:rFonts w:ascii="Arial" w:cs="Arial" w:eastAsia="Arial" w:hAnsi="Arial"/>
                <w:sz w:val="18"/>
                <w:szCs w:val="18"/>
                <w:color w:val="auto"/>
              </w:rPr>
              <w:t>Limitations of liability and indemnification</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Underwriting Agreement</w:t>
            </w:r>
          </w:p>
        </w:tc>
      </w:tr>
      <w:tr>
        <w:trPr>
          <w:trHeight w:val="208"/>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10320" w:type="dxa"/>
            <w:vAlign w:val="bottom"/>
          </w:tcPr>
          <w:p>
            <w:pPr>
              <w:ind w:left="620"/>
              <w:spacing w:after="0"/>
              <w:rPr>
                <w:sz w:val="20"/>
                <w:szCs w:val="20"/>
                <w:color w:val="auto"/>
              </w:rPr>
            </w:pPr>
            <w:r>
              <w:rPr>
                <w:rFonts w:ascii="Arial" w:cs="Arial" w:eastAsia="Arial" w:hAnsi="Arial"/>
                <w:sz w:val="18"/>
                <w:szCs w:val="18"/>
                <w:color w:val="auto"/>
                <w:w w:val="93"/>
              </w:rPr>
              <w:t>Form of any certificate of designation with respect to any preferred stock issued hereunder and the related form of preferred stock</w:t>
            </w:r>
          </w:p>
        </w:tc>
      </w:tr>
      <w:tr>
        <w:trPr>
          <w:trHeight w:val="222"/>
        </w:trPr>
        <w:tc>
          <w:tcPr>
            <w:tcW w:w="1100" w:type="dxa"/>
            <w:vAlign w:val="bottom"/>
          </w:tcPr>
          <w:p>
            <w:pPr>
              <w:spacing w:after="0"/>
              <w:rPr>
                <w:sz w:val="19"/>
                <w:szCs w:val="19"/>
                <w:color w:val="auto"/>
              </w:rPr>
            </w:pPr>
          </w:p>
        </w:tc>
        <w:tc>
          <w:tcPr>
            <w:tcW w:w="10320" w:type="dxa"/>
            <w:vAlign w:val="bottom"/>
          </w:tcPr>
          <w:p>
            <w:pPr>
              <w:ind w:left="620"/>
              <w:spacing w:after="0"/>
              <w:rPr>
                <w:sz w:val="20"/>
                <w:szCs w:val="20"/>
                <w:color w:val="auto"/>
              </w:rPr>
            </w:pPr>
            <w:r>
              <w:rPr>
                <w:rFonts w:ascii="Arial" w:cs="Arial" w:eastAsia="Arial" w:hAnsi="Arial"/>
                <w:sz w:val="18"/>
                <w:szCs w:val="18"/>
                <w:color w:val="auto"/>
              </w:rPr>
              <w:t>certificate</w:t>
            </w:r>
          </w:p>
        </w:tc>
      </w:tr>
      <w:tr>
        <w:trPr>
          <w:trHeight w:val="218"/>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any warrant agreement with respect to each particular series of warrants issued hereunder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4.3*</w:t>
            </w:r>
          </w:p>
        </w:tc>
        <w:tc>
          <w:tcPr>
            <w:tcW w:w="10320" w:type="dxa"/>
            <w:vAlign w:val="bottom"/>
          </w:tcPr>
          <w:p>
            <w:pPr>
              <w:ind w:left="620"/>
              <w:spacing w:after="0"/>
              <w:rPr>
                <w:sz w:val="20"/>
                <w:szCs w:val="20"/>
                <w:color w:val="auto"/>
              </w:rPr>
            </w:pPr>
            <w:r>
              <w:rPr>
                <w:rFonts w:ascii="Arial" w:cs="Arial" w:eastAsia="Arial" w:hAnsi="Arial"/>
                <w:sz w:val="18"/>
                <w:szCs w:val="18"/>
                <w:color w:val="auto"/>
              </w:rPr>
              <w:t>Form of any unit agreement with respect to any unit issued hereunder</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indenture for senior debt securities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4.5*</w:t>
            </w:r>
          </w:p>
        </w:tc>
        <w:tc>
          <w:tcPr>
            <w:tcW w:w="10320" w:type="dxa"/>
            <w:vAlign w:val="bottom"/>
          </w:tcPr>
          <w:p>
            <w:pPr>
              <w:ind w:left="620"/>
              <w:spacing w:after="0"/>
              <w:rPr>
                <w:sz w:val="20"/>
                <w:szCs w:val="20"/>
                <w:color w:val="auto"/>
              </w:rPr>
            </w:pPr>
            <w:r>
              <w:rPr>
                <w:rFonts w:ascii="Arial" w:cs="Arial" w:eastAsia="Arial" w:hAnsi="Arial"/>
                <w:sz w:val="18"/>
                <w:szCs w:val="18"/>
                <w:color w:val="auto"/>
              </w:rPr>
              <w:t>Form of indenture for subordinated debt securities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of senior note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4.7*</w:t>
            </w:r>
          </w:p>
        </w:tc>
        <w:tc>
          <w:tcPr>
            <w:tcW w:w="10320" w:type="dxa"/>
            <w:vAlign w:val="bottom"/>
          </w:tcPr>
          <w:p>
            <w:pPr>
              <w:ind w:left="620"/>
              <w:spacing w:after="0"/>
              <w:rPr>
                <w:sz w:val="20"/>
                <w:szCs w:val="20"/>
                <w:color w:val="auto"/>
              </w:rPr>
            </w:pPr>
            <w:r>
              <w:rPr>
                <w:rFonts w:ascii="Arial" w:cs="Arial" w:eastAsia="Arial" w:hAnsi="Arial"/>
                <w:sz w:val="18"/>
                <w:szCs w:val="18"/>
                <w:color w:val="auto"/>
              </w:rPr>
              <w:t>Form of subordinated note</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Opinion of Disclosure Law Group, a Professional Corporation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12.1*</w:t>
            </w:r>
          </w:p>
        </w:tc>
        <w:tc>
          <w:tcPr>
            <w:tcW w:w="10320" w:type="dxa"/>
            <w:vAlign w:val="bottom"/>
          </w:tcPr>
          <w:p>
            <w:pPr>
              <w:ind w:left="6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Consent of Disclosure Law Group, a Professional Corporation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23.2</w:t>
            </w:r>
          </w:p>
        </w:tc>
        <w:tc>
          <w:tcPr>
            <w:tcW w:w="10320" w:type="dxa"/>
            <w:vAlign w:val="bottom"/>
          </w:tcPr>
          <w:p>
            <w:pPr>
              <w:ind w:left="620"/>
              <w:spacing w:after="0"/>
              <w:rPr>
                <w:sz w:val="20"/>
                <w:szCs w:val="20"/>
                <w:color w:val="auto"/>
              </w:rPr>
            </w:pPr>
            <w:r>
              <w:rPr>
                <w:rFonts w:ascii="Arial" w:cs="Arial" w:eastAsia="Arial" w:hAnsi="Arial"/>
                <w:sz w:val="18"/>
                <w:szCs w:val="18"/>
                <w:color w:val="auto"/>
              </w:rPr>
              <w:t>Consent of Independent Registered Public Accounting Firm – OUM &amp; Co., LLP</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Power of Attorney (located on signature page to this Registration Statement)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25.1**</w:t>
            </w:r>
          </w:p>
        </w:tc>
        <w:tc>
          <w:tcPr>
            <w:tcW w:w="10320" w:type="dxa"/>
            <w:vAlign w:val="bottom"/>
          </w:tcPr>
          <w:p>
            <w:pPr>
              <w:ind w:left="620"/>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25.2**</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8" w:lineRule="exact"/>
        <w:rPr>
          <w:sz w:val="20"/>
          <w:szCs w:val="20"/>
          <w:color w:val="auto"/>
        </w:rPr>
      </w:pPr>
    </w:p>
    <w:p>
      <w:pPr>
        <w:ind w:left="360" w:hanging="352"/>
        <w:spacing w:after="0" w:line="268"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by an amendment to this registration statement or incorporation by reference pursuant to a Current Report on Form 8-K in connection with an offering of securities.</w:t>
      </w:r>
    </w:p>
    <w:p>
      <w:pPr>
        <w:sectPr>
          <w:pgSz w:w="11900" w:h="16838" w:orient="portrait"/>
          <w:cols w:equalWidth="0" w:num="1">
            <w:col w:w="11420"/>
          </w:cols>
          <w:pgMar w:left="240" w:top="557" w:right="239" w:bottom="0" w:gutter="0" w:footer="0" w:header="0"/>
        </w:sectPr>
      </w:pPr>
    </w:p>
    <w:bookmarkStart w:id="32" w:name="page33"/>
    <w:bookmarkEnd w:id="32"/>
    <w:p>
      <w:pPr>
        <w:ind w:left="352" w:hanging="352"/>
        <w:spacing w:after="0" w:line="268" w:lineRule="auto"/>
        <w:tabs>
          <w:tab w:leader="none" w:pos="3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pursuant to Section 305(b)(2) of the Trust Indenture Act of 1939 and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610" w:val="left"/>
        </w:tabs>
        <w:numPr>
          <w:ilvl w:val="2"/>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4" w:lineRule="exact"/>
        <w:rPr>
          <w:rFonts w:ascii="Arial" w:cs="Arial" w:eastAsia="Arial" w:hAnsi="Arial"/>
          <w:sz w:val="16"/>
          <w:szCs w:val="16"/>
          <w:color w:val="auto"/>
        </w:rPr>
      </w:pPr>
    </w:p>
    <w:p>
      <w:pPr>
        <w:ind w:left="660" w:firstLine="645"/>
        <w:spacing w:after="0" w:line="268" w:lineRule="auto"/>
        <w:tabs>
          <w:tab w:leader="none" w:pos="168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jc w:val="both"/>
        <w:ind w:firstLine="656"/>
        <w:spacing w:after="0" w:line="259" w:lineRule="auto"/>
        <w:tabs>
          <w:tab w:leader="none" w:pos="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firstLine="656"/>
        <w:spacing w:after="0" w:line="268" w:lineRule="auto"/>
        <w:tabs>
          <w:tab w:leader="none" w:pos="9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1300" w:firstLine="653"/>
        <w:spacing w:after="0" w:line="268" w:lineRule="auto"/>
        <w:tabs>
          <w:tab w:leader="none" w:pos="2237" w:val="left"/>
        </w:tabs>
        <w:numPr>
          <w:ilvl w:val="2"/>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jc w:val="both"/>
        <w:ind w:left="1300" w:firstLine="653"/>
        <w:spacing w:after="0" w:line="286" w:lineRule="auto"/>
        <w:tabs>
          <w:tab w:leader="none" w:pos="2233" w:val="left"/>
        </w:tabs>
        <w:numPr>
          <w:ilvl w:val="2"/>
          <w:numId w:val="3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1" w:lineRule="exact"/>
        <w:rPr>
          <w:rFonts w:ascii="Arial" w:cs="Arial" w:eastAsia="Arial" w:hAnsi="Arial"/>
          <w:sz w:val="16"/>
          <w:szCs w:val="16"/>
          <w:color w:val="auto"/>
        </w:rPr>
      </w:pPr>
    </w:p>
    <w:p>
      <w:pPr>
        <w:jc w:val="both"/>
        <w:ind w:left="660" w:firstLine="645"/>
        <w:spacing w:after="0" w:line="290" w:lineRule="auto"/>
        <w:tabs>
          <w:tab w:leader="none" w:pos="1643"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firstLine="656"/>
        <w:spacing w:after="0" w:line="298" w:lineRule="auto"/>
        <w:tabs>
          <w:tab w:leader="none" w:pos="972"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6" w:lineRule="exact"/>
        <w:rPr>
          <w:rFonts w:ascii="Arial" w:cs="Arial" w:eastAsia="Arial" w:hAnsi="Arial"/>
          <w:sz w:val="16"/>
          <w:szCs w:val="16"/>
          <w:color w:val="auto"/>
        </w:rPr>
      </w:pPr>
    </w:p>
    <w:p>
      <w:pPr>
        <w:ind w:left="1540" w:hanging="235"/>
        <w:spacing w:after="0"/>
        <w:tabs>
          <w:tab w:leader="none" w:pos="15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660" w:right="20" w:firstLine="645"/>
        <w:spacing w:after="0" w:line="268" w:lineRule="auto"/>
        <w:tabs>
          <w:tab w:leader="none" w:pos="1632"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660" w:firstLine="645"/>
        <w:spacing w:after="0" w:line="268" w:lineRule="auto"/>
        <w:tabs>
          <w:tab w:leader="none" w:pos="1674"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640" w:hanging="335"/>
        <w:spacing w:after="0"/>
        <w:tabs>
          <w:tab w:leader="none" w:pos="16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298"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ind w:firstLine="8"/>
        <w:spacing w:after="0" w:line="268" w:lineRule="auto"/>
        <w:tabs>
          <w:tab w:leader="none" w:pos="2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January 23, 2017.</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VISTAGEN THERAPEUTICS, INC.</w:t>
      </w:r>
    </w:p>
    <w:p>
      <w:pPr>
        <w:spacing w:after="0" w:line="208"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Shawn K. Singh, JD</w:t>
            </w:r>
          </w:p>
        </w:tc>
        <w:tc>
          <w:tcPr>
            <w:tcW w:w="4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22"/>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KNOWN ALL MEN BY THESE PRESENTS, that each person whose signature below constitutes and appoints Shawn K. Singh as attorney-in-fact, with power of substitution, for him in any and all capacities, to sign any amendments to this Registration Statement on Form S-3,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20"/>
                <w:szCs w:val="20"/>
                <w:color w:val="auto"/>
              </w:rPr>
            </w:pPr>
          </w:p>
        </w:tc>
        <w:tc>
          <w:tcPr>
            <w:tcW w:w="456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 xml:space="preserve">Chief Executive Officer, and Director </w:t>
            </w:r>
            <w:r>
              <w:rPr>
                <w:rFonts w:ascii="Arial" w:cs="Arial" w:eastAsia="Arial" w:hAnsi="Arial"/>
                <w:sz w:val="18"/>
                <w:szCs w:val="18"/>
                <w:i w:val="1"/>
                <w:iCs w:val="1"/>
                <w:color w:val="auto"/>
                <w:w w:val="99"/>
              </w:rPr>
              <w:t>(Principal Executive</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84"/>
        </w:trPr>
        <w:tc>
          <w:tcPr>
            <w:tcW w:w="2880" w:type="dxa"/>
            <w:vAlign w:val="bottom"/>
            <w:gridSpan w:val="7"/>
          </w:tcPr>
          <w:p>
            <w:pPr>
              <w:spacing w:after="0" w:line="184" w:lineRule="exact"/>
              <w:rPr>
                <w:sz w:val="20"/>
                <w:szCs w:val="20"/>
                <w:color w:val="auto"/>
              </w:rPr>
            </w:pPr>
            <w:r>
              <w:rPr>
                <w:rFonts w:ascii="Arial" w:cs="Arial" w:eastAsia="Arial" w:hAnsi="Arial"/>
                <w:sz w:val="18"/>
                <w:szCs w:val="18"/>
                <w:color w:val="auto"/>
              </w:rPr>
              <w:t>/s/ Shawn K. Singh</w:t>
            </w:r>
          </w:p>
        </w:tc>
        <w:tc>
          <w:tcPr>
            <w:tcW w:w="560" w:type="dxa"/>
            <w:vAlign w:val="bottom"/>
          </w:tcPr>
          <w:p>
            <w:pPr>
              <w:spacing w:after="0"/>
              <w:rPr>
                <w:sz w:val="15"/>
                <w:szCs w:val="15"/>
                <w:color w:val="auto"/>
              </w:rPr>
            </w:pPr>
          </w:p>
        </w:tc>
        <w:tc>
          <w:tcPr>
            <w:tcW w:w="4560" w:type="dxa"/>
            <w:vAlign w:val="bottom"/>
          </w:tcPr>
          <w:p>
            <w:pPr>
              <w:spacing w:after="0" w:line="184" w:lineRule="exact"/>
              <w:rPr>
                <w:sz w:val="20"/>
                <w:szCs w:val="20"/>
                <w:color w:val="auto"/>
              </w:rPr>
            </w:pPr>
            <w:r>
              <w:rPr>
                <w:rFonts w:ascii="Arial" w:cs="Arial" w:eastAsia="Arial" w:hAnsi="Arial"/>
                <w:sz w:val="18"/>
                <w:szCs w:val="18"/>
                <w:i w:val="1"/>
                <w:iCs w:val="1"/>
                <w:color w:val="auto"/>
              </w:rPr>
              <w:t>Officer)</w:t>
            </w:r>
          </w:p>
        </w:tc>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Shawn K. Singh</w:t>
            </w:r>
          </w:p>
        </w:tc>
        <w:tc>
          <w:tcPr>
            <w:tcW w:w="1520" w:type="dxa"/>
            <w:vAlign w:val="bottom"/>
            <w:gridSpan w:val="4"/>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r>
        <w:trPr>
          <w:trHeight w:val="42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 xml:space="preserve">Vice President and Chief Financial Officer </w:t>
            </w:r>
            <w:r>
              <w:rPr>
                <w:rFonts w:ascii="Arial" w:cs="Arial" w:eastAsia="Arial" w:hAnsi="Arial"/>
                <w:sz w:val="18"/>
                <w:szCs w:val="18"/>
                <w:i w:val="1"/>
                <w:iCs w:val="1"/>
                <w:color w:val="auto"/>
                <w:w w:val="92"/>
              </w:rPr>
              <w:t>(Principal Financial</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84"/>
        </w:trPr>
        <w:tc>
          <w:tcPr>
            <w:tcW w:w="148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8"/>
                <w:szCs w:val="18"/>
                <w:color w:val="auto"/>
                <w:w w:val="88"/>
              </w:rPr>
              <w:t>/s/ Jerrold D. Dotson</w:t>
            </w:r>
          </w:p>
        </w:tc>
        <w:tc>
          <w:tcPr>
            <w:tcW w:w="14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4560" w:type="dxa"/>
            <w:vAlign w:val="bottom"/>
          </w:tcPr>
          <w:p>
            <w:pPr>
              <w:spacing w:after="0" w:line="184" w:lineRule="exact"/>
              <w:rPr>
                <w:sz w:val="20"/>
                <w:szCs w:val="20"/>
                <w:color w:val="auto"/>
              </w:rPr>
            </w:pPr>
            <w:r>
              <w:rPr>
                <w:rFonts w:ascii="Arial" w:cs="Arial" w:eastAsia="Arial" w:hAnsi="Arial"/>
                <w:sz w:val="18"/>
                <w:szCs w:val="18"/>
                <w:i w:val="1"/>
                <w:iCs w:val="1"/>
                <w:color w:val="auto"/>
              </w:rPr>
              <w:t>and Accounting Officer)</w:t>
            </w:r>
          </w:p>
        </w:tc>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35"/>
        </w:trPr>
        <w:tc>
          <w:tcPr>
            <w:tcW w:w="2880" w:type="dxa"/>
            <w:vAlign w:val="bottom"/>
            <w:gridSpan w:val="7"/>
          </w:tcPr>
          <w:p>
            <w:pPr>
              <w:spacing w:after="0"/>
              <w:rPr>
                <w:sz w:val="20"/>
                <w:szCs w:val="20"/>
                <w:color w:val="auto"/>
              </w:rPr>
            </w:pPr>
            <w:r>
              <w:rPr>
                <w:rFonts w:ascii="Arial" w:cs="Arial" w:eastAsia="Arial" w:hAnsi="Arial"/>
                <w:sz w:val="18"/>
                <w:szCs w:val="18"/>
                <w:color w:val="auto"/>
              </w:rPr>
              <w:t>Jerrold D. Dotson</w:t>
            </w: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r>
        <w:trPr>
          <w:trHeight w:val="39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Jon S. Saxe</w:t>
            </w:r>
          </w:p>
        </w:tc>
        <w:tc>
          <w:tcPr>
            <w:tcW w:w="17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5"/>
        </w:trPr>
        <w:tc>
          <w:tcPr>
            <w:tcW w:w="2880" w:type="dxa"/>
            <w:vAlign w:val="bottom"/>
            <w:gridSpan w:val="7"/>
          </w:tcPr>
          <w:p>
            <w:pPr>
              <w:spacing w:after="0"/>
              <w:rPr>
                <w:sz w:val="20"/>
                <w:szCs w:val="20"/>
                <w:color w:val="auto"/>
              </w:rPr>
            </w:pPr>
            <w:r>
              <w:rPr>
                <w:rFonts w:ascii="Arial" w:cs="Arial" w:eastAsia="Arial" w:hAnsi="Arial"/>
                <w:sz w:val="18"/>
                <w:szCs w:val="18"/>
                <w:color w:val="auto"/>
              </w:rPr>
              <w:t>Jon S. Saxe</w:t>
            </w: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r>
        <w:trPr>
          <w:trHeight w:val="394"/>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2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5"/>
        </w:trPr>
        <w:tc>
          <w:tcPr>
            <w:tcW w:w="2880" w:type="dxa"/>
            <w:vAlign w:val="bottom"/>
            <w:gridSpan w:val="7"/>
          </w:tcPr>
          <w:p>
            <w:pPr>
              <w:spacing w:after="0"/>
              <w:rPr>
                <w:sz w:val="20"/>
                <w:szCs w:val="20"/>
                <w:color w:val="auto"/>
              </w:rPr>
            </w:pPr>
            <w:r>
              <w:rPr>
                <w:rFonts w:ascii="Arial" w:cs="Arial" w:eastAsia="Arial" w:hAnsi="Arial"/>
                <w:sz w:val="18"/>
                <w:szCs w:val="18"/>
                <w:color w:val="auto"/>
              </w:rPr>
              <w:t>H. Ralph Snodgrass, Ph.D.</w:t>
            </w: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r>
        <w:trPr>
          <w:trHeight w:val="394"/>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5"/>
        </w:trPr>
        <w:tc>
          <w:tcPr>
            <w:tcW w:w="2880" w:type="dxa"/>
            <w:vAlign w:val="bottom"/>
            <w:gridSpan w:val="7"/>
          </w:tcPr>
          <w:p>
            <w:pPr>
              <w:spacing w:after="0"/>
              <w:rPr>
                <w:sz w:val="20"/>
                <w:szCs w:val="20"/>
                <w:color w:val="auto"/>
              </w:rPr>
            </w:pPr>
            <w:r>
              <w:rPr>
                <w:rFonts w:ascii="Arial" w:cs="Arial" w:eastAsia="Arial" w:hAnsi="Arial"/>
                <w:sz w:val="18"/>
                <w:szCs w:val="18"/>
                <w:color w:val="auto"/>
              </w:rPr>
              <w:t>Brian J. Underdown, Ph.D.</w:t>
            </w: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r>
        <w:trPr>
          <w:trHeight w:val="394"/>
        </w:trPr>
        <w:tc>
          <w:tcPr>
            <w:tcW w:w="2880" w:type="dxa"/>
            <w:vAlign w:val="bottom"/>
            <w:gridSpan w:val="7"/>
          </w:tcPr>
          <w:p>
            <w:pPr>
              <w:spacing w:after="0"/>
              <w:rPr>
                <w:sz w:val="20"/>
                <w:szCs w:val="20"/>
                <w:color w:val="auto"/>
              </w:rPr>
            </w:pPr>
            <w:r>
              <w:rPr>
                <w:rFonts w:ascii="Arial" w:cs="Arial" w:eastAsia="Arial" w:hAnsi="Arial"/>
                <w:sz w:val="18"/>
                <w:szCs w:val="18"/>
                <w:color w:val="auto"/>
              </w:rPr>
              <w:t>/s/ Jerry B. Gin</w:t>
            </w:r>
          </w:p>
        </w:tc>
        <w:tc>
          <w:tcPr>
            <w:tcW w:w="56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5"/>
        </w:trPr>
        <w:tc>
          <w:tcPr>
            <w:tcW w:w="2880" w:type="dxa"/>
            <w:vAlign w:val="bottom"/>
            <w:gridSpan w:val="7"/>
          </w:tcPr>
          <w:p>
            <w:pPr>
              <w:spacing w:after="0"/>
              <w:rPr>
                <w:sz w:val="20"/>
                <w:szCs w:val="20"/>
                <w:color w:val="auto"/>
              </w:rPr>
            </w:pPr>
            <w:r>
              <w:rPr>
                <w:rFonts w:ascii="Arial" w:cs="Arial" w:eastAsia="Arial" w:hAnsi="Arial"/>
                <w:sz w:val="18"/>
                <w:szCs w:val="18"/>
                <w:color w:val="auto"/>
              </w:rPr>
              <w:t>Jerry B. Gin, Ph.D, MBA</w:t>
            </w: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January 23, 2017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S-3, of our report dated June 24, 2016 relating to the consolidated financial statements of VistaGen Therapeutics, Inc. appearing in the Company’s Annual Report on Form 10-K for the fiscal year ended March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23, 2017</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6CEAF087"/>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5"/>
    </w:lvl>
    <w:lvl w:ilvl="2">
      <w:lvlJc w:val="left"/>
      <w:lvlText w:val="(%3)"/>
      <w:numFmt w:val="lowerRoman"/>
      <w:start w:val="1"/>
    </w:lvl>
  </w:abstractNum>
  <w:abstractNum w:abstractNumId="32">
    <w:nsid w:val="4516DDE9"/>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2020-01-15T22:23:56Z</dcterms:created>
  <dcterms:modified xsi:type="dcterms:W3CDTF">2020-01-15T22:23:56Z</dcterms:modified>
</cp:coreProperties>
</file>