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VistaGen Therapeutics,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5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u w:val="single" w:color="auto"/>
          <w:color w:val="auto"/>
        </w:rPr>
        <w:t>Common Stock, $0.001 par value</w:t>
      </w:r>
    </w:p>
    <w:p>
      <w:pPr>
        <w:spacing w:after="0" w:line="2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61"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8"/>
          <w:szCs w:val="18"/>
          <w:u w:val="single" w:color="auto"/>
          <w:color w:val="auto"/>
        </w:rPr>
        <w:t>92840H202</w:t>
      </w:r>
    </w:p>
    <w:p>
      <w:pPr>
        <w:spacing w:after="0" w:line="27"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May 11, 2016</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79"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Rule 13d-1(b)</w:t>
      </w:r>
    </w:p>
    <w:p>
      <w:pPr>
        <w:spacing w:after="0" w:line="279" w:lineRule="exact"/>
        <w:rPr>
          <w:sz w:val="24"/>
          <w:szCs w:val="24"/>
          <w:color w:val="auto"/>
        </w:rPr>
      </w:pPr>
    </w:p>
    <w:p>
      <w:pPr>
        <w:ind w:left="560" w:right="9680" w:hanging="42"/>
        <w:spacing w:after="0" w:line="563" w:lineRule="auto"/>
        <w:tabs>
          <w:tab w:leader="none" w:pos="72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 Rule 13d-1(d)</w:t>
      </w:r>
    </w:p>
    <w:p>
      <w:pPr>
        <w:spacing w:after="0" w:line="1"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4"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w:t>
      </w:r>
      <w:r>
        <w:rPr>
          <w:rFonts w:ascii="Times New Roman" w:cs="Times New Roman" w:eastAsia="Times New Roman" w:hAnsi="Times New Roman"/>
          <w:sz w:val="18"/>
          <w:szCs w:val="18"/>
          <w:i w:val="1"/>
          <w:iCs w:val="1"/>
          <w:color w:val="auto"/>
        </w:rPr>
        <w:t>Securities Exchange Act</w:t>
      </w:r>
      <w:r>
        <w:rPr>
          <w:rFonts w:ascii="Times New Roman" w:cs="Times New Roman" w:eastAsia="Times New Roman" w:hAnsi="Times New Roman"/>
          <w:sz w:val="18"/>
          <w:szCs w:val="18"/>
          <w:color w:val="auto"/>
        </w:rPr>
        <w:t xml:space="preserve">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86"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0"/>
        </w:trPr>
        <w:tc>
          <w:tcPr>
            <w:tcW w:w="900" w:type="dxa"/>
            <w:vAlign w:val="bottom"/>
            <w:tcBorders>
              <w:top w:val="single" w:sz="8" w:color="auto"/>
              <w:left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42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CUSIP No. 92840H202</w:t>
            </w:r>
          </w:p>
        </w:tc>
        <w:tc>
          <w:tcPr>
            <w:tcW w:w="1360" w:type="dxa"/>
            <w:vAlign w:val="bottom"/>
            <w:tcBorders>
              <w:top w:val="single" w:sz="8" w:color="auto"/>
              <w:right w:val="single" w:sz="8" w:color="auto"/>
            </w:tcBorders>
          </w:tcPr>
          <w:p>
            <w:pPr>
              <w:spacing w:after="0"/>
              <w:rPr>
                <w:sz w:val="23"/>
                <w:szCs w:val="23"/>
                <w:color w:val="auto"/>
              </w:rPr>
            </w:pPr>
          </w:p>
        </w:tc>
        <w:tc>
          <w:tcPr>
            <w:tcW w:w="3660" w:type="dxa"/>
            <w:vAlign w:val="bottom"/>
            <w:tcBorders>
              <w:right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13G</w:t>
            </w:r>
          </w:p>
        </w:tc>
        <w:tc>
          <w:tcPr>
            <w:tcW w:w="23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Page 2 of 11 Pages</w:t>
            </w: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gridSpan w:val="4"/>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Moshe Arkin</w:t>
            </w: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Borders>
              <w:left w:val="single" w:sz="8" w:color="auto"/>
            </w:tcBorders>
          </w:tcPr>
          <w:p>
            <w:pPr>
              <w:jc w:val="center"/>
              <w:ind w:left="630"/>
              <w:spacing w:after="0" w:line="196" w:lineRule="exact"/>
              <w:rPr>
                <w:sz w:val="20"/>
                <w:szCs w:val="20"/>
                <w:color w:val="auto"/>
              </w:rPr>
            </w:pPr>
            <w:r>
              <w:rPr>
                <w:rFonts w:ascii="Times New Roman" w:cs="Times New Roman" w:eastAsia="Times New Roman" w:hAnsi="Times New Roman"/>
                <w:sz w:val="18"/>
                <w:szCs w:val="18"/>
                <w:b w:val="1"/>
                <w:bCs w:val="1"/>
                <w:color w:val="auto"/>
              </w:rPr>
              <w:t>2</w:t>
            </w:r>
          </w:p>
        </w:tc>
        <w:tc>
          <w:tcPr>
            <w:tcW w:w="700" w:type="dxa"/>
            <w:vAlign w:val="bottom"/>
            <w:tcBorders>
              <w:right w:val="single" w:sz="8" w:color="auto"/>
            </w:tcBorders>
          </w:tcPr>
          <w:p>
            <w:pPr>
              <w:spacing w:after="0"/>
              <w:rPr>
                <w:sz w:val="17"/>
                <w:szCs w:val="17"/>
                <w:color w:val="auto"/>
              </w:rPr>
            </w:pPr>
          </w:p>
        </w:tc>
        <w:tc>
          <w:tcPr>
            <w:tcW w:w="74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960" w:type="dxa"/>
            <w:vAlign w:val="bottom"/>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1960" w:type="dxa"/>
            <w:vAlign w:val="bottom"/>
            <w:tcBorders>
              <w:bottom w:val="single" w:sz="8" w:color="auto"/>
            </w:tcBorders>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3</w:t>
            </w:r>
          </w:p>
        </w:tc>
        <w:tc>
          <w:tcPr>
            <w:tcW w:w="700" w:type="dxa"/>
            <w:vAlign w:val="bottom"/>
            <w:tcBorders>
              <w:right w:val="single" w:sz="8" w:color="auto"/>
            </w:tcBorders>
          </w:tcPr>
          <w:p>
            <w:pPr>
              <w:spacing w:after="0"/>
              <w:rPr>
                <w:sz w:val="21"/>
                <w:szCs w:val="21"/>
                <w:color w:val="auto"/>
              </w:rPr>
            </w:pPr>
          </w:p>
        </w:tc>
        <w:tc>
          <w:tcPr>
            <w:tcW w:w="2420" w:type="dxa"/>
            <w:vAlign w:val="bottom"/>
            <w:tcBorders>
              <w:right w:val="single" w:sz="8" w:color="00B0F0"/>
            </w:tcBorders>
            <w:gridSpan w:val="3"/>
            <w:shd w:val="clear" w:color="auto" w:fill="00B0F0"/>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00B0F0"/>
            </w:tcBorders>
            <w:shd w:val="clear" w:color="auto" w:fill="00B0F0"/>
          </w:tcPr>
          <w:p>
            <w:pPr>
              <w:spacing w:after="0"/>
              <w:rPr>
                <w:sz w:val="21"/>
                <w:szCs w:val="21"/>
                <w:color w:val="auto"/>
              </w:rPr>
            </w:pPr>
          </w:p>
        </w:tc>
        <w:tc>
          <w:tcPr>
            <w:tcW w:w="3660" w:type="dxa"/>
            <w:vAlign w:val="bottom"/>
            <w:tcBorders>
              <w:right w:val="single" w:sz="8" w:color="00B0F0"/>
            </w:tcBorders>
            <w:shd w:val="clear" w:color="auto" w:fill="00B0F0"/>
          </w:tcPr>
          <w:p>
            <w:pPr>
              <w:spacing w:after="0"/>
              <w:rPr>
                <w:sz w:val="21"/>
                <w:szCs w:val="21"/>
                <w:color w:val="auto"/>
              </w:rPr>
            </w:pPr>
          </w:p>
        </w:tc>
        <w:tc>
          <w:tcPr>
            <w:tcW w:w="2380" w:type="dxa"/>
            <w:vAlign w:val="bottom"/>
            <w:tcBorders>
              <w:right w:val="single" w:sz="8" w:color="auto"/>
            </w:tcBorders>
            <w:shd w:val="clear" w:color="auto" w:fill="00B0F0"/>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00B0F0"/>
            </w:tcBorders>
            <w:gridSpan w:val="2"/>
            <w:shd w:val="clear" w:color="auto" w:fill="00B0F0"/>
          </w:tcPr>
          <w:p>
            <w:pPr>
              <w:spacing w:after="0"/>
              <w:rPr>
                <w:sz w:val="24"/>
                <w:szCs w:val="24"/>
                <w:color w:val="auto"/>
              </w:rPr>
            </w:pPr>
          </w:p>
        </w:tc>
        <w:tc>
          <w:tcPr>
            <w:tcW w:w="1220" w:type="dxa"/>
            <w:vAlign w:val="bottom"/>
            <w:tcBorders>
              <w:bottom w:val="single" w:sz="8" w:color="auto"/>
              <w:right w:val="single" w:sz="8" w:color="00B0F0"/>
            </w:tcBorders>
            <w:shd w:val="clear" w:color="auto" w:fill="00B0F0"/>
          </w:tcPr>
          <w:p>
            <w:pPr>
              <w:spacing w:after="0"/>
              <w:rPr>
                <w:sz w:val="24"/>
                <w:szCs w:val="24"/>
                <w:color w:val="auto"/>
              </w:rPr>
            </w:pPr>
          </w:p>
        </w:tc>
        <w:tc>
          <w:tcPr>
            <w:tcW w:w="1360" w:type="dxa"/>
            <w:vAlign w:val="bottom"/>
            <w:tcBorders>
              <w:bottom w:val="single" w:sz="8" w:color="auto"/>
              <w:right w:val="single" w:sz="8" w:color="00B0F0"/>
            </w:tcBorders>
            <w:shd w:val="clear" w:color="auto" w:fill="00B0F0"/>
          </w:tcPr>
          <w:p>
            <w:pPr>
              <w:spacing w:after="0"/>
              <w:rPr>
                <w:sz w:val="24"/>
                <w:szCs w:val="24"/>
                <w:color w:val="auto"/>
              </w:rPr>
            </w:pPr>
          </w:p>
        </w:tc>
        <w:tc>
          <w:tcPr>
            <w:tcW w:w="3660" w:type="dxa"/>
            <w:vAlign w:val="bottom"/>
            <w:tcBorders>
              <w:bottom w:val="single" w:sz="8" w:color="auto"/>
              <w:right w:val="single" w:sz="8" w:color="00B0F0"/>
            </w:tcBorders>
            <w:shd w:val="clear" w:color="auto" w:fill="00B0F0"/>
          </w:tcPr>
          <w:p>
            <w:pPr>
              <w:spacing w:after="0"/>
              <w:rPr>
                <w:sz w:val="24"/>
                <w:szCs w:val="24"/>
                <w:color w:val="auto"/>
              </w:rPr>
            </w:pPr>
          </w:p>
        </w:tc>
        <w:tc>
          <w:tcPr>
            <w:tcW w:w="2380" w:type="dxa"/>
            <w:vAlign w:val="bottom"/>
            <w:tcBorders>
              <w:bottom w:val="single" w:sz="8" w:color="auto"/>
              <w:right w:val="single" w:sz="8" w:color="auto"/>
            </w:tcBorders>
            <w:shd w:val="clear" w:color="auto" w:fill="00B0F0"/>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4</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5</w:t>
            </w: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Times New Roman" w:cs="Times New Roman" w:eastAsia="Times New Roman" w:hAnsi="Times New Roman"/>
                <w:sz w:val="18"/>
                <w:szCs w:val="18"/>
                <w:color w:val="auto"/>
                <w:w w:val="99"/>
              </w:rPr>
              <w:t>NUMBER OF</w:t>
            </w: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60" w:type="dxa"/>
            <w:vAlign w:val="bottom"/>
            <w:tcBorders>
              <w:left w:val="single" w:sz="8" w:color="auto"/>
            </w:tcBorders>
            <w:gridSpan w:val="3"/>
            <w:vMerge w:val="continue"/>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6</w:t>
            </w:r>
          </w:p>
        </w:tc>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3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900" w:type="dxa"/>
            <w:vAlign w:val="bottom"/>
            <w:tcBorders>
              <w:left w:val="single" w:sz="8" w:color="auto"/>
            </w:tcBorders>
          </w:tcPr>
          <w:p>
            <w:pPr>
              <w:spacing w:after="0"/>
              <w:rPr>
                <w:sz w:val="7"/>
                <w:szCs w:val="7"/>
                <w:color w:val="auto"/>
              </w:rPr>
            </w:pPr>
          </w:p>
        </w:tc>
        <w:tc>
          <w:tcPr>
            <w:tcW w:w="1160" w:type="dxa"/>
            <w:vAlign w:val="bottom"/>
            <w:gridSpan w:val="2"/>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8"/>
              </w:rPr>
              <w:t>SHARES</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5020" w:type="dxa"/>
            <w:vAlign w:val="bottom"/>
            <w:gridSpan w:val="2"/>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00" w:type="dxa"/>
            <w:vAlign w:val="bottom"/>
            <w:tcBorders>
              <w:left w:val="single" w:sz="8" w:color="auto"/>
            </w:tcBorders>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BENEFICIALLY</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588,200 (*)</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Times New Roman" w:cs="Times New Roman" w:eastAsia="Times New Roman" w:hAnsi="Times New Roman"/>
                <w:sz w:val="18"/>
                <w:szCs w:val="18"/>
                <w:color w:val="auto"/>
                <w:w w:val="99"/>
              </w:rPr>
              <w:t>OWNED BY</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360" w:type="dxa"/>
            <w:vAlign w:val="bottom"/>
            <w:vMerge w:val="continue"/>
          </w:tcPr>
          <w:p>
            <w:pPr>
              <w:spacing w:after="0"/>
              <w:rPr>
                <w:sz w:val="7"/>
                <w:szCs w:val="7"/>
                <w:color w:val="auto"/>
              </w:rPr>
            </w:pPr>
          </w:p>
        </w:tc>
        <w:tc>
          <w:tcPr>
            <w:tcW w:w="3660" w:type="dxa"/>
            <w:vAlign w:val="bottom"/>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2060" w:type="dxa"/>
            <w:vAlign w:val="bottom"/>
            <w:tcBorders>
              <w:left w:val="single" w:sz="8" w:color="auto"/>
            </w:tcBorders>
            <w:gridSpan w:val="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7</w:t>
            </w:r>
          </w:p>
        </w:tc>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2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900" w:type="dxa"/>
            <w:vAlign w:val="bottom"/>
            <w:tcBorders>
              <w:left w:val="single" w:sz="8" w:color="auto"/>
            </w:tcBorders>
          </w:tcPr>
          <w:p>
            <w:pPr>
              <w:spacing w:after="0"/>
              <w:rPr>
                <w:sz w:val="14"/>
                <w:szCs w:val="14"/>
                <w:color w:val="auto"/>
              </w:rPr>
            </w:pPr>
          </w:p>
        </w:tc>
        <w:tc>
          <w:tcPr>
            <w:tcW w:w="1160" w:type="dxa"/>
            <w:vAlign w:val="bottom"/>
            <w:gridSpan w:val="2"/>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7"/>
              </w:rPr>
              <w:t>EACH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900" w:type="dxa"/>
            <w:vAlign w:val="bottom"/>
            <w:tcBorders>
              <w:left w:val="single" w:sz="8" w:color="auto"/>
            </w:tcBorders>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8"/>
              </w:rPr>
              <w:t>REPORTING</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tcBorders>
            <w:gridSpan w:val="3"/>
            <w:vMerge w:val="restart"/>
          </w:tcPr>
          <w:p>
            <w:pPr>
              <w:jc w:val="center"/>
              <w:ind w:left="370"/>
              <w:spacing w:after="0" w:line="194" w:lineRule="exact"/>
              <w:rPr>
                <w:sz w:val="20"/>
                <w:szCs w:val="20"/>
                <w:color w:val="auto"/>
              </w:rPr>
            </w:pPr>
            <w:r>
              <w:rPr>
                <w:rFonts w:ascii="Times New Roman" w:cs="Times New Roman" w:eastAsia="Times New Roman" w:hAnsi="Times New Roman"/>
                <w:sz w:val="18"/>
                <w:szCs w:val="18"/>
                <w:color w:val="auto"/>
                <w:w w:val="99"/>
              </w:rPr>
              <w:t>PERSON WITH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66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8</w:t>
            </w: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588,200 (*)</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9</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588,200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00" w:type="dxa"/>
            <w:vAlign w:val="bottom"/>
            <w:tcBorders>
              <w:right w:val="single" w:sz="8" w:color="auto"/>
            </w:tcBorders>
          </w:tcPr>
          <w:p>
            <w:pPr>
              <w:spacing w:after="0"/>
              <w:rPr>
                <w:sz w:val="21"/>
                <w:szCs w:val="21"/>
                <w:color w:val="auto"/>
              </w:rPr>
            </w:pPr>
          </w:p>
        </w:tc>
        <w:tc>
          <w:tcPr>
            <w:tcW w:w="982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7.63% (*)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60" w:firstLine="8"/>
        <w:spacing w:after="0" w:line="282"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294,100 shares of Common Stock and 294,100 warrants (each convertible into one share of Common Stock). The beneficial ownership of the securities reported herein is described in Item 4(a).</w:t>
      </w:r>
    </w:p>
    <w:p>
      <w:pPr>
        <w:spacing w:after="0" w:line="216" w:lineRule="exact"/>
        <w:rPr>
          <w:sz w:val="20"/>
          <w:szCs w:val="20"/>
          <w:color w:val="auto"/>
        </w:rPr>
      </w:pPr>
    </w:p>
    <w:p>
      <w:pPr>
        <w:ind w:right="640" w:firstLine="8"/>
        <w:spacing w:after="0" w:line="282" w:lineRule="auto"/>
        <w:tabs>
          <w:tab w:leader="none" w:pos="3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7,713,875 shares of Common Stock outstanding as of May 12, 2016 (as reported in the Issuer's prospectus filed with the Securities and Exchange Commission ("SEC") on such date pursuant to Rule 424(b)(4)).</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70"/>
        </w:trPr>
        <w:tc>
          <w:tcPr>
            <w:tcW w:w="2060" w:type="dxa"/>
            <w:vAlign w:val="bottom"/>
            <w:tcBorders>
              <w:top w:val="single" w:sz="8" w:color="auto"/>
              <w:lef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CUSIP No. 92840H202</w:t>
            </w:r>
          </w:p>
        </w:tc>
        <w:tc>
          <w:tcPr>
            <w:tcW w:w="7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360" w:type="dxa"/>
            <w:vAlign w:val="bottom"/>
            <w:tcBorders>
              <w:top w:val="single" w:sz="8" w:color="auto"/>
              <w:right w:val="single" w:sz="8" w:color="auto"/>
            </w:tcBorders>
          </w:tcPr>
          <w:p>
            <w:pPr>
              <w:spacing w:after="0"/>
              <w:rPr>
                <w:sz w:val="23"/>
                <w:szCs w:val="23"/>
                <w:color w:val="auto"/>
              </w:rPr>
            </w:pPr>
          </w:p>
        </w:tc>
        <w:tc>
          <w:tcPr>
            <w:tcW w:w="3660" w:type="dxa"/>
            <w:vAlign w:val="bottom"/>
            <w:tcBorders>
              <w:right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13G</w:t>
            </w:r>
          </w:p>
        </w:tc>
        <w:tc>
          <w:tcPr>
            <w:tcW w:w="23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Page 3 of 11 Pages</w:t>
            </w: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gridSpan w:val="4"/>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Sphera Funds Management Ltd.</w:t>
            </w: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Borders>
              <w:left w:val="single" w:sz="8" w:color="auto"/>
            </w:tcBorders>
          </w:tcPr>
          <w:p>
            <w:pPr>
              <w:jc w:val="center"/>
              <w:ind w:left="630"/>
              <w:spacing w:after="0" w:line="196" w:lineRule="exact"/>
              <w:rPr>
                <w:sz w:val="20"/>
                <w:szCs w:val="20"/>
                <w:color w:val="auto"/>
              </w:rPr>
            </w:pPr>
            <w:r>
              <w:rPr>
                <w:rFonts w:ascii="Times New Roman" w:cs="Times New Roman" w:eastAsia="Times New Roman" w:hAnsi="Times New Roman"/>
                <w:sz w:val="18"/>
                <w:szCs w:val="18"/>
                <w:b w:val="1"/>
                <w:bCs w:val="1"/>
                <w:color w:val="auto"/>
              </w:rPr>
              <w:t>2</w:t>
            </w:r>
          </w:p>
        </w:tc>
        <w:tc>
          <w:tcPr>
            <w:tcW w:w="700" w:type="dxa"/>
            <w:vAlign w:val="bottom"/>
            <w:tcBorders>
              <w:right w:val="single" w:sz="8" w:color="auto"/>
            </w:tcBorders>
          </w:tcPr>
          <w:p>
            <w:pPr>
              <w:spacing w:after="0"/>
              <w:rPr>
                <w:sz w:val="17"/>
                <w:szCs w:val="17"/>
                <w:color w:val="auto"/>
              </w:rPr>
            </w:pPr>
          </w:p>
        </w:tc>
        <w:tc>
          <w:tcPr>
            <w:tcW w:w="74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960" w:type="dxa"/>
            <w:vAlign w:val="bottom"/>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1960" w:type="dxa"/>
            <w:vAlign w:val="bottom"/>
            <w:tcBorders>
              <w:bottom w:val="single" w:sz="8" w:color="auto"/>
            </w:tcBorders>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3</w:t>
            </w:r>
          </w:p>
        </w:tc>
        <w:tc>
          <w:tcPr>
            <w:tcW w:w="700" w:type="dxa"/>
            <w:vAlign w:val="bottom"/>
            <w:tcBorders>
              <w:right w:val="single" w:sz="8" w:color="auto"/>
            </w:tcBorders>
          </w:tcPr>
          <w:p>
            <w:pPr>
              <w:spacing w:after="0"/>
              <w:rPr>
                <w:sz w:val="21"/>
                <w:szCs w:val="21"/>
                <w:color w:val="auto"/>
              </w:rPr>
            </w:pPr>
          </w:p>
        </w:tc>
        <w:tc>
          <w:tcPr>
            <w:tcW w:w="2420" w:type="dxa"/>
            <w:vAlign w:val="bottom"/>
            <w:tcBorders>
              <w:right w:val="single" w:sz="8" w:color="00B0F0"/>
            </w:tcBorders>
            <w:gridSpan w:val="3"/>
            <w:shd w:val="clear" w:color="auto" w:fill="00B0F0"/>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00B0F0"/>
            </w:tcBorders>
            <w:shd w:val="clear" w:color="auto" w:fill="00B0F0"/>
          </w:tcPr>
          <w:p>
            <w:pPr>
              <w:spacing w:after="0"/>
              <w:rPr>
                <w:sz w:val="21"/>
                <w:szCs w:val="21"/>
                <w:color w:val="auto"/>
              </w:rPr>
            </w:pPr>
          </w:p>
        </w:tc>
        <w:tc>
          <w:tcPr>
            <w:tcW w:w="3660" w:type="dxa"/>
            <w:vAlign w:val="bottom"/>
            <w:tcBorders>
              <w:right w:val="single" w:sz="8" w:color="00B0F0"/>
            </w:tcBorders>
            <w:shd w:val="clear" w:color="auto" w:fill="00B0F0"/>
          </w:tcPr>
          <w:p>
            <w:pPr>
              <w:spacing w:after="0"/>
              <w:rPr>
                <w:sz w:val="21"/>
                <w:szCs w:val="21"/>
                <w:color w:val="auto"/>
              </w:rPr>
            </w:pPr>
          </w:p>
        </w:tc>
        <w:tc>
          <w:tcPr>
            <w:tcW w:w="2380" w:type="dxa"/>
            <w:vAlign w:val="bottom"/>
            <w:tcBorders>
              <w:right w:val="single" w:sz="8" w:color="auto"/>
            </w:tcBorders>
            <w:shd w:val="clear" w:color="auto" w:fill="00B0F0"/>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00B0F0"/>
            </w:tcBorders>
            <w:gridSpan w:val="2"/>
            <w:shd w:val="clear" w:color="auto" w:fill="00B0F0"/>
          </w:tcPr>
          <w:p>
            <w:pPr>
              <w:spacing w:after="0"/>
              <w:rPr>
                <w:sz w:val="24"/>
                <w:szCs w:val="24"/>
                <w:color w:val="auto"/>
              </w:rPr>
            </w:pPr>
          </w:p>
        </w:tc>
        <w:tc>
          <w:tcPr>
            <w:tcW w:w="1220" w:type="dxa"/>
            <w:vAlign w:val="bottom"/>
            <w:tcBorders>
              <w:bottom w:val="single" w:sz="8" w:color="auto"/>
              <w:right w:val="single" w:sz="8" w:color="00B0F0"/>
            </w:tcBorders>
            <w:shd w:val="clear" w:color="auto" w:fill="00B0F0"/>
          </w:tcPr>
          <w:p>
            <w:pPr>
              <w:spacing w:after="0"/>
              <w:rPr>
                <w:sz w:val="24"/>
                <w:szCs w:val="24"/>
                <w:color w:val="auto"/>
              </w:rPr>
            </w:pPr>
          </w:p>
        </w:tc>
        <w:tc>
          <w:tcPr>
            <w:tcW w:w="1360" w:type="dxa"/>
            <w:vAlign w:val="bottom"/>
            <w:tcBorders>
              <w:bottom w:val="single" w:sz="8" w:color="auto"/>
              <w:right w:val="single" w:sz="8" w:color="00B0F0"/>
            </w:tcBorders>
            <w:shd w:val="clear" w:color="auto" w:fill="00B0F0"/>
          </w:tcPr>
          <w:p>
            <w:pPr>
              <w:spacing w:after="0"/>
              <w:rPr>
                <w:sz w:val="24"/>
                <w:szCs w:val="24"/>
                <w:color w:val="auto"/>
              </w:rPr>
            </w:pPr>
          </w:p>
        </w:tc>
        <w:tc>
          <w:tcPr>
            <w:tcW w:w="3660" w:type="dxa"/>
            <w:vAlign w:val="bottom"/>
            <w:tcBorders>
              <w:bottom w:val="single" w:sz="8" w:color="auto"/>
              <w:right w:val="single" w:sz="8" w:color="00B0F0"/>
            </w:tcBorders>
            <w:shd w:val="clear" w:color="auto" w:fill="00B0F0"/>
          </w:tcPr>
          <w:p>
            <w:pPr>
              <w:spacing w:after="0"/>
              <w:rPr>
                <w:sz w:val="24"/>
                <w:szCs w:val="24"/>
                <w:color w:val="auto"/>
              </w:rPr>
            </w:pPr>
          </w:p>
        </w:tc>
        <w:tc>
          <w:tcPr>
            <w:tcW w:w="2380" w:type="dxa"/>
            <w:vAlign w:val="bottom"/>
            <w:tcBorders>
              <w:bottom w:val="single" w:sz="8" w:color="auto"/>
              <w:right w:val="single" w:sz="8" w:color="auto"/>
            </w:tcBorders>
            <w:shd w:val="clear" w:color="auto" w:fill="00B0F0"/>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4</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5</w:t>
            </w: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Times New Roman" w:cs="Times New Roman" w:eastAsia="Times New Roman" w:hAnsi="Times New Roman"/>
                <w:sz w:val="18"/>
                <w:szCs w:val="18"/>
                <w:color w:val="auto"/>
                <w:w w:val="99"/>
              </w:rPr>
              <w:t>NUMBER OF</w:t>
            </w: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60" w:type="dxa"/>
            <w:vAlign w:val="bottom"/>
            <w:tcBorders>
              <w:left w:val="single" w:sz="8" w:color="auto"/>
            </w:tcBorders>
            <w:gridSpan w:val="3"/>
            <w:vMerge w:val="continue"/>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6</w:t>
            </w:r>
          </w:p>
        </w:tc>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3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900" w:type="dxa"/>
            <w:vAlign w:val="bottom"/>
            <w:tcBorders>
              <w:left w:val="single" w:sz="8" w:color="auto"/>
            </w:tcBorders>
          </w:tcPr>
          <w:p>
            <w:pPr>
              <w:spacing w:after="0"/>
              <w:rPr>
                <w:sz w:val="7"/>
                <w:szCs w:val="7"/>
                <w:color w:val="auto"/>
              </w:rPr>
            </w:pPr>
          </w:p>
        </w:tc>
        <w:tc>
          <w:tcPr>
            <w:tcW w:w="1160" w:type="dxa"/>
            <w:vAlign w:val="bottom"/>
            <w:gridSpan w:val="2"/>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8"/>
              </w:rPr>
              <w:t>SHARES</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5020" w:type="dxa"/>
            <w:vAlign w:val="bottom"/>
            <w:gridSpan w:val="2"/>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00" w:type="dxa"/>
            <w:vAlign w:val="bottom"/>
            <w:tcBorders>
              <w:left w:val="single" w:sz="8" w:color="auto"/>
            </w:tcBorders>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BENEFICIALLY</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588,200 (*)</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Times New Roman" w:cs="Times New Roman" w:eastAsia="Times New Roman" w:hAnsi="Times New Roman"/>
                <w:sz w:val="18"/>
                <w:szCs w:val="18"/>
                <w:color w:val="auto"/>
                <w:w w:val="99"/>
              </w:rPr>
              <w:t>OWNED BY</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360" w:type="dxa"/>
            <w:vAlign w:val="bottom"/>
            <w:vMerge w:val="continue"/>
          </w:tcPr>
          <w:p>
            <w:pPr>
              <w:spacing w:after="0"/>
              <w:rPr>
                <w:sz w:val="7"/>
                <w:szCs w:val="7"/>
                <w:color w:val="auto"/>
              </w:rPr>
            </w:pPr>
          </w:p>
        </w:tc>
        <w:tc>
          <w:tcPr>
            <w:tcW w:w="3660" w:type="dxa"/>
            <w:vAlign w:val="bottom"/>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2060" w:type="dxa"/>
            <w:vAlign w:val="bottom"/>
            <w:tcBorders>
              <w:left w:val="single" w:sz="8" w:color="auto"/>
            </w:tcBorders>
            <w:gridSpan w:val="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7</w:t>
            </w:r>
          </w:p>
        </w:tc>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2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900" w:type="dxa"/>
            <w:vAlign w:val="bottom"/>
            <w:tcBorders>
              <w:left w:val="single" w:sz="8" w:color="auto"/>
            </w:tcBorders>
          </w:tcPr>
          <w:p>
            <w:pPr>
              <w:spacing w:after="0"/>
              <w:rPr>
                <w:sz w:val="14"/>
                <w:szCs w:val="14"/>
                <w:color w:val="auto"/>
              </w:rPr>
            </w:pPr>
          </w:p>
        </w:tc>
        <w:tc>
          <w:tcPr>
            <w:tcW w:w="1160" w:type="dxa"/>
            <w:vAlign w:val="bottom"/>
            <w:gridSpan w:val="2"/>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7"/>
              </w:rPr>
              <w:t>EACH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900" w:type="dxa"/>
            <w:vAlign w:val="bottom"/>
            <w:tcBorders>
              <w:left w:val="single" w:sz="8" w:color="auto"/>
            </w:tcBorders>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8"/>
              </w:rPr>
              <w:t>REPORTING</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tcBorders>
            <w:gridSpan w:val="3"/>
            <w:vMerge w:val="restart"/>
          </w:tcPr>
          <w:p>
            <w:pPr>
              <w:jc w:val="center"/>
              <w:ind w:left="370"/>
              <w:spacing w:after="0" w:line="194" w:lineRule="exact"/>
              <w:rPr>
                <w:sz w:val="20"/>
                <w:szCs w:val="20"/>
                <w:color w:val="auto"/>
              </w:rPr>
            </w:pPr>
            <w:r>
              <w:rPr>
                <w:rFonts w:ascii="Times New Roman" w:cs="Times New Roman" w:eastAsia="Times New Roman" w:hAnsi="Times New Roman"/>
                <w:sz w:val="18"/>
                <w:szCs w:val="18"/>
                <w:color w:val="auto"/>
                <w:w w:val="99"/>
              </w:rPr>
              <w:t>PERSON WITH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66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8</w:t>
            </w: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588,200 (*)</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9</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588,200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00" w:type="dxa"/>
            <w:vAlign w:val="bottom"/>
            <w:tcBorders>
              <w:right w:val="single" w:sz="8" w:color="auto"/>
            </w:tcBorders>
          </w:tcPr>
          <w:p>
            <w:pPr>
              <w:spacing w:after="0"/>
              <w:rPr>
                <w:sz w:val="21"/>
                <w:szCs w:val="21"/>
                <w:color w:val="auto"/>
              </w:rPr>
            </w:pPr>
          </w:p>
        </w:tc>
        <w:tc>
          <w:tcPr>
            <w:tcW w:w="982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7.63% (*)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60" w:firstLine="8"/>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294,100 shares of Common Stock and 294,100 warrants (each convertible into one share of Common Stock). The beneficial ownership of the securities reported herein is described in Item 4(a).</w:t>
      </w:r>
    </w:p>
    <w:p>
      <w:pPr>
        <w:spacing w:after="0" w:line="216" w:lineRule="exact"/>
        <w:rPr>
          <w:sz w:val="20"/>
          <w:szCs w:val="20"/>
          <w:color w:val="auto"/>
        </w:rPr>
      </w:pPr>
    </w:p>
    <w:p>
      <w:pPr>
        <w:ind w:right="380" w:firstLine="8"/>
        <w:spacing w:after="0" w:line="282" w:lineRule="auto"/>
        <w:tabs>
          <w:tab w:leader="none" w:pos="3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7,713,875 shares of Common Stock outstanding as of May 12, 2016 (as reported in the Issuer's prospectus filed with the SEC on such date pursuant to Rule 424(b)(4)).</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70"/>
        </w:trPr>
        <w:tc>
          <w:tcPr>
            <w:tcW w:w="2060" w:type="dxa"/>
            <w:vAlign w:val="bottom"/>
            <w:tcBorders>
              <w:top w:val="single" w:sz="8" w:color="auto"/>
              <w:lef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CUSIP No. 92840H202</w:t>
            </w:r>
          </w:p>
        </w:tc>
        <w:tc>
          <w:tcPr>
            <w:tcW w:w="7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360" w:type="dxa"/>
            <w:vAlign w:val="bottom"/>
            <w:tcBorders>
              <w:top w:val="single" w:sz="8" w:color="auto"/>
              <w:right w:val="single" w:sz="8" w:color="auto"/>
            </w:tcBorders>
          </w:tcPr>
          <w:p>
            <w:pPr>
              <w:spacing w:after="0"/>
              <w:rPr>
                <w:sz w:val="23"/>
                <w:szCs w:val="23"/>
                <w:color w:val="auto"/>
              </w:rPr>
            </w:pPr>
          </w:p>
        </w:tc>
        <w:tc>
          <w:tcPr>
            <w:tcW w:w="3660" w:type="dxa"/>
            <w:vAlign w:val="bottom"/>
            <w:tcBorders>
              <w:right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13G</w:t>
            </w:r>
          </w:p>
        </w:tc>
        <w:tc>
          <w:tcPr>
            <w:tcW w:w="23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Page 4 of 11 Pages</w:t>
            </w: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gridSpan w:val="4"/>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Sphera Global Healthcare GP Ltd.</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Borders>
              <w:left w:val="single" w:sz="8" w:color="auto"/>
            </w:tcBorders>
          </w:tcPr>
          <w:p>
            <w:pPr>
              <w:jc w:val="center"/>
              <w:ind w:left="630"/>
              <w:spacing w:after="0" w:line="196" w:lineRule="exact"/>
              <w:rPr>
                <w:sz w:val="20"/>
                <w:szCs w:val="20"/>
                <w:color w:val="auto"/>
              </w:rPr>
            </w:pPr>
            <w:r>
              <w:rPr>
                <w:rFonts w:ascii="Times New Roman" w:cs="Times New Roman" w:eastAsia="Times New Roman" w:hAnsi="Times New Roman"/>
                <w:sz w:val="18"/>
                <w:szCs w:val="18"/>
                <w:b w:val="1"/>
                <w:bCs w:val="1"/>
                <w:color w:val="auto"/>
              </w:rPr>
              <w:t>2</w:t>
            </w:r>
          </w:p>
        </w:tc>
        <w:tc>
          <w:tcPr>
            <w:tcW w:w="700" w:type="dxa"/>
            <w:vAlign w:val="bottom"/>
            <w:tcBorders>
              <w:right w:val="single" w:sz="8" w:color="auto"/>
            </w:tcBorders>
          </w:tcPr>
          <w:p>
            <w:pPr>
              <w:spacing w:after="0"/>
              <w:rPr>
                <w:sz w:val="17"/>
                <w:szCs w:val="17"/>
                <w:color w:val="auto"/>
              </w:rPr>
            </w:pPr>
          </w:p>
        </w:tc>
        <w:tc>
          <w:tcPr>
            <w:tcW w:w="74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960" w:type="dxa"/>
            <w:vAlign w:val="bottom"/>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1960" w:type="dxa"/>
            <w:vAlign w:val="bottom"/>
            <w:tcBorders>
              <w:bottom w:val="single" w:sz="8" w:color="auto"/>
            </w:tcBorders>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3</w:t>
            </w:r>
          </w:p>
        </w:tc>
        <w:tc>
          <w:tcPr>
            <w:tcW w:w="700" w:type="dxa"/>
            <w:vAlign w:val="bottom"/>
            <w:tcBorders>
              <w:right w:val="single" w:sz="8" w:color="auto"/>
            </w:tcBorders>
          </w:tcPr>
          <w:p>
            <w:pPr>
              <w:spacing w:after="0"/>
              <w:rPr>
                <w:sz w:val="21"/>
                <w:szCs w:val="21"/>
                <w:color w:val="auto"/>
              </w:rPr>
            </w:pPr>
          </w:p>
        </w:tc>
        <w:tc>
          <w:tcPr>
            <w:tcW w:w="2420" w:type="dxa"/>
            <w:vAlign w:val="bottom"/>
            <w:tcBorders>
              <w:right w:val="single" w:sz="8" w:color="00B0F0"/>
            </w:tcBorders>
            <w:gridSpan w:val="3"/>
            <w:shd w:val="clear" w:color="auto" w:fill="00B0F0"/>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00B0F0"/>
            </w:tcBorders>
            <w:shd w:val="clear" w:color="auto" w:fill="00B0F0"/>
          </w:tcPr>
          <w:p>
            <w:pPr>
              <w:spacing w:after="0"/>
              <w:rPr>
                <w:sz w:val="21"/>
                <w:szCs w:val="21"/>
                <w:color w:val="auto"/>
              </w:rPr>
            </w:pPr>
          </w:p>
        </w:tc>
        <w:tc>
          <w:tcPr>
            <w:tcW w:w="3660" w:type="dxa"/>
            <w:vAlign w:val="bottom"/>
            <w:tcBorders>
              <w:right w:val="single" w:sz="8" w:color="00B0F0"/>
            </w:tcBorders>
            <w:shd w:val="clear" w:color="auto" w:fill="00B0F0"/>
          </w:tcPr>
          <w:p>
            <w:pPr>
              <w:spacing w:after="0"/>
              <w:rPr>
                <w:sz w:val="21"/>
                <w:szCs w:val="21"/>
                <w:color w:val="auto"/>
              </w:rPr>
            </w:pPr>
          </w:p>
        </w:tc>
        <w:tc>
          <w:tcPr>
            <w:tcW w:w="2380" w:type="dxa"/>
            <w:vAlign w:val="bottom"/>
            <w:tcBorders>
              <w:right w:val="single" w:sz="8" w:color="auto"/>
            </w:tcBorders>
            <w:shd w:val="clear" w:color="auto" w:fill="00B0F0"/>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00B0F0"/>
            </w:tcBorders>
            <w:gridSpan w:val="2"/>
            <w:shd w:val="clear" w:color="auto" w:fill="00B0F0"/>
          </w:tcPr>
          <w:p>
            <w:pPr>
              <w:spacing w:after="0"/>
              <w:rPr>
                <w:sz w:val="24"/>
                <w:szCs w:val="24"/>
                <w:color w:val="auto"/>
              </w:rPr>
            </w:pPr>
          </w:p>
        </w:tc>
        <w:tc>
          <w:tcPr>
            <w:tcW w:w="1220" w:type="dxa"/>
            <w:vAlign w:val="bottom"/>
            <w:tcBorders>
              <w:bottom w:val="single" w:sz="8" w:color="auto"/>
              <w:right w:val="single" w:sz="8" w:color="00B0F0"/>
            </w:tcBorders>
            <w:shd w:val="clear" w:color="auto" w:fill="00B0F0"/>
          </w:tcPr>
          <w:p>
            <w:pPr>
              <w:spacing w:after="0"/>
              <w:rPr>
                <w:sz w:val="24"/>
                <w:szCs w:val="24"/>
                <w:color w:val="auto"/>
              </w:rPr>
            </w:pPr>
          </w:p>
        </w:tc>
        <w:tc>
          <w:tcPr>
            <w:tcW w:w="1360" w:type="dxa"/>
            <w:vAlign w:val="bottom"/>
            <w:tcBorders>
              <w:bottom w:val="single" w:sz="8" w:color="auto"/>
              <w:right w:val="single" w:sz="8" w:color="00B0F0"/>
            </w:tcBorders>
            <w:shd w:val="clear" w:color="auto" w:fill="00B0F0"/>
          </w:tcPr>
          <w:p>
            <w:pPr>
              <w:spacing w:after="0"/>
              <w:rPr>
                <w:sz w:val="24"/>
                <w:szCs w:val="24"/>
                <w:color w:val="auto"/>
              </w:rPr>
            </w:pPr>
          </w:p>
        </w:tc>
        <w:tc>
          <w:tcPr>
            <w:tcW w:w="3660" w:type="dxa"/>
            <w:vAlign w:val="bottom"/>
            <w:tcBorders>
              <w:bottom w:val="single" w:sz="8" w:color="auto"/>
              <w:right w:val="single" w:sz="8" w:color="00B0F0"/>
            </w:tcBorders>
            <w:shd w:val="clear" w:color="auto" w:fill="00B0F0"/>
          </w:tcPr>
          <w:p>
            <w:pPr>
              <w:spacing w:after="0"/>
              <w:rPr>
                <w:sz w:val="24"/>
                <w:szCs w:val="24"/>
                <w:color w:val="auto"/>
              </w:rPr>
            </w:pPr>
          </w:p>
        </w:tc>
        <w:tc>
          <w:tcPr>
            <w:tcW w:w="2380" w:type="dxa"/>
            <w:vAlign w:val="bottom"/>
            <w:tcBorders>
              <w:bottom w:val="single" w:sz="8" w:color="auto"/>
              <w:right w:val="single" w:sz="8" w:color="auto"/>
            </w:tcBorders>
            <w:shd w:val="clear" w:color="auto" w:fill="00B0F0"/>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4</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5</w:t>
            </w: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Times New Roman" w:cs="Times New Roman" w:eastAsia="Times New Roman" w:hAnsi="Times New Roman"/>
                <w:sz w:val="18"/>
                <w:szCs w:val="18"/>
                <w:color w:val="auto"/>
                <w:w w:val="99"/>
              </w:rPr>
              <w:t>NUMBER OF</w:t>
            </w: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60" w:type="dxa"/>
            <w:vAlign w:val="bottom"/>
            <w:tcBorders>
              <w:left w:val="single" w:sz="8" w:color="auto"/>
            </w:tcBorders>
            <w:gridSpan w:val="3"/>
            <w:vMerge w:val="continue"/>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6</w:t>
            </w:r>
          </w:p>
        </w:tc>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3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900" w:type="dxa"/>
            <w:vAlign w:val="bottom"/>
            <w:tcBorders>
              <w:left w:val="single" w:sz="8" w:color="auto"/>
            </w:tcBorders>
          </w:tcPr>
          <w:p>
            <w:pPr>
              <w:spacing w:after="0"/>
              <w:rPr>
                <w:sz w:val="7"/>
                <w:szCs w:val="7"/>
                <w:color w:val="auto"/>
              </w:rPr>
            </w:pPr>
          </w:p>
        </w:tc>
        <w:tc>
          <w:tcPr>
            <w:tcW w:w="1160" w:type="dxa"/>
            <w:vAlign w:val="bottom"/>
            <w:gridSpan w:val="2"/>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8"/>
              </w:rPr>
              <w:t>SHARES</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5020" w:type="dxa"/>
            <w:vAlign w:val="bottom"/>
            <w:gridSpan w:val="2"/>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00" w:type="dxa"/>
            <w:vAlign w:val="bottom"/>
            <w:tcBorders>
              <w:left w:val="single" w:sz="8" w:color="auto"/>
            </w:tcBorders>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BENEFICIALLY</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588,200 (*)</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Times New Roman" w:cs="Times New Roman" w:eastAsia="Times New Roman" w:hAnsi="Times New Roman"/>
                <w:sz w:val="18"/>
                <w:szCs w:val="18"/>
                <w:color w:val="auto"/>
                <w:w w:val="99"/>
              </w:rPr>
              <w:t>OWNED BY</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360" w:type="dxa"/>
            <w:vAlign w:val="bottom"/>
            <w:vMerge w:val="continue"/>
          </w:tcPr>
          <w:p>
            <w:pPr>
              <w:spacing w:after="0"/>
              <w:rPr>
                <w:sz w:val="7"/>
                <w:szCs w:val="7"/>
                <w:color w:val="auto"/>
              </w:rPr>
            </w:pPr>
          </w:p>
        </w:tc>
        <w:tc>
          <w:tcPr>
            <w:tcW w:w="3660" w:type="dxa"/>
            <w:vAlign w:val="bottom"/>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2060" w:type="dxa"/>
            <w:vAlign w:val="bottom"/>
            <w:tcBorders>
              <w:left w:val="single" w:sz="8" w:color="auto"/>
            </w:tcBorders>
            <w:gridSpan w:val="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7</w:t>
            </w:r>
          </w:p>
        </w:tc>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2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900" w:type="dxa"/>
            <w:vAlign w:val="bottom"/>
            <w:tcBorders>
              <w:left w:val="single" w:sz="8" w:color="auto"/>
            </w:tcBorders>
          </w:tcPr>
          <w:p>
            <w:pPr>
              <w:spacing w:after="0"/>
              <w:rPr>
                <w:sz w:val="14"/>
                <w:szCs w:val="14"/>
                <w:color w:val="auto"/>
              </w:rPr>
            </w:pPr>
          </w:p>
        </w:tc>
        <w:tc>
          <w:tcPr>
            <w:tcW w:w="1160" w:type="dxa"/>
            <w:vAlign w:val="bottom"/>
            <w:gridSpan w:val="2"/>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7"/>
              </w:rPr>
              <w:t>EACH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900" w:type="dxa"/>
            <w:vAlign w:val="bottom"/>
            <w:tcBorders>
              <w:left w:val="single" w:sz="8" w:color="auto"/>
            </w:tcBorders>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8"/>
              </w:rPr>
              <w:t>REPORTING</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tcBorders>
            <w:gridSpan w:val="3"/>
            <w:vMerge w:val="restart"/>
          </w:tcPr>
          <w:p>
            <w:pPr>
              <w:jc w:val="center"/>
              <w:ind w:left="370"/>
              <w:spacing w:after="0" w:line="194" w:lineRule="exact"/>
              <w:rPr>
                <w:sz w:val="20"/>
                <w:szCs w:val="20"/>
                <w:color w:val="auto"/>
              </w:rPr>
            </w:pPr>
            <w:r>
              <w:rPr>
                <w:rFonts w:ascii="Times New Roman" w:cs="Times New Roman" w:eastAsia="Times New Roman" w:hAnsi="Times New Roman"/>
                <w:sz w:val="18"/>
                <w:szCs w:val="18"/>
                <w:color w:val="auto"/>
                <w:w w:val="99"/>
              </w:rPr>
              <w:t>PERSON WITH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66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8</w:t>
            </w: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588,200 (*)</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9</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588,200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00" w:type="dxa"/>
            <w:vAlign w:val="bottom"/>
            <w:tcBorders>
              <w:right w:val="single" w:sz="8" w:color="auto"/>
            </w:tcBorders>
          </w:tcPr>
          <w:p>
            <w:pPr>
              <w:spacing w:after="0"/>
              <w:rPr>
                <w:sz w:val="21"/>
                <w:szCs w:val="21"/>
                <w:color w:val="auto"/>
              </w:rPr>
            </w:pPr>
          </w:p>
        </w:tc>
        <w:tc>
          <w:tcPr>
            <w:tcW w:w="982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7.63% (*)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60"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294,100 shares of Common Stock and 294,100 warrants (each convertible into one share of Common Stock). The beneficial ownership of the securities reported herein is described in Item 4(a).</w:t>
      </w:r>
    </w:p>
    <w:p>
      <w:pPr>
        <w:spacing w:after="0" w:line="216" w:lineRule="exact"/>
        <w:rPr>
          <w:sz w:val="20"/>
          <w:szCs w:val="20"/>
          <w:color w:val="auto"/>
        </w:rPr>
      </w:pPr>
    </w:p>
    <w:p>
      <w:pPr>
        <w:ind w:right="380" w:firstLine="8"/>
        <w:spacing w:after="0" w:line="282" w:lineRule="auto"/>
        <w:tabs>
          <w:tab w:leader="none" w:pos="3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7,713,875 shares of Common Stock outstanding as of May 12, 2016 (as reported in the Issuer's prospectus filed with the SEC on such date pursuant to Rule 424(b)(4)).</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70"/>
        </w:trPr>
        <w:tc>
          <w:tcPr>
            <w:tcW w:w="2060" w:type="dxa"/>
            <w:vAlign w:val="bottom"/>
            <w:tcBorders>
              <w:top w:val="single" w:sz="8" w:color="auto"/>
              <w:lef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CUSIP No. 92840H202</w:t>
            </w:r>
          </w:p>
        </w:tc>
        <w:tc>
          <w:tcPr>
            <w:tcW w:w="7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360" w:type="dxa"/>
            <w:vAlign w:val="bottom"/>
            <w:tcBorders>
              <w:top w:val="single" w:sz="8" w:color="auto"/>
              <w:right w:val="single" w:sz="8" w:color="auto"/>
            </w:tcBorders>
          </w:tcPr>
          <w:p>
            <w:pPr>
              <w:spacing w:after="0"/>
              <w:rPr>
                <w:sz w:val="23"/>
                <w:szCs w:val="23"/>
                <w:color w:val="auto"/>
              </w:rPr>
            </w:pPr>
          </w:p>
        </w:tc>
        <w:tc>
          <w:tcPr>
            <w:tcW w:w="3660" w:type="dxa"/>
            <w:vAlign w:val="bottom"/>
            <w:tcBorders>
              <w:right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13G</w:t>
            </w:r>
          </w:p>
        </w:tc>
        <w:tc>
          <w:tcPr>
            <w:tcW w:w="23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Page 5 of 11 Pages</w:t>
            </w: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gridSpan w:val="4"/>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Sphera Global Healthcare Management LP</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Borders>
              <w:left w:val="single" w:sz="8" w:color="auto"/>
            </w:tcBorders>
          </w:tcPr>
          <w:p>
            <w:pPr>
              <w:jc w:val="center"/>
              <w:ind w:left="630"/>
              <w:spacing w:after="0" w:line="196" w:lineRule="exact"/>
              <w:rPr>
                <w:sz w:val="20"/>
                <w:szCs w:val="20"/>
                <w:color w:val="auto"/>
              </w:rPr>
            </w:pPr>
            <w:r>
              <w:rPr>
                <w:rFonts w:ascii="Times New Roman" w:cs="Times New Roman" w:eastAsia="Times New Roman" w:hAnsi="Times New Roman"/>
                <w:sz w:val="18"/>
                <w:szCs w:val="18"/>
                <w:b w:val="1"/>
                <w:bCs w:val="1"/>
                <w:color w:val="auto"/>
              </w:rPr>
              <w:t>2</w:t>
            </w:r>
          </w:p>
        </w:tc>
        <w:tc>
          <w:tcPr>
            <w:tcW w:w="700" w:type="dxa"/>
            <w:vAlign w:val="bottom"/>
            <w:tcBorders>
              <w:right w:val="single" w:sz="8" w:color="auto"/>
            </w:tcBorders>
          </w:tcPr>
          <w:p>
            <w:pPr>
              <w:spacing w:after="0"/>
              <w:rPr>
                <w:sz w:val="17"/>
                <w:szCs w:val="17"/>
                <w:color w:val="auto"/>
              </w:rPr>
            </w:pPr>
          </w:p>
        </w:tc>
        <w:tc>
          <w:tcPr>
            <w:tcW w:w="74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960" w:type="dxa"/>
            <w:vAlign w:val="bottom"/>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1960" w:type="dxa"/>
            <w:vAlign w:val="bottom"/>
            <w:tcBorders>
              <w:bottom w:val="single" w:sz="8" w:color="auto"/>
            </w:tcBorders>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3</w:t>
            </w:r>
          </w:p>
        </w:tc>
        <w:tc>
          <w:tcPr>
            <w:tcW w:w="700" w:type="dxa"/>
            <w:vAlign w:val="bottom"/>
            <w:tcBorders>
              <w:right w:val="single" w:sz="8" w:color="auto"/>
            </w:tcBorders>
          </w:tcPr>
          <w:p>
            <w:pPr>
              <w:spacing w:after="0"/>
              <w:rPr>
                <w:sz w:val="21"/>
                <w:szCs w:val="21"/>
                <w:color w:val="auto"/>
              </w:rPr>
            </w:pPr>
          </w:p>
        </w:tc>
        <w:tc>
          <w:tcPr>
            <w:tcW w:w="2420" w:type="dxa"/>
            <w:vAlign w:val="bottom"/>
            <w:tcBorders>
              <w:right w:val="single" w:sz="8" w:color="00B0F0"/>
            </w:tcBorders>
            <w:gridSpan w:val="3"/>
            <w:shd w:val="clear" w:color="auto" w:fill="00B0F0"/>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00B0F0"/>
            </w:tcBorders>
            <w:shd w:val="clear" w:color="auto" w:fill="00B0F0"/>
          </w:tcPr>
          <w:p>
            <w:pPr>
              <w:spacing w:after="0"/>
              <w:rPr>
                <w:sz w:val="21"/>
                <w:szCs w:val="21"/>
                <w:color w:val="auto"/>
              </w:rPr>
            </w:pPr>
          </w:p>
        </w:tc>
        <w:tc>
          <w:tcPr>
            <w:tcW w:w="3660" w:type="dxa"/>
            <w:vAlign w:val="bottom"/>
            <w:tcBorders>
              <w:right w:val="single" w:sz="8" w:color="00B0F0"/>
            </w:tcBorders>
            <w:shd w:val="clear" w:color="auto" w:fill="00B0F0"/>
          </w:tcPr>
          <w:p>
            <w:pPr>
              <w:spacing w:after="0"/>
              <w:rPr>
                <w:sz w:val="21"/>
                <w:szCs w:val="21"/>
                <w:color w:val="auto"/>
              </w:rPr>
            </w:pPr>
          </w:p>
        </w:tc>
        <w:tc>
          <w:tcPr>
            <w:tcW w:w="2380" w:type="dxa"/>
            <w:vAlign w:val="bottom"/>
            <w:tcBorders>
              <w:right w:val="single" w:sz="8" w:color="auto"/>
            </w:tcBorders>
            <w:shd w:val="clear" w:color="auto" w:fill="00B0F0"/>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00B0F0"/>
            </w:tcBorders>
            <w:gridSpan w:val="2"/>
            <w:shd w:val="clear" w:color="auto" w:fill="00B0F0"/>
          </w:tcPr>
          <w:p>
            <w:pPr>
              <w:spacing w:after="0"/>
              <w:rPr>
                <w:sz w:val="24"/>
                <w:szCs w:val="24"/>
                <w:color w:val="auto"/>
              </w:rPr>
            </w:pPr>
          </w:p>
        </w:tc>
        <w:tc>
          <w:tcPr>
            <w:tcW w:w="1220" w:type="dxa"/>
            <w:vAlign w:val="bottom"/>
            <w:tcBorders>
              <w:bottom w:val="single" w:sz="8" w:color="auto"/>
              <w:right w:val="single" w:sz="8" w:color="00B0F0"/>
            </w:tcBorders>
            <w:shd w:val="clear" w:color="auto" w:fill="00B0F0"/>
          </w:tcPr>
          <w:p>
            <w:pPr>
              <w:spacing w:after="0"/>
              <w:rPr>
                <w:sz w:val="24"/>
                <w:szCs w:val="24"/>
                <w:color w:val="auto"/>
              </w:rPr>
            </w:pPr>
          </w:p>
        </w:tc>
        <w:tc>
          <w:tcPr>
            <w:tcW w:w="1360" w:type="dxa"/>
            <w:vAlign w:val="bottom"/>
            <w:tcBorders>
              <w:bottom w:val="single" w:sz="8" w:color="auto"/>
              <w:right w:val="single" w:sz="8" w:color="00B0F0"/>
            </w:tcBorders>
            <w:shd w:val="clear" w:color="auto" w:fill="00B0F0"/>
          </w:tcPr>
          <w:p>
            <w:pPr>
              <w:spacing w:after="0"/>
              <w:rPr>
                <w:sz w:val="24"/>
                <w:szCs w:val="24"/>
                <w:color w:val="auto"/>
              </w:rPr>
            </w:pPr>
          </w:p>
        </w:tc>
        <w:tc>
          <w:tcPr>
            <w:tcW w:w="3660" w:type="dxa"/>
            <w:vAlign w:val="bottom"/>
            <w:tcBorders>
              <w:bottom w:val="single" w:sz="8" w:color="auto"/>
              <w:right w:val="single" w:sz="8" w:color="00B0F0"/>
            </w:tcBorders>
            <w:shd w:val="clear" w:color="auto" w:fill="00B0F0"/>
          </w:tcPr>
          <w:p>
            <w:pPr>
              <w:spacing w:after="0"/>
              <w:rPr>
                <w:sz w:val="24"/>
                <w:szCs w:val="24"/>
                <w:color w:val="auto"/>
              </w:rPr>
            </w:pPr>
          </w:p>
        </w:tc>
        <w:tc>
          <w:tcPr>
            <w:tcW w:w="2380" w:type="dxa"/>
            <w:vAlign w:val="bottom"/>
            <w:tcBorders>
              <w:bottom w:val="single" w:sz="8" w:color="auto"/>
              <w:right w:val="single" w:sz="8" w:color="auto"/>
            </w:tcBorders>
            <w:shd w:val="clear" w:color="auto" w:fill="00B0F0"/>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4</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5</w:t>
            </w: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Times New Roman" w:cs="Times New Roman" w:eastAsia="Times New Roman" w:hAnsi="Times New Roman"/>
                <w:sz w:val="18"/>
                <w:szCs w:val="18"/>
                <w:color w:val="auto"/>
                <w:w w:val="99"/>
              </w:rPr>
              <w:t>NUMBER OF</w:t>
            </w: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60" w:type="dxa"/>
            <w:vAlign w:val="bottom"/>
            <w:tcBorders>
              <w:left w:val="single" w:sz="8" w:color="auto"/>
            </w:tcBorders>
            <w:gridSpan w:val="3"/>
            <w:vMerge w:val="continue"/>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6</w:t>
            </w:r>
          </w:p>
        </w:tc>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3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900" w:type="dxa"/>
            <w:vAlign w:val="bottom"/>
            <w:tcBorders>
              <w:left w:val="single" w:sz="8" w:color="auto"/>
            </w:tcBorders>
          </w:tcPr>
          <w:p>
            <w:pPr>
              <w:spacing w:after="0"/>
              <w:rPr>
                <w:sz w:val="7"/>
                <w:szCs w:val="7"/>
                <w:color w:val="auto"/>
              </w:rPr>
            </w:pPr>
          </w:p>
        </w:tc>
        <w:tc>
          <w:tcPr>
            <w:tcW w:w="1160" w:type="dxa"/>
            <w:vAlign w:val="bottom"/>
            <w:gridSpan w:val="2"/>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8"/>
              </w:rPr>
              <w:t>SHARES</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5020" w:type="dxa"/>
            <w:vAlign w:val="bottom"/>
            <w:gridSpan w:val="2"/>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00" w:type="dxa"/>
            <w:vAlign w:val="bottom"/>
            <w:tcBorders>
              <w:left w:val="single" w:sz="8" w:color="auto"/>
            </w:tcBorders>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BENEFICIALLY</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588,200 (*)</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Times New Roman" w:cs="Times New Roman" w:eastAsia="Times New Roman" w:hAnsi="Times New Roman"/>
                <w:sz w:val="18"/>
                <w:szCs w:val="18"/>
                <w:color w:val="auto"/>
                <w:w w:val="99"/>
              </w:rPr>
              <w:t>OWNED BY</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360" w:type="dxa"/>
            <w:vAlign w:val="bottom"/>
            <w:vMerge w:val="continue"/>
          </w:tcPr>
          <w:p>
            <w:pPr>
              <w:spacing w:after="0"/>
              <w:rPr>
                <w:sz w:val="7"/>
                <w:szCs w:val="7"/>
                <w:color w:val="auto"/>
              </w:rPr>
            </w:pPr>
          </w:p>
        </w:tc>
        <w:tc>
          <w:tcPr>
            <w:tcW w:w="3660" w:type="dxa"/>
            <w:vAlign w:val="bottom"/>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2060" w:type="dxa"/>
            <w:vAlign w:val="bottom"/>
            <w:tcBorders>
              <w:left w:val="single" w:sz="8" w:color="auto"/>
            </w:tcBorders>
            <w:gridSpan w:val="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7</w:t>
            </w:r>
          </w:p>
        </w:tc>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2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900" w:type="dxa"/>
            <w:vAlign w:val="bottom"/>
            <w:tcBorders>
              <w:left w:val="single" w:sz="8" w:color="auto"/>
            </w:tcBorders>
          </w:tcPr>
          <w:p>
            <w:pPr>
              <w:spacing w:after="0"/>
              <w:rPr>
                <w:sz w:val="14"/>
                <w:szCs w:val="14"/>
                <w:color w:val="auto"/>
              </w:rPr>
            </w:pPr>
          </w:p>
        </w:tc>
        <w:tc>
          <w:tcPr>
            <w:tcW w:w="1160" w:type="dxa"/>
            <w:vAlign w:val="bottom"/>
            <w:gridSpan w:val="2"/>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7"/>
              </w:rPr>
              <w:t>EACH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900" w:type="dxa"/>
            <w:vAlign w:val="bottom"/>
            <w:tcBorders>
              <w:left w:val="single" w:sz="8" w:color="auto"/>
            </w:tcBorders>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8"/>
              </w:rPr>
              <w:t>REPORTING</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tcBorders>
            <w:gridSpan w:val="3"/>
            <w:vMerge w:val="restart"/>
          </w:tcPr>
          <w:p>
            <w:pPr>
              <w:jc w:val="center"/>
              <w:ind w:left="370"/>
              <w:spacing w:after="0" w:line="194" w:lineRule="exact"/>
              <w:rPr>
                <w:sz w:val="20"/>
                <w:szCs w:val="20"/>
                <w:color w:val="auto"/>
              </w:rPr>
            </w:pPr>
            <w:r>
              <w:rPr>
                <w:rFonts w:ascii="Times New Roman" w:cs="Times New Roman" w:eastAsia="Times New Roman" w:hAnsi="Times New Roman"/>
                <w:sz w:val="18"/>
                <w:szCs w:val="18"/>
                <w:color w:val="auto"/>
                <w:w w:val="99"/>
              </w:rPr>
              <w:t>PERSON WITH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66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8</w:t>
            </w: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588,200 (*)</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9</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588,200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00" w:type="dxa"/>
            <w:vAlign w:val="bottom"/>
            <w:tcBorders>
              <w:right w:val="single" w:sz="8" w:color="auto"/>
            </w:tcBorders>
          </w:tcPr>
          <w:p>
            <w:pPr>
              <w:spacing w:after="0"/>
              <w:rPr>
                <w:sz w:val="21"/>
                <w:szCs w:val="21"/>
                <w:color w:val="auto"/>
              </w:rPr>
            </w:pPr>
          </w:p>
        </w:tc>
        <w:tc>
          <w:tcPr>
            <w:tcW w:w="982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7.63% (*)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60" w:firstLine="8"/>
        <w:spacing w:after="0" w:line="282"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294,100 shares of Common Stock and 294,100 warrants (each convertible into one share of Common Stock). The beneficial ownership of the securities reported herein is described in Item 4(a).</w:t>
      </w:r>
    </w:p>
    <w:p>
      <w:pPr>
        <w:spacing w:after="0" w:line="216" w:lineRule="exact"/>
        <w:rPr>
          <w:sz w:val="20"/>
          <w:szCs w:val="20"/>
          <w:color w:val="auto"/>
        </w:rPr>
      </w:pPr>
    </w:p>
    <w:p>
      <w:pPr>
        <w:ind w:right="380" w:firstLine="8"/>
        <w:spacing w:after="0" w:line="282" w:lineRule="auto"/>
        <w:tabs>
          <w:tab w:leader="none" w:pos="3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7,713,875 shares of Common Stock outstanding as of May 12, 2016 (as reported in the Issuer's prospectus filed with the SEC on such date pursuant to Rule 424(b)(4)).</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60" w:type="dxa"/>
            <w:vAlign w:val="bottom"/>
          </w:tcPr>
          <w:p>
            <w:pPr>
              <w:spacing w:after="0"/>
              <w:rPr>
                <w:sz w:val="17"/>
                <w:szCs w:val="17"/>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Issuer:</w:t>
            </w:r>
          </w:p>
        </w:tc>
      </w:tr>
      <w:tr>
        <w:trPr>
          <w:trHeight w:val="20"/>
        </w:trPr>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507"/>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446"/>
        </w:trPr>
        <w:tc>
          <w:tcPr>
            <w:tcW w:w="72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20"/>
        </w:trPr>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507"/>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8"/>
              </w:rPr>
              <w:t>343 Allerton Avenue, South San Francisco, CA 94080</w:t>
            </w:r>
          </w:p>
        </w:tc>
      </w:tr>
      <w:tr>
        <w:trPr>
          <w:trHeight w:val="446"/>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507"/>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Moshe Arkin</w:t>
            </w:r>
          </w:p>
        </w:tc>
        <w:tc>
          <w:tcPr>
            <w:tcW w:w="2280" w:type="dxa"/>
            <w:vAlign w:val="bottom"/>
            <w:gridSpan w:val="2"/>
          </w:tcPr>
          <w:p>
            <w:pPr>
              <w:spacing w:after="0"/>
              <w:rPr>
                <w:sz w:val="24"/>
                <w:szCs w:val="24"/>
                <w:color w:val="auto"/>
              </w:rPr>
            </w:pPr>
          </w:p>
        </w:tc>
      </w:tr>
      <w:tr>
        <w:trPr>
          <w:trHeight w:val="486"/>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Sphera Funds Management Ltd.</w:t>
            </w:r>
          </w:p>
        </w:tc>
      </w:tr>
      <w:tr>
        <w:trPr>
          <w:trHeight w:val="486"/>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Sphera Global Healthcare GP Ltd.</w:t>
            </w:r>
          </w:p>
        </w:tc>
      </w:tr>
      <w:tr>
        <w:trPr>
          <w:trHeight w:val="486"/>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Sphera Global Healthcare Management LP</w:t>
            </w:r>
          </w:p>
        </w:tc>
      </w:tr>
    </w:tbl>
    <w:p>
      <w:pPr>
        <w:spacing w:after="0" w:line="252" w:lineRule="exact"/>
        <w:rPr>
          <w:sz w:val="20"/>
          <w:szCs w:val="20"/>
          <w:color w:val="auto"/>
        </w:rPr>
      </w:pPr>
    </w:p>
    <w:p>
      <w:pPr>
        <w:ind w:left="1400" w:hanging="568"/>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Principal Business Office</w:t>
      </w: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Moshe Arkin – 6 Hachoshlim St., Herzelia, Israel</w:t>
      </w:r>
    </w:p>
    <w:p>
      <w:pPr>
        <w:spacing w:after="0" w:line="279" w:lineRule="exact"/>
        <w:rPr>
          <w:rFonts w:ascii="Times New Roman" w:cs="Times New Roman" w:eastAsia="Times New Roman" w:hAnsi="Times New Roman"/>
          <w:sz w:val="18"/>
          <w:szCs w:val="18"/>
          <w:color w:val="auto"/>
        </w:rPr>
      </w:pPr>
    </w:p>
    <w:p>
      <w:pPr>
        <w:ind w:left="1420" w:right="2399"/>
        <w:spacing w:after="0" w:line="5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Sphera Funds Management Ltd. – 21 Ha'arba'ah Street, Tel Aviv 64739, Israel Sphera Global Healthcare GP Ltd. – 21 Ha'arba'ah Street, Tel Aviv 64739, Israel Sphera Global Healthcare Management LP – 21 Ha'arba'ah Street, Tel Aviv 64739, Israel</w:t>
      </w:r>
    </w:p>
    <w:p>
      <w:pPr>
        <w:spacing w:after="0" w:line="1" w:lineRule="exact"/>
        <w:rPr>
          <w:rFonts w:ascii="Times New Roman" w:cs="Times New Roman" w:eastAsia="Times New Roman" w:hAnsi="Times New Roman"/>
          <w:sz w:val="18"/>
          <w:szCs w:val="18"/>
          <w:color w:val="auto"/>
        </w:rPr>
      </w:pPr>
    </w:p>
    <w:p>
      <w:pPr>
        <w:ind w:left="1400" w:hanging="568"/>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Moshe Arkin – Israel</w:t>
      </w:r>
    </w:p>
    <w:p>
      <w:pPr>
        <w:spacing w:after="0" w:line="279" w:lineRule="exact"/>
        <w:rPr>
          <w:rFonts w:ascii="Times New Roman" w:cs="Times New Roman" w:eastAsia="Times New Roman" w:hAnsi="Times New Roman"/>
          <w:sz w:val="18"/>
          <w:szCs w:val="18"/>
          <w:color w:val="auto"/>
        </w:rPr>
      </w:pPr>
    </w:p>
    <w:p>
      <w:pPr>
        <w:ind w:left="1420" w:right="5119"/>
        <w:spacing w:after="0" w:line="5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Sphera Funds Management Ltd. – Israel Sphera Global Healthcare GP Ltd. – Israel Sphera Global Healthcare Management LP – Israel</w:t>
      </w:r>
    </w:p>
    <w:p>
      <w:pPr>
        <w:spacing w:after="0" w:line="1" w:lineRule="exact"/>
        <w:rPr>
          <w:rFonts w:ascii="Times New Roman" w:cs="Times New Roman" w:eastAsia="Times New Roman" w:hAnsi="Times New Roman"/>
          <w:sz w:val="18"/>
          <w:szCs w:val="18"/>
          <w:color w:val="auto"/>
        </w:rPr>
      </w:pPr>
    </w:p>
    <w:p>
      <w:pPr>
        <w:ind w:left="1420" w:right="6379" w:hanging="588"/>
        <w:spacing w:after="0" w:line="596" w:lineRule="auto"/>
        <w:tabs>
          <w:tab w:leader="none" w:pos="140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Title of Class of Securities</w:t>
      </w:r>
      <w:r>
        <w:rPr>
          <w:rFonts w:ascii="Times New Roman" w:cs="Times New Roman" w:eastAsia="Times New Roman" w:hAnsi="Times New Roman"/>
          <w:sz w:val="17"/>
          <w:szCs w:val="17"/>
          <w:color w:val="auto"/>
        </w:rPr>
        <w:t>: Common Stock, $0.001 par value</w:t>
      </w:r>
    </w:p>
    <w:p>
      <w:pPr>
        <w:spacing w:after="0" w:line="1" w:lineRule="exact"/>
        <w:rPr>
          <w:rFonts w:ascii="Times New Roman" w:cs="Times New Roman" w:eastAsia="Times New Roman" w:hAnsi="Times New Roman"/>
          <w:sz w:val="17"/>
          <w:szCs w:val="17"/>
          <w:color w:val="auto"/>
        </w:rPr>
      </w:pPr>
    </w:p>
    <w:p>
      <w:pPr>
        <w:ind w:left="1420" w:right="7619" w:hanging="588"/>
        <w:spacing w:after="0" w:line="594" w:lineRule="auto"/>
        <w:tabs>
          <w:tab w:leader="none" w:pos="14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CUSIP Number</w:t>
      </w:r>
      <w:r>
        <w:rPr>
          <w:rFonts w:ascii="Times New Roman" w:cs="Times New Roman" w:eastAsia="Times New Roman" w:hAnsi="Times New Roman"/>
          <w:sz w:val="17"/>
          <w:szCs w:val="17"/>
          <w:color w:val="auto"/>
        </w:rPr>
        <w:t>: 92840H202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46"/>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Ownership:</w:t>
            </w:r>
          </w:p>
        </w:tc>
      </w:tr>
      <w:tr>
        <w:trPr>
          <w:trHeight w:val="20"/>
        </w:trPr>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6"/>
        </w:trPr>
        <w:tc>
          <w:tcPr>
            <w:tcW w:w="12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w:t>
            </w:r>
          </w:p>
        </w:tc>
        <w:tc>
          <w:tcPr>
            <w:tcW w:w="38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Amount beneficially owned:</w:t>
            </w:r>
          </w:p>
        </w:tc>
      </w:tr>
      <w:tr>
        <w:trPr>
          <w:trHeight w:val="20"/>
        </w:trPr>
        <w:tc>
          <w:tcPr>
            <w:tcW w:w="12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980" w:type="dxa"/>
            <w:vAlign w:val="bottom"/>
            <w:gridSpan w:val="2"/>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507"/>
        </w:trPr>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See row 9 of cover page of each reporting person.</w:t>
            </w:r>
          </w:p>
        </w:tc>
      </w:tr>
    </w:tbl>
    <w:p>
      <w:pPr>
        <w:spacing w:after="0" w:line="15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6" w:name="page7"/>
    <w:bookmarkEnd w:id="6"/>
    <w:p>
      <w:pPr>
        <w:ind w:left="656"/>
        <w:spacing w:after="0"/>
        <w:rPr>
          <w:sz w:val="20"/>
          <w:szCs w:val="20"/>
          <w:color w:val="auto"/>
        </w:rPr>
      </w:pPr>
      <w:r>
        <w:rPr>
          <w:rFonts w:ascii="Times New Roman" w:cs="Times New Roman" w:eastAsia="Times New Roman" w:hAnsi="Times New Roman"/>
          <w:sz w:val="18"/>
          <w:szCs w:val="18"/>
          <w:color w:val="auto"/>
        </w:rPr>
        <w:t>The securities reported herein are beneficially owned as follows:</w:t>
      </w:r>
    </w:p>
    <w:p>
      <w:pPr>
        <w:spacing w:after="0" w:line="279" w:lineRule="exact"/>
        <w:rPr>
          <w:sz w:val="20"/>
          <w:szCs w:val="20"/>
          <w:color w:val="auto"/>
        </w:rPr>
      </w:pPr>
    </w:p>
    <w:p>
      <w:pPr>
        <w:jc w:val="both"/>
        <w:ind w:left="1016" w:right="20" w:hanging="381"/>
        <w:spacing w:after="0" w:line="266" w:lineRule="auto"/>
        <w:tabs>
          <w:tab w:leader="none" w:pos="10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283,748 shares of Common Stock and 283,689 warrants (each convertible into one share of Common Stock), representing a total of 7.36% of the total shares of Common Stock outstanding, are held directly by Sphera Global Healthcare Master Fund, which has delegated its investment management authority to Sphera Global Healthcare Management Ltd. (the "Management Company").</w:t>
      </w:r>
    </w:p>
    <w:p>
      <w:pPr>
        <w:spacing w:after="0" w:line="230" w:lineRule="exact"/>
        <w:rPr>
          <w:rFonts w:ascii="Times New Roman" w:cs="Times New Roman" w:eastAsia="Times New Roman" w:hAnsi="Times New Roman"/>
          <w:sz w:val="18"/>
          <w:szCs w:val="18"/>
          <w:color w:val="auto"/>
        </w:rPr>
      </w:pPr>
    </w:p>
    <w:p>
      <w:pPr>
        <w:jc w:val="both"/>
        <w:ind w:left="1036" w:hanging="387"/>
        <w:spacing w:after="0" w:line="266" w:lineRule="auto"/>
        <w:tabs>
          <w:tab w:leader="none" w:pos="103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10,352 shares of Common Stock and 10,411 warrants (each convertible into one share of Common Stock), representing a total of 0.27% of the total shares of Common Stock outstanding, are held directly by HFR HE Sphera Global Healthcare Master Trust, which has delegated its investment management authority to the Management Company.</w:t>
      </w:r>
    </w:p>
    <w:p>
      <w:pPr>
        <w:spacing w:after="0" w:line="230" w:lineRule="exact"/>
        <w:rPr>
          <w:sz w:val="20"/>
          <w:szCs w:val="20"/>
          <w:color w:val="auto"/>
        </w:rPr>
      </w:pPr>
    </w:p>
    <w:p>
      <w:pPr>
        <w:jc w:val="both"/>
        <w:ind w:left="656"/>
        <w:spacing w:after="0" w:line="282" w:lineRule="auto"/>
        <w:rPr>
          <w:sz w:val="20"/>
          <w:szCs w:val="20"/>
          <w:color w:val="auto"/>
        </w:rPr>
      </w:pPr>
      <w:r>
        <w:rPr>
          <w:rFonts w:ascii="Times New Roman" w:cs="Times New Roman" w:eastAsia="Times New Roman" w:hAnsi="Times New Roman"/>
          <w:sz w:val="18"/>
          <w:szCs w:val="18"/>
          <w:color w:val="auto"/>
        </w:rPr>
        <w:t>The Management Company is managed, controlled, and operated by its general partner, Sphera Global Healthcare GP Ltd. (the "General Partner"), which is controlled jointly by Sphera Funds Management Ltd. ("SFML") and Moshe Arkin.</w:t>
      </w:r>
    </w:p>
    <w:p>
      <w:pPr>
        <w:spacing w:after="0" w:line="216" w:lineRule="exact"/>
        <w:rPr>
          <w:sz w:val="20"/>
          <w:szCs w:val="20"/>
          <w:color w:val="auto"/>
        </w:rPr>
      </w:pPr>
    </w:p>
    <w:p>
      <w:pPr>
        <w:jc w:val="both"/>
        <w:ind w:left="656"/>
        <w:spacing w:after="0" w:line="256" w:lineRule="auto"/>
        <w:rPr>
          <w:sz w:val="20"/>
          <w:szCs w:val="20"/>
          <w:color w:val="auto"/>
        </w:rPr>
      </w:pPr>
      <w:r>
        <w:rPr>
          <w:rFonts w:ascii="Times New Roman" w:cs="Times New Roman" w:eastAsia="Times New Roman" w:hAnsi="Times New Roman"/>
          <w:sz w:val="18"/>
          <w:szCs w:val="18"/>
          <w:color w:val="auto"/>
        </w:rPr>
        <w:t>This Statement shall not be construed as an admission by any of the Reporting Persons that it is the beneficial owner of any of the securities covered by this Statement, and each Reporting Person disclaims beneficial ownership of any such securities. In addition, the Reporting Persons and other entities named in this Schedule 13G may be deemed to constitute a "group" for purposes of Section 13(d) of the Securities Exchange Act of 1934. Neither the filing of this Schedule 13G nor any of its contents shall be deemed to constitute an admission that a group exists for purposes of Section 13(d) of the Securities Exchange Act of 1934 or for any other purpose, and each of the Reporting Persons and other entities named in this Schedule 13G disclaims the existence of any such group.</w:t>
      </w:r>
    </w:p>
    <w:p>
      <w:pPr>
        <w:spacing w:after="0" w:line="242" w:lineRule="exact"/>
        <w:rPr>
          <w:sz w:val="20"/>
          <w:szCs w:val="20"/>
          <w:color w:val="auto"/>
        </w:rPr>
      </w:pPr>
    </w:p>
    <w:p>
      <w:pPr>
        <w:ind w:left="636" w:hanging="636"/>
        <w:spacing w:after="0"/>
        <w:tabs>
          <w:tab w:leader="none" w:pos="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Percent of class</w:t>
      </w: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ind w:left="65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11 of cover page of each reporting person</w:t>
      </w:r>
    </w:p>
    <w:p>
      <w:pPr>
        <w:spacing w:after="0" w:line="279" w:lineRule="exact"/>
        <w:rPr>
          <w:rFonts w:ascii="Times New Roman" w:cs="Times New Roman" w:eastAsia="Times New Roman" w:hAnsi="Times New Roman"/>
          <w:sz w:val="18"/>
          <w:szCs w:val="18"/>
          <w:color w:val="auto"/>
        </w:rPr>
      </w:pPr>
    </w:p>
    <w:p>
      <w:pPr>
        <w:ind w:left="636" w:hanging="636"/>
        <w:spacing w:after="0"/>
        <w:tabs>
          <w:tab w:leader="none" w:pos="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as to which such person has</w:t>
      </w: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ind w:left="1156" w:hanging="521"/>
        <w:spacing w:after="0"/>
        <w:tabs>
          <w:tab w:leader="none" w:pos="115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79" w:lineRule="exact"/>
        <w:rPr>
          <w:rFonts w:ascii="Times New Roman" w:cs="Times New Roman" w:eastAsia="Times New Roman" w:hAnsi="Times New Roman"/>
          <w:sz w:val="18"/>
          <w:szCs w:val="18"/>
          <w:color w:val="auto"/>
        </w:rPr>
      </w:pPr>
    </w:p>
    <w:p>
      <w:pPr>
        <w:ind w:left="115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5 of cover page of each reporting person</w:t>
      </w:r>
    </w:p>
    <w:p>
      <w:pPr>
        <w:spacing w:after="0" w:line="279" w:lineRule="exact"/>
        <w:rPr>
          <w:rFonts w:ascii="Times New Roman" w:cs="Times New Roman" w:eastAsia="Times New Roman" w:hAnsi="Times New Roman"/>
          <w:sz w:val="18"/>
          <w:szCs w:val="18"/>
          <w:color w:val="auto"/>
        </w:rPr>
      </w:pPr>
    </w:p>
    <w:p>
      <w:pPr>
        <w:ind w:left="1156" w:hanging="521"/>
        <w:spacing w:after="0"/>
        <w:tabs>
          <w:tab w:leader="none" w:pos="115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79" w:lineRule="exact"/>
        <w:rPr>
          <w:rFonts w:ascii="Times New Roman" w:cs="Times New Roman" w:eastAsia="Times New Roman" w:hAnsi="Times New Roman"/>
          <w:sz w:val="18"/>
          <w:szCs w:val="18"/>
          <w:color w:val="auto"/>
        </w:rPr>
      </w:pPr>
    </w:p>
    <w:p>
      <w:pPr>
        <w:ind w:left="115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6 of cover page of each reporting person and note in Item 4(a) above</w:t>
      </w:r>
    </w:p>
    <w:p>
      <w:pPr>
        <w:spacing w:after="0" w:line="279" w:lineRule="exact"/>
        <w:rPr>
          <w:rFonts w:ascii="Times New Roman" w:cs="Times New Roman" w:eastAsia="Times New Roman" w:hAnsi="Times New Roman"/>
          <w:sz w:val="18"/>
          <w:szCs w:val="18"/>
          <w:color w:val="auto"/>
        </w:rPr>
      </w:pPr>
    </w:p>
    <w:p>
      <w:pPr>
        <w:ind w:left="1156" w:right="5740" w:hanging="521"/>
        <w:spacing w:after="0" w:line="595" w:lineRule="auto"/>
        <w:tabs>
          <w:tab w:leader="none" w:pos="114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row 7 of cover page of each reporting person</w:t>
      </w:r>
    </w:p>
    <w:p>
      <w:pPr>
        <w:spacing w:after="0" w:line="117" w:lineRule="exact"/>
        <w:rPr>
          <w:sz w:val="20"/>
          <w:szCs w:val="20"/>
          <w:color w:val="auto"/>
        </w:rPr>
      </w:pPr>
    </w:p>
    <w:p>
      <w:pPr>
        <w:ind w:left="4916"/>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40640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56"/>
          </w:cols>
          <w:pgMar w:left="1004" w:top="391" w:right="239" w:bottom="1440" w:gutter="0" w:footer="0" w:header="0"/>
        </w:sectPr>
      </w:pPr>
    </w:p>
    <w:bookmarkStart w:id="7" w:name="page8"/>
    <w:bookmarkEnd w:id="7"/>
    <w:p>
      <w:pPr>
        <w:ind w:left="1920" w:hanging="521"/>
        <w:spacing w:after="0"/>
        <w:tabs>
          <w:tab w:leader="none" w:pos="1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79"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8 of cover page of each reporting person and note in Item 4(a) above</w:t>
      </w:r>
    </w:p>
    <w:p>
      <w:pPr>
        <w:spacing w:after="0" w:line="27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Ownership of Five Percent or Less of a Class</w:t>
      </w:r>
      <w:r>
        <w:rPr>
          <w:rFonts w:ascii="Times New Roman" w:cs="Times New Roman" w:eastAsia="Times New Roman" w:hAnsi="Times New Roman"/>
          <w:sz w:val="17"/>
          <w:szCs w:val="17"/>
          <w:color w:val="auto"/>
        </w:rPr>
        <w:t>:</w:t>
      </w:r>
    </w:p>
    <w:p>
      <w:pPr>
        <w:spacing w:after="0" w:line="28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6</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Ownership of More than Five Percent on Behalf of Another</w:t>
      </w:r>
      <w:r>
        <w:rPr>
          <w:rFonts w:ascii="Times New Roman" w:cs="Times New Roman" w:eastAsia="Times New Roman" w:hAnsi="Times New Roman"/>
          <w:sz w:val="17"/>
          <w:szCs w:val="17"/>
          <w:color w:val="auto"/>
        </w:rPr>
        <w:t>:</w:t>
      </w:r>
    </w:p>
    <w:p>
      <w:pPr>
        <w:spacing w:after="0" w:line="28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7</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Identification and Classification of the Subsidiary Which Acquired the Security Being Reported on by the Parent Holding Company or</w:t>
      </w:r>
    </w:p>
    <w:p>
      <w:pPr>
        <w:spacing w:after="0" w:line="3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u w:val="single" w:color="auto"/>
          <w:color w:val="auto"/>
        </w:rPr>
        <w:t>Control Person</w:t>
      </w:r>
      <w:r>
        <w:rPr>
          <w:rFonts w:ascii="Times New Roman" w:cs="Times New Roman" w:eastAsia="Times New Roman" w:hAnsi="Times New Roman"/>
          <w:sz w:val="18"/>
          <w:szCs w:val="18"/>
          <w:color w:val="auto"/>
        </w:rPr>
        <w:t>:</w:t>
      </w:r>
    </w:p>
    <w:p>
      <w:pPr>
        <w:spacing w:after="0" w:line="26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8</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Identification and Classification of Members of the Group</w:t>
      </w:r>
      <w:r>
        <w:rPr>
          <w:rFonts w:ascii="Times New Roman" w:cs="Times New Roman" w:eastAsia="Times New Roman" w:hAnsi="Times New Roman"/>
          <w:sz w:val="17"/>
          <w:szCs w:val="17"/>
          <w:color w:val="auto"/>
        </w:rPr>
        <w:t>:</w:t>
      </w:r>
    </w:p>
    <w:p>
      <w:pPr>
        <w:spacing w:after="0" w:line="28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9</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Notice of Dissolution of Group</w:t>
      </w:r>
      <w:r>
        <w:rPr>
          <w:rFonts w:ascii="Times New Roman" w:cs="Times New Roman" w:eastAsia="Times New Roman" w:hAnsi="Times New Roman"/>
          <w:sz w:val="17"/>
          <w:szCs w:val="17"/>
          <w:color w:val="auto"/>
        </w:rPr>
        <w:t>:</w:t>
      </w:r>
    </w:p>
    <w:p>
      <w:pPr>
        <w:spacing w:after="0" w:line="28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121" w:right="539" w:bottom="1440" w:gutter="0" w:footer="0" w:header="0"/>
        </w:sectPr>
      </w:pPr>
    </w:p>
    <w:bookmarkStart w:id="8" w:name="page9"/>
    <w:bookmarkEnd w:id="8"/>
    <w:p>
      <w:pPr>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u w:val="single" w:color="auto"/>
          <w:color w:val="auto"/>
        </w:rPr>
        <w:t>Certification</w:t>
      </w:r>
      <w:r>
        <w:rPr>
          <w:rFonts w:ascii="Times New Roman" w:cs="Times New Roman" w:eastAsia="Times New Roman" w:hAnsi="Times New Roman"/>
          <w:sz w:val="18"/>
          <w:szCs w:val="18"/>
          <w:color w:val="auto"/>
        </w:rPr>
        <w:t>:</w:t>
      </w:r>
    </w:p>
    <w:p>
      <w:pPr>
        <w:spacing w:after="0" w:line="283"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 w:name="page10"/>
    <w:bookmarkEnd w:id="9"/>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22, 2016</w:t>
      </w:r>
    </w:p>
    <w:p>
      <w:pPr>
        <w:spacing w:after="0" w:line="27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Moshe Arkin</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/s/Moshe Arkin</w:t>
      </w: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Moshe Arkin</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Sphera Funds Management Ltd.</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/s/Neomi Elpeleg</w:t>
      </w: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Neomi Elpeleg</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Sphera Global Healthcare GP Ltd.</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/s/Neomi Elpeleg____________________</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Neomi Elpeleg</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Sphera Global Healthcare Management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/s/Ori Goldfarb____________________</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Ori Goldfarb</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240" w:top="333" w:right="559" w:bottom="1440" w:gutter="0" w:footer="0" w:header="0"/>
        </w:sectPr>
      </w:pPr>
    </w:p>
    <w:bookmarkStart w:id="10" w:name="page11"/>
    <w:bookmarkEnd w:id="10"/>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8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Exhibit 1</w:t>
      </w:r>
      <w:r>
        <w:rPr>
          <w:sz w:val="20"/>
          <w:szCs w:val="20"/>
          <w:color w:val="auto"/>
        </w:rPr>
        <w:tab/>
      </w:r>
      <w:r>
        <w:rPr>
          <w:rFonts w:ascii="Times New Roman" w:cs="Times New Roman" w:eastAsia="Times New Roman" w:hAnsi="Times New Roman"/>
          <w:sz w:val="18"/>
          <w:szCs w:val="18"/>
          <w:color w:val="auto"/>
        </w:rPr>
        <w:t>Joint Filing Agreement by and among the Reporting Persons, dated as of June 22, 2016.</w:t>
      </w:r>
    </w:p>
    <w:p>
      <w:pPr>
        <w:spacing w:after="0" w:line="2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720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154305"/>
                    </a:xfrm>
                    <a:prstGeom prst="rect">
                      <a:avLst/>
                    </a:prstGeom>
                    <a:noFill/>
                  </pic:spPr>
                </pic:pic>
              </a:graphicData>
            </a:graphic>
          </wp:anchor>
        </w:drawing>
      </w:r>
    </w:p>
    <w:p>
      <w:pPr>
        <w:sectPr>
          <w:pgSz w:w="11900" w:h="16838" w:orient="portrait"/>
          <w:cols w:equalWidth="0" w:num="1">
            <w:col w:w="10219"/>
          </w:cols>
          <w:pgMar w:left="240" w:top="333" w:right="1440"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41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141605"/>
                    </a:xfrm>
                    <a:prstGeom prst="rect">
                      <a:avLst/>
                    </a:prstGeom>
                    <a:noFill/>
                  </pic:spPr>
                </pic:pic>
              </a:graphicData>
            </a:graphic>
          </wp:anchor>
        </w:drawing>
        <w:t>Exhibit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Joint Filing Agreement</w:t>
      </w:r>
    </w:p>
    <w:p>
      <w:pPr>
        <w:spacing w:after="0" w:line="26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Pursuant to Rule 13d-1(k)(1) under the Securities Exchange Act of 1934, as amended, the undersigned hereby agree that only one statement containing the information required by Schedule 13G need be filed with respect to the ownership by each of the undersigned of shares of VistaGen Therapeutics, Inc.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In accordance with Rule 13d-1(k)(1), the undersigned hereby agree to the joint filing with each other on behalf of each of them of such a statement on Schedule 13G and any amendments thereto with respect to the equity securities (as defined in Rule 13d-1(i)) of the Issuer, beneficially owned by each of them. This Joint Filing Agreement shall be included as an exhibit to such Schedule 13G and any amendments thereto.</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be deemed an original.</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22, 2016</w:t>
      </w:r>
    </w:p>
    <w:p>
      <w:pPr>
        <w:spacing w:after="0" w:line="27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Moshe Arkin</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/s/Moshe Arkin</w:t>
      </w: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Moshe Arkin</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Sphera Funds Management Ltd.</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/s/Neomi Elpeleg</w:t>
      </w: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Neomi Elpeleg</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Sphera Global Healthcare GP Ltd.</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/s/Neomi Elpeleg____________________</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Neomi Elpeleg</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Sphera Global Healthcare Management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u w:val="single" w:color="auto"/>
          <w:color w:val="auto"/>
        </w:rPr>
        <w:t>/s/Ori Goldfarb____________________</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Ori Goldfarb</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2720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154305"/>
                    </a:xfrm>
                    <a:prstGeom prst="rect">
                      <a:avLst/>
                    </a:prstGeom>
                    <a:noFill/>
                  </pic:spPr>
                </pic:pic>
              </a:graphicData>
            </a:graphic>
          </wp:anchor>
        </w:drawing>
      </w:r>
    </w:p>
    <w:sectPr>
      <w:pgSz w:w="11900" w:h="16838" w:orient="portrait"/>
      <w:cols w:equalWidth="0" w:num="1">
        <w:col w:w="11420"/>
      </w:cols>
      <w:pgMar w:left="240" w:top="6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Letter"/>
      <w:start w:val="2"/>
    </w:lvl>
  </w:abstractNum>
  <w:abstractNum w:abstractNumId="10">
    <w:nsid w:val="66EF438D"/>
    <w:multiLevelType w:val="hybridMultilevel"/>
    <w:lvl w:ilvl="0">
      <w:lvlJc w:val="left"/>
      <w:lvlText w:val="·"/>
      <w:numFmt w:val="bullet"/>
      <w:start w:val="1"/>
    </w:lvl>
    <w:lvl w:ilvl="1">
      <w:lvlJc w:val="left"/>
      <w:lvlText w:val="·"/>
      <w:numFmt w:val="bullet"/>
      <w:start w:val="1"/>
    </w:lvl>
  </w:abstractNum>
  <w:abstractNum w:abstractNumId="11">
    <w:nsid w:val="140E0F76"/>
    <w:multiLevelType w:val="hybridMultilevel"/>
    <w:lvl w:ilvl="0">
      <w:lvlJc w:val="left"/>
      <w:lvlText w:val="(%1)"/>
      <w:numFmt w:val="lowerLetter"/>
      <w:start w:val="2"/>
    </w:lvl>
    <w:lvl w:ilvl="1">
      <w:lvlJc w:val="left"/>
      <w:lvlText w:val="(%2)"/>
      <w:numFmt w:val="lowerRoman"/>
      <w:start w:val="1"/>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2020-01-20T17:14:48Z</dcterms:created>
  <dcterms:modified xsi:type="dcterms:W3CDTF">2020-01-20T17:14:48Z</dcterms:modified>
</cp:coreProperties>
</file>