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Date of Report (Date of earliest event reported): June 22, 2023</w:t>
            </w:r>
          </w:p>
        </w:tc>
        <w:tc>
          <w:tcPr>
            <w:tcW w:w="2180" w:type="dxa"/>
            <w:vAlign w:val="bottom"/>
          </w:tcPr>
          <w:p>
            <w:pPr>
              <w:spacing w:after="0"/>
              <w:rPr>
                <w:sz w:val="17"/>
                <w:szCs w:val="17"/>
                <w:color w:val="auto"/>
              </w:rPr>
            </w:pPr>
          </w:p>
        </w:tc>
      </w:tr>
      <w:tr>
        <w:trPr>
          <w:trHeight w:val="438"/>
        </w:trPr>
        <w:tc>
          <w:tcPr>
            <w:tcW w:w="2260" w:type="dxa"/>
            <w:vAlign w:val="bottom"/>
          </w:tcPr>
          <w:p>
            <w:pPr>
              <w:spacing w:after="0"/>
              <w:rPr>
                <w:sz w:val="24"/>
                <w:szCs w:val="24"/>
                <w:color w:val="auto"/>
              </w:rPr>
            </w:pPr>
          </w:p>
        </w:tc>
        <w:tc>
          <w:tcPr>
            <w:tcW w:w="388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Vistagen Therapeutics, Inc.</w:t>
            </w:r>
          </w:p>
        </w:tc>
        <w:tc>
          <w:tcPr>
            <w:tcW w:w="106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2180" w:type="dxa"/>
            <w:vAlign w:val="bottom"/>
          </w:tcPr>
          <w:p>
            <w:pPr>
              <w:spacing w:after="0"/>
              <w:rPr>
                <w:sz w:val="20"/>
                <w:szCs w:val="20"/>
                <w:color w:val="auto"/>
              </w:rPr>
            </w:pPr>
          </w:p>
        </w:tc>
      </w:tr>
      <w:tr>
        <w:trPr>
          <w:trHeight w:val="418"/>
        </w:trPr>
        <w:tc>
          <w:tcPr>
            <w:tcW w:w="22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Nevada</w:t>
            </w:r>
          </w:p>
        </w:tc>
        <w:tc>
          <w:tcPr>
            <w:tcW w:w="3880" w:type="dxa"/>
            <w:vAlign w:val="bottom"/>
          </w:tcPr>
          <w:p>
            <w:pPr>
              <w:jc w:val="right"/>
              <w:ind w:right="850"/>
              <w:spacing w:after="0"/>
              <w:rPr>
                <w:sz w:val="20"/>
                <w:szCs w:val="20"/>
                <w:color w:val="auto"/>
              </w:rPr>
            </w:pPr>
            <w:r>
              <w:rPr>
                <w:rFonts w:ascii="Arial" w:cs="Arial" w:eastAsia="Arial" w:hAnsi="Arial"/>
                <w:sz w:val="18"/>
                <w:szCs w:val="18"/>
                <w:b w:val="1"/>
                <w:bCs w:val="1"/>
                <w:color w:val="auto"/>
              </w:rPr>
              <w:t>000-54014</w:t>
            </w:r>
          </w:p>
        </w:tc>
        <w:tc>
          <w:tcPr>
            <w:tcW w:w="1060" w:type="dxa"/>
            <w:vAlign w:val="bottom"/>
          </w:tcPr>
          <w:p>
            <w:pPr>
              <w:spacing w:after="0"/>
              <w:rPr>
                <w:sz w:val="24"/>
                <w:szCs w:val="24"/>
                <w:color w:val="auto"/>
              </w:rPr>
            </w:pPr>
          </w:p>
        </w:tc>
        <w:tc>
          <w:tcPr>
            <w:tcW w:w="218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60" w:type="dxa"/>
            <w:vAlign w:val="bottom"/>
          </w:tcPr>
          <w:p>
            <w:pPr>
              <w:jc w:val="center"/>
              <w:ind w:right="50"/>
              <w:spacing w:after="0"/>
              <w:rPr>
                <w:sz w:val="20"/>
                <w:szCs w:val="20"/>
                <w:color w:val="auto"/>
              </w:rPr>
            </w:pPr>
            <w:r>
              <w:rPr>
                <w:rFonts w:ascii="Arial" w:cs="Arial" w:eastAsia="Arial" w:hAnsi="Arial"/>
                <w:sz w:val="18"/>
                <w:szCs w:val="18"/>
                <w:i w:val="1"/>
                <w:iCs w:val="1"/>
                <w:color w:val="auto"/>
                <w:w w:val="94"/>
              </w:rPr>
              <w:t>(State or other jurisdiction of</w:t>
            </w: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(Commission File Number)</w:t>
            </w:r>
          </w:p>
        </w:tc>
        <w:tc>
          <w:tcPr>
            <w:tcW w:w="2180" w:type="dxa"/>
            <w:vAlign w:val="bottom"/>
          </w:tcPr>
          <w:p>
            <w:pPr>
              <w:jc w:val="center"/>
              <w:ind w:left="43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60" w:type="dxa"/>
            <w:vAlign w:val="bottom"/>
          </w:tcPr>
          <w:p>
            <w:pPr>
              <w:jc w:val="center"/>
              <w:ind w:right="50"/>
              <w:spacing w:after="0"/>
              <w:rPr>
                <w:sz w:val="20"/>
                <w:szCs w:val="20"/>
                <w:color w:val="auto"/>
              </w:rPr>
            </w:pPr>
            <w:r>
              <w:rPr>
                <w:rFonts w:ascii="Arial" w:cs="Arial" w:eastAsia="Arial" w:hAnsi="Arial"/>
                <w:sz w:val="18"/>
                <w:szCs w:val="18"/>
                <w:i w:val="1"/>
                <w:iCs w:val="1"/>
                <w:color w:val="auto"/>
                <w:w w:val="94"/>
              </w:rPr>
              <w:t>incorporation)</w:t>
            </w: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80" w:type="dxa"/>
            <w:vAlign w:val="bottom"/>
          </w:tcPr>
          <w:p>
            <w:pPr>
              <w:jc w:val="center"/>
              <w:ind w:left="43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60" w:type="dxa"/>
            <w:vAlign w:val="bottom"/>
          </w:tcPr>
          <w:p>
            <w:pPr>
              <w:spacing w:after="0"/>
              <w:rPr>
                <w:sz w:val="24"/>
                <w:szCs w:val="24"/>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343 Allerton Ave.</w:t>
            </w:r>
          </w:p>
        </w:tc>
        <w:tc>
          <w:tcPr>
            <w:tcW w:w="218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18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18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3880" w:type="dxa"/>
            <w:vAlign w:val="bottom"/>
          </w:tcPr>
          <w:p>
            <w:pPr>
              <w:jc w:val="right"/>
              <w:ind w:right="690"/>
              <w:spacing w:after="0"/>
              <w:rPr>
                <w:sz w:val="20"/>
                <w:szCs w:val="20"/>
                <w:color w:val="auto"/>
              </w:rPr>
            </w:pPr>
            <w:r>
              <w:rPr>
                <w:rFonts w:ascii="Arial" w:cs="Arial" w:eastAsia="Arial" w:hAnsi="Arial"/>
                <w:sz w:val="18"/>
                <w:szCs w:val="18"/>
                <w:b w:val="1"/>
                <w:bCs w:val="1"/>
                <w:color w:val="auto"/>
              </w:rPr>
              <w:t>(650) 577-3600</w:t>
            </w:r>
          </w:p>
        </w:tc>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2180" w:type="dxa"/>
            <w:vAlign w:val="bottom"/>
          </w:tcPr>
          <w:p>
            <w:pPr>
              <w:spacing w:after="0"/>
              <w:rPr>
                <w:sz w:val="20"/>
                <w:szCs w:val="20"/>
                <w:color w:val="auto"/>
              </w:rPr>
            </w:pPr>
          </w:p>
        </w:tc>
      </w:tr>
      <w:tr>
        <w:trPr>
          <w:trHeight w:val="418"/>
        </w:trPr>
        <w:tc>
          <w:tcPr>
            <w:tcW w:w="2260" w:type="dxa"/>
            <w:vAlign w:val="bottom"/>
          </w:tcPr>
          <w:p>
            <w:pPr>
              <w:spacing w:after="0"/>
              <w:rPr>
                <w:sz w:val="24"/>
                <w:szCs w:val="24"/>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Not Applicable</w:t>
            </w:r>
          </w:p>
        </w:tc>
        <w:tc>
          <w:tcPr>
            <w:tcW w:w="218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218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right="296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94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500" w:type="dxa"/>
            <w:vAlign w:val="bottom"/>
          </w:tcPr>
          <w:p>
            <w:pPr>
              <w:jc w:val="center"/>
              <w:ind w:right="190"/>
              <w:spacing w:after="0"/>
              <w:rPr>
                <w:sz w:val="20"/>
                <w:szCs w:val="20"/>
                <w:color w:val="auto"/>
              </w:rPr>
            </w:pPr>
            <w:r>
              <w:rPr>
                <w:rFonts w:ascii="Arial" w:cs="Arial" w:eastAsia="Arial" w:hAnsi="Arial"/>
                <w:sz w:val="18"/>
                <w:szCs w:val="18"/>
                <w:color w:val="auto"/>
                <w:w w:val="99"/>
              </w:rPr>
              <w:t>VTGN</w:t>
            </w:r>
          </w:p>
        </w:tc>
        <w:tc>
          <w:tcPr>
            <w:tcW w:w="4800" w:type="dxa"/>
            <w:vAlign w:val="bottom"/>
          </w:tcPr>
          <w:p>
            <w:pPr>
              <w:jc w:val="center"/>
              <w:ind w:right="150"/>
              <w:spacing w:after="0"/>
              <w:rPr>
                <w:sz w:val="20"/>
                <w:szCs w:val="20"/>
                <w:color w:val="auto"/>
              </w:rPr>
            </w:pPr>
            <w:r>
              <w:rPr>
                <w:rFonts w:ascii="Arial" w:cs="Arial" w:eastAsia="Arial" w:hAnsi="Arial"/>
                <w:sz w:val="18"/>
                <w:szCs w:val="18"/>
                <w:color w:val="auto"/>
                <w:w w:val="91"/>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22, 2023,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received a letter (the “</w:t>
      </w:r>
      <w:r>
        <w:rPr>
          <w:rFonts w:ascii="Arial" w:cs="Arial" w:eastAsia="Arial" w:hAnsi="Arial"/>
          <w:sz w:val="18"/>
          <w:szCs w:val="18"/>
          <w:i w:val="1"/>
          <w:iCs w:val="1"/>
          <w:color w:val="auto"/>
        </w:rPr>
        <w:t>Letter</w:t>
      </w:r>
      <w:r>
        <w:rPr>
          <w:rFonts w:ascii="Arial" w:cs="Arial" w:eastAsia="Arial" w:hAnsi="Arial"/>
          <w:sz w:val="18"/>
          <w:szCs w:val="18"/>
          <w:color w:val="auto"/>
        </w:rPr>
        <w:t>”) from the Listing Qualifications Staff (the “</w:t>
      </w:r>
      <w:r>
        <w:rPr>
          <w:rFonts w:ascii="Arial" w:cs="Arial" w:eastAsia="Arial" w:hAnsi="Arial"/>
          <w:sz w:val="18"/>
          <w:szCs w:val="18"/>
          <w:i w:val="1"/>
          <w:iCs w:val="1"/>
          <w:color w:val="auto"/>
        </w:rPr>
        <w:t>Staff</w:t>
      </w:r>
      <w:r>
        <w:rPr>
          <w:rFonts w:ascii="Arial" w:cs="Arial" w:eastAsia="Arial" w:hAnsi="Arial"/>
          <w:sz w:val="18"/>
          <w:szCs w:val="18"/>
          <w:color w:val="auto"/>
        </w:rPr>
        <w:t>”) of The Nasdaq Stock Market, LLC (“</w:t>
      </w:r>
      <w:r>
        <w:rPr>
          <w:rFonts w:ascii="Arial" w:cs="Arial" w:eastAsia="Arial" w:hAnsi="Arial"/>
          <w:sz w:val="18"/>
          <w:szCs w:val="18"/>
          <w:i w:val="1"/>
          <w:iCs w:val="1"/>
          <w:color w:val="auto"/>
        </w:rPr>
        <w:t>Nasdaq</w:t>
      </w:r>
      <w:r>
        <w:rPr>
          <w:rFonts w:ascii="Arial" w:cs="Arial" w:eastAsia="Arial" w:hAnsi="Arial"/>
          <w:sz w:val="18"/>
          <w:szCs w:val="18"/>
          <w:color w:val="auto"/>
        </w:rPr>
        <w:t>”) indicating that the Staff has determined that, because the closing bid price of the Company’s common stock, par value $0.001 per share, was greater than $1.00 per share for the previous 10 consecutive trading days, the Company is now in full compliance with the minimum bid price requirement set forth in Nasdaq Listing Rule 5550(a)(2).</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now regained full compliance with all previously outstanding deficiencies and the matter is now closed. A press release issued by the Company on June 23, 2023 regarding the Letter is attached to this Current Report on Form 8-K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760" w:type="dxa"/>
            <w:vAlign w:val="bottom"/>
            <w:tcBorders>
              <w:bottom w:val="single" w:sz="8" w:color="auto"/>
            </w:tcBorders>
            <w:gridSpan w:val="2"/>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60" w:type="dxa"/>
            <w:vAlign w:val="bottom"/>
          </w:tcPr>
          <w:p>
            <w:pPr>
              <w:jc w:val="right"/>
              <w:ind w:right="390"/>
              <w:spacing w:after="0" w:line="169"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4"/>
                <w:szCs w:val="14"/>
                <w:color w:val="auto"/>
              </w:rPr>
            </w:pPr>
          </w:p>
        </w:tc>
        <w:tc>
          <w:tcPr>
            <w:tcW w:w="976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issued by Vistagen Therapeutics, Inc., dated June 23, 2023.</w:t>
            </w:r>
          </w:p>
        </w:tc>
      </w:tr>
      <w:tr>
        <w:trPr>
          <w:trHeight w:val="20"/>
        </w:trPr>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8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237"/>
        </w:trPr>
        <w:tc>
          <w:tcPr>
            <w:tcW w:w="1260" w:type="dxa"/>
            <w:vAlign w:val="bottom"/>
          </w:tcPr>
          <w:p>
            <w:pPr>
              <w:jc w:val="right"/>
              <w:ind w:right="41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460" w:type="dxa"/>
            <w:vAlign w:val="bottom"/>
            <w:gridSpan w:val="2"/>
          </w:tcPr>
          <w:p>
            <w:pPr>
              <w:ind w:left="208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23, 2023</w:t>
            </w:r>
          </w:p>
        </w:tc>
        <w:tc>
          <w:tcPr>
            <w:tcW w:w="6460" w:type="dxa"/>
            <w:vAlign w:val="bottom"/>
            <w:gridSpan w:val="2"/>
          </w:tcPr>
          <w:p>
            <w:pPr>
              <w:ind w:left="2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9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243330" cy="454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420"/>
        <w:spacing w:after="0"/>
        <w:rPr>
          <w:sz w:val="20"/>
          <w:szCs w:val="20"/>
          <w:color w:val="auto"/>
        </w:rPr>
      </w:pPr>
      <w:r>
        <w:rPr>
          <w:rFonts w:ascii="Arial" w:cs="Arial" w:eastAsia="Arial" w:hAnsi="Arial"/>
          <w:sz w:val="22"/>
          <w:szCs w:val="22"/>
          <w:b w:val="1"/>
          <w:bCs w:val="1"/>
          <w:color w:val="auto"/>
        </w:rPr>
        <w:t>Vistagen Regains Full Compliance with Nasdaq Listing Requirements</w:t>
      </w:r>
    </w:p>
    <w:p>
      <w:pPr>
        <w:spacing w:after="0" w:line="21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SOUTH SAN FRANCISCO, Calif. </w:t>
      </w:r>
      <w:r>
        <w:rPr>
          <w:rFonts w:ascii="Arial" w:cs="Arial" w:eastAsia="Arial" w:hAnsi="Arial"/>
          <w:sz w:val="16"/>
          <w:szCs w:val="16"/>
          <w:color w:val="auto"/>
        </w:rPr>
        <w:t>–</w:t>
      </w:r>
      <w:r>
        <w:rPr>
          <w:rFonts w:ascii="Arial" w:cs="Arial" w:eastAsia="Arial" w:hAnsi="Arial"/>
          <w:sz w:val="16"/>
          <w:szCs w:val="16"/>
          <w:b w:val="1"/>
          <w:bCs w:val="1"/>
          <w:color w:val="auto"/>
        </w:rPr>
        <w:t xml:space="preserve"> June 23, 2023 </w:t>
      </w:r>
      <w:r>
        <w:rPr>
          <w:rFonts w:ascii="Arial" w:cs="Arial" w:eastAsia="Arial" w:hAnsi="Arial"/>
          <w:sz w:val="16"/>
          <w:szCs w:val="16"/>
          <w:color w:val="auto"/>
        </w:rPr>
        <w:t>– Vista</w:t>
      </w:r>
      <w:r>
        <w:rPr>
          <w:rFonts w:ascii="Arial" w:cs="Arial" w:eastAsia="Arial" w:hAnsi="Arial"/>
          <w:sz w:val="16"/>
          <w:szCs w:val="16"/>
          <w:u w:val="single" w:color="auto"/>
          <w:color w:val="auto"/>
        </w:rPr>
        <w:t>gen</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late clinical-stage biopharmaceutical company aiming to</w:t>
      </w:r>
      <w:r>
        <w:rPr>
          <w:rFonts w:ascii="Arial" w:cs="Arial" w:eastAsia="Arial" w:hAnsi="Arial"/>
          <w:sz w:val="16"/>
          <w:szCs w:val="16"/>
          <w:b w:val="1"/>
          <w:bCs w:val="1"/>
          <w:color w:val="auto"/>
        </w:rPr>
        <w:t xml:space="preserve"> </w:t>
      </w:r>
      <w:r>
        <w:rPr>
          <w:rFonts w:ascii="Arial" w:cs="Arial" w:eastAsia="Arial" w:hAnsi="Arial"/>
          <w:sz w:val="16"/>
          <w:szCs w:val="16"/>
          <w:color w:val="auto"/>
        </w:rPr>
        <w:t>transform the treatment landscape for individuals living with anxiety, depression and other central nervous system (CNS) disorders, today announced that, on June 22, 2023, Vistagen received a letter from the Listing Qualifications Staff of The Nasdaq Stock Market, LLC (Nasdaq) indicating that Vistagen has regained full compliance with the minimum $1.00 bid price per share or greater requirement under Nasdaq Listing Rule 5550(a)(2) for continued listing on the Nasdaq Capital Market. Vistagen is now in full compliance with all applicable Nasdaq listing requirements, and Nasdaq considers the matter closed.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that are currently available for treatment of anxiety, depression and multiple CNS disorders. Vistagen’s pipeline includes six clinical-stage product candidates, including five investigational agents belonging to a new class of drugs known as pherines and an oral prodrug of 7-Cl-CYNA, which is a full antagonist of the glycine site of the N-methyl-D-aspartate receptor (NMDAR). Pherines, which are administered as nasal sprays, are designed with an innovative rapid-onset mechanism of action that activates chemosensory neurons in the nasal passages and selectively impact key neural circuits in the brain without requiring systemic uptake or direct activity on CNS neurons. Vistagen is passionate about transforming mental health care and redefining what is possible in the treatment of anxiety, depression and several other CNS disorders. Connect at </w:t>
      </w:r>
      <w:r>
        <w:rPr>
          <w:rFonts w:ascii="Arial" w:cs="Arial" w:eastAsia="Arial" w:hAnsi="Arial"/>
          <w:sz w:val="16"/>
          <w:szCs w:val="16"/>
          <w:u w:val="single" w:color="auto"/>
          <w:color w:val="auto"/>
        </w:rPr>
        <w:t>www.Vistagen.com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project,</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strive,</w:t>
      </w:r>
      <w:r>
        <w:rPr>
          <w:rFonts w:ascii="Arial" w:cs="Arial" w:eastAsia="Arial" w:hAnsi="Arial"/>
          <w:sz w:val="17"/>
          <w:szCs w:val="17"/>
          <w:color w:val="auto"/>
        </w:rPr>
        <w:t>” “</w:t>
      </w:r>
      <w:r>
        <w:rPr>
          <w:rFonts w:ascii="Arial" w:cs="Arial" w:eastAsia="Arial" w:hAnsi="Arial"/>
          <w:sz w:val="17"/>
          <w:szCs w:val="17"/>
          <w:i w:val="1"/>
          <w:iCs w:val="1"/>
          <w:color w:val="auto"/>
        </w:rPr>
        <w:t>goal,</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likely,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xml:space="preserve">” </w:t>
      </w:r>
      <w:r>
        <w:rPr>
          <w:rFonts w:ascii="Arial" w:cs="Arial" w:eastAsia="Arial" w:hAnsi="Arial"/>
          <w:sz w:val="17"/>
          <w:szCs w:val="17"/>
          <w:i w:val="1"/>
          <w:iCs w:val="1"/>
          <w:color w:val="auto"/>
        </w:rPr>
        <w:t>and variations of these terms and similar expressions, or the</w:t>
      </w:r>
      <w:r>
        <w:rPr>
          <w:rFonts w:ascii="Arial" w:cs="Arial" w:eastAsia="Arial" w:hAnsi="Arial"/>
          <w:sz w:val="17"/>
          <w:szCs w:val="17"/>
          <w:color w:val="auto"/>
        </w:rPr>
        <w:t xml:space="preserve"> </w:t>
      </w:r>
      <w:r>
        <w:rPr>
          <w:rFonts w:ascii="Arial" w:cs="Arial" w:eastAsia="Arial" w:hAnsi="Arial"/>
          <w:sz w:val="17"/>
          <w:szCs w:val="17"/>
          <w:i w:val="1"/>
          <w:iCs w:val="1"/>
          <w:color w:val="auto"/>
        </w:rPr>
        <w:t>negative of these terms or similar expressions. Such forward-looking statements are necessarily based upon estimates and assumptions that, while considered reasonable by Vistagen and its management, are inherently uncertain. These risks and uncertainties are fully discussed in the section entitled "Risk Factors" in our most recent Annual Report on Form 10-K for the year ended March 31, 2022, and in our most recent Quarterly Report on Form 10-Q for the quarter and nine months ended December 31, 2022, as well as discussions of potential risks, uncertainties, and other important factors in our other filings with the U.S. Securities and Exchange Commission (SEC). Our SEC filings are available on the SEC</w:t>
      </w:r>
      <w:r>
        <w:rPr>
          <w:rFonts w:ascii="Arial" w:cs="Arial" w:eastAsia="Arial" w:hAnsi="Arial"/>
          <w:sz w:val="17"/>
          <w:szCs w:val="17"/>
          <w:color w:val="auto"/>
        </w:rPr>
        <w:t>’</w:t>
      </w:r>
      <w:r>
        <w:rPr>
          <w:rFonts w:ascii="Arial" w:cs="Arial" w:eastAsia="Arial" w:hAnsi="Arial"/>
          <w:sz w:val="17"/>
          <w:szCs w:val="17"/>
          <w:i w:val="1"/>
          <w:iCs w:val="1"/>
          <w:color w:val="auto"/>
        </w:rPr>
        <w:t>s website at www.sec.gov.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4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577-3606 markmcp@vistagen.com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nhitchings@skdknick.com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2023-06-23T07:40:38Z</dcterms:created>
  <dcterms:modified xsi:type="dcterms:W3CDTF">2023-06-23T07:40:38Z</dcterms:modified>
</cp:coreProperties>
</file>