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June 17, 2014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Nevada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20-5093315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587375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 w:name="page2"/>
    <w:bookmarkEnd w:id="1"/>
    <w:p>
      <w:pPr>
        <w:spacing w:after="0"/>
        <w:tabs>
          <w:tab w:leader="none" w:pos="11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17, 2014, VistaGen Therapeutics, Inc. (“</w:t>
      </w:r>
      <w:r>
        <w:rPr>
          <w:rFonts w:ascii="Arial" w:cs="Arial" w:eastAsia="Arial" w:hAnsi="Arial"/>
          <w:sz w:val="16"/>
          <w:szCs w:val="16"/>
          <w:i w:val="1"/>
          <w:iCs w:val="1"/>
          <w:color w:val="auto"/>
        </w:rPr>
        <w:t>Company</w:t>
      </w:r>
      <w:r>
        <w:rPr>
          <w:rFonts w:ascii="Arial" w:cs="Arial" w:eastAsia="Arial" w:hAnsi="Arial"/>
          <w:sz w:val="16"/>
          <w:szCs w:val="16"/>
          <w:color w:val="auto"/>
        </w:rPr>
        <w:t>”) accepted a subscription agreement (“</w:t>
      </w:r>
      <w:r>
        <w:rPr>
          <w:rFonts w:ascii="Arial" w:cs="Arial" w:eastAsia="Arial" w:hAnsi="Arial"/>
          <w:sz w:val="16"/>
          <w:szCs w:val="16"/>
          <w:i w:val="1"/>
          <w:iCs w:val="1"/>
          <w:color w:val="auto"/>
        </w:rPr>
        <w:t>Agreement</w:t>
      </w:r>
      <w:r>
        <w:rPr>
          <w:rFonts w:ascii="Arial" w:cs="Arial" w:eastAsia="Arial" w:hAnsi="Arial"/>
          <w:sz w:val="16"/>
          <w:szCs w:val="16"/>
          <w:color w:val="auto"/>
        </w:rPr>
        <w:t>”) from Platinum Long Term Growth Fund VII, its largest institutional investor (“</w:t>
      </w:r>
      <w:r>
        <w:rPr>
          <w:rFonts w:ascii="Arial" w:cs="Arial" w:eastAsia="Arial" w:hAnsi="Arial"/>
          <w:sz w:val="16"/>
          <w:szCs w:val="16"/>
          <w:i w:val="1"/>
          <w:iCs w:val="1"/>
          <w:color w:val="auto"/>
        </w:rPr>
        <w:t>Platinum</w:t>
      </w:r>
      <w:r>
        <w:rPr>
          <w:rFonts w:ascii="Arial" w:cs="Arial" w:eastAsia="Arial" w:hAnsi="Arial"/>
          <w:sz w:val="16"/>
          <w:szCs w:val="16"/>
          <w:color w:val="auto"/>
        </w:rPr>
        <w:t>”), to purchase $250,000 worth of Units, consisting of: (i) a subordinate convertible promissory note (“</w:t>
      </w:r>
      <w:r>
        <w:rPr>
          <w:rFonts w:ascii="Arial" w:cs="Arial" w:eastAsia="Arial" w:hAnsi="Arial"/>
          <w:sz w:val="16"/>
          <w:szCs w:val="16"/>
          <w:i w:val="1"/>
          <w:iCs w:val="1"/>
          <w:color w:val="auto"/>
        </w:rPr>
        <w:t>Unit Note</w:t>
      </w:r>
      <w:r>
        <w:rPr>
          <w:rFonts w:ascii="Arial" w:cs="Arial" w:eastAsia="Arial" w:hAnsi="Arial"/>
          <w:sz w:val="16"/>
          <w:szCs w:val="16"/>
          <w:color w:val="auto"/>
        </w:rPr>
        <w:t>”) in the principal amount of $250,000; (ii) 250,000 restricted shares of the Company’s common stock (“</w:t>
      </w:r>
      <w:r>
        <w:rPr>
          <w:rFonts w:ascii="Arial" w:cs="Arial" w:eastAsia="Arial" w:hAnsi="Arial"/>
          <w:sz w:val="16"/>
          <w:szCs w:val="16"/>
          <w:i w:val="1"/>
          <w:iCs w:val="1"/>
          <w:color w:val="auto"/>
        </w:rPr>
        <w:t>Unit Shares</w:t>
      </w:r>
      <w:r>
        <w:rPr>
          <w:rFonts w:ascii="Arial" w:cs="Arial" w:eastAsia="Arial" w:hAnsi="Arial"/>
          <w:sz w:val="16"/>
          <w:szCs w:val="16"/>
          <w:color w:val="auto"/>
        </w:rPr>
        <w:t>”); and (iii) a warrant to purchase 250,000 restricted shares of the Company’s common stock for $0.50 per share through December 31, 2016 (“</w:t>
      </w:r>
      <w:r>
        <w:rPr>
          <w:rFonts w:ascii="Arial" w:cs="Arial" w:eastAsia="Arial" w:hAnsi="Arial"/>
          <w:sz w:val="16"/>
          <w:szCs w:val="16"/>
          <w:i w:val="1"/>
          <w:iCs w:val="1"/>
          <w:color w:val="auto"/>
        </w:rPr>
        <w:t>Unit Warrant</w:t>
      </w:r>
      <w:r>
        <w:rPr>
          <w:rFonts w:ascii="Arial" w:cs="Arial" w:eastAsia="Arial" w:hAnsi="Arial"/>
          <w:sz w:val="16"/>
          <w:szCs w:val="16"/>
          <w:color w:val="auto"/>
        </w:rPr>
        <w:t>”). The Units were offered and sold in connection with the Unit Offering first disclosed by the Company in the Current Report on Form 8-K,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on April 8, 2014. The Unit Note issued to Platinum bears interest at a rate of 10% per annum and matures on the earlier of March 31, 2015, or the consummation of either an equity-based public offering registered with the SEC or an equity-based private financing, in either case resulting in gross proceeds to the Company of at least $10.0 million. To date, the Company has accepted Agreements from accredited investors to purchase Units for aggregate cash proceeds of $1,545,000, including an aggregate of $750,000 by Platinum, resulting in the issuance of: (i) Unit Notes in the principal amount of $1,545,000; (ii) 1,545,000 restricted Unit Shares; and (iii) Unit Warrants to purchase 1,545,000 restricted shares of the Company’s common stock.</w:t>
      </w:r>
    </w:p>
    <w:p>
      <w:pPr>
        <w:spacing w:after="0" w:line="19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2.03.</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offered and sold the Units in transactions exempt from registration under the Securities Act of 1933, as amended (the “</w:t>
      </w:r>
      <w:r>
        <w:rPr>
          <w:rFonts w:ascii="Arial" w:cs="Arial" w:eastAsia="Arial" w:hAnsi="Arial"/>
          <w:sz w:val="16"/>
          <w:szCs w:val="16"/>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Act</w:t>
      </w:r>
      <w:r>
        <w:rPr>
          <w:rFonts w:ascii="Arial" w:cs="Arial" w:eastAsia="Arial" w:hAnsi="Arial"/>
          <w:sz w:val="16"/>
          <w:szCs w:val="16"/>
          <w:color w:val="auto"/>
        </w:rPr>
        <w:t>”), in reliance on Section 4(2) of the Securities Act as transactions by an issuer not involving any public offering and/or Regulation D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 Certain inquiries were made by the Company of each investor participating in the Unit Offering to establish that sales in connection with the Unit Offering qualified for such exemption from the registration requirements. In particular, the Company confirmed that, with respect to the exemption claimed under Section 4(2)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 The proceeds from the sale of the Units, and the proceeds to be received upon exercise of the Warrants, are expected to be used for general corporate purposes.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descriptions of the Agreement, Unit Note and Unit Warrant above do not purport to be complete, and are qualified in their entirety by reference to the form of Agreement, form of Unit Note and form of Unit Warrant attached as Exhibits 10.1, 10.2 and 10.3, respectively, to the Company’s Current Report on Form 8-K, filed with the SEC on April 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June 20, 2014</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Name: Shawn K. Singh, JD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Title: Chief Executive Officer</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2020-01-27T18:45:46Z</dcterms:created>
  <dcterms:modified xsi:type="dcterms:W3CDTF">2020-01-27T18:45:46Z</dcterms:modified>
</cp:coreProperties>
</file>