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680" w:hanging="8"/>
        <w:spacing w:after="0" w:line="224" w:lineRule="exact"/>
        <w:tabs>
          <w:tab w:leader="none" w:pos="5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5466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66715"/>
                    </a:xfrm>
                    <a:prstGeom prst="rect">
                      <a:avLst/>
                    </a:prstGeom>
                    <a:noFill/>
                  </pic:spPr>
                </pic:pic>
              </a:graphicData>
            </a:graphic>
          </wp:anchor>
        </w:drawing>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Commodore Capital LP</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20" w:hanging="406"/>
        <w:spacing w:after="0" w:line="207" w:lineRule="exact"/>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 USE ONLY</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Delaware, 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Borders>
              <w:top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5</w:t>
            </w: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62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2,367,884*</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16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620" w:type="dxa"/>
            <w:vAlign w:val="bottom"/>
            <w:tcBorders>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6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62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0</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00" w:type="dxa"/>
            <w:vAlign w:val="bottom"/>
            <w:vMerge w:val="restart"/>
          </w:tcPr>
          <w:p>
            <w:pPr>
              <w:spacing w:after="0"/>
              <w:rPr>
                <w:sz w:val="3"/>
                <w:szCs w:val="3"/>
                <w:color w:val="auto"/>
              </w:rPr>
            </w:pPr>
          </w:p>
        </w:tc>
        <w:tc>
          <w:tcPr>
            <w:tcW w:w="162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20"/>
                <w:szCs w:val="20"/>
                <w:color w:val="auto"/>
              </w:rPr>
            </w:pPr>
          </w:p>
        </w:tc>
        <w:tc>
          <w:tcPr>
            <w:tcW w:w="162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2,367,884*</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2,367,884*</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700" w:type="dxa"/>
            <w:vAlign w:val="bottom"/>
            <w:tcBorders>
              <w:right w:val="single" w:sz="8" w:color="auto"/>
            </w:tcBorders>
            <w:vMerge w:val="continue"/>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8460" w:type="dxa"/>
            <w:vAlign w:val="bottom"/>
            <w:tcBorders>
              <w:bottom w:val="single" w:sz="8" w:color="auto"/>
            </w:tcBorders>
            <w:gridSpan w:val="3"/>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11</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5466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66715"/>
                    </a:xfrm>
                    <a:prstGeom prst="rect">
                      <a:avLst/>
                    </a:prstGeom>
                    <a:noFill/>
                  </pic:spPr>
                </pic:pic>
              </a:graphicData>
            </a:graphic>
          </wp:anchor>
        </w:drawing>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Commodore Capital Master LP</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20" w:hanging="406"/>
        <w:spacing w:after="0" w:line="207" w:lineRule="exact"/>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 USE ONLY</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Borders>
              <w:top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5</w:t>
            </w: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62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2,367,884*</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16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620" w:type="dxa"/>
            <w:vAlign w:val="bottom"/>
            <w:tcBorders>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6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62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0</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00" w:type="dxa"/>
            <w:vAlign w:val="bottom"/>
            <w:vMerge w:val="restart"/>
          </w:tcPr>
          <w:p>
            <w:pPr>
              <w:spacing w:after="0"/>
              <w:rPr>
                <w:sz w:val="3"/>
                <w:szCs w:val="3"/>
                <w:color w:val="auto"/>
              </w:rPr>
            </w:pPr>
          </w:p>
        </w:tc>
        <w:tc>
          <w:tcPr>
            <w:tcW w:w="162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20"/>
                <w:szCs w:val="20"/>
                <w:color w:val="auto"/>
              </w:rPr>
            </w:pPr>
          </w:p>
        </w:tc>
        <w:tc>
          <w:tcPr>
            <w:tcW w:w="162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2,367,884*</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2,367,884*</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700" w:type="dxa"/>
            <w:vAlign w:val="bottom"/>
            <w:tcBorders>
              <w:right w:val="single" w:sz="8" w:color="auto"/>
            </w:tcBorders>
            <w:vMerge w:val="continue"/>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8460" w:type="dxa"/>
            <w:vAlign w:val="bottom"/>
            <w:tcBorders>
              <w:bottom w:val="single" w:sz="8" w:color="auto"/>
            </w:tcBorders>
            <w:gridSpan w:val="3"/>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11</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Borders>
              <w:right w:val="single" w:sz="8" w:color="auto"/>
            </w:tcBorders>
            <w:vMerge w:val="continue"/>
          </w:tcPr>
          <w:p>
            <w:pPr>
              <w:spacing w:after="0"/>
              <w:rPr>
                <w:sz w:val="17"/>
                <w:szCs w:val="17"/>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Item 1. (a) Name of Issuer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-442595</wp:posOffset>
            </wp:positionV>
            <wp:extent cx="1778635" cy="167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8635" cy="16700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 South San Francisco, California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b, c) Names of Person Filing, Address of Principal Business Office, Citizenship:</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report on Schedule 13G is being filed by Commodore Capital LP, a Delaware limited partnership (the “Firm”) and Commodore Capital Master LP, a Cayman Islands exempted limited partnership (“Commodore Master”). The address for the Firm and Commodore Master is: 444 Madison Avenue, Floor 35, New York, New York 10022.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92840H400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-166370</wp:posOffset>
            </wp:positionV>
            <wp:extent cx="1778635" cy="167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8635" cy="1670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reported in the cover pages to this report, the ownership information with respect to the Firm is as follows:</w:t>
      </w:r>
    </w:p>
    <w:p>
      <w:pPr>
        <w:spacing w:after="0" w:line="22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2,367,884*</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9.9%*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2,367,884*</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(iv) Shared power to dispose or to direct the disposition of: 2,367,884*</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reported in the cover pages to this report, the ownership information with respect to Commodore Master is as follows: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2,367,884*</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9.9%*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2,367,884*</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(iv) Shared power to dispose or to direct the disposition of: 2,367,884*</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4, 2023, the Issuer closed an offering of 15,010,810 shares of Common Stock with accompanying common warrants to purchase up to 9,294,022 shares of Common Stock (or pre-funded warrants to purchase up to 9,294,022 shares of Common Stock in lieu thereof) (the “Tranche 1 Warrants”) and accompanying common warrants to purchase up to 11,265,086 shares of Common Stock (or pre-funded warrants to purchase up to 11,265,086 shares of Common Stock in lieu thereof) (the “Tranche 2 Warrants”). In lieu of shares of Common Stock, the Issuer offered pre-funded warrants to purchase up to 3,577,240 shares of Common Stock (the “Pre-Funded Warrants”) with accompanying Tranche 1 Warrants and accompanying Tranche 2 Warrants. As a result of the offering and certain ownership limitations described below, the Firm’s beneficial ownership in the Issuer is currently limited to 9.99%.</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Tranche 1 Warrants are exercisable from the date of issuance and expire 60 days after the later of (i) the date on which the Issuer first publicly discloses, whether by press release or Form 8-K filing, the top-line data for its PALISADE-3 study and (ii) the date on which the Issuer first publicly discloses, whether by press release or Form 8-K filing, the top-line data for its PALISADE-4 study. The Tranche 1 Warrants contain an exercise limitation prohibiting Commodore Master from exercising the Tranche 1 Warrants until such time as the holder, together with certain related parties, would not beneficially own after any such exercise more than 9.99% of the then issued and outstanding Common Stock. Due to this blocker, the Tranche 1 Warrants owned by Commodore Master are not fully exercisable at this time. The blocker percentage may be increased up to 19.99% or decreased by Commodore Master upon 61 days’ notice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-166370</wp:posOffset>
            </wp:positionV>
            <wp:extent cx="1778635"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8635" cy="167005"/>
                    </a:xfrm>
                    <a:prstGeom prst="rect">
                      <a:avLst/>
                    </a:prstGeom>
                    <a:noFill/>
                  </pic:spPr>
                </pic:pic>
              </a:graphicData>
            </a:graphic>
          </wp:anchor>
        </w:drawing>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Tranche 2 Warrants are exercisable from the date of issuance and expire on October 4, 2028. The Tranche 2 Warrants contain an exercise limitation prohibiting Commodore Master from exercising the Tranche 2 Warrants until such time as the holder, together with certain related parties, would not beneficially own after any such exercise more than 9.99% of the then issued and outstanding Common Stock. Due to this blocker, the Tranche 2 Warrants owned by Commodore Master are not fully exercisable at this time. The blocker percentage may be increased up to 19.99% or decreased by Commodore Master upon 61 days’ notice to the Issuer.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Pre-Funded Warrants are exercisable from the date of issuance until fully exercised. The Pre-funded Warrants contain an exercise limitation prohibiting Commodore Master from exercising the Pre-Funded Warrants until such time as the holder, together with certain related parties, would not beneficially own after any such exercise more than 9.99% of the then issued and outstanding Common Stock. Due to this blocker, the Pre-funded Warrants owned by Commodore Master are not fully exercisable at this time. The blocker percentage may be increased up to 19.99% or decreased by Commodore Master upon 61 days’ notice to the Issuer.</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October 4, 2023, Commodore Master owns (i) 1,575,000 shares of Common Stock, (ii) Pre-Funded Warrants to purchase up to 2,788,620 shares of Common Stock, (iii) Tranche 1 Warrants to purchase up to 1,394,310 shares of Common Stock, and (iv) Tranche 2 Warrants to purchase up to 1,690,014 shares of Common Stock.</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Firm is the investment manager to Commodore Master. As of October 4, 2023, the Firm may be deemed to beneficially own an aggregate of 2,367,884 shares of Common Stock of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22,885,961 shares of Common Stock reported as issued and outstanding in the Issuer’s Rule 424(b)(5) Prospectus, filed with the Securities and Exchange Commission on October 3, 2023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-166370</wp:posOffset>
            </wp:positionV>
            <wp:extent cx="1778635" cy="167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8635" cy="1670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780" w:firstLine="6"/>
        <w:spacing w:after="0" w:line="308" w:lineRule="auto"/>
        <w:tabs>
          <w:tab w:leader="none" w:pos="960" w:val="left"/>
        </w:tabs>
        <w:numPr>
          <w:ilvl w:val="0"/>
          <w:numId w:val="12"/>
        </w:numPr>
        <w:rPr>
          <w:rFonts w:ascii="Arial" w:cs="Arial" w:eastAsia="Arial" w:hAnsi="Arial"/>
          <w:sz w:val="17"/>
          <w:szCs w:val="17"/>
          <w:u w:val="single" w:color="auto"/>
          <w:color w:val="0000EE"/>
        </w:rPr>
      </w:pPr>
      <w:hyperlink r:id="rId28">
        <w:r>
          <w:rPr>
            <w:rFonts w:ascii="Arial" w:cs="Arial" w:eastAsia="Arial" w:hAnsi="Arial"/>
            <w:sz w:val="17"/>
            <w:szCs w:val="17"/>
            <w:u w:val="single" w:color="auto"/>
            <w:color w:val="0000EE"/>
          </w:rPr>
          <w:t>Joint Filing Agreement dated as of August 9, 2023, by and between Commodore Capital LP and Commodore Capital Master LP (incorporated</w:t>
        </w:r>
      </w:hyperlink>
      <w:r>
        <w:rPr>
          <w:rFonts w:ascii="Arial" w:cs="Arial" w:eastAsia="Arial" w:hAnsi="Arial"/>
          <w:sz w:val="17"/>
          <w:szCs w:val="17"/>
          <w:u w:val="single" w:color="auto"/>
          <w:color w:val="0000EE"/>
        </w:rPr>
        <w:t xml:space="preserve"> </w:t>
      </w:r>
      <w:hyperlink r:id="rId28">
        <w:r>
          <w:rPr>
            <w:rFonts w:ascii="Arial" w:cs="Arial" w:eastAsia="Arial" w:hAnsi="Arial"/>
            <w:sz w:val="17"/>
            <w:szCs w:val="17"/>
            <w:u w:val="single" w:color="auto"/>
            <w:color w:val="0000EE"/>
          </w:rPr>
          <w:t>by reference to Exhibit 1 to the Schedule 13G filed with the Securities and Exchange Commission on August 9, 2023).</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22"/>
        </w:trPr>
        <w:tc>
          <w:tcPr>
            <w:tcW w:w="280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92840H400</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-166370</wp:posOffset>
            </wp:positionV>
            <wp:extent cx="1778635" cy="167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778635" cy="167005"/>
                    </a:xfrm>
                    <a:prstGeom prst="rect">
                      <a:avLst/>
                    </a:prstGeom>
                    <a:noFill/>
                  </pic:spPr>
                </pic:pic>
              </a:graphicData>
            </a:graphic>
          </wp:anchor>
        </w:drawing>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Commodore Capital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Kramarz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Kramarz,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Commodore Capital Master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Kramarz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Kramarz,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9"/>
    </w:lvl>
  </w:abstractNum>
  <w:abstractNum w:abstractNumId="5">
    <w:nsid w:val="5BD062C2"/>
    <w:multiLevelType w:val="hybridMultilevel"/>
    <w:lvl w:ilvl="0">
      <w:lvlJc w:val="left"/>
      <w:lvlText w:val="(%1)"/>
      <w:numFmt w:val="lowerLetter"/>
      <w:start w:val="35"/>
    </w:lvl>
  </w:abstractNum>
  <w:abstractNum w:abstractNumId="6">
    <w:nsid w:val="12200854"/>
    <w:multiLevelType w:val="hybridMultilevel"/>
    <w:lvl w:ilvl="0">
      <w:lvlJc w:val="left"/>
      <w:lvlText w:val="(%1)"/>
      <w:numFmt w:val="lowerLetter"/>
      <w:start w:val="6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35"/>
    </w:lvl>
  </w:abstractNum>
  <w:abstractNum w:abstractNumId="10">
    <w:nsid w:val="1190CDE7"/>
    <w:multiLevelType w:val="hybridMultilevel"/>
    <w:lvl w:ilvl="0">
      <w:lvlJc w:val="left"/>
      <w:lvlText w:val="(%1)"/>
      <w:numFmt w:val="lowerLetter"/>
      <w:start w:val="6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8" Type="http://schemas.openxmlformats.org/officeDocument/2006/relationships/hyperlink" Target="https://www.sec.gov/Archives/edgar/data/1411685/000149315223027355/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2023-10-06T15:15:50Z</dcterms:created>
  <dcterms:modified xsi:type="dcterms:W3CDTF">2023-10-06T15:15:50Z</dcterms:modified>
</cp:coreProperties>
</file>