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SEC Only (as permitted by Rule 14a-6(e)(2))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97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97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009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009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2020-01-13T20:36:22Z</dcterms:created>
  <dcterms:modified xsi:type="dcterms:W3CDTF">2020-01-13T20:36:22Z</dcterms:modified>
</cp:coreProperties>
</file>