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9,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On September 10, 2025,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received notice from Cynthia L. Anderson, the Company’s Chief Financial Officer and principal financial and accounting officer, of her decision to resign from the Company effective October 15, 2025. Ms. Anderson’s decision to resign is not the result of any disagreement with the Company on any matter relating to the Company’s operations, policies or practices. The Company is conducting a search for a candidate to succeed Ms. Anderson. In connection with Ms. Anderson’s departure, the Company intends to enter into a consulting services agreement with Ms. Anderson, pursuant to which she will provide advisory services to support the transition to her successor.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September 9, 2025, the Company held its 2025 Annual Meeting of Stockholders (the “</w:t>
      </w:r>
      <w:r>
        <w:rPr>
          <w:rFonts w:ascii="Times New Roman" w:cs="Times New Roman" w:eastAsia="Times New Roman" w:hAnsi="Times New Roman"/>
          <w:sz w:val="18"/>
          <w:szCs w:val="18"/>
          <w:i w:val="1"/>
          <w:iCs w:val="1"/>
          <w:color w:val="auto"/>
        </w:rPr>
        <w:t>2025 Annual Meeting</w:t>
      </w:r>
      <w:r>
        <w:rPr>
          <w:rFonts w:ascii="Times New Roman" w:cs="Times New Roman" w:eastAsia="Times New Roman" w:hAnsi="Times New Roman"/>
          <w:sz w:val="18"/>
          <w:szCs w:val="18"/>
          <w:color w:val="auto"/>
        </w:rPr>
        <w:t>”). At the 2025 Annual Meeting, as set forth below, the Company’s stockholders: (i) elected each of the six director nominees to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(ii) approved, on an advisory basis, the compensation paid to the Company’s named executive officers; and (iii) ratified the appointment of KPMG LLP as the Company’s independent registered public accounting firm for the Company’s fiscal year ending March 31, 2026.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matters voted upon at the 2025 Annual Meeting and the results of the voting by the Company’s stockholders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Proposal No. 1 – Election of Directors</w:t>
            </w:r>
          </w:p>
        </w:tc>
        <w:tc>
          <w:tcPr>
            <w:tcW w:w="2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99"/>
        </w:trPr>
        <w:tc>
          <w:tcPr>
            <w:tcW w:w="660" w:type="dxa"/>
            <w:vAlign w:val="bottom"/>
          </w:tcPr>
          <w:p>
            <w:pPr>
              <w:spacing w:after="0"/>
              <w:rPr>
                <w:sz w:val="24"/>
                <w:szCs w:val="24"/>
                <w:color w:val="auto"/>
              </w:rPr>
            </w:pPr>
          </w:p>
        </w:tc>
        <w:tc>
          <w:tcPr>
            <w:tcW w:w="522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Withheld</w:t>
            </w:r>
          </w:p>
        </w:tc>
      </w:tr>
      <w:tr>
        <w:trPr>
          <w:trHeight w:val="155"/>
        </w:trPr>
        <w:tc>
          <w:tcPr>
            <w:tcW w:w="660" w:type="dxa"/>
            <w:vAlign w:val="bottom"/>
          </w:tcPr>
          <w:p>
            <w:pPr>
              <w:spacing w:after="0"/>
              <w:rPr>
                <w:sz w:val="13"/>
                <w:szCs w:val="13"/>
                <w:color w:val="auto"/>
              </w:rPr>
            </w:pPr>
          </w:p>
        </w:tc>
        <w:tc>
          <w:tcPr>
            <w:tcW w:w="5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Margaret M. FitzPatrick, M.A.</w:t>
            </w:r>
          </w:p>
        </w:tc>
        <w:tc>
          <w:tcPr>
            <w:tcW w:w="22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r>
      <w:tr>
        <w:trPr>
          <w:trHeight w:val="243"/>
        </w:trPr>
        <w:tc>
          <w:tcPr>
            <w:tcW w:w="660" w:type="dxa"/>
            <w:vAlign w:val="bottom"/>
          </w:tcPr>
          <w:p>
            <w:pPr>
              <w:spacing w:after="0"/>
              <w:rPr>
                <w:sz w:val="21"/>
                <w:szCs w:val="21"/>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Chair and Independent Director</w:t>
            </w:r>
          </w:p>
        </w:tc>
        <w:tc>
          <w:tcPr>
            <w:tcW w:w="2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12,221,441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580,280</w:t>
            </w:r>
          </w:p>
        </w:tc>
      </w:tr>
      <w:tr>
        <w:trPr>
          <w:trHeight w:val="175"/>
        </w:trPr>
        <w:tc>
          <w:tcPr>
            <w:tcW w:w="66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Ann M. Cunningham, MBA</w:t>
            </w:r>
          </w:p>
        </w:tc>
        <w:tc>
          <w:tcPr>
            <w:tcW w:w="22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43"/>
        </w:trPr>
        <w:tc>
          <w:tcPr>
            <w:tcW w:w="6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Non-Independent Director</w:t>
            </w:r>
          </w:p>
        </w:tc>
        <w:tc>
          <w:tcPr>
            <w:tcW w:w="2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12,297,524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504,197</w:t>
            </w:r>
          </w:p>
        </w:tc>
      </w:tr>
      <w:tr>
        <w:trPr>
          <w:trHeight w:val="176"/>
        </w:trPr>
        <w:tc>
          <w:tcPr>
            <w:tcW w:w="660" w:type="dxa"/>
            <w:vAlign w:val="bottom"/>
          </w:tcPr>
          <w:p>
            <w:pPr>
              <w:spacing w:after="0"/>
              <w:rPr>
                <w:sz w:val="15"/>
                <w:szCs w:val="15"/>
                <w:color w:val="auto"/>
              </w:rPr>
            </w:pPr>
          </w:p>
        </w:tc>
        <w:tc>
          <w:tcPr>
            <w:tcW w:w="5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Joanne Curley, Ph.D.</w:t>
            </w:r>
          </w:p>
        </w:tc>
        <w:tc>
          <w:tcPr>
            <w:tcW w:w="22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43"/>
        </w:trPr>
        <w:tc>
          <w:tcPr>
            <w:tcW w:w="660" w:type="dxa"/>
            <w:vAlign w:val="bottom"/>
          </w:tcPr>
          <w:p>
            <w:pPr>
              <w:spacing w:after="0"/>
              <w:rPr>
                <w:sz w:val="21"/>
                <w:szCs w:val="21"/>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2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12,403,087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398,634</w:t>
            </w:r>
          </w:p>
        </w:tc>
      </w:tr>
      <w:tr>
        <w:trPr>
          <w:trHeight w:val="176"/>
        </w:trPr>
        <w:tc>
          <w:tcPr>
            <w:tcW w:w="66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Mary L. Rotunno, J.D.</w:t>
            </w:r>
          </w:p>
        </w:tc>
        <w:tc>
          <w:tcPr>
            <w:tcW w:w="22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43"/>
        </w:trPr>
        <w:tc>
          <w:tcPr>
            <w:tcW w:w="6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2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12,394,003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407,718</w:t>
            </w:r>
          </w:p>
        </w:tc>
      </w:tr>
      <w:tr>
        <w:trPr>
          <w:trHeight w:val="175"/>
        </w:trPr>
        <w:tc>
          <w:tcPr>
            <w:tcW w:w="660" w:type="dxa"/>
            <w:vAlign w:val="bottom"/>
          </w:tcPr>
          <w:p>
            <w:pPr>
              <w:spacing w:after="0"/>
              <w:rPr>
                <w:sz w:val="15"/>
                <w:szCs w:val="15"/>
                <w:color w:val="auto"/>
              </w:rPr>
            </w:pPr>
          </w:p>
        </w:tc>
        <w:tc>
          <w:tcPr>
            <w:tcW w:w="5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Jon S. Saxe, J.D., LL.M.</w:t>
            </w:r>
          </w:p>
        </w:tc>
        <w:tc>
          <w:tcPr>
            <w:tcW w:w="22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43"/>
        </w:trPr>
        <w:tc>
          <w:tcPr>
            <w:tcW w:w="660" w:type="dxa"/>
            <w:vAlign w:val="bottom"/>
          </w:tcPr>
          <w:p>
            <w:pPr>
              <w:spacing w:after="0"/>
              <w:rPr>
                <w:sz w:val="21"/>
                <w:szCs w:val="21"/>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2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12,399,240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402,481</w:t>
            </w:r>
          </w:p>
        </w:tc>
      </w:tr>
      <w:tr>
        <w:trPr>
          <w:trHeight w:val="175"/>
        </w:trPr>
        <w:tc>
          <w:tcPr>
            <w:tcW w:w="66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Shawn K. Singh, J.D.</w:t>
            </w:r>
          </w:p>
        </w:tc>
        <w:tc>
          <w:tcPr>
            <w:tcW w:w="22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43"/>
        </w:trPr>
        <w:tc>
          <w:tcPr>
            <w:tcW w:w="66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c>
          <w:tcPr>
            <w:tcW w:w="2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12,375,527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426,194</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Members of the Board are elected by a plurality of the votes cast. Accordingly, each of the director nominees named above was elected to serve on the Board until the Company’s 2026 Annual Meeting of Stockholders, or until her or his successor is elected and qualified.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2 – Non-Binding Advisory Vote to Approve Executive Compensation (Say-on-Pay Proposal)</w:t>
      </w:r>
    </w:p>
    <w:p>
      <w:pPr>
        <w:spacing w:after="0" w:line="29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28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For</w:t>
            </w:r>
          </w:p>
        </w:tc>
        <w:tc>
          <w:tcPr>
            <w:tcW w:w="11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2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11,482,372</w:t>
            </w:r>
          </w:p>
        </w:tc>
        <w:tc>
          <w:tcPr>
            <w:tcW w:w="1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299,397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1,019,952</w:t>
            </w:r>
          </w:p>
        </w:tc>
      </w:tr>
    </w:tbl>
    <w:p>
      <w:pPr>
        <w:spacing w:after="0" w:line="3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vote required to approve the non-binding advisory vote on executive compensation paid to the Company’s named executive officers was the affirmative vote of a majority of the votes cast on the proposal. Accordingly, the Company’s stockholders approved, on a non-binding advisory basis, the compensation paid to the Company’s named executive officers, as reported in the Company’s definitive proxy statement filed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July 28,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Proposal No. 3 – Ratification of Appointment of Auditors</w:t>
            </w:r>
          </w:p>
        </w:tc>
        <w:tc>
          <w:tcPr>
            <w:tcW w:w="1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3"/>
        </w:trPr>
        <w:tc>
          <w:tcPr>
            <w:tcW w:w="660" w:type="dxa"/>
            <w:vAlign w:val="bottom"/>
          </w:tcPr>
          <w:p>
            <w:pPr>
              <w:spacing w:after="0"/>
              <w:rPr>
                <w:sz w:val="19"/>
                <w:szCs w:val="19"/>
                <w:color w:val="auto"/>
              </w:rPr>
            </w:pPr>
          </w:p>
        </w:tc>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4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21,166,179</w:t>
            </w:r>
          </w:p>
        </w:tc>
        <w:tc>
          <w:tcPr>
            <w:tcW w:w="22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346,550</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55,123</w:t>
            </w:r>
          </w:p>
        </w:tc>
        <w:tc>
          <w:tcPr>
            <w:tcW w:w="980" w:type="dxa"/>
            <w:vAlign w:val="bottom"/>
          </w:tcPr>
          <w:p>
            <w:pPr>
              <w:spacing w:after="0"/>
              <w:rPr>
                <w:sz w:val="19"/>
                <w:szCs w:val="19"/>
                <w:color w:val="auto"/>
              </w:rPr>
            </w:pPr>
          </w:p>
        </w:tc>
      </w:tr>
      <w:tr>
        <w:trPr>
          <w:trHeight w:val="1019"/>
        </w:trPr>
        <w:tc>
          <w:tcPr>
            <w:tcW w:w="6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vote required to ratify the appointment of KPMG LLP as the Company’s independent registered public accounting firm for the Company’s fiscal year ending March 31, 2026 was the affirmative vote of a majority of the votes cast on the proposal. Accordingly, the Company’s stockholders ratified the appointment of KPMG LLP as the Company’s independent registered public accounting firm for the Company’s fiscal year ending March 31, 2026.</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more information about each of the foregoing proposals, please review the Company’s definitive proxy statement, filed with the SEC on July 28,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08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00"/>
        </w:trPr>
        <w:tc>
          <w:tcPr>
            <w:tcW w:w="10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10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securities laws, including statements related to the search for a successor for Ms. Anderson, the Company's intention to enter into a consulting services agreement with Ms. Anderson, and the provision of advisory services by Ms. Anderson.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These forward-looking statements involve known and unknown risks that are difficult to predict and include all matters that are not historical facts. Such forward-looking statements are necessarily based upon estimates and assumptions that, while considered reasonable by the Company and its management, are inherently uncertain. Risks that may impact the outcome of these forward-looking statements are more fully discussed in the section entitled “Risk Factors” in the Company's Annual Report on Form 10-K for the fiscal year ended March 31, 2025, and Quarterly Report on Form 10-Q for the period ended June 30, 2025, as well as discussions of potential risks, uncertainties, and other important factors in our other filings with the SEC. The Company's SEC filings are available on the SEC's website at www.sec.gov. You should not place undue reliance on these forward-looking statements, which apply only as of the date of this report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September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2025-09-15T15:54:00Z</dcterms:created>
  <dcterms:modified xsi:type="dcterms:W3CDTF">2025-09-15T15:54:00Z</dcterms:modified>
</cp:coreProperties>
</file>