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February 13, 2024</w:t>
      </w:r>
    </w:p>
    <w:p>
      <w:pPr>
        <w:spacing w:after="0" w:line="1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S-3</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REGISTRATION STATEMENT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UNDER THE SECURITIES ACT OF 1933</w:t>
      </w:r>
    </w:p>
    <w:p>
      <w:pPr>
        <w:spacing w:after="0" w:line="161" w:lineRule="exact"/>
        <w:rPr>
          <w:sz w:val="24"/>
          <w:szCs w:val="24"/>
          <w:color w:val="auto"/>
        </w:rPr>
      </w:pPr>
    </w:p>
    <w:tbl>
      <w:tblPr>
        <w:tblLayout w:type="fixed"/>
        <w:tblInd w:w="640" w:type="dxa"/>
        <w:tblCellMar>
          <w:top w:w="0" w:type="dxa"/>
          <w:left w:w="0" w:type="dxa"/>
          <w:bottom w:w="0" w:type="dxa"/>
          <w:right w:w="0" w:type="dxa"/>
        </w:tblCellMar>
      </w:tblPr>
      <w:tr>
        <w:trPr>
          <w:trHeight w:val="215"/>
        </w:trPr>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380" w:type="dxa"/>
            <w:vAlign w:val="bottom"/>
            <w:gridSpan w:val="4"/>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r>
      <w:tr>
        <w:trPr>
          <w:trHeight w:val="196"/>
        </w:trPr>
        <w:tc>
          <w:tcPr>
            <w:tcW w:w="1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380" w:type="dxa"/>
            <w:vAlign w:val="bottom"/>
            <w:gridSpan w:val="4"/>
          </w:tcPr>
          <w:p>
            <w:pPr>
              <w:jc w:val="center"/>
              <w:ind w:right="1680"/>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r>
      <w:tr>
        <w:trPr>
          <w:trHeight w:val="326"/>
        </w:trPr>
        <w:tc>
          <w:tcPr>
            <w:tcW w:w="16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Nevada</w:t>
            </w:r>
          </w:p>
        </w:tc>
        <w:tc>
          <w:tcPr>
            <w:tcW w:w="2740" w:type="dxa"/>
            <w:vAlign w:val="bottom"/>
          </w:tcPr>
          <w:p>
            <w:pPr>
              <w:spacing w:after="0"/>
              <w:rPr>
                <w:sz w:val="24"/>
                <w:szCs w:val="24"/>
                <w:color w:val="auto"/>
              </w:rPr>
            </w:pPr>
          </w:p>
        </w:tc>
        <w:tc>
          <w:tcPr>
            <w:tcW w:w="4640" w:type="dxa"/>
            <w:vAlign w:val="bottom"/>
            <w:gridSpan w:val="3"/>
          </w:tcPr>
          <w:p>
            <w:pPr>
              <w:jc w:val="right"/>
              <w:ind w:right="1420"/>
              <w:spacing w:after="0"/>
              <w:rPr>
                <w:sz w:val="20"/>
                <w:szCs w:val="20"/>
                <w:color w:val="auto"/>
              </w:rPr>
            </w:pPr>
            <w:r>
              <w:rPr>
                <w:rFonts w:ascii="Times New Roman" w:cs="Times New Roman" w:eastAsia="Times New Roman" w:hAnsi="Times New Roman"/>
                <w:sz w:val="15"/>
                <w:szCs w:val="15"/>
                <w:b w:val="1"/>
                <w:bCs w:val="1"/>
                <w:color w:val="auto"/>
              </w:rPr>
              <w:t>20-5093315</w:t>
            </w:r>
          </w:p>
        </w:tc>
      </w:tr>
      <w:tr>
        <w:trPr>
          <w:trHeight w:val="20"/>
        </w:trPr>
        <w:tc>
          <w:tcPr>
            <w:tcW w:w="1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0"/>
        </w:trPr>
        <w:tc>
          <w:tcPr>
            <w:tcW w:w="4880" w:type="dxa"/>
            <w:vAlign w:val="bottom"/>
            <w:gridSpan w:val="3"/>
          </w:tcPr>
          <w:p>
            <w:pPr>
              <w:jc w:val="center"/>
              <w:ind w:right="1017"/>
              <w:spacing w:after="0"/>
              <w:rPr>
                <w:sz w:val="20"/>
                <w:szCs w:val="20"/>
                <w:color w:val="auto"/>
              </w:rPr>
            </w:pPr>
            <w:r>
              <w:rPr>
                <w:rFonts w:ascii="Times New Roman" w:cs="Times New Roman" w:eastAsia="Times New Roman" w:hAnsi="Times New Roman"/>
                <w:sz w:val="15"/>
                <w:szCs w:val="15"/>
                <w:color w:val="auto"/>
                <w:w w:val="99"/>
              </w:rPr>
              <w:t>(State or other jurisdiction of</w:t>
            </w:r>
          </w:p>
        </w:tc>
        <w:tc>
          <w:tcPr>
            <w:tcW w:w="4640" w:type="dxa"/>
            <w:vAlign w:val="bottom"/>
            <w:gridSpan w:val="3"/>
          </w:tcPr>
          <w:p>
            <w:pPr>
              <w:jc w:val="center"/>
              <w:ind w:left="1005"/>
              <w:spacing w:after="0"/>
              <w:rPr>
                <w:sz w:val="20"/>
                <w:szCs w:val="20"/>
                <w:color w:val="auto"/>
              </w:rPr>
            </w:pPr>
            <w:r>
              <w:rPr>
                <w:rFonts w:ascii="Times New Roman" w:cs="Times New Roman" w:eastAsia="Times New Roman" w:hAnsi="Times New Roman"/>
                <w:sz w:val="15"/>
                <w:szCs w:val="15"/>
                <w:color w:val="auto"/>
              </w:rPr>
              <w:t>(I.R.S. Employer</w:t>
            </w:r>
          </w:p>
        </w:tc>
      </w:tr>
      <w:tr>
        <w:trPr>
          <w:trHeight w:val="196"/>
        </w:trPr>
        <w:tc>
          <w:tcPr>
            <w:tcW w:w="4880" w:type="dxa"/>
            <w:vAlign w:val="bottom"/>
            <w:gridSpan w:val="3"/>
          </w:tcPr>
          <w:p>
            <w:pPr>
              <w:jc w:val="center"/>
              <w:ind w:right="1017"/>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4640" w:type="dxa"/>
            <w:vAlign w:val="bottom"/>
            <w:gridSpan w:val="3"/>
          </w:tcPr>
          <w:p>
            <w:pPr>
              <w:jc w:val="center"/>
              <w:ind w:left="1005"/>
              <w:spacing w:after="0"/>
              <w:rPr>
                <w:sz w:val="20"/>
                <w:szCs w:val="20"/>
                <w:color w:val="auto"/>
              </w:rPr>
            </w:pPr>
            <w:r>
              <w:rPr>
                <w:rFonts w:ascii="Times New Roman" w:cs="Times New Roman" w:eastAsia="Times New Roman" w:hAnsi="Times New Roman"/>
                <w:sz w:val="15"/>
                <w:szCs w:val="15"/>
                <w:color w:val="auto"/>
              </w:rPr>
              <w:t>Identification Number)</w:t>
            </w:r>
          </w:p>
        </w:tc>
      </w:tr>
      <w:tr>
        <w:trPr>
          <w:trHeight w:val="341"/>
        </w:trPr>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40" w:type="dxa"/>
            <w:vAlign w:val="bottom"/>
            <w:gridSpan w:val="3"/>
          </w:tcPr>
          <w:p>
            <w:pPr>
              <w:jc w:val="center"/>
              <w:ind w:left="1005"/>
              <w:spacing w:after="0"/>
              <w:rPr>
                <w:sz w:val="20"/>
                <w:szCs w:val="20"/>
                <w:color w:val="auto"/>
              </w:rPr>
            </w:pPr>
            <w:r>
              <w:rPr>
                <w:rFonts w:ascii="Times New Roman" w:cs="Times New Roman" w:eastAsia="Times New Roman" w:hAnsi="Times New Roman"/>
                <w:sz w:val="15"/>
                <w:szCs w:val="15"/>
                <w:b w:val="1"/>
                <w:bCs w:val="1"/>
                <w:color w:val="auto"/>
                <w:w w:val="99"/>
              </w:rPr>
              <w:t>Shawn K. Singh, J.D.</w:t>
            </w:r>
          </w:p>
        </w:tc>
      </w:tr>
      <w:tr>
        <w:trPr>
          <w:trHeight w:val="180"/>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640" w:type="dxa"/>
            <w:vAlign w:val="bottom"/>
            <w:gridSpan w:val="3"/>
          </w:tcPr>
          <w:p>
            <w:pPr>
              <w:jc w:val="center"/>
              <w:ind w:left="1005"/>
              <w:spacing w:after="0"/>
              <w:rPr>
                <w:sz w:val="20"/>
                <w:szCs w:val="20"/>
                <w:color w:val="auto"/>
              </w:rPr>
            </w:pPr>
            <w:r>
              <w:rPr>
                <w:rFonts w:ascii="Times New Roman" w:cs="Times New Roman" w:eastAsia="Times New Roman" w:hAnsi="Times New Roman"/>
                <w:sz w:val="15"/>
                <w:szCs w:val="15"/>
                <w:b w:val="1"/>
                <w:bCs w:val="1"/>
                <w:color w:val="auto"/>
              </w:rPr>
              <w:t>Chief Executive Officer</w:t>
            </w:r>
          </w:p>
        </w:tc>
      </w:tr>
      <w:tr>
        <w:trPr>
          <w:trHeight w:val="180"/>
        </w:trPr>
        <w:tc>
          <w:tcPr>
            <w:tcW w:w="4880" w:type="dxa"/>
            <w:vAlign w:val="bottom"/>
            <w:gridSpan w:val="3"/>
          </w:tcPr>
          <w:p>
            <w:pPr>
              <w:jc w:val="center"/>
              <w:ind w:right="997"/>
              <w:spacing w:after="0"/>
              <w:rPr>
                <w:sz w:val="20"/>
                <w:szCs w:val="20"/>
                <w:color w:val="auto"/>
              </w:rPr>
            </w:pPr>
            <w:r>
              <w:rPr>
                <w:rFonts w:ascii="Times New Roman" w:cs="Times New Roman" w:eastAsia="Times New Roman" w:hAnsi="Times New Roman"/>
                <w:sz w:val="15"/>
                <w:szCs w:val="15"/>
                <w:b w:val="1"/>
                <w:bCs w:val="1"/>
                <w:color w:val="auto"/>
              </w:rPr>
              <w:t>Vistagen Therapeutics, Inc.</w:t>
            </w:r>
          </w:p>
        </w:tc>
        <w:tc>
          <w:tcPr>
            <w:tcW w:w="4640" w:type="dxa"/>
            <w:vAlign w:val="bottom"/>
            <w:gridSpan w:val="3"/>
          </w:tcPr>
          <w:p>
            <w:pPr>
              <w:jc w:val="center"/>
              <w:ind w:left="1005"/>
              <w:spacing w:after="0"/>
              <w:rPr>
                <w:sz w:val="20"/>
                <w:szCs w:val="20"/>
                <w:color w:val="auto"/>
              </w:rPr>
            </w:pPr>
            <w:r>
              <w:rPr>
                <w:rFonts w:ascii="Times New Roman" w:cs="Times New Roman" w:eastAsia="Times New Roman" w:hAnsi="Times New Roman"/>
                <w:sz w:val="15"/>
                <w:szCs w:val="15"/>
                <w:b w:val="1"/>
                <w:bCs w:val="1"/>
                <w:color w:val="auto"/>
              </w:rPr>
              <w:t>Vistagen Therapeutics, Inc.</w:t>
            </w:r>
          </w:p>
        </w:tc>
      </w:tr>
      <w:tr>
        <w:trPr>
          <w:trHeight w:val="180"/>
        </w:trPr>
        <w:tc>
          <w:tcPr>
            <w:tcW w:w="4880" w:type="dxa"/>
            <w:vAlign w:val="bottom"/>
            <w:gridSpan w:val="3"/>
          </w:tcPr>
          <w:p>
            <w:pPr>
              <w:jc w:val="center"/>
              <w:ind w:right="1017"/>
              <w:spacing w:after="0"/>
              <w:rPr>
                <w:sz w:val="20"/>
                <w:szCs w:val="20"/>
                <w:color w:val="auto"/>
              </w:rPr>
            </w:pPr>
            <w:r>
              <w:rPr>
                <w:rFonts w:ascii="Times New Roman" w:cs="Times New Roman" w:eastAsia="Times New Roman" w:hAnsi="Times New Roman"/>
                <w:sz w:val="15"/>
                <w:szCs w:val="15"/>
                <w:b w:val="1"/>
                <w:bCs w:val="1"/>
                <w:color w:val="auto"/>
                <w:w w:val="98"/>
              </w:rPr>
              <w:t>343 Allerton Avenue</w:t>
            </w:r>
          </w:p>
        </w:tc>
        <w:tc>
          <w:tcPr>
            <w:tcW w:w="4640" w:type="dxa"/>
            <w:vAlign w:val="bottom"/>
            <w:gridSpan w:val="3"/>
          </w:tcPr>
          <w:p>
            <w:pPr>
              <w:jc w:val="center"/>
              <w:ind w:left="1005"/>
              <w:spacing w:after="0"/>
              <w:rPr>
                <w:sz w:val="20"/>
                <w:szCs w:val="20"/>
                <w:color w:val="auto"/>
              </w:rPr>
            </w:pPr>
            <w:r>
              <w:rPr>
                <w:rFonts w:ascii="Times New Roman" w:cs="Times New Roman" w:eastAsia="Times New Roman" w:hAnsi="Times New Roman"/>
                <w:sz w:val="15"/>
                <w:szCs w:val="15"/>
                <w:b w:val="1"/>
                <w:bCs w:val="1"/>
                <w:color w:val="auto"/>
              </w:rPr>
              <w:t>343 Allerton Avenue</w:t>
            </w:r>
          </w:p>
        </w:tc>
      </w:tr>
      <w:tr>
        <w:trPr>
          <w:trHeight w:val="180"/>
        </w:trPr>
        <w:tc>
          <w:tcPr>
            <w:tcW w:w="4880" w:type="dxa"/>
            <w:vAlign w:val="bottom"/>
            <w:gridSpan w:val="3"/>
          </w:tcPr>
          <w:p>
            <w:pPr>
              <w:jc w:val="center"/>
              <w:ind w:right="1017"/>
              <w:spacing w:after="0"/>
              <w:rPr>
                <w:sz w:val="20"/>
                <w:szCs w:val="20"/>
                <w:color w:val="auto"/>
              </w:rPr>
            </w:pPr>
            <w:r>
              <w:rPr>
                <w:rFonts w:ascii="Times New Roman" w:cs="Times New Roman" w:eastAsia="Times New Roman" w:hAnsi="Times New Roman"/>
                <w:sz w:val="15"/>
                <w:szCs w:val="15"/>
                <w:b w:val="1"/>
                <w:bCs w:val="1"/>
                <w:color w:val="auto"/>
                <w:w w:val="99"/>
              </w:rPr>
              <w:t>South San Francisco, California 94080</w:t>
            </w:r>
          </w:p>
        </w:tc>
        <w:tc>
          <w:tcPr>
            <w:tcW w:w="4640" w:type="dxa"/>
            <w:vAlign w:val="bottom"/>
            <w:gridSpan w:val="3"/>
          </w:tcPr>
          <w:p>
            <w:pPr>
              <w:jc w:val="center"/>
              <w:ind w:left="1005"/>
              <w:spacing w:after="0"/>
              <w:rPr>
                <w:sz w:val="20"/>
                <w:szCs w:val="20"/>
                <w:color w:val="auto"/>
              </w:rPr>
            </w:pPr>
            <w:r>
              <w:rPr>
                <w:rFonts w:ascii="Times New Roman" w:cs="Times New Roman" w:eastAsia="Times New Roman" w:hAnsi="Times New Roman"/>
                <w:sz w:val="15"/>
                <w:szCs w:val="15"/>
                <w:b w:val="1"/>
                <w:bCs w:val="1"/>
                <w:color w:val="auto"/>
              </w:rPr>
              <w:t>South San Francisco, California 94080</w:t>
            </w:r>
          </w:p>
        </w:tc>
      </w:tr>
      <w:tr>
        <w:trPr>
          <w:trHeight w:val="184"/>
        </w:trPr>
        <w:tc>
          <w:tcPr>
            <w:tcW w:w="4880" w:type="dxa"/>
            <w:vAlign w:val="bottom"/>
            <w:gridSpan w:val="3"/>
          </w:tcPr>
          <w:p>
            <w:pPr>
              <w:jc w:val="center"/>
              <w:ind w:right="1017"/>
              <w:spacing w:after="0"/>
              <w:rPr>
                <w:sz w:val="20"/>
                <w:szCs w:val="20"/>
                <w:color w:val="auto"/>
              </w:rPr>
            </w:pPr>
            <w:r>
              <w:rPr>
                <w:rFonts w:ascii="Times New Roman" w:cs="Times New Roman" w:eastAsia="Times New Roman" w:hAnsi="Times New Roman"/>
                <w:sz w:val="15"/>
                <w:szCs w:val="15"/>
                <w:b w:val="1"/>
                <w:bCs w:val="1"/>
                <w:color w:val="auto"/>
              </w:rPr>
              <w:t>(650) 577-3600</w:t>
            </w:r>
          </w:p>
        </w:tc>
        <w:tc>
          <w:tcPr>
            <w:tcW w:w="4640" w:type="dxa"/>
            <w:vAlign w:val="bottom"/>
            <w:gridSpan w:val="3"/>
          </w:tcPr>
          <w:p>
            <w:pPr>
              <w:jc w:val="right"/>
              <w:ind w:right="1300"/>
              <w:spacing w:after="0"/>
              <w:rPr>
                <w:sz w:val="20"/>
                <w:szCs w:val="20"/>
                <w:color w:val="auto"/>
              </w:rPr>
            </w:pPr>
            <w:r>
              <w:rPr>
                <w:rFonts w:ascii="Times New Roman" w:cs="Times New Roman" w:eastAsia="Times New Roman" w:hAnsi="Times New Roman"/>
                <w:sz w:val="15"/>
                <w:szCs w:val="15"/>
                <w:b w:val="1"/>
                <w:bCs w:val="1"/>
                <w:color w:val="auto"/>
              </w:rPr>
              <w:t>(650) 577-3600</w:t>
            </w:r>
          </w:p>
        </w:tc>
      </w:tr>
      <w:tr>
        <w:trPr>
          <w:trHeight w:val="180"/>
        </w:trPr>
        <w:tc>
          <w:tcPr>
            <w:tcW w:w="4880" w:type="dxa"/>
            <w:vAlign w:val="bottom"/>
            <w:gridSpan w:val="3"/>
          </w:tcPr>
          <w:p>
            <w:pPr>
              <w:jc w:val="center"/>
              <w:ind w:right="1017"/>
              <w:spacing w:after="0"/>
              <w:rPr>
                <w:sz w:val="20"/>
                <w:szCs w:val="20"/>
                <w:color w:val="auto"/>
              </w:rPr>
            </w:pPr>
            <w:r>
              <w:rPr>
                <w:rFonts w:ascii="Times New Roman" w:cs="Times New Roman" w:eastAsia="Times New Roman" w:hAnsi="Times New Roman"/>
                <w:sz w:val="15"/>
                <w:szCs w:val="15"/>
                <w:color w:val="auto"/>
              </w:rPr>
              <w:t>(Address, including zip code, and telephone number,</w:t>
            </w:r>
          </w:p>
        </w:tc>
        <w:tc>
          <w:tcPr>
            <w:tcW w:w="4640" w:type="dxa"/>
            <w:vAlign w:val="bottom"/>
            <w:gridSpan w:val="3"/>
          </w:tcPr>
          <w:p>
            <w:pPr>
              <w:jc w:val="center"/>
              <w:ind w:left="1005"/>
              <w:spacing w:after="0"/>
              <w:rPr>
                <w:sz w:val="20"/>
                <w:szCs w:val="20"/>
                <w:color w:val="auto"/>
              </w:rPr>
            </w:pPr>
            <w:r>
              <w:rPr>
                <w:rFonts w:ascii="Times New Roman" w:cs="Times New Roman" w:eastAsia="Times New Roman" w:hAnsi="Times New Roman"/>
                <w:sz w:val="15"/>
                <w:szCs w:val="15"/>
                <w:color w:val="auto"/>
                <w:w w:val="99"/>
              </w:rPr>
              <w:t>(Name, address, including zip code, and telephone number,</w:t>
            </w:r>
          </w:p>
        </w:tc>
      </w:tr>
      <w:tr>
        <w:trPr>
          <w:trHeight w:val="196"/>
        </w:trPr>
        <w:tc>
          <w:tcPr>
            <w:tcW w:w="4880" w:type="dxa"/>
            <w:vAlign w:val="bottom"/>
            <w:gridSpan w:val="3"/>
          </w:tcPr>
          <w:p>
            <w:pPr>
              <w:jc w:val="center"/>
              <w:ind w:right="1017"/>
              <w:spacing w:after="0"/>
              <w:rPr>
                <w:sz w:val="20"/>
                <w:szCs w:val="20"/>
                <w:color w:val="auto"/>
              </w:rPr>
            </w:pPr>
            <w:r>
              <w:rPr>
                <w:rFonts w:ascii="Times New Roman" w:cs="Times New Roman" w:eastAsia="Times New Roman" w:hAnsi="Times New Roman"/>
                <w:sz w:val="15"/>
                <w:szCs w:val="15"/>
                <w:color w:val="auto"/>
              </w:rPr>
              <w:t>including area code of Registrant’s principal executive offices)</w:t>
            </w:r>
          </w:p>
        </w:tc>
        <w:tc>
          <w:tcPr>
            <w:tcW w:w="4640" w:type="dxa"/>
            <w:vAlign w:val="bottom"/>
            <w:gridSpan w:val="3"/>
          </w:tcPr>
          <w:p>
            <w:pPr>
              <w:jc w:val="center"/>
              <w:ind w:left="1005"/>
              <w:spacing w:after="0"/>
              <w:rPr>
                <w:sz w:val="20"/>
                <w:szCs w:val="20"/>
                <w:color w:val="auto"/>
              </w:rPr>
            </w:pPr>
            <w:r>
              <w:rPr>
                <w:rFonts w:ascii="Times New Roman" w:cs="Times New Roman" w:eastAsia="Times New Roman" w:hAnsi="Times New Roman"/>
                <w:sz w:val="15"/>
                <w:szCs w:val="15"/>
                <w:color w:val="auto"/>
              </w:rPr>
              <w:t>including area code, of agent for service)</w:t>
            </w:r>
          </w:p>
        </w:tc>
      </w:tr>
    </w:tbl>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From time to time after the effective date of this Registration Statement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(Approximate date of commencement of proposed sale to public)</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Copies of all communications, including all communications sent to the agent for service, should be sent to:</w:t>
      </w:r>
    </w:p>
    <w:p>
      <w:pPr>
        <w:spacing w:after="0" w:line="184" w:lineRule="exact"/>
        <w:rPr>
          <w:sz w:val="24"/>
          <w:szCs w:val="24"/>
          <w:color w:val="auto"/>
        </w:rPr>
      </w:pPr>
    </w:p>
    <w:tbl>
      <w:tblPr>
        <w:tblLayout w:type="fixed"/>
        <w:tblInd w:w="1560" w:type="dxa"/>
        <w:tblCellMar>
          <w:top w:w="0" w:type="dxa"/>
          <w:left w:w="0" w:type="dxa"/>
          <w:bottom w:w="0" w:type="dxa"/>
          <w:right w:w="0" w:type="dxa"/>
        </w:tblCellMar>
      </w:tblPr>
      <w:tr>
        <w:trPr>
          <w:trHeight w:val="180"/>
        </w:trPr>
        <w:tc>
          <w:tcPr>
            <w:tcW w:w="2420" w:type="dxa"/>
            <w:vAlign w:val="bottom"/>
          </w:tcPr>
          <w:p>
            <w:pPr>
              <w:spacing w:after="0"/>
              <w:rPr>
                <w:sz w:val="15"/>
                <w:szCs w:val="15"/>
                <w:color w:val="auto"/>
              </w:rPr>
            </w:pPr>
          </w:p>
        </w:tc>
        <w:tc>
          <w:tcPr>
            <w:tcW w:w="5660" w:type="dxa"/>
            <w:vAlign w:val="bottom"/>
          </w:tcPr>
          <w:p>
            <w:pPr>
              <w:jc w:val="center"/>
              <w:ind w:right="2305"/>
              <w:spacing w:after="0"/>
              <w:rPr>
                <w:sz w:val="20"/>
                <w:szCs w:val="20"/>
                <w:color w:val="auto"/>
              </w:rPr>
            </w:pPr>
            <w:r>
              <w:rPr>
                <w:rFonts w:ascii="Times New Roman" w:cs="Times New Roman" w:eastAsia="Times New Roman" w:hAnsi="Times New Roman"/>
                <w:sz w:val="15"/>
                <w:szCs w:val="15"/>
                <w:b w:val="1"/>
                <w:bCs w:val="1"/>
                <w:color w:val="auto"/>
                <w:w w:val="99"/>
              </w:rPr>
              <w:t>Shawn K. Singh, J.D.</w:t>
            </w:r>
          </w:p>
        </w:tc>
      </w:tr>
      <w:tr>
        <w:trPr>
          <w:trHeight w:val="180"/>
        </w:trPr>
        <w:tc>
          <w:tcPr>
            <w:tcW w:w="2420" w:type="dxa"/>
            <w:vAlign w:val="bottom"/>
          </w:tcPr>
          <w:p>
            <w:pPr>
              <w:spacing w:after="0"/>
              <w:rPr>
                <w:sz w:val="15"/>
                <w:szCs w:val="15"/>
                <w:color w:val="auto"/>
              </w:rPr>
            </w:pPr>
          </w:p>
        </w:tc>
        <w:tc>
          <w:tcPr>
            <w:tcW w:w="5660" w:type="dxa"/>
            <w:vAlign w:val="bottom"/>
          </w:tcPr>
          <w:p>
            <w:pPr>
              <w:jc w:val="center"/>
              <w:ind w:right="2305"/>
              <w:spacing w:after="0"/>
              <w:rPr>
                <w:sz w:val="20"/>
                <w:szCs w:val="20"/>
                <w:color w:val="auto"/>
              </w:rPr>
            </w:pPr>
            <w:r>
              <w:rPr>
                <w:rFonts w:ascii="Times New Roman" w:cs="Times New Roman" w:eastAsia="Times New Roman" w:hAnsi="Times New Roman"/>
                <w:sz w:val="15"/>
                <w:szCs w:val="15"/>
                <w:b w:val="1"/>
                <w:bCs w:val="1"/>
                <w:color w:val="auto"/>
              </w:rPr>
              <w:t>Chief Executive Officer</w:t>
            </w:r>
          </w:p>
        </w:tc>
      </w:tr>
      <w:tr>
        <w:trPr>
          <w:trHeight w:val="180"/>
        </w:trPr>
        <w:tc>
          <w:tcPr>
            <w:tcW w:w="2420" w:type="dxa"/>
            <w:vAlign w:val="bottom"/>
          </w:tcPr>
          <w:p>
            <w:pPr>
              <w:spacing w:after="0"/>
              <w:rPr>
                <w:sz w:val="15"/>
                <w:szCs w:val="15"/>
                <w:color w:val="auto"/>
              </w:rPr>
            </w:pPr>
          </w:p>
        </w:tc>
        <w:tc>
          <w:tcPr>
            <w:tcW w:w="5660" w:type="dxa"/>
            <w:vAlign w:val="bottom"/>
          </w:tcPr>
          <w:p>
            <w:pPr>
              <w:jc w:val="center"/>
              <w:ind w:right="2305"/>
              <w:spacing w:after="0"/>
              <w:rPr>
                <w:sz w:val="20"/>
                <w:szCs w:val="20"/>
                <w:color w:val="auto"/>
              </w:rPr>
            </w:pPr>
            <w:r>
              <w:rPr>
                <w:rFonts w:ascii="Times New Roman" w:cs="Times New Roman" w:eastAsia="Times New Roman" w:hAnsi="Times New Roman"/>
                <w:sz w:val="15"/>
                <w:szCs w:val="15"/>
                <w:b w:val="1"/>
                <w:bCs w:val="1"/>
                <w:color w:val="auto"/>
              </w:rPr>
              <w:t>Vistagen Therapeutics, Inc.</w:t>
            </w:r>
          </w:p>
        </w:tc>
      </w:tr>
      <w:tr>
        <w:trPr>
          <w:trHeight w:val="180"/>
        </w:trPr>
        <w:tc>
          <w:tcPr>
            <w:tcW w:w="2420" w:type="dxa"/>
            <w:vAlign w:val="bottom"/>
          </w:tcPr>
          <w:p>
            <w:pPr>
              <w:spacing w:after="0"/>
              <w:rPr>
                <w:sz w:val="15"/>
                <w:szCs w:val="15"/>
                <w:color w:val="auto"/>
              </w:rPr>
            </w:pPr>
          </w:p>
        </w:tc>
        <w:tc>
          <w:tcPr>
            <w:tcW w:w="5660" w:type="dxa"/>
            <w:vAlign w:val="bottom"/>
          </w:tcPr>
          <w:p>
            <w:pPr>
              <w:jc w:val="center"/>
              <w:ind w:right="2305"/>
              <w:spacing w:after="0"/>
              <w:rPr>
                <w:sz w:val="20"/>
                <w:szCs w:val="20"/>
                <w:color w:val="auto"/>
              </w:rPr>
            </w:pPr>
            <w:r>
              <w:rPr>
                <w:rFonts w:ascii="Times New Roman" w:cs="Times New Roman" w:eastAsia="Times New Roman" w:hAnsi="Times New Roman"/>
                <w:sz w:val="15"/>
                <w:szCs w:val="15"/>
                <w:b w:val="1"/>
                <w:bCs w:val="1"/>
                <w:color w:val="auto"/>
              </w:rPr>
              <w:t>343 Allerton Avenue</w:t>
            </w:r>
          </w:p>
        </w:tc>
      </w:tr>
      <w:tr>
        <w:trPr>
          <w:trHeight w:val="180"/>
        </w:trPr>
        <w:tc>
          <w:tcPr>
            <w:tcW w:w="2420" w:type="dxa"/>
            <w:vAlign w:val="bottom"/>
          </w:tcPr>
          <w:p>
            <w:pPr>
              <w:spacing w:after="0"/>
              <w:rPr>
                <w:sz w:val="15"/>
                <w:szCs w:val="15"/>
                <w:color w:val="auto"/>
              </w:rPr>
            </w:pPr>
          </w:p>
        </w:tc>
        <w:tc>
          <w:tcPr>
            <w:tcW w:w="5660" w:type="dxa"/>
            <w:vAlign w:val="bottom"/>
          </w:tcPr>
          <w:p>
            <w:pPr>
              <w:jc w:val="center"/>
              <w:ind w:right="2285"/>
              <w:spacing w:after="0"/>
              <w:rPr>
                <w:sz w:val="20"/>
                <w:szCs w:val="20"/>
                <w:color w:val="auto"/>
              </w:rPr>
            </w:pPr>
            <w:r>
              <w:rPr>
                <w:rFonts w:ascii="Times New Roman" w:cs="Times New Roman" w:eastAsia="Times New Roman" w:hAnsi="Times New Roman"/>
                <w:sz w:val="15"/>
                <w:szCs w:val="15"/>
                <w:b w:val="1"/>
                <w:bCs w:val="1"/>
                <w:color w:val="auto"/>
                <w:w w:val="99"/>
              </w:rPr>
              <w:t>South San Francisco, California 94080</w:t>
            </w:r>
          </w:p>
        </w:tc>
      </w:tr>
      <w:tr>
        <w:trPr>
          <w:trHeight w:val="200"/>
        </w:trPr>
        <w:tc>
          <w:tcPr>
            <w:tcW w:w="2420" w:type="dxa"/>
            <w:vAlign w:val="bottom"/>
          </w:tcPr>
          <w:p>
            <w:pPr>
              <w:spacing w:after="0"/>
              <w:rPr>
                <w:sz w:val="17"/>
                <w:szCs w:val="17"/>
                <w:color w:val="auto"/>
              </w:rPr>
            </w:pPr>
          </w:p>
        </w:tc>
        <w:tc>
          <w:tcPr>
            <w:tcW w:w="5660" w:type="dxa"/>
            <w:vAlign w:val="bottom"/>
          </w:tcPr>
          <w:p>
            <w:pPr>
              <w:jc w:val="center"/>
              <w:ind w:right="2285"/>
              <w:spacing w:after="0"/>
              <w:rPr>
                <w:sz w:val="20"/>
                <w:szCs w:val="20"/>
                <w:color w:val="auto"/>
              </w:rPr>
            </w:pPr>
            <w:r>
              <w:rPr>
                <w:rFonts w:ascii="Times New Roman" w:cs="Times New Roman" w:eastAsia="Times New Roman" w:hAnsi="Times New Roman"/>
                <w:sz w:val="15"/>
                <w:szCs w:val="15"/>
                <w:b w:val="1"/>
                <w:bCs w:val="1"/>
                <w:color w:val="auto"/>
              </w:rPr>
              <w:t>(650) 577-3600</w:t>
            </w:r>
          </w:p>
        </w:tc>
      </w:tr>
      <w:tr>
        <w:trPr>
          <w:trHeight w:val="361"/>
        </w:trPr>
        <w:tc>
          <w:tcPr>
            <w:tcW w:w="2420" w:type="dxa"/>
            <w:vAlign w:val="bottom"/>
          </w:tcPr>
          <w:p>
            <w:pPr>
              <w:spacing w:after="0"/>
              <w:rPr>
                <w:sz w:val="24"/>
                <w:szCs w:val="24"/>
                <w:color w:val="auto"/>
              </w:rPr>
            </w:pPr>
          </w:p>
        </w:tc>
        <w:tc>
          <w:tcPr>
            <w:tcW w:w="5660" w:type="dxa"/>
            <w:vAlign w:val="bottom"/>
          </w:tcPr>
          <w:p>
            <w:pPr>
              <w:jc w:val="center"/>
              <w:ind w:right="2285"/>
              <w:spacing w:after="0"/>
              <w:rPr>
                <w:sz w:val="20"/>
                <w:szCs w:val="20"/>
                <w:color w:val="auto"/>
              </w:rPr>
            </w:pPr>
            <w:r>
              <w:rPr>
                <w:rFonts w:ascii="Times New Roman" w:cs="Times New Roman" w:eastAsia="Times New Roman" w:hAnsi="Times New Roman"/>
                <w:sz w:val="15"/>
                <w:szCs w:val="15"/>
                <w:i w:val="1"/>
                <w:iCs w:val="1"/>
                <w:color w:val="auto"/>
              </w:rPr>
              <w:t>Copies to</w:t>
            </w:r>
            <w:r>
              <w:rPr>
                <w:rFonts w:ascii="Times New Roman" w:cs="Times New Roman" w:eastAsia="Times New Roman" w:hAnsi="Times New Roman"/>
                <w:sz w:val="15"/>
                <w:szCs w:val="15"/>
                <w:color w:val="auto"/>
              </w:rPr>
              <w:t>:</w:t>
            </w:r>
          </w:p>
        </w:tc>
      </w:tr>
      <w:tr>
        <w:trPr>
          <w:trHeight w:val="341"/>
        </w:trPr>
        <w:tc>
          <w:tcPr>
            <w:tcW w:w="2420" w:type="dxa"/>
            <w:vAlign w:val="bottom"/>
          </w:tcPr>
          <w:p>
            <w:pPr>
              <w:jc w:val="center"/>
              <w:ind w:right="325"/>
              <w:spacing w:after="0"/>
              <w:rPr>
                <w:sz w:val="20"/>
                <w:szCs w:val="20"/>
                <w:color w:val="auto"/>
              </w:rPr>
            </w:pPr>
            <w:r>
              <w:rPr>
                <w:rFonts w:ascii="Times New Roman" w:cs="Times New Roman" w:eastAsia="Times New Roman" w:hAnsi="Times New Roman"/>
                <w:sz w:val="15"/>
                <w:szCs w:val="15"/>
                <w:b w:val="1"/>
                <w:bCs w:val="1"/>
                <w:color w:val="auto"/>
                <w:w w:val="99"/>
              </w:rPr>
              <w:t>Jessica R. Haskell</w:t>
            </w:r>
          </w:p>
        </w:tc>
        <w:tc>
          <w:tcPr>
            <w:tcW w:w="5660" w:type="dxa"/>
            <w:vAlign w:val="bottom"/>
          </w:tcPr>
          <w:p>
            <w:pPr>
              <w:jc w:val="center"/>
              <w:ind w:left="3125"/>
              <w:spacing w:after="0"/>
              <w:rPr>
                <w:sz w:val="20"/>
                <w:szCs w:val="20"/>
                <w:color w:val="auto"/>
              </w:rPr>
            </w:pPr>
            <w:r>
              <w:rPr>
                <w:rFonts w:ascii="Times New Roman" w:cs="Times New Roman" w:eastAsia="Times New Roman" w:hAnsi="Times New Roman"/>
                <w:sz w:val="15"/>
                <w:szCs w:val="15"/>
                <w:b w:val="1"/>
                <w:bCs w:val="1"/>
                <w:color w:val="auto"/>
              </w:rPr>
              <w:t>Christopher D. Lueking</w:t>
            </w:r>
          </w:p>
        </w:tc>
      </w:tr>
      <w:tr>
        <w:trPr>
          <w:trHeight w:val="180"/>
        </w:trPr>
        <w:tc>
          <w:tcPr>
            <w:tcW w:w="2420" w:type="dxa"/>
            <w:vAlign w:val="bottom"/>
          </w:tcPr>
          <w:p>
            <w:pPr>
              <w:jc w:val="center"/>
              <w:ind w:right="325"/>
              <w:spacing w:after="0"/>
              <w:rPr>
                <w:sz w:val="20"/>
                <w:szCs w:val="20"/>
                <w:color w:val="auto"/>
              </w:rPr>
            </w:pPr>
            <w:r>
              <w:rPr>
                <w:rFonts w:ascii="Times New Roman" w:cs="Times New Roman" w:eastAsia="Times New Roman" w:hAnsi="Times New Roman"/>
                <w:sz w:val="15"/>
                <w:szCs w:val="15"/>
                <w:b w:val="1"/>
                <w:bCs w:val="1"/>
                <w:color w:val="auto"/>
                <w:w w:val="99"/>
              </w:rPr>
              <w:t>Associate General Counsel</w:t>
            </w:r>
          </w:p>
        </w:tc>
        <w:tc>
          <w:tcPr>
            <w:tcW w:w="5660" w:type="dxa"/>
            <w:vAlign w:val="bottom"/>
          </w:tcPr>
          <w:p>
            <w:pPr>
              <w:jc w:val="center"/>
              <w:ind w:left="3125"/>
              <w:spacing w:after="0"/>
              <w:rPr>
                <w:sz w:val="20"/>
                <w:szCs w:val="20"/>
                <w:color w:val="auto"/>
              </w:rPr>
            </w:pPr>
            <w:r>
              <w:rPr>
                <w:rFonts w:ascii="Times New Roman" w:cs="Times New Roman" w:eastAsia="Times New Roman" w:hAnsi="Times New Roman"/>
                <w:sz w:val="15"/>
                <w:szCs w:val="15"/>
                <w:b w:val="1"/>
                <w:bCs w:val="1"/>
                <w:color w:val="auto"/>
                <w:w w:val="97"/>
              </w:rPr>
              <w:t>Scott W. Westhoff</w:t>
            </w:r>
          </w:p>
        </w:tc>
      </w:tr>
      <w:tr>
        <w:trPr>
          <w:trHeight w:val="180"/>
        </w:trPr>
        <w:tc>
          <w:tcPr>
            <w:tcW w:w="2420" w:type="dxa"/>
            <w:vAlign w:val="bottom"/>
          </w:tcPr>
          <w:p>
            <w:pPr>
              <w:jc w:val="center"/>
              <w:ind w:right="305"/>
              <w:spacing w:after="0"/>
              <w:rPr>
                <w:sz w:val="20"/>
                <w:szCs w:val="20"/>
                <w:color w:val="auto"/>
              </w:rPr>
            </w:pPr>
            <w:r>
              <w:rPr>
                <w:rFonts w:ascii="Times New Roman" w:cs="Times New Roman" w:eastAsia="Times New Roman" w:hAnsi="Times New Roman"/>
                <w:sz w:val="15"/>
                <w:szCs w:val="15"/>
                <w:b w:val="1"/>
                <w:bCs w:val="1"/>
                <w:color w:val="auto"/>
              </w:rPr>
              <w:t>Vistagen Therapeutics, Inc.</w:t>
            </w:r>
          </w:p>
        </w:tc>
        <w:tc>
          <w:tcPr>
            <w:tcW w:w="5660" w:type="dxa"/>
            <w:vAlign w:val="bottom"/>
          </w:tcPr>
          <w:p>
            <w:pPr>
              <w:jc w:val="center"/>
              <w:ind w:left="3125"/>
              <w:spacing w:after="0"/>
              <w:rPr>
                <w:sz w:val="20"/>
                <w:szCs w:val="20"/>
                <w:color w:val="auto"/>
              </w:rPr>
            </w:pPr>
            <w:r>
              <w:rPr>
                <w:rFonts w:ascii="Times New Roman" w:cs="Times New Roman" w:eastAsia="Times New Roman" w:hAnsi="Times New Roman"/>
                <w:sz w:val="15"/>
                <w:szCs w:val="15"/>
                <w:b w:val="1"/>
                <w:bCs w:val="1"/>
                <w:color w:val="auto"/>
              </w:rPr>
              <w:t>Latham &amp; Watkins LLP</w:t>
            </w:r>
          </w:p>
        </w:tc>
      </w:tr>
      <w:tr>
        <w:trPr>
          <w:trHeight w:val="180"/>
        </w:trPr>
        <w:tc>
          <w:tcPr>
            <w:tcW w:w="2420" w:type="dxa"/>
            <w:vAlign w:val="bottom"/>
          </w:tcPr>
          <w:p>
            <w:pPr>
              <w:jc w:val="center"/>
              <w:ind w:right="325"/>
              <w:spacing w:after="0"/>
              <w:rPr>
                <w:sz w:val="20"/>
                <w:szCs w:val="20"/>
                <w:color w:val="auto"/>
              </w:rPr>
            </w:pPr>
            <w:r>
              <w:rPr>
                <w:rFonts w:ascii="Times New Roman" w:cs="Times New Roman" w:eastAsia="Times New Roman" w:hAnsi="Times New Roman"/>
                <w:sz w:val="15"/>
                <w:szCs w:val="15"/>
                <w:b w:val="1"/>
                <w:bCs w:val="1"/>
                <w:color w:val="auto"/>
                <w:w w:val="98"/>
              </w:rPr>
              <w:t>343 Allerton Avenue</w:t>
            </w:r>
          </w:p>
        </w:tc>
        <w:tc>
          <w:tcPr>
            <w:tcW w:w="5660" w:type="dxa"/>
            <w:vAlign w:val="bottom"/>
          </w:tcPr>
          <w:p>
            <w:pPr>
              <w:jc w:val="center"/>
              <w:ind w:left="3125"/>
              <w:spacing w:after="0"/>
              <w:rPr>
                <w:sz w:val="20"/>
                <w:szCs w:val="20"/>
                <w:color w:val="auto"/>
              </w:rPr>
            </w:pPr>
            <w:r>
              <w:rPr>
                <w:rFonts w:ascii="Times New Roman" w:cs="Times New Roman" w:eastAsia="Times New Roman" w:hAnsi="Times New Roman"/>
                <w:sz w:val="15"/>
                <w:szCs w:val="15"/>
                <w:b w:val="1"/>
                <w:bCs w:val="1"/>
                <w:color w:val="auto"/>
                <w:w w:val="99"/>
              </w:rPr>
              <w:t>300 North Wabash Avenue, Suite 2800</w:t>
            </w:r>
          </w:p>
        </w:tc>
      </w:tr>
      <w:tr>
        <w:trPr>
          <w:trHeight w:val="180"/>
        </w:trPr>
        <w:tc>
          <w:tcPr>
            <w:tcW w:w="2420" w:type="dxa"/>
            <w:vAlign w:val="bottom"/>
          </w:tcPr>
          <w:p>
            <w:pPr>
              <w:jc w:val="center"/>
              <w:ind w:right="325"/>
              <w:spacing w:after="0"/>
              <w:rPr>
                <w:sz w:val="20"/>
                <w:szCs w:val="20"/>
                <w:color w:val="auto"/>
              </w:rPr>
            </w:pPr>
            <w:r>
              <w:rPr>
                <w:rFonts w:ascii="Times New Roman" w:cs="Times New Roman" w:eastAsia="Times New Roman" w:hAnsi="Times New Roman"/>
                <w:sz w:val="15"/>
                <w:szCs w:val="15"/>
                <w:b w:val="1"/>
                <w:bCs w:val="1"/>
                <w:color w:val="auto"/>
                <w:w w:val="99"/>
              </w:rPr>
              <w:t>South San Francisco, CA 94080</w:t>
            </w:r>
          </w:p>
        </w:tc>
        <w:tc>
          <w:tcPr>
            <w:tcW w:w="5660" w:type="dxa"/>
            <w:vAlign w:val="bottom"/>
          </w:tcPr>
          <w:p>
            <w:pPr>
              <w:jc w:val="center"/>
              <w:ind w:left="3125"/>
              <w:spacing w:after="0"/>
              <w:rPr>
                <w:sz w:val="20"/>
                <w:szCs w:val="20"/>
                <w:color w:val="auto"/>
              </w:rPr>
            </w:pPr>
            <w:r>
              <w:rPr>
                <w:rFonts w:ascii="Times New Roman" w:cs="Times New Roman" w:eastAsia="Times New Roman" w:hAnsi="Times New Roman"/>
                <w:sz w:val="15"/>
                <w:szCs w:val="15"/>
                <w:b w:val="1"/>
                <w:bCs w:val="1"/>
                <w:color w:val="auto"/>
              </w:rPr>
              <w:t>Chicago, IL 60611</w:t>
            </w:r>
          </w:p>
        </w:tc>
      </w:tr>
      <w:tr>
        <w:trPr>
          <w:trHeight w:val="200"/>
        </w:trPr>
        <w:tc>
          <w:tcPr>
            <w:tcW w:w="2420" w:type="dxa"/>
            <w:vAlign w:val="bottom"/>
          </w:tcPr>
          <w:p>
            <w:pPr>
              <w:jc w:val="center"/>
              <w:ind w:right="325"/>
              <w:spacing w:after="0"/>
              <w:rPr>
                <w:sz w:val="20"/>
                <w:szCs w:val="20"/>
                <w:color w:val="auto"/>
              </w:rPr>
            </w:pPr>
            <w:r>
              <w:rPr>
                <w:rFonts w:ascii="Times New Roman" w:cs="Times New Roman" w:eastAsia="Times New Roman" w:hAnsi="Times New Roman"/>
                <w:sz w:val="15"/>
                <w:szCs w:val="15"/>
                <w:b w:val="1"/>
                <w:bCs w:val="1"/>
                <w:color w:val="auto"/>
              </w:rPr>
              <w:t>(650) 577-3600</w:t>
            </w:r>
          </w:p>
        </w:tc>
        <w:tc>
          <w:tcPr>
            <w:tcW w:w="5660" w:type="dxa"/>
            <w:vAlign w:val="bottom"/>
          </w:tcPr>
          <w:p>
            <w:pPr>
              <w:jc w:val="center"/>
              <w:ind w:left="3125"/>
              <w:spacing w:after="0"/>
              <w:rPr>
                <w:sz w:val="20"/>
                <w:szCs w:val="20"/>
                <w:color w:val="auto"/>
              </w:rPr>
            </w:pPr>
            <w:r>
              <w:rPr>
                <w:rFonts w:ascii="Times New Roman" w:cs="Times New Roman" w:eastAsia="Times New Roman" w:hAnsi="Times New Roman"/>
                <w:sz w:val="15"/>
                <w:szCs w:val="15"/>
                <w:b w:val="1"/>
                <w:bCs w:val="1"/>
                <w:color w:val="auto"/>
              </w:rPr>
              <w:t>(312) 876-7700</w:t>
            </w:r>
          </w:p>
        </w:tc>
      </w:tr>
    </w:tbl>
    <w:p>
      <w:pPr>
        <w:spacing w:after="0" w:line="13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715518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92" w:right="319" w:bottom="1440" w:gutter="0" w:footer="0" w:header="0"/>
        </w:sectPr>
      </w:pPr>
    </w:p>
    <w:bookmarkStart w:id="1" w:name="page2"/>
    <w:bookmarkEnd w:id="1"/>
    <w:p>
      <w:pPr>
        <w:spacing w:after="0" w:line="200"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of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43" w:lineRule="exact"/>
        <w:rPr>
          <w:sz w:val="20"/>
          <w:szCs w:val="20"/>
          <w:color w:val="auto"/>
        </w:rPr>
      </w:pPr>
    </w:p>
    <w:p>
      <w:pPr>
        <w:spacing w:after="0" w:line="200"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3" w:lineRule="exact"/>
        <w:rPr>
          <w:sz w:val="20"/>
          <w:szCs w:val="20"/>
          <w:color w:val="auto"/>
        </w:rPr>
      </w:pPr>
    </w:p>
    <w:p>
      <w:pPr>
        <w:spacing w:after="0" w:line="200"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3" w:lineRule="exact"/>
        <w:rPr>
          <w:sz w:val="20"/>
          <w:szCs w:val="20"/>
          <w:color w:val="auto"/>
        </w:rPr>
      </w:pPr>
    </w:p>
    <w:p>
      <w:pPr>
        <w:spacing w:after="0" w:line="200"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please check the following box. </w:t>
      </w:r>
      <w:r>
        <w:rPr>
          <w:rFonts w:ascii="MS PGothic" w:cs="MS PGothic" w:eastAsia="MS PGothic" w:hAnsi="MS PGothic"/>
          <w:sz w:val="15"/>
          <w:szCs w:val="15"/>
          <w:color w:val="auto"/>
        </w:rPr>
        <w:t>☐</w:t>
      </w:r>
    </w:p>
    <w:p>
      <w:pPr>
        <w:spacing w:after="0" w:line="143" w:lineRule="exact"/>
        <w:rPr>
          <w:sz w:val="20"/>
          <w:szCs w:val="20"/>
          <w:color w:val="auto"/>
        </w:rPr>
      </w:pPr>
    </w:p>
    <w:p>
      <w:pPr>
        <w:ind w:right="20"/>
        <w:spacing w:after="0" w:line="200"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please check the following box. </w:t>
      </w:r>
      <w:r>
        <w:rPr>
          <w:rFonts w:ascii="MS PGothic" w:cs="MS PGothic" w:eastAsia="MS PGothic" w:hAnsi="MS PGothic"/>
          <w:sz w:val="15"/>
          <w:szCs w:val="15"/>
          <w:color w:val="auto"/>
        </w:rPr>
        <w:t>☐</w:t>
      </w:r>
    </w:p>
    <w:p>
      <w:pPr>
        <w:spacing w:after="0" w:line="14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508" w:right="319" w:bottom="1440" w:gutter="0" w:footer="0" w:header="0"/>
        </w:sectPr>
      </w:pPr>
    </w:p>
    <w:p>
      <w:pPr>
        <w:spacing w:after="0" w:line="135" w:lineRule="exact"/>
        <w:rPr>
          <w:sz w:val="20"/>
          <w:szCs w:val="20"/>
          <w:color w:val="auto"/>
        </w:rPr>
      </w:pPr>
    </w:p>
    <w:p>
      <w:pPr>
        <w:spacing w:after="0" w:line="321"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73" w:lineRule="exact"/>
        <w:tabs>
          <w:tab w:leader="none" w:pos="1120" w:val="left"/>
        </w:tabs>
        <w:rPr>
          <w:sz w:val="20"/>
          <w:szCs w:val="20"/>
          <w:color w:val="auto"/>
        </w:rPr>
      </w:pPr>
      <w:r>
        <w:rPr>
          <w:rFonts w:ascii="Times New Roman" w:cs="Times New Roman" w:eastAsia="Times New Roman" w:hAnsi="Times New Roman"/>
          <w:sz w:val="15"/>
          <w:szCs w:val="15"/>
          <w:color w:val="auto"/>
        </w:rPr>
        <w:t>Accelerated filer</w:t>
      </w:r>
      <w:r>
        <w:rPr>
          <w:sz w:val="20"/>
          <w:szCs w:val="20"/>
          <w:color w:val="auto"/>
        </w:rPr>
        <w:tab/>
      </w:r>
      <w:r>
        <w:rPr>
          <w:rFonts w:ascii="MS PGothic" w:cs="MS PGothic" w:eastAsia="MS PGothic" w:hAnsi="MS PGothic"/>
          <w:sz w:val="14"/>
          <w:szCs w:val="14"/>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20"/>
        <w:spacing w:after="0" w:line="121" w:lineRule="exact"/>
        <w:rPr>
          <w:sz w:val="20"/>
          <w:szCs w:val="20"/>
          <w:color w:val="auto"/>
        </w:rPr>
      </w:pPr>
      <w:r>
        <w:rPr>
          <w:rFonts w:ascii="MS PGothic" w:cs="MS PGothic" w:eastAsia="MS PGothic" w:hAnsi="MS PGothic"/>
          <w:sz w:val="12"/>
          <w:szCs w:val="12"/>
          <w:color w:val="auto"/>
        </w:rPr>
        <w:t>☒</w:t>
      </w:r>
    </w:p>
    <w:p>
      <w:pPr>
        <w:spacing w:after="0" w:line="10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0" w:lineRule="exact"/>
        <w:rPr>
          <w:sz w:val="20"/>
          <w:szCs w:val="20"/>
          <w:color w:val="auto"/>
        </w:rPr>
      </w:pPr>
    </w:p>
    <w:p>
      <w:pPr>
        <w:sectPr>
          <w:pgSz w:w="11900" w:h="16838" w:orient="portrait"/>
          <w:cols w:equalWidth="0" w:num="4">
            <w:col w:w="1340" w:space="80"/>
            <w:col w:w="3240" w:space="720"/>
            <w:col w:w="1640" w:space="60"/>
            <w:col w:w="4180"/>
          </w:cols>
          <w:pgMar w:left="320" w:top="508" w:right="319" w:bottom="1440" w:gutter="0" w:footer="0" w:header="0"/>
          <w:type w:val="continuous"/>
        </w:sectPr>
      </w:pPr>
    </w:p>
    <w:p>
      <w:pPr>
        <w:jc w:val="both"/>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Section 7(a)(2)(B) of the Securities Act. </w:t>
      </w:r>
      <w:r>
        <w:rPr>
          <w:rFonts w:ascii="MS PGothic" w:cs="MS PGothic" w:eastAsia="MS PGothic" w:hAnsi="MS PGothic"/>
          <w:sz w:val="15"/>
          <w:szCs w:val="15"/>
          <w:color w:val="auto"/>
        </w:rPr>
        <w:t>☐</w:t>
      </w:r>
    </w:p>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287020</wp:posOffset>
            </wp:positionV>
            <wp:extent cx="715518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registration statement contains two prospectuses:</w:t>
      </w:r>
    </w:p>
    <w:p>
      <w:pPr>
        <w:spacing w:after="0" w:line="188" w:lineRule="exact"/>
        <w:rPr>
          <w:sz w:val="20"/>
          <w:szCs w:val="20"/>
          <w:color w:val="auto"/>
        </w:rPr>
      </w:pPr>
    </w:p>
    <w:p>
      <w:pPr>
        <w:ind w:left="420" w:hanging="238"/>
        <w:spacing w:after="0" w:line="283" w:lineRule="auto"/>
        <w:tabs>
          <w:tab w:leader="none" w:pos="4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base prospectus covering the offering, issuance and sale by us of up to $350,000,000 in the aggregate of the securities identified above from time to time, subject to market conditions and prices, liquidity objectives and other investment considerations; and</w:t>
      </w:r>
    </w:p>
    <w:p>
      <w:pPr>
        <w:spacing w:after="0" w:line="134" w:lineRule="exact"/>
        <w:rPr>
          <w:rFonts w:ascii="Times New Roman" w:cs="Times New Roman" w:eastAsia="Times New Roman" w:hAnsi="Times New Roman"/>
          <w:sz w:val="15"/>
          <w:szCs w:val="15"/>
          <w:color w:val="auto"/>
        </w:rPr>
      </w:pPr>
    </w:p>
    <w:p>
      <w:pPr>
        <w:ind w:left="420" w:right="20" w:hanging="238"/>
        <w:spacing w:after="0" w:line="282" w:lineRule="auto"/>
        <w:tabs>
          <w:tab w:leader="none" w:pos="4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Sales Agreement (defined below) prospectus supplement covering the offering, issuance and sale by us of up to a maximum aggregate offering price of $100,000,000 of our common stock that may be issued and sold under an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5"/>
          <w:szCs w:val="15"/>
          <w:color w:val="auto"/>
        </w:rPr>
        <w:t xml:space="preserve"> (the “Sales Agreement”) entered into with Jefferies LLC (“Jefferies”).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The base prospectus immediately follows this explanatory note. The specific terms of any securities to be offered by us pursuant to the base prospectus other than the shares under the Sales Agreement will be specified in a prospectus supplement to the base prospectus. The specific terms of the securities to be issued and sold under the Sales Agreement are specified in the Sales Agreement prospectus supplement that immediately follows the base prospectus. The $100,000,000 of common stock that may be offered, issued and sold under the Sales Agreement prospectus supplement is included in the $350,000,000 of securities that may be offered, issued and sold by us under the base prospectus. Upon termination of the Sales Agreement, any portion of the $100,000,000 included in the Sales Agreement prospectus supplement that is not sold pursuant to the Sales Agreement will be available for sale in other offerings pursuant to the base prospectus and a corresponding prospectus supplement, and if no shares are sold under the Sales Agreement prospectus supplement, the full $350,000,000 of securities may be sold in other offerings by us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294640</wp:posOffset>
            </wp:positionV>
            <wp:extent cx="715518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3" w:name="page4"/>
    <w:bookmarkEnd w:id="3"/>
    <w:p>
      <w:pPr>
        <w:jc w:val="both"/>
        <w:ind w:left="100" w:right="140"/>
        <w:spacing w:after="0" w:line="270" w:lineRule="auto"/>
        <w:rPr>
          <w:sz w:val="20"/>
          <w:szCs w:val="20"/>
          <w:color w:val="auto"/>
        </w:rPr>
      </w:pPr>
      <w:r>
        <w:rPr>
          <w:rFonts w:ascii="Times New Roman" w:cs="Times New Roman" w:eastAsia="Times New Roman" w:hAnsi="Times New Roman"/>
          <w:sz w:val="15"/>
          <w:szCs w:val="15"/>
          <w:b w:val="1"/>
          <w:bCs w:val="1"/>
          <w:color w:val="FF0000"/>
        </w:rPr>
        <w:drawing>
          <wp:anchor simplePos="0" relativeHeight="251657728" behindDoc="1" locked="0" layoutInCell="0" allowOverlap="1">
            <wp:simplePos x="0" y="0"/>
            <wp:positionH relativeFrom="page">
              <wp:posOffset>196850</wp:posOffset>
            </wp:positionH>
            <wp:positionV relativeFrom="page">
              <wp:posOffset>332105</wp:posOffset>
            </wp:positionV>
            <wp:extent cx="7155180" cy="587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587375"/>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FF0000"/>
        </w:rPr>
        <w:t>SUBJECT TO COMPLETION, DATED FEBRUARY 13,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17145</wp:posOffset>
            </wp:positionV>
            <wp:extent cx="1568450" cy="422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8450" cy="42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$350,000,000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UNITS</w:t>
      </w:r>
    </w:p>
    <w:p>
      <w:pPr>
        <w:spacing w:after="0" w:line="3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may offer and sell securities from time to time in one or more offerings of up to $350,000,000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In addition, shares of common stock issuable from time to time upon exercise of our pre-funded warrants, Tranche 1 Warrants and Tranche 2 Warrants are also being offered pursuant to this prospectus. See “Description of Capital Stock – Securities Registered Under Prior Registration Statements” for information regarding the pre-funded warrants, Tranche 1 Warrants and Tranche 2 Warrants.</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3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Our common stock is listed on the Nasdaq Capital Market under the symbol “VTGN.” On February 12, 2024, the closing price of our common stock on the Nasdaq Capital Market was $5.15 per share.</w:t>
      </w:r>
    </w:p>
    <w:p>
      <w:pPr>
        <w:spacing w:after="0" w:line="13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color w:val="auto"/>
        </w:rPr>
        <w:t xml:space="preserve">Investing in these securities involves certain risks. See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Risk Factors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included in any accompanying prospectus supplement and in the documents incorporated by reference in this prospectus for a discussion of the factors you should carefully consider before deciding to purchase these securities.</w:t>
      </w:r>
    </w:p>
    <w:p>
      <w:pPr>
        <w:spacing w:after="0" w:line="12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71551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388" w:lineRule="exact"/>
        <w:rPr>
          <w:sz w:val="20"/>
          <w:szCs w:val="20"/>
          <w:color w:val="auto"/>
        </w:rPr>
      </w:pPr>
    </w:p>
    <w:p>
      <w:pPr>
        <w:ind w:left="4380"/>
        <w:spacing w:after="0"/>
        <w:tabs>
          <w:tab w:leader="none" w:pos="6820" w:val="left"/>
        </w:tabs>
        <w:rPr>
          <w:sz w:val="20"/>
          <w:szCs w:val="20"/>
          <w:color w:val="auto"/>
        </w:rPr>
      </w:pPr>
      <w:r>
        <w:rPr>
          <w:rFonts w:ascii="Times New Roman" w:cs="Times New Roman" w:eastAsia="Times New Roman" w:hAnsi="Times New Roman"/>
          <w:sz w:val="15"/>
          <w:szCs w:val="15"/>
          <w:b w:val="1"/>
          <w:bCs w:val="1"/>
          <w:color w:val="auto"/>
        </w:rPr>
        <w:t>The date of this prospectus is</w:t>
      </w:r>
      <w:r>
        <w:rPr>
          <w:sz w:val="20"/>
          <w:szCs w:val="20"/>
          <w:color w:val="auto"/>
        </w:rPr>
        <w:tab/>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715518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69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780" w:type="dxa"/>
            <w:vAlign w:val="bottom"/>
            <w:gridSpan w:val="5"/>
          </w:tcPr>
          <w:p>
            <w:pPr>
              <w:jc w:val="center"/>
              <w:ind w:right="880"/>
              <w:spacing w:after="0"/>
              <w:rPr>
                <w:sz w:val="20"/>
                <w:szCs w:val="20"/>
                <w:color w:val="auto"/>
              </w:rPr>
            </w:pPr>
            <w:r>
              <w:rPr>
                <w:rFonts w:ascii="Times New Roman" w:cs="Times New Roman" w:eastAsia="Times New Roman" w:hAnsi="Times New Roman"/>
                <w:sz w:val="15"/>
                <w:szCs w:val="15"/>
                <w:b w:val="1"/>
                <w:bCs w:val="1"/>
                <w:color w:val="auto"/>
                <w:w w:val="99"/>
              </w:rPr>
              <w:t>VISTAGEN THERAPEUTICS, INC.</w:t>
            </w: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140" w:type="dxa"/>
            <w:vAlign w:val="bottom"/>
            <w:gridSpan w:val="4"/>
          </w:tcPr>
          <w:p>
            <w:pPr>
              <w:jc w:val="center"/>
              <w:ind w:right="2540"/>
              <w:spacing w:after="0"/>
              <w:rPr>
                <w:sz w:val="20"/>
                <w:szCs w:val="20"/>
                <w:color w:val="auto"/>
              </w:rPr>
            </w:pPr>
            <w:r>
              <w:rPr>
                <w:rFonts w:ascii="Times New Roman" w:cs="Times New Roman" w:eastAsia="Times New Roman" w:hAnsi="Times New Roman"/>
                <w:sz w:val="15"/>
                <w:szCs w:val="15"/>
                <w:b w:val="1"/>
                <w:bCs w:val="1"/>
                <w:color w:val="auto"/>
                <w:w w:val="98"/>
              </w:rPr>
              <w:t>TABLE OF CONTENTS</w:t>
            </w: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840" w:type="dxa"/>
            <w:vAlign w:val="bottom"/>
            <w:tcBorders>
              <w:bottom w:val="single" w:sz="8" w:color="0000EE"/>
            </w:tcBorders>
            <w:gridSpan w:val="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w w:val="97"/>
              </w:rPr>
              <w:t>ABOUT THIS PROSPECTUS</w:t>
            </w:r>
          </w:p>
        </w:tc>
        <w:tc>
          <w:tcPr>
            <w:tcW w:w="7100" w:type="dxa"/>
            <w:vAlign w:val="bottom"/>
            <w:tcBorders>
              <w:bottom w:val="single" w:sz="8" w:color="CCEEFF"/>
            </w:tcBorders>
            <w:gridSpan w:val="11"/>
            <w:shd w:val="clear" w:color="auto" w:fill="CCEEFF"/>
          </w:tcPr>
          <w:p>
            <w:pPr>
              <w:spacing w:after="0"/>
              <w:rPr>
                <w:sz w:val="13"/>
                <w:szCs w:val="13"/>
                <w:color w:val="auto"/>
              </w:rPr>
            </w:pPr>
          </w:p>
        </w:tc>
        <w:tc>
          <w:tcPr>
            <w:tcW w:w="222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0000EE"/>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0000EE"/>
                <w:w w:val="79"/>
              </w:rPr>
              <w:t>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6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5"/>
                <w:szCs w:val="15"/>
                <w:color w:val="0000EE"/>
                <w:w w:val="98"/>
              </w:rPr>
              <w:t>WHERE YOU CAN FIND MORE INFORMATION</w:t>
            </w:r>
          </w:p>
        </w:tc>
        <w:tc>
          <w:tcPr>
            <w:tcW w:w="5780" w:type="dxa"/>
            <w:vAlign w:val="bottom"/>
            <w:gridSpan w:val="5"/>
          </w:tcPr>
          <w:p>
            <w:pPr>
              <w:spacing w:after="0"/>
              <w:rPr>
                <w:sz w:val="12"/>
                <w:szCs w:val="12"/>
                <w:color w:val="auto"/>
              </w:rPr>
            </w:pPr>
          </w:p>
        </w:tc>
        <w:tc>
          <w:tcPr>
            <w:tcW w:w="2220" w:type="dxa"/>
            <w:vAlign w:val="bottom"/>
            <w:gridSpan w:val="2"/>
          </w:tcPr>
          <w:p>
            <w:pPr>
              <w:spacing w:after="0"/>
              <w:rPr>
                <w:sz w:val="12"/>
                <w:szCs w:val="12"/>
                <w:color w:val="auto"/>
              </w:rPr>
            </w:pPr>
          </w:p>
        </w:tc>
        <w:tc>
          <w:tcPr>
            <w:tcW w:w="80" w:type="dxa"/>
            <w:vAlign w:val="bottom"/>
            <w:tcBorders>
              <w:bottom w:val="single" w:sz="8" w:color="0000EE"/>
            </w:tcBorders>
          </w:tcPr>
          <w:p>
            <w:pPr>
              <w:jc w:val="right"/>
              <w:spacing w:after="0" w:line="147" w:lineRule="exact"/>
              <w:rPr>
                <w:sz w:val="20"/>
                <w:szCs w:val="20"/>
                <w:color w:val="auto"/>
              </w:rPr>
            </w:pPr>
            <w:r>
              <w:rPr>
                <w:rFonts w:ascii="Times New Roman" w:cs="Times New Roman" w:eastAsia="Times New Roman" w:hAnsi="Times New Roman"/>
                <w:sz w:val="15"/>
                <w:szCs w:val="15"/>
                <w:color w:val="0000EE"/>
                <w:w w:val="79"/>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40" w:type="dxa"/>
            <w:vAlign w:val="bottom"/>
            <w:gridSpan w:val="19"/>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INCORPORATION BY REFERENCE</w:t>
            </w:r>
          </w:p>
        </w:tc>
        <w:tc>
          <w:tcPr>
            <w:tcW w:w="2300" w:type="dxa"/>
            <w:vAlign w:val="bottom"/>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5"/>
                <w:szCs w:val="15"/>
                <w:color w:val="0000EE"/>
                <w:w w:val="94"/>
              </w:rPr>
              <w:t>RISK FACTORS</w:t>
            </w:r>
          </w:p>
        </w:tc>
        <w:tc>
          <w:tcPr>
            <w:tcW w:w="1340" w:type="dxa"/>
            <w:vAlign w:val="bottom"/>
            <w:tcBorders>
              <w:top w:val="single" w:sz="8" w:color="0000EE"/>
            </w:tcBorders>
            <w:gridSpan w:val="8"/>
          </w:tcPr>
          <w:p>
            <w:pPr>
              <w:spacing w:after="0"/>
              <w:rPr>
                <w:sz w:val="12"/>
                <w:szCs w:val="12"/>
                <w:color w:val="auto"/>
              </w:rPr>
            </w:pPr>
          </w:p>
        </w:tc>
        <w:tc>
          <w:tcPr>
            <w:tcW w:w="6580" w:type="dxa"/>
            <w:vAlign w:val="bottom"/>
            <w:tcBorders>
              <w:top w:val="single" w:sz="8" w:color="CCEEFF"/>
            </w:tcBorders>
            <w:gridSpan w:val="9"/>
          </w:tcPr>
          <w:p>
            <w:pPr>
              <w:spacing w:after="0"/>
              <w:rPr>
                <w:sz w:val="12"/>
                <w:szCs w:val="12"/>
                <w:color w:val="auto"/>
              </w:rPr>
            </w:pPr>
          </w:p>
        </w:tc>
        <w:tc>
          <w:tcPr>
            <w:tcW w:w="2220" w:type="dxa"/>
            <w:vAlign w:val="bottom"/>
            <w:tcBorders>
              <w:top w:val="single" w:sz="8" w:color="CCEEFF"/>
            </w:tcBorders>
            <w:gridSpan w:val="2"/>
          </w:tcPr>
          <w:p>
            <w:pPr>
              <w:spacing w:after="0"/>
              <w:rPr>
                <w:sz w:val="12"/>
                <w:szCs w:val="12"/>
                <w:color w:val="auto"/>
              </w:rPr>
            </w:pPr>
          </w:p>
        </w:tc>
        <w:tc>
          <w:tcPr>
            <w:tcW w:w="80" w:type="dxa"/>
            <w:vAlign w:val="bottom"/>
            <w:tcBorders>
              <w:top w:val="single" w:sz="8" w:color="0000EE"/>
              <w:bottom w:val="single" w:sz="8" w:color="0000EE"/>
            </w:tcBorders>
          </w:tcPr>
          <w:p>
            <w:pPr>
              <w:jc w:val="right"/>
              <w:spacing w:after="0" w:line="147" w:lineRule="exact"/>
              <w:rPr>
                <w:sz w:val="20"/>
                <w:szCs w:val="20"/>
                <w:color w:val="auto"/>
              </w:rPr>
            </w:pPr>
            <w:r>
              <w:rPr>
                <w:rFonts w:ascii="Times New Roman" w:cs="Times New Roman" w:eastAsia="Times New Roman" w:hAnsi="Times New Roman"/>
                <w:sz w:val="15"/>
                <w:szCs w:val="15"/>
                <w:color w:val="0000EE"/>
                <w:w w:val="79"/>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Borders>
              <w:bottom w:val="single" w:sz="8" w:color="0000EE"/>
            </w:tcBorders>
            <w:gridSpan w:val="16"/>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8"/>
              </w:rPr>
              <w:t>CAUTIONARY NOTE REGARDING FORWARD-LOOKING STATEMENTS</w:t>
            </w:r>
          </w:p>
        </w:tc>
        <w:tc>
          <w:tcPr>
            <w:tcW w:w="4120" w:type="dxa"/>
            <w:vAlign w:val="bottom"/>
            <w:tcBorders>
              <w:bottom w:val="single" w:sz="8" w:color="CCEEFF"/>
            </w:tcBorders>
            <w:gridSpan w:val="3"/>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0000EE"/>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w w:val="79"/>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4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5"/>
                <w:szCs w:val="15"/>
                <w:color w:val="0000EE"/>
                <w:w w:val="95"/>
              </w:rPr>
              <w:t>COMPANY OVERVIEW</w:t>
            </w:r>
          </w:p>
        </w:tc>
        <w:tc>
          <w:tcPr>
            <w:tcW w:w="7400" w:type="dxa"/>
            <w:vAlign w:val="bottom"/>
            <w:gridSpan w:val="14"/>
          </w:tcPr>
          <w:p>
            <w:pPr>
              <w:spacing w:after="0"/>
              <w:rPr>
                <w:sz w:val="12"/>
                <w:szCs w:val="12"/>
                <w:color w:val="auto"/>
              </w:rPr>
            </w:pPr>
          </w:p>
        </w:tc>
        <w:tc>
          <w:tcPr>
            <w:tcW w:w="2220" w:type="dxa"/>
            <w:vAlign w:val="bottom"/>
            <w:gridSpan w:val="2"/>
          </w:tcPr>
          <w:p>
            <w:pPr>
              <w:spacing w:after="0"/>
              <w:rPr>
                <w:sz w:val="12"/>
                <w:szCs w:val="12"/>
                <w:color w:val="auto"/>
              </w:rPr>
            </w:pPr>
          </w:p>
        </w:tc>
        <w:tc>
          <w:tcPr>
            <w:tcW w:w="80" w:type="dxa"/>
            <w:vAlign w:val="bottom"/>
            <w:tcBorders>
              <w:bottom w:val="single" w:sz="8" w:color="0000EE"/>
            </w:tcBorders>
          </w:tcPr>
          <w:p>
            <w:pPr>
              <w:jc w:val="right"/>
              <w:spacing w:after="0" w:line="147" w:lineRule="exact"/>
              <w:rPr>
                <w:sz w:val="20"/>
                <w:szCs w:val="20"/>
                <w:color w:val="auto"/>
              </w:rPr>
            </w:pPr>
            <w:r>
              <w:rPr>
                <w:rFonts w:ascii="Times New Roman" w:cs="Times New Roman" w:eastAsia="Times New Roman" w:hAnsi="Times New Roman"/>
                <w:sz w:val="15"/>
                <w:szCs w:val="15"/>
                <w:color w:val="0000EE"/>
                <w:w w:val="79"/>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tcBorders>
              <w:bottom w:val="single" w:sz="8" w:color="0000EE"/>
            </w:tcBorders>
            <w:gridSpan w:val="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7"/>
              </w:rPr>
              <w:t>USE OF PROCEEDS</w:t>
            </w:r>
          </w:p>
        </w:tc>
        <w:tc>
          <w:tcPr>
            <w:tcW w:w="7640" w:type="dxa"/>
            <w:vAlign w:val="bottom"/>
            <w:tcBorders>
              <w:bottom w:val="single" w:sz="8" w:color="CCEEFF"/>
            </w:tcBorders>
            <w:gridSpan w:val="15"/>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0000EE"/>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w w:val="79"/>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56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5"/>
                <w:szCs w:val="15"/>
                <w:color w:val="0000EE"/>
                <w:w w:val="97"/>
              </w:rPr>
              <w:t>SECURITIES THAT MAY BE OFFERED</w:t>
            </w:r>
          </w:p>
        </w:tc>
        <w:tc>
          <w:tcPr>
            <w:tcW w:w="6380" w:type="dxa"/>
            <w:vAlign w:val="bottom"/>
            <w:gridSpan w:val="7"/>
          </w:tcPr>
          <w:p>
            <w:pPr>
              <w:spacing w:after="0"/>
              <w:rPr>
                <w:sz w:val="12"/>
                <w:szCs w:val="12"/>
                <w:color w:val="auto"/>
              </w:rPr>
            </w:pPr>
          </w:p>
        </w:tc>
        <w:tc>
          <w:tcPr>
            <w:tcW w:w="2220" w:type="dxa"/>
            <w:vAlign w:val="bottom"/>
            <w:gridSpan w:val="2"/>
          </w:tcPr>
          <w:p>
            <w:pPr>
              <w:spacing w:after="0"/>
              <w:rPr>
                <w:sz w:val="12"/>
                <w:szCs w:val="12"/>
                <w:color w:val="auto"/>
              </w:rPr>
            </w:pPr>
          </w:p>
        </w:tc>
        <w:tc>
          <w:tcPr>
            <w:tcW w:w="80" w:type="dxa"/>
            <w:vAlign w:val="bottom"/>
            <w:tcBorders>
              <w:bottom w:val="single" w:sz="8" w:color="0000EE"/>
            </w:tcBorders>
          </w:tcPr>
          <w:p>
            <w:pPr>
              <w:jc w:val="right"/>
              <w:spacing w:after="0" w:line="147" w:lineRule="exact"/>
              <w:rPr>
                <w:sz w:val="20"/>
                <w:szCs w:val="20"/>
                <w:color w:val="auto"/>
              </w:rPr>
            </w:pPr>
            <w:r>
              <w:rPr>
                <w:rFonts w:ascii="Times New Roman" w:cs="Times New Roman" w:eastAsia="Times New Roman" w:hAnsi="Times New Roman"/>
                <w:sz w:val="15"/>
                <w:szCs w:val="15"/>
                <w:color w:val="0000EE"/>
                <w:w w:val="79"/>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Borders>
              <w:bottom w:val="single" w:sz="8" w:color="0000EE"/>
            </w:tcBorders>
            <w:gridSpan w:val="11"/>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8"/>
              </w:rPr>
              <w:t>DESCRIPTION OF DEBT SECURITIES</w:t>
            </w:r>
          </w:p>
        </w:tc>
        <w:tc>
          <w:tcPr>
            <w:tcW w:w="6440" w:type="dxa"/>
            <w:vAlign w:val="bottom"/>
            <w:tcBorders>
              <w:bottom w:val="single" w:sz="8" w:color="CCEEFF"/>
            </w:tcBorders>
            <w:gridSpan w:val="8"/>
            <w:shd w:val="clear" w:color="auto" w:fill="CCEEFF"/>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EE"/>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w w:val="93"/>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940" w:type="dxa"/>
            <w:vAlign w:val="bottom"/>
            <w:gridSpan w:val="19"/>
          </w:tcPr>
          <w:p>
            <w:pPr>
              <w:spacing w:after="0" w:line="147"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23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5"/>
                <w:szCs w:val="15"/>
                <w:color w:val="0000EE"/>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tcBorders>
              <w:bottom w:val="single" w:sz="8" w:color="0000EE"/>
            </w:tcBorders>
            <w:gridSpan w:val="1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8"/>
              </w:rPr>
              <w:t>DESCRIPTION OF PREFERRED STOCK</w:t>
            </w:r>
          </w:p>
        </w:tc>
        <w:tc>
          <w:tcPr>
            <w:tcW w:w="6340" w:type="dxa"/>
            <w:vAlign w:val="bottom"/>
            <w:tcBorders>
              <w:bottom w:val="single" w:sz="8" w:color="CCEEFF"/>
            </w:tcBorders>
            <w:gridSpan w:val="6"/>
            <w:shd w:val="clear" w:color="auto" w:fill="CCEEFF"/>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EE"/>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w w:val="93"/>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940" w:type="dxa"/>
            <w:vAlign w:val="bottom"/>
            <w:gridSpan w:val="19"/>
          </w:tcPr>
          <w:p>
            <w:pPr>
              <w:spacing w:after="0" w:line="147" w:lineRule="exact"/>
              <w:rPr>
                <w:sz w:val="20"/>
                <w:szCs w:val="20"/>
                <w:color w:val="auto"/>
              </w:rPr>
            </w:pPr>
            <w:r>
              <w:rPr>
                <w:rFonts w:ascii="Times New Roman" w:cs="Times New Roman" w:eastAsia="Times New Roman" w:hAnsi="Times New Roman"/>
                <w:sz w:val="15"/>
                <w:szCs w:val="15"/>
                <w:color w:val="0000EE"/>
              </w:rPr>
              <w:t>DESCRIPTION OF WARRANTS</w:t>
            </w:r>
          </w:p>
        </w:tc>
        <w:tc>
          <w:tcPr>
            <w:tcW w:w="23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5"/>
                <w:szCs w:val="15"/>
                <w:color w:val="0000EE"/>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6"/>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7"/>
              </w:rPr>
              <w:t>DESCRIPTION OF UNITS</w:t>
            </w:r>
          </w:p>
        </w:tc>
        <w:tc>
          <w:tcPr>
            <w:tcW w:w="38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6900" w:type="dxa"/>
            <w:vAlign w:val="bottom"/>
            <w:tcBorders>
              <w:bottom w:val="single" w:sz="8" w:color="CCEEFF"/>
            </w:tcBorders>
            <w:gridSpan w:val="10"/>
            <w:shd w:val="clear" w:color="auto" w:fill="CCEEFF"/>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0000EE"/>
              <w:bottom w:val="single" w:sz="8" w:color="0000EE"/>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w w:val="93"/>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50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5"/>
                <w:szCs w:val="15"/>
                <w:color w:val="0000EE"/>
                <w:w w:val="98"/>
              </w:rPr>
              <w:t>DESCRIPTION OF CERTAIN PROVISIONS OF NEVADA LAW AND OUR CHARTER AND BYLAWS</w:t>
            </w:r>
          </w:p>
        </w:tc>
        <w:tc>
          <w:tcPr>
            <w:tcW w:w="2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7" w:lineRule="exact"/>
              <w:rPr>
                <w:sz w:val="20"/>
                <w:szCs w:val="20"/>
                <w:color w:val="auto"/>
              </w:rPr>
            </w:pPr>
            <w:r>
              <w:rPr>
                <w:rFonts w:ascii="Times New Roman" w:cs="Times New Roman" w:eastAsia="Times New Roman" w:hAnsi="Times New Roman"/>
                <w:sz w:val="15"/>
                <w:szCs w:val="15"/>
                <w:color w:val="0000EE"/>
                <w:w w:val="93"/>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40" w:type="dxa"/>
            <w:vAlign w:val="bottom"/>
            <w:gridSpan w:val="19"/>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PLAN OF DISTRIBUTION</w:t>
            </w:r>
          </w:p>
        </w:tc>
        <w:tc>
          <w:tcPr>
            <w:tcW w:w="2300" w:type="dxa"/>
            <w:vAlign w:val="bottom"/>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80" w:type="dxa"/>
            <w:vAlign w:val="bottom"/>
            <w:tcBorders>
              <w:top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5"/>
                <w:szCs w:val="15"/>
                <w:color w:val="0000EE"/>
              </w:rPr>
              <w:t>LEGAL MATTERS</w:t>
            </w:r>
          </w:p>
        </w:tc>
        <w:tc>
          <w:tcPr>
            <w:tcW w:w="7260" w:type="dxa"/>
            <w:vAlign w:val="bottom"/>
            <w:tcBorders>
              <w:top w:val="single" w:sz="8" w:color="CCEEFF"/>
            </w:tcBorders>
            <w:gridSpan w:val="12"/>
          </w:tcPr>
          <w:p>
            <w:pPr>
              <w:spacing w:after="0"/>
              <w:rPr>
                <w:sz w:val="12"/>
                <w:szCs w:val="12"/>
                <w:color w:val="auto"/>
              </w:rPr>
            </w:pPr>
          </w:p>
        </w:tc>
        <w:tc>
          <w:tcPr>
            <w:tcW w:w="2140" w:type="dxa"/>
            <w:vAlign w:val="bottom"/>
            <w:tcBorders>
              <w:top w:val="single" w:sz="8" w:color="CCEEFF"/>
            </w:tcBorders>
          </w:tcPr>
          <w:p>
            <w:pPr>
              <w:spacing w:after="0"/>
              <w:rPr>
                <w:sz w:val="12"/>
                <w:szCs w:val="12"/>
                <w:color w:val="auto"/>
              </w:rPr>
            </w:pPr>
          </w:p>
        </w:tc>
        <w:tc>
          <w:tcPr>
            <w:tcW w:w="160" w:type="dxa"/>
            <w:vAlign w:val="bottom"/>
            <w:tcBorders>
              <w:top w:val="single" w:sz="8" w:color="0000EE"/>
            </w:tcBorders>
            <w:gridSpan w:val="2"/>
          </w:tcPr>
          <w:p>
            <w:pPr>
              <w:jc w:val="right"/>
              <w:spacing w:after="0" w:line="147" w:lineRule="exact"/>
              <w:rPr>
                <w:sz w:val="20"/>
                <w:szCs w:val="20"/>
                <w:color w:val="auto"/>
              </w:rPr>
            </w:pPr>
            <w:r>
              <w:rPr>
                <w:rFonts w:ascii="Times New Roman" w:cs="Times New Roman" w:eastAsia="Times New Roman" w:hAnsi="Times New Roman"/>
                <w:sz w:val="15"/>
                <w:szCs w:val="15"/>
                <w:color w:val="0000EE"/>
                <w:w w:val="93"/>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Borders>
              <w:top w:val="single" w:sz="8" w:color="0000EE"/>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EXPERTS</w:t>
            </w:r>
          </w:p>
        </w:tc>
        <w:tc>
          <w:tcPr>
            <w:tcW w:w="7760" w:type="dxa"/>
            <w:vAlign w:val="bottom"/>
            <w:gridSpan w:val="16"/>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160" w:type="dxa"/>
            <w:vAlign w:val="bottom"/>
            <w:tcBorders>
              <w:top w:val="single" w:sz="8" w:color="0000EE"/>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w w:val="93"/>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440" w:type="dxa"/>
            <w:vAlign w:val="bottom"/>
            <w:tcBorders>
              <w:top w:val="single" w:sz="8" w:color="CCEEFF"/>
              <w:bottom w:val="single" w:sz="8" w:color="auto"/>
            </w:tcBorders>
          </w:tcPr>
          <w:p>
            <w:pPr>
              <w:spacing w:after="0"/>
              <w:rPr>
                <w:sz w:val="24"/>
                <w:szCs w:val="24"/>
                <w:color w:val="auto"/>
              </w:rPr>
            </w:pPr>
          </w:p>
        </w:tc>
        <w:tc>
          <w:tcPr>
            <w:tcW w:w="2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04" w:right="31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Securities and Exchange Commission (the “SEC”) utilizing a “shelf” registration process. Under this shelf registration process, we may from time to time sell any combination of the securities described in this prospectus in one or more offerings for an aggregate initial offering price of up to $350,000,000.</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This prospectus, together with any accompanying prospectus supplement, contains important information you should know before investing in our securities, including important information about us and the securities being offered. You should read both this prospectus and the accompanying prospectus supplement together with the additional information described under the heading “Where You Can Find More Information” below.</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w:t>
      </w:r>
    </w:p>
    <w:p>
      <w:pPr>
        <w:spacing w:after="0" w:line="1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Unless the context otherwise indicates, references in this prospectus to the “Company,” “we,” “our” and “us” refer, collectively, to Vistagen Therapeutics, Inc., a Nevada corporation, and its consolidated subsidiaries.</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use our trademarks and our logo in this prospectus and the documents incorporated by reference. Solely for the convenience, trademarks and tradenames referred to in this prospectus appear without the “®” and “™” symbols, but those references are not intended to indicate, in any way, that we will not assert, to the fullest extent under applicable law, our rights to these trademarks and tradenames.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www.vistagen.com. Our website is not a part of this prospectus and is not incorporated by reference in this prospectus.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07" w:right="319" w:bottom="1440" w:gutter="0" w:footer="0" w:header="0"/>
        </w:sectPr>
      </w:pPr>
    </w:p>
    <w:bookmarkStart w:id="6" w:name="page7"/>
    <w:bookmarkEnd w:id="6"/>
    <w:p>
      <w:pPr>
        <w:ind w:left="3320"/>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documents filed by us with the SEC are incorporated by reference in this prospectus supplement:</w:t>
      </w:r>
    </w:p>
    <w:p>
      <w:pPr>
        <w:spacing w:after="0" w:line="188" w:lineRule="exact"/>
        <w:rPr>
          <w:sz w:val="20"/>
          <w:szCs w:val="20"/>
          <w:color w:val="auto"/>
        </w:rPr>
      </w:pPr>
    </w:p>
    <w:p>
      <w:pPr>
        <w:ind w:left="540" w:hanging="279"/>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Form 10-K for the year ended March 31, 2023, filed on </w:t>
      </w:r>
      <w:hyperlink r:id="rId16">
        <w:r>
          <w:rPr>
            <w:rFonts w:ascii="Times New Roman" w:cs="Times New Roman" w:eastAsia="Times New Roman" w:hAnsi="Times New Roman"/>
            <w:sz w:val="15"/>
            <w:szCs w:val="15"/>
            <w:u w:val="single" w:color="auto"/>
            <w:color w:val="0000EE"/>
          </w:rPr>
          <w:t>June 28, 2023</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Form 10-Q for the period ended June 30, 2023, filed on </w:t>
      </w:r>
      <w:hyperlink r:id="rId17">
        <w:r>
          <w:rPr>
            <w:rFonts w:ascii="Times New Roman" w:cs="Times New Roman" w:eastAsia="Times New Roman" w:hAnsi="Times New Roman"/>
            <w:sz w:val="15"/>
            <w:szCs w:val="15"/>
            <w:u w:val="single" w:color="auto"/>
            <w:color w:val="0000EE"/>
          </w:rPr>
          <w:t>August 10, 2022</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Form 10-Q for the period ended September 30, 2023, filed on </w:t>
      </w:r>
      <w:hyperlink r:id="rId18">
        <w:r>
          <w:rPr>
            <w:rFonts w:ascii="Times New Roman" w:cs="Times New Roman" w:eastAsia="Times New Roman" w:hAnsi="Times New Roman"/>
            <w:sz w:val="15"/>
            <w:szCs w:val="15"/>
            <w:u w:val="single" w:color="auto"/>
            <w:color w:val="0000EE"/>
          </w:rPr>
          <w:t>November 9, 2023</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Form 10-Q for the period ended December 31, 2023, filed on </w:t>
      </w:r>
      <w:hyperlink r:id="rId19">
        <w:r>
          <w:rPr>
            <w:rFonts w:ascii="Times New Roman" w:cs="Times New Roman" w:eastAsia="Times New Roman" w:hAnsi="Times New Roman"/>
            <w:sz w:val="15"/>
            <w:szCs w:val="15"/>
            <w:u w:val="single" w:color="auto"/>
            <w:color w:val="0000EE"/>
          </w:rPr>
          <w:t>February 13, 2024</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Definitive Proxy Statement on Schedule 14A, filed on </w:t>
      </w:r>
      <w:hyperlink r:id="rId20">
        <w:r>
          <w:rPr>
            <w:rFonts w:ascii="Times New Roman" w:cs="Times New Roman" w:eastAsia="Times New Roman" w:hAnsi="Times New Roman"/>
            <w:sz w:val="15"/>
            <w:szCs w:val="15"/>
            <w:u w:val="single" w:color="auto"/>
            <w:color w:val="0000EE"/>
          </w:rPr>
          <w:t>July 28, 2023</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right="260" w:hanging="279"/>
        <w:spacing w:after="0" w:line="267" w:lineRule="auto"/>
        <w:tabs>
          <w:tab w:leader="none" w:pos="540" w:val="left"/>
        </w:tabs>
        <w:numPr>
          <w:ilvl w:val="0"/>
          <w:numId w:val="2"/>
        </w:numPr>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auto"/>
        </w:rPr>
        <w:t xml:space="preserve">our Current Reports on Form 8-K, filed on </w:t>
      </w:r>
      <w:hyperlink r:id="rId21">
        <w:r>
          <w:rPr>
            <w:rFonts w:ascii="Times New Roman" w:cs="Times New Roman" w:eastAsia="Times New Roman" w:hAnsi="Times New Roman"/>
            <w:sz w:val="15"/>
            <w:szCs w:val="15"/>
            <w:u w:val="single" w:color="auto"/>
            <w:color w:val="0000EE"/>
          </w:rPr>
          <w:t>April 6, 2023</w:t>
        </w:r>
      </w:hyperlink>
      <w:r>
        <w:rPr>
          <w:rFonts w:ascii="Times New Roman" w:cs="Times New Roman" w:eastAsia="Times New Roman" w:hAnsi="Times New Roman"/>
          <w:sz w:val="15"/>
          <w:szCs w:val="15"/>
          <w:color w:val="auto"/>
        </w:rPr>
        <w:t xml:space="preserve">, </w:t>
      </w:r>
      <w:hyperlink r:id="rId22">
        <w:r>
          <w:rPr>
            <w:rFonts w:ascii="Times New Roman" w:cs="Times New Roman" w:eastAsia="Times New Roman" w:hAnsi="Times New Roman"/>
            <w:sz w:val="15"/>
            <w:szCs w:val="15"/>
            <w:u w:val="single" w:color="auto"/>
            <w:color w:val="0000EE"/>
          </w:rPr>
          <w:t>April 19, 2023</w:t>
        </w:r>
      </w:hyperlink>
      <w:r>
        <w:rPr>
          <w:rFonts w:ascii="Times New Roman" w:cs="Times New Roman" w:eastAsia="Times New Roman" w:hAnsi="Times New Roman"/>
          <w:sz w:val="15"/>
          <w:szCs w:val="15"/>
          <w:color w:val="auto"/>
        </w:rPr>
        <w:t xml:space="preserve">, </w:t>
      </w:r>
      <w:hyperlink r:id="rId23">
        <w:r>
          <w:rPr>
            <w:rFonts w:ascii="Times New Roman" w:cs="Times New Roman" w:eastAsia="Times New Roman" w:hAnsi="Times New Roman"/>
            <w:sz w:val="15"/>
            <w:szCs w:val="15"/>
            <w:u w:val="single" w:color="auto"/>
            <w:color w:val="0000EE"/>
          </w:rPr>
          <w:t>June 1, 2023</w:t>
        </w:r>
      </w:hyperlink>
      <w:r>
        <w:rPr>
          <w:rFonts w:ascii="Times New Roman" w:cs="Times New Roman" w:eastAsia="Times New Roman" w:hAnsi="Times New Roman"/>
          <w:sz w:val="15"/>
          <w:szCs w:val="15"/>
          <w:color w:val="auto"/>
        </w:rPr>
        <w:t xml:space="preserve">, </w:t>
      </w:r>
      <w:hyperlink r:id="rId24">
        <w:r>
          <w:rPr>
            <w:rFonts w:ascii="Times New Roman" w:cs="Times New Roman" w:eastAsia="Times New Roman" w:hAnsi="Times New Roman"/>
            <w:sz w:val="15"/>
            <w:szCs w:val="15"/>
            <w:u w:val="single" w:color="auto"/>
            <w:color w:val="0000EE"/>
          </w:rPr>
          <w:t>June 6, 2023</w:t>
        </w:r>
      </w:hyperlink>
      <w:r>
        <w:rPr>
          <w:rFonts w:ascii="Times New Roman" w:cs="Times New Roman" w:eastAsia="Times New Roman" w:hAnsi="Times New Roman"/>
          <w:sz w:val="15"/>
          <w:szCs w:val="15"/>
          <w:color w:val="auto"/>
        </w:rPr>
        <w:t xml:space="preserve">, </w:t>
      </w:r>
      <w:hyperlink r:id="rId25">
        <w:r>
          <w:rPr>
            <w:rFonts w:ascii="Times New Roman" w:cs="Times New Roman" w:eastAsia="Times New Roman" w:hAnsi="Times New Roman"/>
            <w:sz w:val="15"/>
            <w:szCs w:val="15"/>
            <w:u w:val="single" w:color="auto"/>
            <w:color w:val="0000EE"/>
          </w:rPr>
          <w:t>June 7, 2023</w:t>
        </w:r>
      </w:hyperlink>
      <w:r>
        <w:rPr>
          <w:rFonts w:ascii="Times New Roman" w:cs="Times New Roman" w:eastAsia="Times New Roman" w:hAnsi="Times New Roman"/>
          <w:sz w:val="15"/>
          <w:szCs w:val="15"/>
          <w:color w:val="auto"/>
        </w:rPr>
        <w:t xml:space="preserve">, </w:t>
      </w:r>
      <w:hyperlink r:id="rId26">
        <w:r>
          <w:rPr>
            <w:rFonts w:ascii="Times New Roman" w:cs="Times New Roman" w:eastAsia="Times New Roman" w:hAnsi="Times New Roman"/>
            <w:sz w:val="15"/>
            <w:szCs w:val="15"/>
            <w:u w:val="single" w:color="auto"/>
            <w:color w:val="0000EE"/>
          </w:rPr>
          <w:t>June 13, 2023</w:t>
        </w:r>
      </w:hyperlink>
      <w:r>
        <w:rPr>
          <w:rFonts w:ascii="Times New Roman" w:cs="Times New Roman" w:eastAsia="Times New Roman" w:hAnsi="Times New Roman"/>
          <w:sz w:val="15"/>
          <w:szCs w:val="15"/>
          <w:color w:val="auto"/>
        </w:rPr>
        <w:t xml:space="preserve">, </w:t>
      </w:r>
      <w:hyperlink r:id="rId27">
        <w:r>
          <w:rPr>
            <w:rFonts w:ascii="Times New Roman" w:cs="Times New Roman" w:eastAsia="Times New Roman" w:hAnsi="Times New Roman"/>
            <w:sz w:val="15"/>
            <w:szCs w:val="15"/>
            <w:u w:val="single" w:color="auto"/>
            <w:color w:val="0000EE"/>
          </w:rPr>
          <w:t>June 21, 2023</w:t>
        </w:r>
      </w:hyperlink>
      <w:r>
        <w:rPr>
          <w:rFonts w:ascii="Times New Roman" w:cs="Times New Roman" w:eastAsia="Times New Roman" w:hAnsi="Times New Roman"/>
          <w:sz w:val="15"/>
          <w:szCs w:val="15"/>
          <w:color w:val="auto"/>
        </w:rPr>
        <w:t xml:space="preserve">, </w:t>
      </w:r>
      <w:hyperlink r:id="rId28">
        <w:r>
          <w:rPr>
            <w:rFonts w:ascii="Times New Roman" w:cs="Times New Roman" w:eastAsia="Times New Roman" w:hAnsi="Times New Roman"/>
            <w:sz w:val="15"/>
            <w:szCs w:val="15"/>
            <w:u w:val="single" w:color="auto"/>
            <w:color w:val="0000EE"/>
          </w:rPr>
          <w:t>June 23, 2023</w:t>
        </w:r>
      </w:hyperlink>
      <w:r>
        <w:rPr>
          <w:rFonts w:ascii="Times New Roman" w:cs="Times New Roman" w:eastAsia="Times New Roman" w:hAnsi="Times New Roman"/>
          <w:sz w:val="15"/>
          <w:szCs w:val="15"/>
          <w:color w:val="auto"/>
        </w:rPr>
        <w:t xml:space="preserve">, </w:t>
      </w:r>
      <w:hyperlink r:id="rId29">
        <w:r>
          <w:rPr>
            <w:rFonts w:ascii="Times New Roman" w:cs="Times New Roman" w:eastAsia="Times New Roman" w:hAnsi="Times New Roman"/>
            <w:sz w:val="15"/>
            <w:szCs w:val="15"/>
            <w:u w:val="single" w:color="auto"/>
            <w:color w:val="0000EE"/>
          </w:rPr>
          <w:t>July 7, 2023</w:t>
        </w:r>
      </w:hyperlink>
      <w:r>
        <w:rPr>
          <w:rFonts w:ascii="Times New Roman" w:cs="Times New Roman" w:eastAsia="Times New Roman" w:hAnsi="Times New Roman"/>
          <w:sz w:val="15"/>
          <w:szCs w:val="15"/>
          <w:color w:val="auto"/>
        </w:rPr>
        <w:t xml:space="preserve">, </w:t>
      </w:r>
      <w:hyperlink r:id="rId30">
        <w:r>
          <w:rPr>
            <w:rFonts w:ascii="Times New Roman" w:cs="Times New Roman" w:eastAsia="Times New Roman" w:hAnsi="Times New Roman"/>
            <w:sz w:val="15"/>
            <w:szCs w:val="15"/>
            <w:u w:val="single" w:color="auto"/>
            <w:color w:val="0000EE"/>
          </w:rPr>
          <w:t>July 13,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1">
        <w:r>
          <w:rPr>
            <w:rFonts w:ascii="Times New Roman" w:cs="Times New Roman" w:eastAsia="Times New Roman" w:hAnsi="Times New Roman"/>
            <w:sz w:val="15"/>
            <w:szCs w:val="15"/>
            <w:u w:val="single" w:color="auto"/>
            <w:color w:val="0000EE"/>
          </w:rPr>
          <w:t>July 18,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2">
        <w:r>
          <w:rPr>
            <w:rFonts w:ascii="Times New Roman" w:cs="Times New Roman" w:eastAsia="Times New Roman" w:hAnsi="Times New Roman"/>
            <w:sz w:val="15"/>
            <w:szCs w:val="15"/>
            <w:u w:val="single" w:color="auto"/>
            <w:color w:val="0000EE"/>
          </w:rPr>
          <w:t>August 22,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3">
        <w:r>
          <w:rPr>
            <w:rFonts w:ascii="Times New Roman" w:cs="Times New Roman" w:eastAsia="Times New Roman" w:hAnsi="Times New Roman"/>
            <w:sz w:val="15"/>
            <w:szCs w:val="15"/>
            <w:u w:val="single" w:color="auto"/>
            <w:color w:val="0000EE"/>
          </w:rPr>
          <w:t>September 8,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4">
        <w:r>
          <w:rPr>
            <w:rFonts w:ascii="Times New Roman" w:cs="Times New Roman" w:eastAsia="Times New Roman" w:hAnsi="Times New Roman"/>
            <w:sz w:val="15"/>
            <w:szCs w:val="15"/>
            <w:u w:val="single" w:color="auto"/>
            <w:color w:val="0000EE"/>
          </w:rPr>
          <w:t>September 13,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5">
        <w:r>
          <w:rPr>
            <w:rFonts w:ascii="Times New Roman" w:cs="Times New Roman" w:eastAsia="Times New Roman" w:hAnsi="Times New Roman"/>
            <w:sz w:val="15"/>
            <w:szCs w:val="15"/>
            <w:u w:val="single" w:color="auto"/>
            <w:color w:val="0000EE"/>
          </w:rPr>
          <w:t>September 29,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6">
        <w:r>
          <w:rPr>
            <w:rFonts w:ascii="Times New Roman" w:cs="Times New Roman" w:eastAsia="Times New Roman" w:hAnsi="Times New Roman"/>
            <w:sz w:val="15"/>
            <w:szCs w:val="15"/>
            <w:u w:val="single" w:color="auto"/>
            <w:color w:val="0000EE"/>
          </w:rPr>
          <w:t>October 2,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7">
        <w:r>
          <w:rPr>
            <w:rFonts w:ascii="Times New Roman" w:cs="Times New Roman" w:eastAsia="Times New Roman" w:hAnsi="Times New Roman"/>
            <w:sz w:val="15"/>
            <w:szCs w:val="15"/>
            <w:u w:val="single" w:color="auto"/>
            <w:color w:val="0000EE"/>
          </w:rPr>
          <w:t xml:space="preserve">October 4, 2023 </w:t>
        </w:r>
      </w:hyperlink>
      <w:r>
        <w:rPr>
          <w:rFonts w:ascii="Times New Roman" w:cs="Times New Roman" w:eastAsia="Times New Roman" w:hAnsi="Times New Roman"/>
          <w:sz w:val="15"/>
          <w:szCs w:val="15"/>
          <w:color w:val="000000"/>
        </w:rPr>
        <w:t>(excluding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any information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 xml:space="preserve">furnished in such reports under Item 7.01), </w:t>
      </w:r>
      <w:hyperlink r:id="rId38">
        <w:r>
          <w:rPr>
            <w:rFonts w:ascii="Times New Roman" w:cs="Times New Roman" w:eastAsia="Times New Roman" w:hAnsi="Times New Roman"/>
            <w:sz w:val="15"/>
            <w:szCs w:val="15"/>
            <w:u w:val="single" w:color="auto"/>
            <w:color w:val="0000EE"/>
          </w:rPr>
          <w:t>October 26, 2023</w:t>
        </w:r>
      </w:hyperlink>
      <w:r>
        <w:rPr>
          <w:rFonts w:ascii="Times New Roman" w:cs="Times New Roman" w:eastAsia="Times New Roman" w:hAnsi="Times New Roman"/>
          <w:sz w:val="15"/>
          <w:szCs w:val="15"/>
          <w:color w:val="000000"/>
        </w:rPr>
        <w:t xml:space="preserve">, </w:t>
      </w:r>
      <w:hyperlink r:id="rId39">
        <w:r>
          <w:rPr>
            <w:rFonts w:ascii="Times New Roman" w:cs="Times New Roman" w:eastAsia="Times New Roman" w:hAnsi="Times New Roman"/>
            <w:sz w:val="15"/>
            <w:szCs w:val="15"/>
            <w:u w:val="single" w:color="auto"/>
            <w:color w:val="0000EE"/>
          </w:rPr>
          <w:t>November 6, 2023</w:t>
        </w:r>
        <w:r>
          <w:rPr>
            <w:rFonts w:ascii="Times New Roman" w:cs="Times New Roman" w:eastAsia="Times New Roman" w:hAnsi="Times New Roman"/>
            <w:sz w:val="15"/>
            <w:szCs w:val="15"/>
            <w:u w:val="single" w:color="auto"/>
            <w:color w:val="000000"/>
          </w:rPr>
          <w:t xml:space="preserve"> </w:t>
        </w:r>
      </w:hyperlink>
      <w:r>
        <w:rPr>
          <w:rFonts w:ascii="Times New Roman" w:cs="Times New Roman" w:eastAsia="Times New Roman" w:hAnsi="Times New Roman"/>
          <w:sz w:val="15"/>
          <w:szCs w:val="15"/>
          <w:color w:val="000000"/>
        </w:rPr>
        <w:t xml:space="preserve">(as amended on </w:t>
      </w:r>
      <w:hyperlink r:id="rId40">
        <w:r>
          <w:rPr>
            <w:rFonts w:ascii="Times New Roman" w:cs="Times New Roman" w:eastAsia="Times New Roman" w:hAnsi="Times New Roman"/>
            <w:sz w:val="15"/>
            <w:szCs w:val="15"/>
            <w:u w:val="single" w:color="auto"/>
            <w:color w:val="0000EE"/>
          </w:rPr>
          <w:t>November 7, 2023</w:t>
        </w:r>
      </w:hyperlink>
      <w:r>
        <w:rPr>
          <w:rFonts w:ascii="Times New Roman" w:cs="Times New Roman" w:eastAsia="Times New Roman" w:hAnsi="Times New Roman"/>
          <w:sz w:val="15"/>
          <w:szCs w:val="15"/>
          <w:u w:val="single" w:color="auto"/>
          <w:color w:val="000000"/>
        </w:rPr>
        <w:t>)</w:t>
      </w:r>
      <w:r>
        <w:rPr>
          <w:rFonts w:ascii="Times New Roman" w:cs="Times New Roman" w:eastAsia="Times New Roman" w:hAnsi="Times New Roman"/>
          <w:sz w:val="15"/>
          <w:szCs w:val="15"/>
          <w:color w:val="000000"/>
        </w:rPr>
        <w:t xml:space="preserve">, and </w:t>
      </w:r>
      <w:hyperlink r:id="rId41">
        <w:r>
          <w:rPr>
            <w:rFonts w:ascii="Times New Roman" w:cs="Times New Roman" w:eastAsia="Times New Roman" w:hAnsi="Times New Roman"/>
            <w:sz w:val="15"/>
            <w:szCs w:val="15"/>
            <w:u w:val="single" w:color="auto"/>
            <w:color w:val="0000EE"/>
          </w:rPr>
          <w:t>January 3, 2024</w:t>
        </w:r>
      </w:hyperlink>
      <w:r>
        <w:rPr>
          <w:rFonts w:ascii="Times New Roman" w:cs="Times New Roman" w:eastAsia="Times New Roman" w:hAnsi="Times New Roman"/>
          <w:sz w:val="15"/>
          <w:szCs w:val="15"/>
          <w:color w:val="000000"/>
        </w:rPr>
        <w:t>; and</w:t>
      </w:r>
    </w:p>
    <w:p>
      <w:pPr>
        <w:spacing w:after="0" w:line="146" w:lineRule="exact"/>
        <w:rPr>
          <w:rFonts w:ascii="Times New Roman" w:cs="Times New Roman" w:eastAsia="Times New Roman" w:hAnsi="Times New Roman"/>
          <w:sz w:val="15"/>
          <w:szCs w:val="15"/>
          <w:color w:val="000000"/>
        </w:rPr>
      </w:pPr>
    </w:p>
    <w:p>
      <w:pPr>
        <w:ind w:left="540" w:right="180" w:hanging="279"/>
        <w:spacing w:after="0" w:line="283" w:lineRule="auto"/>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the Registration Statement on Form 8-A filed pursuant to Section 12(b) of the Securities Exchange Act of 1934, as amended (the </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xml:space="preserve">) on </w:t>
      </w:r>
      <w:hyperlink r:id="rId42">
        <w:r>
          <w:rPr>
            <w:rFonts w:ascii="Times New Roman" w:cs="Times New Roman" w:eastAsia="Times New Roman" w:hAnsi="Times New Roman"/>
            <w:sz w:val="15"/>
            <w:szCs w:val="15"/>
            <w:u w:val="single" w:color="auto"/>
            <w:color w:val="0000EE"/>
          </w:rPr>
          <w:t>May 3, 2016</w:t>
        </w:r>
      </w:hyperlink>
      <w:r>
        <w:rPr>
          <w:rFonts w:ascii="Times New Roman" w:cs="Times New Roman" w:eastAsia="Times New Roman" w:hAnsi="Times New Roman"/>
          <w:sz w:val="15"/>
          <w:szCs w:val="15"/>
          <w:color w:val="auto"/>
        </w:rPr>
        <w:t>, including any amendment or report filed with the Commission for the purpose of updating this description.</w:t>
      </w:r>
    </w:p>
    <w:p>
      <w:pPr>
        <w:spacing w:after="0" w:line="135" w:lineRule="exact"/>
        <w:rPr>
          <w:rFonts w:ascii="Times New Roman" w:cs="Times New Roman" w:eastAsia="Times New Roman" w:hAnsi="Times New Roman"/>
          <w:sz w:val="15"/>
          <w:szCs w:val="15"/>
          <w:color w:val="000000"/>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herein by reference and are an important part of this prospectus.</w:t>
      </w:r>
    </w:p>
    <w:p>
      <w:pPr>
        <w:spacing w:after="0" w:line="152" w:lineRule="exact"/>
        <w:rPr>
          <w:rFonts w:ascii="Times New Roman" w:cs="Times New Roman" w:eastAsia="Times New Roman" w:hAnsi="Times New Roman"/>
          <w:sz w:val="15"/>
          <w:szCs w:val="15"/>
          <w:color w:val="000000"/>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46" w:lineRule="exact"/>
        <w:rPr>
          <w:rFonts w:ascii="Times New Roman" w:cs="Times New Roman" w:eastAsia="Times New Roman" w:hAnsi="Times New Roman"/>
          <w:sz w:val="15"/>
          <w:szCs w:val="15"/>
          <w:color w:val="000000"/>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will provide upon request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46"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343 Allerton Avenue</w:t>
      </w:r>
    </w:p>
    <w:p>
      <w:pPr>
        <w:spacing w:after="0" w:line="8"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South San Francisco, California 94080</w:t>
      </w:r>
    </w:p>
    <w:p>
      <w:pPr>
        <w:spacing w:after="0" w:line="8"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(650) 577-3600</w:t>
      </w:r>
    </w:p>
    <w:p>
      <w:pPr>
        <w:spacing w:after="0" w:line="173" w:lineRule="exact"/>
        <w:rPr>
          <w:rFonts w:ascii="Times New Roman" w:cs="Times New Roman" w:eastAsia="Times New Roman" w:hAnsi="Times New Roman"/>
          <w:sz w:val="15"/>
          <w:szCs w:val="15"/>
          <w:color w:val="000000"/>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152"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Investing in our securities involves significant risks. Please see the risk factors under the heading “Risk Factors” in our most recent Annual Report on Form 10-K on file with the SEC and our Quarterly Reports on Form 10-Q subsequently filed with the SEC, each of which is incorporated by reference in this prospectus, along with any risk factors identified in a prospectus supplement.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Actual results could differ materially from those anticipated in these forward-looking statements as a result of certain factors, including the risks referenced below and described in the documents incorporated herein by reference. The discussion of risks includes or refers to forward-looking statements. You should read the explanation of the qualifications and limitations on such forward-looking statements discussed elsewhere in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This prospectus, any prospectus supplement and the documents incorporated by reference herein contain forward-looking statements that involve substantial risks and uncertainties. All statements, other than statements of historical facts, contained in this prospectus, any prospectus supplement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46" w:lineRule="exact"/>
        <w:rPr>
          <w:sz w:val="20"/>
          <w:szCs w:val="20"/>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capital to satisfy our working capital requirements;</w:t>
      </w:r>
    </w:p>
    <w:p>
      <w:pPr>
        <w:spacing w:after="0" w:line="210"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our estimates regarding expenses, future revenues and capital requirements;</w:t>
      </w:r>
    </w:p>
    <w:p>
      <w:pPr>
        <w:spacing w:after="0" w:line="210" w:lineRule="exact"/>
        <w:rPr>
          <w:rFonts w:ascii="Times New Roman" w:cs="Times New Roman" w:eastAsia="Times New Roman" w:hAnsi="Times New Roman"/>
          <w:sz w:val="15"/>
          <w:szCs w:val="15"/>
          <w:color w:val="auto"/>
        </w:rPr>
      </w:pPr>
    </w:p>
    <w:p>
      <w:pPr>
        <w:jc w:val="both"/>
        <w:ind w:left="540" w:hanging="279"/>
        <w:spacing w:after="0" w:line="261"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develop and commercialize our product candidates, including, among other things, fasedienol (PH94B) as a potential acute treatment of anxiety for adults with social anxiety disorder (“SAD”), itruvone (PH10) as a potential treatment for adults with major depressive disorder (“MDD”) and other depression-related disorders, PH80 for vasomotor symptoms (hot flashes) due to menopause, premenstrual dysphoric disorder (“PMDD”) or migraine, PH15 for cognition improvement, PH284 for appetite-related disorders or AV-101 as a potential treatment of disorders involving the Central Nervous System (“CNS”);</w:t>
      </w:r>
    </w:p>
    <w:p>
      <w:pPr>
        <w:spacing w:after="0" w:line="151"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initiate and complete necessary preclinical and clinical studies in accordance with applicable regulatory requirements to advance the development of our product candidates and for those studies to generate positive results;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regulatory and political developments in the United States and foreign countries;</w:t>
      </w:r>
    </w:p>
    <w:p>
      <w:pPr>
        <w:spacing w:after="0" w:line="210" w:lineRule="exact"/>
        <w:rPr>
          <w:rFonts w:ascii="Times New Roman" w:cs="Times New Roman" w:eastAsia="Times New Roman" w:hAnsi="Times New Roman"/>
          <w:sz w:val="15"/>
          <w:szCs w:val="15"/>
          <w:color w:val="auto"/>
        </w:rPr>
      </w:pPr>
    </w:p>
    <w:p>
      <w:pPr>
        <w:ind w:left="540" w:right="140" w:hanging="279"/>
        <w:spacing w:after="0" w:line="283"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third-party contractors involved with the manufacture and production of our drug candidates for nonclinical and clinical development activities, contract research organizations, potential commercial activities and other third-party nonclinical and clinical development collaborators and regulatory service providers;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intellectual property, regulatory and commercial protection for our core assets, including product candidates;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of the potential markets for our product candidates and our ability to serve those markets;</w:t>
      </w:r>
    </w:p>
    <w:p>
      <w:pPr>
        <w:spacing w:after="0" w:line="210"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of our product candidates for any indication once approved;</w:t>
      </w:r>
    </w:p>
    <w:p>
      <w:pPr>
        <w:spacing w:after="0" w:line="210" w:lineRule="exact"/>
        <w:rPr>
          <w:rFonts w:ascii="Times New Roman" w:cs="Times New Roman" w:eastAsia="Times New Roman" w:hAnsi="Times New Roman"/>
          <w:sz w:val="15"/>
          <w:szCs w:val="15"/>
          <w:color w:val="auto"/>
        </w:rPr>
      </w:pPr>
    </w:p>
    <w:p>
      <w:pPr>
        <w:ind w:left="540" w:right="160" w:hanging="279"/>
        <w:spacing w:after="0" w:line="283"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key scientific, clinical and nonclinical development, regulatory, commercial, and/or management personnel, internally or from one of our third-party collaborators; contract manufacturing organizations, contract research organizations or other service providers;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as a going concern;</w:t>
      </w:r>
    </w:p>
    <w:p>
      <w:pPr>
        <w:spacing w:after="0" w:line="210"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regarding expenses, future revenue, capital requirements and needs for additional financing;</w:t>
      </w:r>
    </w:p>
    <w:p>
      <w:pPr>
        <w:spacing w:after="0" w:line="210"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use of our existing cash and cash equivalents; and</w:t>
      </w:r>
    </w:p>
    <w:p>
      <w:pPr>
        <w:spacing w:after="0" w:line="210"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including those described under Item 1A, “Risk Factors,” in our Annual Report on Form 10-K for the fiscal year ended March 31, 2023, and those described under Part II, Item 1A, “Risk Factors,” in our Quarterly Reports on Form 10-Q for the quarters ended June 30, 2023, September 30, 2023 and December 31, 2023, which risk factors are incorporated herein by reference.</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Moreover, our forward-looking statements do not reflect the potential impact of any future acquisitions, mergers, dispositions, joint ventures or investments we may make.</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You should read this prospectus, any prospectus supplement and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and any accompanying prospectus supplement, including the section titled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on page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u w:val="single" w:color="auto"/>
          <w:color w:val="0000EE"/>
        </w:rPr>
        <w:t>3</w:t>
      </w:r>
      <w:r>
        <w:rPr>
          <w:rFonts w:ascii="Times New Roman" w:cs="Times New Roman" w:eastAsia="Times New Roman" w:hAnsi="Times New Roman"/>
          <w:sz w:val="15"/>
          <w:szCs w:val="15"/>
          <w:i w:val="1"/>
          <w:iCs w:val="1"/>
          <w:color w:val="auto"/>
        </w:rPr>
        <w:t>, before deciding whether to purchase our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are a clinical-stage biopharmaceutical company pioneering neuroscience to deliver first-in-class therapies for psychiatric and neurological disorders. Five of our six clinical-stage product candidates – fasedienol (PH94B), itruvone (PH10), PH15, PH80 and PH284 – belong to a new class of drugs known as pherines, which have the potential to rapidly deliver meaningful efficacy with a differentiated safety profile. Pherines are investigational neuroactive nasal sprays with innovative proposed mechanisms of action that activate chemosensory neurons in the nasal passages to impact fundamental neural circuits in the brain without the need for systemic absorption or binding to receptors in the brain. Our sixth clinical-stage product candidate, AV-101, is an investigational oral drug candidate with the potential to inhibit, but not block, NMDA receptor activity.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passionate about transforming what is possible in the treatment of anxiety, depression, and other neuroscience disorders.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Clinical-Stage Neuroscience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Fasedienol Nasal Spray for Social Anxiety Disorder (SAD)</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Fasedienol (PH94B) is an odorless, tasteless synthetic investigational pherine nasal spray from the androstane family in Phase 3 clinical development for the acute treatment of anxiety for adults with SAD. When administered intranasally in microgram-level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absorption or direct activity on neurons in the brain to achieve its rapid-onset and short-duration anxiolytic effects. We believe fasedienol has the potential to achieve these effects with significantly reduced risks of side effects and other safety concerns, such as potential drug-drug interactions, abuse, misuse, and addiction, associated with certain other systemic pharmaceuticals that act directly on neurons in the brain and are sometimes prescribed for anxiety disorders.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U.S. Food and Drug Administration (the </w:t>
      </w:r>
      <w:r>
        <w:rPr>
          <w:rFonts w:ascii="Times New Roman" w:cs="Times New Roman" w:eastAsia="Times New Roman" w:hAnsi="Times New Roman"/>
          <w:sz w:val="15"/>
          <w:szCs w:val="15"/>
          <w:i w:val="1"/>
          <w:iCs w:val="1"/>
          <w:color w:val="auto"/>
        </w:rPr>
        <w:t>FDA</w:t>
      </w:r>
      <w:r>
        <w:rPr>
          <w:rFonts w:ascii="Times New Roman" w:cs="Times New Roman" w:eastAsia="Times New Roman" w:hAnsi="Times New Roman"/>
          <w:sz w:val="15"/>
          <w:szCs w:val="15"/>
          <w:color w:val="auto"/>
        </w:rPr>
        <w:t>) has granted Fast Track designation for the development of fasedienol as a potential treatment for SAD.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Fasedienol PALISADE Phase 3 Program in SAD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Given how fasedienol’s rapid-onset mechanism of action (</w:t>
      </w:r>
      <w:r>
        <w:rPr>
          <w:rFonts w:ascii="Times New Roman" w:cs="Times New Roman" w:eastAsia="Times New Roman" w:hAnsi="Times New Roman"/>
          <w:sz w:val="15"/>
          <w:szCs w:val="15"/>
          <w:i w:val="1"/>
          <w:iCs w:val="1"/>
          <w:color w:val="auto"/>
        </w:rPr>
        <w:t>MOA</w:t>
      </w:r>
      <w:r>
        <w:rPr>
          <w:rFonts w:ascii="Times New Roman" w:cs="Times New Roman" w:eastAsia="Times New Roman" w:hAnsi="Times New Roman"/>
          <w:sz w:val="15"/>
          <w:szCs w:val="15"/>
          <w:color w:val="auto"/>
        </w:rPr>
        <w:t>) is differentiated from all FDA-approved anxiety drugs, our primary target indication for fasedienol is the acute treatment of anxiety in adults with SAD. Currently, there is no FDA-approved drug therapy for the acute treatment of SAD. For that acute indication, we have aligned with the FDA that the Subjective Units of Distress Scale (</w:t>
      </w:r>
      <w:r>
        <w:rPr>
          <w:rFonts w:ascii="Times New Roman" w:cs="Times New Roman" w:eastAsia="Times New Roman" w:hAnsi="Times New Roman"/>
          <w:sz w:val="15"/>
          <w:szCs w:val="15"/>
          <w:i w:val="1"/>
          <w:iCs w:val="1"/>
          <w:color w:val="auto"/>
        </w:rPr>
        <w:t>SUDS</w:t>
      </w:r>
      <w:r>
        <w:rPr>
          <w:rFonts w:ascii="Times New Roman" w:cs="Times New Roman" w:eastAsia="Times New Roman" w:hAnsi="Times New Roman"/>
          <w:sz w:val="15"/>
          <w:szCs w:val="15"/>
          <w:color w:val="auto"/>
        </w:rPr>
        <w:t>) is an appropriate primary efficacy endpoint because it provides a measure of anxiety on a minute-by-minute basis immediately related to the specific stressor. We believe utilizing a simulated anxiety-provoking public speaking challenge study design provides the most appropriate and efficient path for the Phase 3 clinical development of fasedienol’s potential to become the first FDA-approved acute treatment of anxiety for adults with SAD. Our PALISADE Phase 3 Program currently includes four randomized, double-blind, placebo-controlled, Phase 3 clinical trials designed to evaluate the efficacy, safety, and tolerability of a single dose of fasedienol to relieve anxiety symptoms in adult patients with SAD during a simulated, anxiety-provoking public speaking challenge in a clinical setting, as measured using the patient-reported SUDS, two of which Phase 3 trials (</w:t>
      </w:r>
      <w:r>
        <w:rPr>
          <w:rFonts w:ascii="Times New Roman" w:cs="Times New Roman" w:eastAsia="Times New Roman" w:hAnsi="Times New Roman"/>
          <w:sz w:val="15"/>
          <w:szCs w:val="15"/>
          <w:i w:val="1"/>
          <w:iCs w:val="1"/>
          <w:color w:val="auto"/>
        </w:rPr>
        <w:t>PALISADE-1 and PALISADE-2</w:t>
      </w:r>
      <w:r>
        <w:rPr>
          <w:rFonts w:ascii="Times New Roman" w:cs="Times New Roman" w:eastAsia="Times New Roman" w:hAnsi="Times New Roman"/>
          <w:sz w:val="15"/>
          <w:szCs w:val="15"/>
          <w:color w:val="auto"/>
        </w:rPr>
        <w:t>) have been concluded and two of which Phase 3 trials (</w:t>
      </w:r>
      <w:r>
        <w:rPr>
          <w:rFonts w:ascii="Times New Roman" w:cs="Times New Roman" w:eastAsia="Times New Roman" w:hAnsi="Times New Roman"/>
          <w:sz w:val="15"/>
          <w:szCs w:val="15"/>
          <w:i w:val="1"/>
          <w:iCs w:val="1"/>
          <w:color w:val="auto"/>
        </w:rPr>
        <w:t>PALISADE-3 and PALISADE-4</w:t>
      </w:r>
      <w:r>
        <w:rPr>
          <w:rFonts w:ascii="Times New Roman" w:cs="Times New Roman" w:eastAsia="Times New Roman" w:hAnsi="Times New Roman"/>
          <w:sz w:val="15"/>
          <w:szCs w:val="15"/>
          <w:color w:val="auto"/>
        </w:rPr>
        <w:t>) will be initiated in 2024, each with open-label extension. Our PALISADE Phase 3 Program also includes an open-label safety study concluded in 2022 (</w:t>
      </w:r>
      <w:r>
        <w:rPr>
          <w:rFonts w:ascii="Times New Roman" w:cs="Times New Roman" w:eastAsia="Times New Roman" w:hAnsi="Times New Roman"/>
          <w:sz w:val="15"/>
          <w:szCs w:val="15"/>
          <w:i w:val="1"/>
          <w:iCs w:val="1"/>
          <w:color w:val="auto"/>
        </w:rPr>
        <w:t>PALISADE OLS)</w:t>
      </w:r>
      <w:r>
        <w:rPr>
          <w:rFonts w:ascii="Times New Roman" w:cs="Times New Roman" w:eastAsia="Times New Roman" w:hAnsi="Times New Roman"/>
          <w:sz w:val="15"/>
          <w:szCs w:val="15"/>
          <w:color w:val="auto"/>
        </w:rPr>
        <w:t>, a Phase 2 repeat dose study to be initiated in 2024 (</w:t>
      </w:r>
      <w:r>
        <w:rPr>
          <w:rFonts w:ascii="Times New Roman" w:cs="Times New Roman" w:eastAsia="Times New Roman" w:hAnsi="Times New Roman"/>
          <w:sz w:val="15"/>
          <w:szCs w:val="15"/>
          <w:i w:val="1"/>
          <w:iCs w:val="1"/>
          <w:color w:val="auto"/>
        </w:rPr>
        <w:t>Repeat Dose Study</w:t>
      </w:r>
      <w:r>
        <w:rPr>
          <w:rFonts w:ascii="Times New Roman" w:cs="Times New Roman" w:eastAsia="Times New Roman" w:hAnsi="Times New Roman"/>
          <w:sz w:val="15"/>
          <w:szCs w:val="15"/>
          <w:color w:val="auto"/>
        </w:rPr>
        <w:t>), two standard preclinical studies to be initiated in 2024, and a small human factor study planned to be initiated in 2025.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5"/>
          <w:szCs w:val="15"/>
          <w:color w:val="auto"/>
        </w:rPr>
        <w:t>In early August 2023, we received and reported positive topline results from our PALISADE-2 Phase 3 trial of fasedienol in SAD based on the 141 subjects who completed the trial. Our PALISADE-2 Phase 3 trial met its primary efficacy endpoint, the difference in mean SUDS scores during the public speaking challenge at baseline (Visit 2) and treatment (Visit 3) for subjects treated with fasedienol versus placebo at Visit 3. Fasedienol-treated patients demonstrated a greater mean change from baseline (least-squares (</w:t>
      </w:r>
      <w:r>
        <w:rPr>
          <w:rFonts w:ascii="Times New Roman" w:cs="Times New Roman" w:eastAsia="Times New Roman" w:hAnsi="Times New Roman"/>
          <w:sz w:val="15"/>
          <w:szCs w:val="15"/>
          <w:i w:val="1"/>
          <w:iCs w:val="1"/>
          <w:color w:val="auto"/>
        </w:rPr>
        <w:t>LS</w:t>
      </w:r>
      <w:r>
        <w:rPr>
          <w:rFonts w:ascii="Times New Roman" w:cs="Times New Roman" w:eastAsia="Times New Roman" w:hAnsi="Times New Roman"/>
          <w:sz w:val="15"/>
          <w:szCs w:val="15"/>
          <w:color w:val="auto"/>
        </w:rPr>
        <w:t>)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Clinical Global Impressions – Improvement (</w:t>
      </w:r>
      <w:r>
        <w:rPr>
          <w:rFonts w:ascii="Times New Roman" w:cs="Times New Roman" w:eastAsia="Times New Roman" w:hAnsi="Times New Roman"/>
          <w:sz w:val="15"/>
          <w:szCs w:val="15"/>
          <w:i w:val="1"/>
          <w:iCs w:val="1"/>
          <w:color w:val="auto"/>
        </w:rPr>
        <w:t>CGI-I</w:t>
      </w:r>
      <w:r>
        <w:rPr>
          <w:rFonts w:ascii="Times New Roman" w:cs="Times New Roman" w:eastAsia="Times New Roman" w:hAnsi="Times New Roman"/>
          <w:sz w:val="15"/>
          <w:szCs w:val="15"/>
          <w:color w:val="auto"/>
        </w:rPr>
        <w:t>) scale. Responders were identified as those who were rated ‘very much less anxious’ or ‘much less anxious’ and 37.7% of fasedienol-treated patients were rated as responders, as compared to 21.4% of those treated with placebo (p=0.033). The trial also met the important exploratory endpoint of the difference in the proportion of patient-assessed responders between fasedienol and placebo as measured by the Patient’s Global Impression of Change (</w:t>
      </w:r>
      <w:r>
        <w:rPr>
          <w:rFonts w:ascii="Times New Roman" w:cs="Times New Roman" w:eastAsia="Times New Roman" w:hAnsi="Times New Roman"/>
          <w:sz w:val="15"/>
          <w:szCs w:val="15"/>
          <w:i w:val="1"/>
          <w:iCs w:val="1"/>
          <w:color w:val="auto"/>
        </w:rPr>
        <w:t>PGI-C</w:t>
      </w:r>
      <w:r>
        <w:rPr>
          <w:rFonts w:ascii="Times New Roman" w:cs="Times New Roman" w:eastAsia="Times New Roman" w:hAnsi="Times New Roman"/>
          <w:sz w:val="15"/>
          <w:szCs w:val="15"/>
          <w:color w:val="auto"/>
        </w:rPr>
        <w:t>). Responders were identified as those who self-rated ‘very much less anxious’ or ‘much less anxious’ and 40.6% of fasedienol-treated patients were rated as responders, as compared to 18.6% of those treated with placebo (p=0.003). In addition, our PALISADE-2 trial also met the exploratory endpoint of the difference in the proportion of patients in each treatment group with a 20-point or greater improvement in patient-assessed SUDS score from baseline (Visit 2) to treatment (Visit 3). Of the fasedienol-treated patients, 35.7% demonstrated this statistically significant and clinically meaningful improvement in SUDS score, as compared to 18.6% in the placebo-treated group (p=0.020). Fasedienol was observed to be well-tolerated with no serious adverse events, and the treatment-emergent adverse event (</w:t>
      </w:r>
      <w:r>
        <w:rPr>
          <w:rFonts w:ascii="Times New Roman" w:cs="Times New Roman" w:eastAsia="Times New Roman" w:hAnsi="Times New Roman"/>
          <w:sz w:val="15"/>
          <w:szCs w:val="15"/>
          <w:i w:val="1"/>
          <w:iCs w:val="1"/>
          <w:color w:val="auto"/>
        </w:rPr>
        <w:t>TEAE</w:t>
      </w:r>
      <w:r>
        <w:rPr>
          <w:rFonts w:ascii="Times New Roman" w:cs="Times New Roman" w:eastAsia="Times New Roman" w:hAnsi="Times New Roman"/>
          <w:sz w:val="15"/>
          <w:szCs w:val="15"/>
          <w:color w:val="auto"/>
        </w:rPr>
        <w:t>) profiles were comparable between fasedienol and placebo. Overall, no TEAE, except for pyrexia in the placebo group (2.49%), was more prevalent than 2.0%.</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To complement the positive topline results from PALISADE-2, we are preparing to launch PALISADE-3 in the first half of 2024 and PALISADE-4 in the second half of 2024. Like PALISADE-2, both PALISADE-3 and PALISADE-4 will be multi-center, randomized, double-blind, placebo-controlled studies designed to evaluate the efficacy, safety, and tolerability of the acute administration of fasedienol to relieve anxiety symptoms in adult patients with SAD after a single dose of fasedienol during a simulated, anxiety-provoking public speaking challenge in a clinical setting, as measured using the patient-reported SUDS as the primary efficacy endpoint. In addition, both PALISADE-3 and PALISADE-4 will have an open-label extension for a period of up to 12 months. We believe either PALISADE-3 or PALISADE-4, if successful, together with PALISADE-2, may establish substantial evidence of effectiveness of fasedienol in support of a potential fasedienol NDA submission for the acute treatment of anxiety in adults with SAD with the FDA.</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are also planning to initiate the Repeat Dose Study in the second half of 2024. The Repeat Dose Study will be a multi-center, randomized, double-blind, placebo-controlled, clinical trial designed to evaluate repeated dosing of fasedienol in adult patients with SAD during a single simulated, anxiety-provoking public speaking challenge in a clinical setting. The Repeat Dose Study trial will consist of three different dosing arms, with an open-label extension for a period of up to 12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U.S. FDA has granted Fast Track designation for the investigation of fasedienol for the acute treatment of SAD.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Itruvone Nasal Spray for Major Depressive Disorder (MDD)</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Itruvone (PH10) is an odorless, tasteless synthetic investigational neuroactive pherine nasal spray from the pregnane family with an innovative potential MOA that is fundamentally differentiated from the MOA of all currently approved treatments for depression disorders. Itruvone neuroactive nasal spray is administered at microgram-level doses and is designed to engage and activate chemosensory neurons in the nasal cavity, which are connected to neural circuits in the brain that produce antidepressant effects. Unlike all currently approved oral antidepressants (</w:t>
      </w:r>
      <w:r>
        <w:rPr>
          <w:rFonts w:ascii="Times New Roman" w:cs="Times New Roman" w:eastAsia="Times New Roman" w:hAnsi="Times New Roman"/>
          <w:sz w:val="15"/>
          <w:szCs w:val="15"/>
          <w:i w:val="1"/>
          <w:iCs w:val="1"/>
          <w:color w:val="auto"/>
        </w:rPr>
        <w:t>ADs</w:t>
      </w:r>
      <w:r>
        <w:rPr>
          <w:rFonts w:ascii="Times New Roman" w:cs="Times New Roman" w:eastAsia="Times New Roman" w:hAnsi="Times New Roman"/>
          <w:sz w:val="15"/>
          <w:szCs w:val="15"/>
          <w:color w:val="auto"/>
        </w:rPr>
        <w:t>) and rapid-onset intravenous and intranasal ketamine-based therapy, we believe itruvone does not require systemic absorption or direct activity on neurons in the brain to produce antidepressant effects without the side effects and safety concerns that may be associated with current antidepressant therapies.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We are currently preparing and planning for potential U.S. Phase 2B clinical development of itruvone for treatment of MDD. In a randomized, double-blind, placebo-controlled parallel design Phase 2A clinical trial of itruvone in MDD and published in the peer-reviewed </w:t>
      </w:r>
      <w:r>
        <w:rPr>
          <w:rFonts w:ascii="Times New Roman" w:cs="Times New Roman" w:eastAsia="Times New Roman" w:hAnsi="Times New Roman"/>
          <w:sz w:val="15"/>
          <w:szCs w:val="15"/>
          <w:i w:val="1"/>
          <w:iCs w:val="1"/>
          <w:color w:val="auto"/>
        </w:rPr>
        <w:t>British Journal of Pharmaceutical and Medical Research,</w:t>
      </w:r>
      <w:r>
        <w:rPr>
          <w:rFonts w:ascii="Times New Roman" w:cs="Times New Roman" w:eastAsia="Times New Roman" w:hAnsi="Times New Roman"/>
          <w:sz w:val="15"/>
          <w:szCs w:val="15"/>
          <w:color w:val="auto"/>
        </w:rPr>
        <w:t xml:space="preserve"> at a 6.4 μg dose administered intranasally twice daily for eight weeks, PH10 significantly reduced depressive symptoms as early as one week based on the 17-item Hamilton Depression Scale (HAM-D-17) scores compared to placebo (p=0.022). Itruvone was well-tolerated and did not cause psychological side effects (such as dissociation or hallucinations) or other safety concerns that may be associated with other approved pharmacological therapies for MDD. The trial was sponsored by Pherin Pharmaceuticals (</w:t>
      </w:r>
      <w:r>
        <w:rPr>
          <w:rFonts w:ascii="Times New Roman" w:cs="Times New Roman" w:eastAsia="Times New Roman" w:hAnsi="Times New Roman"/>
          <w:sz w:val="15"/>
          <w:szCs w:val="15"/>
          <w:i w:val="1"/>
          <w:iCs w:val="1"/>
          <w:color w:val="auto"/>
        </w:rPr>
        <w:t>Pherin</w:t>
      </w:r>
      <w:r>
        <w:rPr>
          <w:rFonts w:ascii="Times New Roman" w:cs="Times New Roman" w:eastAsia="Times New Roman" w:hAnsi="Times New Roman"/>
          <w:sz w:val="15"/>
          <w:szCs w:val="15"/>
          <w:color w:val="auto"/>
        </w:rPr>
        <w:t>), now a wholly-owned subsidiary of Vistagen, and was conducted in Mexico. Positive data from our recent U.S. IND-enabling Phase 1 trial demonstrated that there were no reported treatment-related serious adverse events (</w:t>
      </w:r>
      <w:r>
        <w:rPr>
          <w:rFonts w:ascii="Times New Roman" w:cs="Times New Roman" w:eastAsia="Times New Roman" w:hAnsi="Times New Roman"/>
          <w:sz w:val="15"/>
          <w:szCs w:val="15"/>
          <w:i w:val="1"/>
          <w:iCs w:val="1"/>
          <w:color w:val="auto"/>
        </w:rPr>
        <w:t>SAEs</w:t>
      </w:r>
      <w:r>
        <w:rPr>
          <w:rFonts w:ascii="Times New Roman" w:cs="Times New Roman" w:eastAsia="Times New Roman" w:hAnsi="Times New Roman"/>
          <w:sz w:val="15"/>
          <w:szCs w:val="15"/>
          <w:color w:val="auto"/>
        </w:rPr>
        <w:t>) or discontinuations due to adverse events in the trial. Overall, itruvone was well-tolerated and continued to demonstrate a favorable safety profile consistent with all other itruvone trials completed to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U.S. FDA has granted Fast Track designation for the investigation of itruvone for the treatment of MDD.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PH80 Nasal Spray for Women</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 Health Disorders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PH80 is an odorless, tasteless synthetic investigational pherine nasal spray with a novel, rapid-onset potential MOA that is fundamentally differentiated from the MOA of all currently approved treatments for vasomotor symptoms (hot flashes) due to menopause, premenstrual dysphoric disorder (</w:t>
      </w:r>
      <w:r>
        <w:rPr>
          <w:rFonts w:ascii="Times New Roman" w:cs="Times New Roman" w:eastAsia="Times New Roman" w:hAnsi="Times New Roman"/>
          <w:sz w:val="15"/>
          <w:szCs w:val="15"/>
          <w:i w:val="1"/>
          <w:iCs w:val="1"/>
          <w:color w:val="auto"/>
        </w:rPr>
        <w:t>PMDD</w:t>
      </w:r>
      <w:r>
        <w:rPr>
          <w:rFonts w:ascii="Times New Roman" w:cs="Times New Roman" w:eastAsia="Times New Roman" w:hAnsi="Times New Roman"/>
          <w:sz w:val="15"/>
          <w:szCs w:val="15"/>
          <w:color w:val="auto"/>
        </w:rPr>
        <w:t>), and other women’s health disorders and migraine headaches. PH80 activates chemosensory neurons in the nasal cavity connected to neural circuits that modulate the basal forebrain associated with the control of body temperature.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1" w:name="page12"/>
    <w:bookmarkEnd w:id="11"/>
    <w:p>
      <w:pPr>
        <w:jc w:val="both"/>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PH80 for Moderate to Severe Vasomotor Symptoms (hot flashes) due to Menopause. </w:t>
      </w:r>
      <w:r>
        <w:rPr>
          <w:rFonts w:ascii="Times New Roman" w:cs="Times New Roman" w:eastAsia="Times New Roman" w:hAnsi="Times New Roman"/>
          <w:sz w:val="15"/>
          <w:szCs w:val="15"/>
          <w:color w:val="auto"/>
        </w:rPr>
        <w:t>We recently reported positive results from a previously unpublished exploratory randomized,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double-blind, placebo-controlled Phase 2A study of PH80 for the acute treatment of vasomotor symptoms (hot flashes) due to menopause sponsored by Pherin, now our wholly-owned subsidiary. This Phase 2A study conducted in a real-world setting demonstrated a statistically significant reduction in the daily number of menopausal hot flashes compared to placebo at the end of the first week of treatment (p=&lt;0.001), and the improvement was maintained through each treatment week until the end of the four-week treatment period (p=&lt;0.001). PH80 treatment also significantly reduced the severity, disruption in function, and sweating related to hot flashes during the treatment period as compared with placebo. PH80 was well-tolerated with no serious adverse events (</w:t>
      </w:r>
      <w:r>
        <w:rPr>
          <w:rFonts w:ascii="Times New Roman" w:cs="Times New Roman" w:eastAsia="Times New Roman" w:hAnsi="Times New Roman"/>
          <w:sz w:val="15"/>
          <w:szCs w:val="15"/>
          <w:i w:val="1"/>
          <w:iCs w:val="1"/>
          <w:color w:val="auto"/>
        </w:rPr>
        <w:t>SAEs</w:t>
      </w:r>
      <w:r>
        <w:rPr>
          <w:rFonts w:ascii="Times New Roman" w:cs="Times New Roman" w:eastAsia="Times New Roman" w:hAnsi="Times New Roman"/>
          <w:sz w:val="15"/>
          <w:szCs w:val="15"/>
          <w:color w:val="auto"/>
        </w:rPr>
        <w:t>), and the adverse event profiles were comparable between PH80 and placebo. All 36 subjects completed four weeks of treatment and no subject discontinued participation in the study as a result of TEAEs.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b w:val="1"/>
          <w:bCs w:val="1"/>
          <w:color w:val="auto"/>
        </w:rPr>
        <w:t>PH80 for Premenstrual Dysphoric Disorder (</w:t>
      </w:r>
      <w:r>
        <w:rPr>
          <w:rFonts w:ascii="Times New Roman" w:cs="Times New Roman" w:eastAsia="Times New Roman" w:hAnsi="Times New Roman"/>
          <w:sz w:val="15"/>
          <w:szCs w:val="15"/>
          <w:b w:val="1"/>
          <w:bCs w:val="1"/>
          <w:i w:val="1"/>
          <w:iCs w:val="1"/>
          <w:color w:val="auto"/>
        </w:rPr>
        <w:t>PMDD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We also recently reported positive results from a previously unpublished exploratory randomized, double-blind, placebo-controlled Phase 2A clinical study of PH80 for acute management of the symptoms of PMDD, including negative mood and physical and behavioral symptoms, in subjects with a regular menstrual cycle and at least a one-year history of PMDD. This Phase 2A study was sponsored by Pherin, now our wholly-owned subsidiary, and demonstrated a statistically significant improvement versus placebo in acute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w:t>
      </w:r>
      <w:r>
        <w:rPr>
          <w:rFonts w:ascii="Times New Roman" w:cs="Times New Roman" w:eastAsia="Times New Roman" w:hAnsi="Times New Roman"/>
          <w:sz w:val="15"/>
          <w:szCs w:val="15"/>
          <w:i w:val="1"/>
          <w:iCs w:val="1"/>
          <w:color w:val="auto"/>
        </w:rPr>
        <w:t>DSR</w:t>
      </w:r>
      <w:r>
        <w:rPr>
          <w:rFonts w:ascii="Times New Roman" w:cs="Times New Roman" w:eastAsia="Times New Roman" w:hAnsi="Times New Roman"/>
          <w:sz w:val="15"/>
          <w:szCs w:val="15"/>
          <w:color w:val="auto"/>
        </w:rPr>
        <w:t>) as early as Day 4 and continuing to Day 6 (p=0.008). PH80 also demonstrated statistically and clinically significant improvement versus placebo at Day 6 on the clinician-rated Premenstrual Tension Scale (</w:t>
      </w:r>
      <w:r>
        <w:rPr>
          <w:rFonts w:ascii="Times New Roman" w:cs="Times New Roman" w:eastAsia="Times New Roman" w:hAnsi="Times New Roman"/>
          <w:sz w:val="15"/>
          <w:szCs w:val="15"/>
          <w:i w:val="1"/>
          <w:iCs w:val="1"/>
          <w:color w:val="auto"/>
        </w:rPr>
        <w:t>PMTS</w:t>
      </w:r>
      <w:r>
        <w:rPr>
          <w:rFonts w:ascii="Times New Roman" w:cs="Times New Roman" w:eastAsia="Times New Roman" w:hAnsi="Times New Roman"/>
          <w:sz w:val="15"/>
          <w:szCs w:val="15"/>
          <w:color w:val="auto"/>
        </w:rPr>
        <w:t>) total score (p=0.006). PH80 was well-tolerated with no SAEs. The most common TEAE was headache, reported by 17% in the placebo group and 7% in the PH80 group. No other TEAE occurred more than once per subject.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preparing to conduct certain nonclinical studies during the 2024 calendar year necessary to submit our U.S. IND for potential Phase 2B clinical development of PH80 in the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one or more women’s health indications.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PH15 Nasal Spray for Cognitive and Psychomotor Performance and Improvement</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PH15 is an odorless, tasteless synthetic investigational pherine nasal spray with a novel, rapid-onset potential MOA that is fundamentally differentiated from the MOA of all currently approved treatments to improve cognitive impairment caused by mental fatigue and potentially other disorders. We believe intranasal PH15 has the potential to improve cognitive and psychomotor performance and improvement of reaction time in individuals with mental fatigue. We are currently evaluating the potential path forward for PH15, including an assessment of completed studies and studies we believe are necessary to submit a U.S. IND for potential further Phase 2 clinical development of PH15 in the U.S., including the appropriate indication for demonstrating improvement of cognitive function.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PH284 Nasal Spray for Cachexia</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PH284 is an odorless, tasteless synthetic investigational pherine nasal spray with a novel, rapid-onset potential MOA that is fundamentally differentiated from the MOA of all currently approved treatments for the loss of appetite associated with chronic disorders such as cancer. Cachexia is a serious but under-recognized consequence of many chronic diseases with body mass loss of &gt;10% and a prevalence of 5 to 15 %. We believe PH284 may have therapeutic potential for improving subjective feelings of hunger in patients with cachexia. We are currently evaluating the potential path forward for PH284, including assessment of completed studies and studies we believe are necessary to submit a U.S. IND for potential further Phase 2 clinical development of PH15 for the treatment of cachexia, including the appropriate patient populations for demonstrating an increase in appetite and weight gain.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AV-101 for Neurological Disorders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AV-</w:t>
      </w:r>
      <w:r>
        <w:rPr>
          <w:rFonts w:ascii="Times New Roman" w:cs="Times New Roman" w:eastAsia="Times New Roman" w:hAnsi="Times New Roman"/>
          <w:sz w:val="15"/>
          <w:szCs w:val="15"/>
          <w:i w:val="1"/>
          <w:iCs w:val="1"/>
          <w:color w:val="auto"/>
        </w:rPr>
        <w:t>101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4</w:t>
      </w:r>
      <w:r>
        <w:rPr>
          <w:rFonts w:ascii="Times New Roman" w:cs="Times New Roman" w:eastAsia="Times New Roman" w:hAnsi="Times New Roman"/>
          <w:sz w:val="15"/>
          <w:szCs w:val="15"/>
          <w:color w:val="auto"/>
        </w:rPr>
        <w:t>-Cl-KYN) is a novel, oral prodrug that targets the NMDAR (N-methyl-D-aspartate receptor), an ionotropic glutamate receptor in the brain. Based on observations and findings from preclinical studies, we believe AV-</w:t>
      </w:r>
      <w:r>
        <w:rPr>
          <w:rFonts w:ascii="Times New Roman" w:cs="Times New Roman" w:eastAsia="Times New Roman" w:hAnsi="Times New Roman"/>
          <w:sz w:val="15"/>
          <w:szCs w:val="15"/>
          <w:i w:val="1"/>
          <w:iCs w:val="1"/>
          <w:color w:val="auto"/>
        </w:rPr>
        <w:t>101</w:t>
      </w:r>
      <w:r>
        <w:rPr>
          <w:rFonts w:ascii="Times New Roman" w:cs="Times New Roman" w:eastAsia="Times New Roman" w:hAnsi="Times New Roman"/>
          <w:sz w:val="15"/>
          <w:szCs w:val="15"/>
          <w:color w:val="auto"/>
        </w:rPr>
        <w:t xml:space="preserve"> has the potential to become a new oral treatment alternative for multiple neuroscience disorders, including levodopa-induced dyskinesia and neuropathic pain among others. We are currently assessing a path forward for potential Phase </w:t>
      </w:r>
      <w:r>
        <w:rPr>
          <w:rFonts w:ascii="Times New Roman" w:cs="Times New Roman" w:eastAsia="Times New Roman" w:hAnsi="Times New Roman"/>
          <w:sz w:val="15"/>
          <w:szCs w:val="15"/>
          <w:i w:val="1"/>
          <w:iCs w:val="1"/>
          <w:color w:val="auto"/>
        </w:rPr>
        <w:t>2A</w:t>
      </w:r>
      <w:r>
        <w:rPr>
          <w:rFonts w:ascii="Times New Roman" w:cs="Times New Roman" w:eastAsia="Times New Roman" w:hAnsi="Times New Roman"/>
          <w:sz w:val="15"/>
          <w:szCs w:val="15"/>
          <w:color w:val="auto"/>
        </w:rPr>
        <w:t xml:space="preserve"> clinical development of AV-</w:t>
      </w:r>
      <w:r>
        <w:rPr>
          <w:rFonts w:ascii="Times New Roman" w:cs="Times New Roman" w:eastAsia="Times New Roman" w:hAnsi="Times New Roman"/>
          <w:sz w:val="15"/>
          <w:szCs w:val="15"/>
          <w:i w:val="1"/>
          <w:iCs w:val="1"/>
          <w:color w:val="auto"/>
        </w:rPr>
        <w:t>101,</w:t>
      </w:r>
      <w:r>
        <w:rPr>
          <w:rFonts w:ascii="Times New Roman" w:cs="Times New Roman" w:eastAsia="Times New Roman" w:hAnsi="Times New Roman"/>
          <w:sz w:val="15"/>
          <w:szCs w:val="15"/>
          <w:color w:val="auto"/>
        </w:rPr>
        <w:t xml:space="preserve"> either on our own or with collaborators, as a treatment for levodopa-induced dyskinesia associated with Parkinson’s disease therapy and possibly </w:t>
      </w:r>
      <w:r>
        <w:rPr>
          <w:rFonts w:ascii="Times New Roman" w:cs="Times New Roman" w:eastAsia="Times New Roman" w:hAnsi="Times New Roman"/>
          <w:sz w:val="15"/>
          <w:szCs w:val="15"/>
          <w:i w:val="1"/>
          <w:iCs w:val="1"/>
          <w:color w:val="auto"/>
        </w:rPr>
        <w:t>one</w:t>
      </w:r>
      <w:r>
        <w:rPr>
          <w:rFonts w:ascii="Times New Roman" w:cs="Times New Roman" w:eastAsia="Times New Roman" w:hAnsi="Times New Roman"/>
          <w:sz w:val="15"/>
          <w:szCs w:val="15"/>
          <w:color w:val="auto"/>
        </w:rPr>
        <w:t xml:space="preserve"> or more additional neurological disorders involving the NMDAR receptor.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U.S. FDA has granted Fast Track designation for the investigation of AV-101 for the treatment of neuropathic pain and for the adjunctive treatment of MDD.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Vistagen Therapeutics, Inc., a Nevada corporation, is the parent of Pherin Pharmaceuticals, Inc., a Delaware corporation, and Vistastem, Inc., a wholly owned California corporation. Our principal executive offices are located at 343 Allerton Avenue, South San Francisco, California 94080, and our telephone number is (650) 577-3600. Our website address is www.vistagen.com.</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intend to use the net proceeds from the sale of any securities offered under this prospectus for general corporate purposes unless otherwise indicated in the applicable prospectus supplement. General corporate purposes may include expenditures for research and development expenditures, nonclinical and clinical trials, contract manufacturing, pre-commercial and commercial activities, information technology, intellectual property, working capital, the acquisition of companies or businesses and the repayment and refinancing of debt. We have not determined the amount of net proceeds to be used specifically for such purposes. As a result, management will retain broad discretion over the allocation of net proceeds.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5"/>
          <w:szCs w:val="15"/>
          <w:b w:val="1"/>
          <w:bCs w:val="1"/>
          <w:color w:val="auto"/>
        </w:rPr>
        <w:t>SECURITIES THAT MAY BE OFFERED</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may offer under this prospectus shares of our common stock and preferred stock, various series of debt securities, warrants to purchase any of such securities and units comprised of one or more of the other securities that may be offered under this prospectus, either individually or in combination with other securities, with a total value of up to $350,000,000 from time to time at prices and on terms to be determined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52" w:lineRule="exact"/>
        <w:rPr>
          <w:sz w:val="20"/>
          <w:szCs w:val="20"/>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designation or classification;</w:t>
      </w:r>
    </w:p>
    <w:p>
      <w:pPr>
        <w:spacing w:after="0" w:line="188"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 principal amount or aggregate offering price;</w:t>
      </w:r>
    </w:p>
    <w:p>
      <w:pPr>
        <w:spacing w:after="0" w:line="188"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maturity;</w:t>
      </w:r>
    </w:p>
    <w:p>
      <w:pPr>
        <w:spacing w:after="0" w:line="188"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original issue discount;</w:t>
      </w:r>
    </w:p>
    <w:p>
      <w:pPr>
        <w:spacing w:after="0" w:line="188"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rates and times of payment of interest or dividends;</w:t>
      </w:r>
    </w:p>
    <w:p>
      <w:pPr>
        <w:spacing w:after="0" w:line="188"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redemption, conversion, exercise, exchange or sinking fund terms;</w:t>
      </w:r>
    </w:p>
    <w:p>
      <w:pPr>
        <w:spacing w:after="0" w:line="188"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ranking;</w:t>
      </w:r>
    </w:p>
    <w:p>
      <w:pPr>
        <w:spacing w:after="0" w:line="188"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restrictive covenants;</w:t>
      </w:r>
    </w:p>
    <w:p>
      <w:pPr>
        <w:spacing w:after="0" w:line="188"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or other rights;</w:t>
      </w:r>
    </w:p>
    <w:p>
      <w:pPr>
        <w:spacing w:after="0" w:line="188"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conversion or exchange prices or rates and, if applicable, any provisions for changes to or adjustments in the conversion or exchange prices or rates and in the securities or other property receivable upon conversion or exchange; and</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material U.S. federal income tax considerations, if 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This prospectus may not be used to offer or sell securities unless accompanied by an applicable prospectus supplement. 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following descriptions are not complete and may not contain all the information you should consider before investing in any securities we may offer hereunder; they are summarized from, and qualified by reference to, our restated certificate of incorporation, amended and restated by-laws, as amended, and the other documents referred to in the descriptions, all of which are or will be publicly filed with the SEC, as applicable. See “Where You Can Find More Information.”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DEBT SECURITIES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This section describes the general terms and provisions of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will describe the specific terms of any debt securities offered through that prospectus supplement. The terms of any debt securities we offer under a prospectus supplement may differ from the terms we describe below.</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None of the indentures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senior debt securities will constitute our unsecured and unsubordinated general obligations and will rank pari passu with our other unsecured and unsubordinated obligations, if any. The subordinated debt securities will constitute our unsecured and subordinated general obligations and will be junior in right of payment to our senior indebtedness (including senior debt securities), as described under the heading “– Certain Terms of the Subordinated Debt Securities – Subordination.” The debt securities will be structurally subordinated to all existing and future indebtedness and other liabilities of our subsidiaries unless such subsidiaries expressly guarantee such debt securities.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debt securities will be our unsecured obligations. Any secured debt or other secured obligations will be effectively senior to the debt securities to the extent of the value of the assets securing such debt or other obligations.</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applicable prospectus supplement and/or free writing prospectus will include any additional or different terms of the debt securities of any series being offered, including the following terms:</w:t>
      </w:r>
    </w:p>
    <w:p>
      <w:pPr>
        <w:spacing w:after="0" w:line="135" w:lineRule="exact"/>
        <w:rPr>
          <w:sz w:val="20"/>
          <w:szCs w:val="20"/>
          <w:color w:val="auto"/>
        </w:rPr>
      </w:pPr>
    </w:p>
    <w:p>
      <w:pPr>
        <w:ind w:left="660" w:hanging="399"/>
        <w:spacing w:after="0"/>
        <w:tabs>
          <w:tab w:leader="none" w:pos="6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and type of the debt securities;</w:t>
      </w:r>
    </w:p>
    <w:p>
      <w:pPr>
        <w:spacing w:after="0" w:line="210" w:lineRule="exact"/>
        <w:rPr>
          <w:rFonts w:ascii="Times New Roman" w:cs="Times New Roman" w:eastAsia="Times New Roman" w:hAnsi="Times New Roman"/>
          <w:sz w:val="15"/>
          <w:szCs w:val="15"/>
          <w:color w:val="auto"/>
        </w:rPr>
      </w:pPr>
    </w:p>
    <w:p>
      <w:pPr>
        <w:ind w:left="660" w:right="20" w:hanging="399"/>
        <w:spacing w:after="0" w:line="283" w:lineRule="auto"/>
        <w:tabs>
          <w:tab w:leader="none" w:pos="6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will be senior or subordinated debt securities, and, with respect to debt securities issued under the subordinated indenture the terms on which they are subordinated;</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principal amount of the debt securities;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at which we will sell the debt securities;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maturity date or dates of the debt securities and the right, if any, to extend such date or dates;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if any, per year, at which the debt securities will bear interest, or the method of determining such rate or rates;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5" w:name="page16"/>
    <w:bookmarkEnd w:id="15"/>
    <w:p>
      <w:pPr>
        <w:ind w:left="660" w:hanging="399"/>
        <w:spacing w:after="0" w:line="283" w:lineRule="auto"/>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from which such interest will accrue, the interest payment dates on which such interest will be payable or the manner of determination of such interest payment dates and the related record dates;</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 if any, to extend the interest payment periods and the duration of that extension;</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of paying principal and interest and the place or places where principal and interest will be payable;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for a sinking fund, purchase fund or other analogous fund, if any;</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redemption dates, prices, obligations and restrictions on the debt securities;</w:t>
      </w:r>
    </w:p>
    <w:p>
      <w:pPr>
        <w:spacing w:after="0" w:line="210"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currencies or currency units in which the debt securities will be denominated and the currency, currencies or currency units in which principal and interest, if any, on the debt securities may be payable;</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conversion or exchange features of the debt securities;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upon what terms the debt securities may be defeased;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events of default or covenants in addition to or in lieu of those set forth in the indenture;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will be issued in definitive or global form or in definitive form only upon satisfaction of certain conditions;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will be guaranteed as to payment or performance;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special tax implications of the debt securities; and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material terms of the debt securities.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When we refer to “principal” in this section with reference to the debt securities, we are also referring to “premium, if 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color w:val="auto"/>
        </w:rPr>
        <w:t>Certain Terms of the Senior Debt Securities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Covenants. </w:t>
      </w:r>
      <w:r>
        <w:rPr>
          <w:rFonts w:ascii="Times New Roman" w:cs="Times New Roman" w:eastAsia="Times New Roman" w:hAnsi="Times New Roman"/>
          <w:sz w:val="15"/>
          <w:szCs w:val="15"/>
          <w:color w:val="auto"/>
        </w:rPr>
        <w:t>Unless we indicate otherwise in a prospectus supplement, the senior debt securities will not contain any financial or restrictive covenants, including covenants restricting either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us or our subsidiaries from incurring, issuing, assuming or guaranteeing any indebtedness secured by a lien on any of our or our subsidiaries’ property or capital stock, or restricting either us or our subsidiaries from entering into sale and leaseback transactions.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i w:val="1"/>
          <w:iCs w:val="1"/>
          <w:color w:val="auto"/>
        </w:rPr>
        <w:t xml:space="preserve">Consolidation, Merger and Sale of Assets. </w:t>
      </w:r>
      <w:r>
        <w:rPr>
          <w:rFonts w:ascii="Times New Roman" w:cs="Times New Roman" w:eastAsia="Times New Roman" w:hAnsi="Times New Roman"/>
          <w:sz w:val="15"/>
          <w:szCs w:val="15"/>
          <w:color w:val="auto"/>
        </w:rPr>
        <w:t>Unless we indicate otherwise in a prospectus supplement, we may not consolidate with or merge into any other person, in a transaction in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 are not the surviving corporation, or convey, transfer or lease our properties and assets substantially as an entirety to any person, in either case, unless:</w:t>
      </w:r>
    </w:p>
    <w:p>
      <w:pPr>
        <w:spacing w:after="0" w:line="132" w:lineRule="exact"/>
        <w:rPr>
          <w:sz w:val="20"/>
          <w:szCs w:val="20"/>
          <w:color w:val="auto"/>
        </w:rPr>
      </w:pPr>
    </w:p>
    <w:p>
      <w:pPr>
        <w:ind w:left="660" w:hanging="399"/>
        <w:spacing w:after="0"/>
        <w:tabs>
          <w:tab w:leader="none" w:pos="6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successor entity, if any, is a U.S. corporation, limited liability company, partnership or trust (subject to certain exceptions provided for in the senior indenture);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successor entity assumes our obligations on the senior debt securities and under the senior indenture;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the transaction, no default or event of default shall have occurred and be continuing; and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other conditions are met.</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No Protection in the Event of a Change in Control. </w:t>
      </w:r>
      <w:r>
        <w:rPr>
          <w:rFonts w:ascii="Times New Roman" w:cs="Times New Roman" w:eastAsia="Times New Roman" w:hAnsi="Times New Roman"/>
          <w:sz w:val="15"/>
          <w:szCs w:val="15"/>
          <w:color w:val="auto"/>
        </w:rPr>
        <w:t>Unless we indicate otherwise in a prospectus supplement with respect to a particular series of senior debt securities, the senior debt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i w:val="1"/>
          <w:iCs w:val="1"/>
          <w:color w:val="auto"/>
        </w:rPr>
        <w:t xml:space="preserve">Events of Default. </w:t>
      </w:r>
      <w:r>
        <w:rPr>
          <w:rFonts w:ascii="Times New Roman" w:cs="Times New Roman" w:eastAsia="Times New Roman" w:hAnsi="Times New Roman"/>
          <w:sz w:val="15"/>
          <w:szCs w:val="15"/>
          <w:color w:val="auto"/>
        </w:rPr>
        <w:t>Unless we indicate otherwise in a prospectus supplement with respect to a particular series of senior debt securities, the following are events of default under the senior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indenture for any series of senior debt securities:</w:t>
      </w:r>
    </w:p>
    <w:p>
      <w:pPr>
        <w:spacing w:after="0" w:line="132" w:lineRule="exact"/>
        <w:rPr>
          <w:sz w:val="20"/>
          <w:szCs w:val="20"/>
          <w:color w:val="auto"/>
        </w:rPr>
      </w:pPr>
    </w:p>
    <w:p>
      <w:pPr>
        <w:ind w:left="660" w:right="20" w:hanging="399"/>
        <w:spacing w:after="0" w:line="283" w:lineRule="auto"/>
        <w:tabs>
          <w:tab w:leader="none" w:pos="6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pay interest on any senior debt securities of such series when due and payable, if that default continues for a period of 30 days (or such other period as may be specified for such series);</w:t>
      </w:r>
    </w:p>
    <w:p>
      <w:pPr>
        <w:spacing w:after="0" w:line="134"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134" w:lineRule="exact"/>
        <w:rPr>
          <w:rFonts w:ascii="Times New Roman" w:cs="Times New Roman" w:eastAsia="Times New Roman" w:hAnsi="Times New Roman"/>
          <w:sz w:val="15"/>
          <w:szCs w:val="15"/>
          <w:color w:val="auto"/>
        </w:rPr>
      </w:pPr>
    </w:p>
    <w:p>
      <w:pPr>
        <w:jc w:val="both"/>
        <w:ind w:left="660" w:hanging="399"/>
        <w:spacing w:after="0" w:line="267" w:lineRule="auto"/>
        <w:tabs>
          <w:tab w:leader="none" w:pos="6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146"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of bankruptcy or insolvency, whether or not voluntary; and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for in such series of senior debt securities as may be specified in the applicable prospectus supplement.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default by us under any other debt, including any other series of debt securities, is not a default under the senior indenture.</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If an event of default specified in the fourth bullet point above occurs and is continuing, the entire principal amount of and accrued interest on each series of senior debt securities then outstanding shall become immediately due and payable.</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5"/>
          <w:szCs w:val="15"/>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152" w:lineRule="exact"/>
        <w:rPr>
          <w:sz w:val="20"/>
          <w:szCs w:val="20"/>
          <w:color w:val="auto"/>
        </w:rPr>
      </w:pPr>
    </w:p>
    <w:p>
      <w:pPr>
        <w:ind w:left="660" w:hanging="399"/>
        <w:spacing w:after="0"/>
        <w:tabs>
          <w:tab w:leader="none" w:pos="6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 gives the trustee written notice of a continuing event of default;</w:t>
      </w:r>
    </w:p>
    <w:p>
      <w:pPr>
        <w:spacing w:after="0" w:line="210"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at least 25% in aggregate principal amount of such series of senior debt securities make a written request to the trustee to pursue the remedy in respect of such event of default;</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requesting holder or holders offer the trustee indemnity satisfactory to the trustee against any costs, liability or expense;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does not comply with the request within 60 days after receipt of the request and the offer of indemnity; and</w:t>
      </w:r>
    </w:p>
    <w:p>
      <w:pPr>
        <w:spacing w:after="0" w:line="210" w:lineRule="exact"/>
        <w:rPr>
          <w:rFonts w:ascii="Times New Roman" w:cs="Times New Roman" w:eastAsia="Times New Roman" w:hAnsi="Times New Roman"/>
          <w:sz w:val="15"/>
          <w:szCs w:val="15"/>
          <w:color w:val="auto"/>
        </w:rPr>
      </w:pPr>
    </w:p>
    <w:p>
      <w:pPr>
        <w:ind w:left="660" w:right="20" w:hanging="399"/>
        <w:spacing w:after="0" w:line="283" w:lineRule="auto"/>
        <w:tabs>
          <w:tab w:leader="none" w:pos="6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such 60-day period, the holders of a majority in aggregate principal amount of such series of senior debt securities do not give the trustee a direction that is inconsistent with the request.</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These limitations, however, do not apply to the right of any holder of a senior debt security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Satisfaction and Discharge</w:t>
      </w:r>
      <w:r>
        <w:rPr>
          <w:rFonts w:ascii="Times New Roman" w:cs="Times New Roman" w:eastAsia="Times New Roman" w:hAnsi="Times New Roman"/>
          <w:sz w:val="15"/>
          <w:szCs w:val="15"/>
          <w:color w:val="auto"/>
        </w:rPr>
        <w:t>. We can satisfy and discharge our obligations to holders of any series of debt securities if:</w:t>
      </w:r>
    </w:p>
    <w:p>
      <w:pPr>
        <w:spacing w:after="0" w:line="190" w:lineRule="exact"/>
        <w:rPr>
          <w:sz w:val="20"/>
          <w:szCs w:val="20"/>
          <w:color w:val="auto"/>
        </w:rPr>
      </w:pPr>
    </w:p>
    <w:p>
      <w:pPr>
        <w:ind w:left="660" w:hanging="399"/>
        <w:spacing w:after="0"/>
        <w:tabs>
          <w:tab w:leader="none" w:pos="6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pay or cause to be paid, as and when due and payable, the principal of and any interest on all senior debt securities of such series outstanding under the senior indenture; or</w:t>
      </w:r>
    </w:p>
    <w:p>
      <w:pPr>
        <w:spacing w:after="0" w:line="210" w:lineRule="exact"/>
        <w:rPr>
          <w:rFonts w:ascii="Times New Roman" w:cs="Times New Roman" w:eastAsia="Times New Roman" w:hAnsi="Times New Roman"/>
          <w:sz w:val="15"/>
          <w:szCs w:val="15"/>
          <w:color w:val="auto"/>
        </w:rPr>
      </w:pPr>
    </w:p>
    <w:p>
      <w:pPr>
        <w:jc w:val="both"/>
        <w:ind w:left="660" w:right="20" w:hanging="399"/>
        <w:spacing w:after="0" w:line="267" w:lineRule="auto"/>
        <w:tabs>
          <w:tab w:leader="none" w:pos="6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senior debt securities of such series have become due and payable or will become due and payable within one year (or are to be called for redemption within one year) and we deposit in trust a combination of cash and U.S. government or U.S. government agency obligations that will generate enough cash to make interest, principal and any other payments on the debt securities of that series on their various due dates.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a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i w:val="1"/>
          <w:iCs w:val="1"/>
          <w:color w:val="auto"/>
        </w:rPr>
        <w:t xml:space="preserve">Defeasance. </w:t>
      </w:r>
      <w:r>
        <w:rPr>
          <w:rFonts w:ascii="Times New Roman" w:cs="Times New Roman" w:eastAsia="Times New Roman" w:hAnsi="Times New Roman"/>
          <w:sz w:val="15"/>
          <w:szCs w:val="15"/>
          <w:color w:val="auto"/>
        </w:rPr>
        <w:t>Unless the applicable prospectus supplement provides otherwise, the following discussion of legal defeasance and discharge and covenant defeasance will apply to any series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debt securities issued under the indentures.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8" w:name="page19"/>
    <w:bookmarkEnd w:id="18"/>
    <w:p>
      <w:pPr>
        <w:ind w:right="20"/>
        <w:spacing w:after="0" w:line="286" w:lineRule="auto"/>
        <w:rPr>
          <w:sz w:val="20"/>
          <w:szCs w:val="20"/>
          <w:color w:val="auto"/>
        </w:rPr>
      </w:pPr>
      <w:r>
        <w:rPr>
          <w:rFonts w:ascii="Times New Roman" w:cs="Times New Roman" w:eastAsia="Times New Roman" w:hAnsi="Times New Roman"/>
          <w:sz w:val="15"/>
          <w:szCs w:val="15"/>
          <w:i w:val="1"/>
          <w:iCs w:val="1"/>
          <w:color w:val="auto"/>
        </w:rPr>
        <w:t>Legal Defeasance</w:t>
      </w:r>
      <w:r>
        <w:rPr>
          <w:rFonts w:ascii="Times New Roman" w:cs="Times New Roman" w:eastAsia="Times New Roman" w:hAnsi="Times New Roman"/>
          <w:sz w:val="15"/>
          <w:szCs w:val="15"/>
          <w:color w:val="auto"/>
        </w:rPr>
        <w:t>. We can legally release ourselves from any payment or other obligations on the debt securities of any series (called “legal defeasance”) if certain conditions are met,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including the following:</w:t>
      </w:r>
    </w:p>
    <w:p>
      <w:pPr>
        <w:spacing w:after="0" w:line="132" w:lineRule="exact"/>
        <w:rPr>
          <w:sz w:val="20"/>
          <w:szCs w:val="20"/>
          <w:color w:val="auto"/>
        </w:rPr>
      </w:pPr>
    </w:p>
    <w:p>
      <w:pPr>
        <w:jc w:val="both"/>
        <w:ind w:left="660" w:hanging="399"/>
        <w:spacing w:after="0" w:line="283" w:lineRule="auto"/>
        <w:tabs>
          <w:tab w:leader="none" w:pos="6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deposit in trust for your benefit and the benefit of all other direct holders of the debt securities of the same series a combination of cash and U.S. government or U.S. government agency obligations that will generate enough cash to make interest, principal and any other payments on the debt securities of that series on their various due dates.</w:t>
      </w:r>
    </w:p>
    <w:p>
      <w:pPr>
        <w:spacing w:after="0" w:line="134" w:lineRule="exact"/>
        <w:rPr>
          <w:rFonts w:ascii="Times New Roman" w:cs="Times New Roman" w:eastAsia="Times New Roman" w:hAnsi="Times New Roman"/>
          <w:sz w:val="15"/>
          <w:szCs w:val="15"/>
          <w:color w:val="auto"/>
        </w:rPr>
      </w:pPr>
    </w:p>
    <w:p>
      <w:pPr>
        <w:jc w:val="both"/>
        <w:ind w:left="660" w:hanging="399"/>
        <w:spacing w:after="0" w:line="261" w:lineRule="auto"/>
        <w:tabs>
          <w:tab w:leader="none" w:pos="6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a change in current U.S. federal income tax law or an Internal Revenue Service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151"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deliver to the trustee a legal opinion of our counsel confirming the tax law change or ruling described above.</w:t>
      </w:r>
    </w:p>
    <w:p>
      <w:pPr>
        <w:spacing w:after="0" w:line="21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If we accomplish legal defeasance, as described above, you would have to rely solely on the trust deposit for repayment of the debt securities. You could not look to us for repayment in the event of any shortfall.</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Covenant Defeasance</w:t>
      </w:r>
      <w:r>
        <w:rPr>
          <w:rFonts w:ascii="Times New Roman" w:cs="Times New Roman" w:eastAsia="Times New Roman" w:hAnsi="Times New Roman"/>
          <w:sz w:val="15"/>
          <w:szCs w:val="15"/>
          <w:color w:val="auto"/>
        </w:rPr>
        <w:t>. Without any change of current U.S. federal tax law, we can make the same type of deposit described above and be released from some of the covenants in the debt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146" w:lineRule="exact"/>
        <w:rPr>
          <w:sz w:val="20"/>
          <w:szCs w:val="20"/>
          <w:color w:val="auto"/>
        </w:rPr>
      </w:pPr>
    </w:p>
    <w:p>
      <w:pPr>
        <w:jc w:val="both"/>
        <w:ind w:left="660" w:hanging="399"/>
        <w:spacing w:after="0" w:line="283" w:lineRule="auto"/>
        <w:tabs>
          <w:tab w:leader="none" w:pos="6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deposit in trust for your benefit and the benefit of all other direct holders of the debt securities of the same series a combination of cash and U.S. government or U.S. government agency obligations that will generate enough cash to make interest, principal and any other payments on the debt securities of that series on their various due dates.</w:t>
      </w:r>
    </w:p>
    <w:p>
      <w:pPr>
        <w:spacing w:after="0" w:line="134" w:lineRule="exact"/>
        <w:rPr>
          <w:rFonts w:ascii="Times New Roman" w:cs="Times New Roman" w:eastAsia="Times New Roman" w:hAnsi="Times New Roman"/>
          <w:sz w:val="15"/>
          <w:szCs w:val="15"/>
          <w:color w:val="auto"/>
        </w:rPr>
      </w:pPr>
    </w:p>
    <w:p>
      <w:pPr>
        <w:ind w:left="660" w:right="20" w:hanging="399"/>
        <w:spacing w:after="0" w:line="283" w:lineRule="auto"/>
        <w:tabs>
          <w:tab w:leader="none" w:pos="6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Modification and Waiver. </w:t>
      </w:r>
      <w:r>
        <w:rPr>
          <w:rFonts w:ascii="Times New Roman" w:cs="Times New Roman" w:eastAsia="Times New Roman" w:hAnsi="Times New Roman"/>
          <w:sz w:val="15"/>
          <w:szCs w:val="15"/>
          <w:color w:val="auto"/>
        </w:rPr>
        <w:t>We and the trustee may amend or supplement the senior indenture or the senior debt securities without the consent of any holder:</w:t>
      </w:r>
    </w:p>
    <w:p>
      <w:pPr>
        <w:spacing w:after="0" w:line="190" w:lineRule="exact"/>
        <w:rPr>
          <w:sz w:val="20"/>
          <w:szCs w:val="20"/>
          <w:color w:val="auto"/>
        </w:rPr>
      </w:pPr>
    </w:p>
    <w:p>
      <w:pPr>
        <w:ind w:left="660" w:hanging="399"/>
        <w:spacing w:after="0"/>
        <w:tabs>
          <w:tab w:leader="none" w:pos="6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convey, transfer, assign, mortgage or pledge any assets as security for the senior debt securities of one or more series;</w:t>
      </w:r>
    </w:p>
    <w:p>
      <w:pPr>
        <w:spacing w:after="0" w:line="210"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requirements of the SEC in order to effect or maintain the qualification of the senior indenture under the Trust Indenture Act of 1939, as amended;</w:t>
      </w:r>
    </w:p>
    <w:p>
      <w:pPr>
        <w:spacing w:after="0" w:line="210" w:lineRule="exact"/>
        <w:rPr>
          <w:rFonts w:ascii="Times New Roman" w:cs="Times New Roman" w:eastAsia="Times New Roman" w:hAnsi="Times New Roman"/>
          <w:sz w:val="15"/>
          <w:szCs w:val="15"/>
          <w:color w:val="auto"/>
        </w:rPr>
      </w:pPr>
    </w:p>
    <w:p>
      <w:pPr>
        <w:ind w:left="660" w:right="20" w:hanging="399"/>
        <w:spacing w:after="0" w:line="283" w:lineRule="auto"/>
        <w:tabs>
          <w:tab w:leader="none" w:pos="6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134"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or add guarantors with respect to the senior debt securities of any series;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9" w:name="page20"/>
    <w:bookmarkEnd w:id="19"/>
    <w:p>
      <w:pPr>
        <w:ind w:left="660" w:hanging="399"/>
        <w:spacing w:after="0"/>
        <w:tabs>
          <w:tab w:leader="none" w:pos="6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establish the form or forms or terms of the senior debt securities as permitted by the senior indenture;</w:t>
      </w:r>
    </w:p>
    <w:p>
      <w:pPr>
        <w:spacing w:after="0" w:line="210" w:lineRule="exact"/>
        <w:rPr>
          <w:rFonts w:ascii="Times New Roman" w:cs="Times New Roman" w:eastAsia="Times New Roman" w:hAnsi="Times New Roman"/>
          <w:sz w:val="15"/>
          <w:szCs w:val="15"/>
          <w:color w:val="auto"/>
        </w:rPr>
      </w:pPr>
    </w:p>
    <w:p>
      <w:pPr>
        <w:ind w:left="660" w:right="20" w:hanging="399"/>
        <w:spacing w:after="0" w:line="283" w:lineRule="auto"/>
        <w:tabs>
          <w:tab w:leader="none" w:pos="6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134"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delete from or revise the conditions, limitations and restrictions on the authorized amount, terms, purposes of issue, authentication and delivery of any series of senior debt securities;</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to the senior debt securities of any series so long as no senior debt securities of such series are outstanding; or</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holder in any material respect.</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all series affected by the amendment or modification (voting together as a single class); provided, however, that each affected holder must consent to any modification, amendment or waiver that:</w:t>
      </w:r>
    </w:p>
    <w:p>
      <w:pPr>
        <w:spacing w:after="0" w:line="146" w:lineRule="exact"/>
        <w:rPr>
          <w:sz w:val="20"/>
          <w:szCs w:val="20"/>
          <w:color w:val="auto"/>
        </w:rPr>
      </w:pPr>
    </w:p>
    <w:p>
      <w:pPr>
        <w:ind w:left="660" w:hanging="399"/>
        <w:spacing w:after="0"/>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extends the final maturity of any senior debt securities of such series;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reduces the principal amount of any senior debt securities of such series;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reduces the rate or extends the time of payment of interest on any senior debt securities of such series;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reduces the amount payable upon the redemption of any senior debt securities of such series;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the currency of payment of principal of or interest on any senior debt securities of such series;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reduces the principal amount of original issue discount securities payable upon acceleration of maturity or the amount provable in bankruptcy;</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waives an uncured default in the payment of principal of or interest on the senior debt securities (except in the case of a rescission of acceleration as described above);</w:t>
      </w:r>
    </w:p>
    <w:p>
      <w:pPr>
        <w:spacing w:after="0" w:line="210"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the provisions relating to the waiver of past defaults or changes or impairs the right of holders to receive payment or to institute suit for the enforcement of any payment or conversion of any senior debt securities of such series on or after the due date therefor;</w:t>
      </w:r>
    </w:p>
    <w:p>
      <w:pPr>
        <w:spacing w:after="0" w:line="134"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or</w:t>
      </w:r>
    </w:p>
    <w:p>
      <w:pPr>
        <w:spacing w:after="0" w:line="134"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No Personal Liability of Incorporators, Stockholders, Officers, Directors. </w:t>
      </w:r>
      <w:r>
        <w:rPr>
          <w:rFonts w:ascii="Times New Roman" w:cs="Times New Roman" w:eastAsia="Times New Roman" w:hAnsi="Times New Roman"/>
          <w:sz w:val="15"/>
          <w:szCs w:val="15"/>
          <w:color w:val="auto"/>
        </w:rPr>
        <w:t>The senior indenture provides that no recourse shall be had under any obligation, covenant or agreement of ours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Concerning the Trustee. </w:t>
      </w:r>
      <w:r>
        <w:rPr>
          <w:rFonts w:ascii="Times New Roman" w:cs="Times New Roman" w:eastAsia="Times New Roman" w:hAnsi="Times New Roman"/>
          <w:sz w:val="15"/>
          <w:szCs w:val="15"/>
          <w:color w:val="auto"/>
        </w:rPr>
        <w:t>The senior indenture provides that, except during the continuance of an event of default, the trustee will not be liable except for the performance of such duties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0" w:name="page21"/>
    <w:bookmarkEnd w:id="20"/>
    <w:p>
      <w:pPr>
        <w:jc w:val="both"/>
        <w:spacing w:after="0" w:line="267" w:lineRule="auto"/>
        <w:rPr>
          <w:sz w:val="20"/>
          <w:szCs w:val="20"/>
          <w:color w:val="auto"/>
        </w:rPr>
      </w:pPr>
      <w:r>
        <w:rPr>
          <w:rFonts w:ascii="Times New Roman" w:cs="Times New Roman" w:eastAsia="Times New Roman" w:hAnsi="Times New Roman"/>
          <w:sz w:val="15"/>
          <w:szCs w:val="15"/>
          <w:color w:val="auto"/>
        </w:rPr>
        <w:t>The senior indenture and the provisions of the Trust Indenture Act of 1939 incorporated by reference therein contain limitations on the rights of the trustee thereunder, should it become a creditor of ours or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have normal banking relationships with the senior trustee in the ordinary course of business.</w:t>
      </w:r>
    </w:p>
    <w:p>
      <w:pPr>
        <w:spacing w:after="0" w:line="18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Unclaimed Funds. </w:t>
      </w:r>
      <w:r>
        <w:rPr>
          <w:rFonts w:ascii="Times New Roman" w:cs="Times New Roman" w:eastAsia="Times New Roman" w:hAnsi="Times New Roman"/>
          <w:sz w:val="15"/>
          <w:szCs w:val="15"/>
          <w:color w:val="auto"/>
        </w:rPr>
        <w:t>All funds deposited with the trustee or any paying agent for the payment of principal, premium, interest or additional amounts in respect of the senior debt securities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that remain unclaimed for two years after the date upon which such principal, premium or interest became due and payable will be repaid to us. Thereafter, any right of any holder of senior debt securities to such funds shall be enforceable only against us, and the trustee and paying agents will have no liability therefor.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Governing Law. </w:t>
      </w:r>
      <w:r>
        <w:rPr>
          <w:rFonts w:ascii="Times New Roman" w:cs="Times New Roman" w:eastAsia="Times New Roman" w:hAnsi="Times New Roman"/>
          <w:sz w:val="15"/>
          <w:szCs w:val="15"/>
          <w:color w:val="auto"/>
        </w:rPr>
        <w:t>The senior indenture and the senior debt securities will be governed by, and construed in accordance with, the internal laws of the State of New York.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Terms of the Subordinated Debt Securities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Additional or different subordination terms may be specified in the prospectus supplement applicable to a particular series.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Subordination. </w:t>
      </w:r>
      <w:r>
        <w:rPr>
          <w:rFonts w:ascii="Times New Roman" w:cs="Times New Roman" w:eastAsia="Times New Roman" w:hAnsi="Times New Roman"/>
          <w:sz w:val="15"/>
          <w:szCs w:val="15"/>
          <w:color w:val="auto"/>
        </w:rPr>
        <w:t>The indebtedness evidenced by the subordinated debt securities is subordinate to the prior payment in full of all of our senior indebtedness, as defined in the subordinated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135" w:lineRule="exact"/>
        <w:rPr>
          <w:sz w:val="20"/>
          <w:szCs w:val="20"/>
          <w:color w:val="auto"/>
        </w:rPr>
      </w:pPr>
    </w:p>
    <w:p>
      <w:pPr>
        <w:ind w:left="660" w:hanging="399"/>
        <w:spacing w:after="0"/>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indebtedness of that person for money borrowed;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indebtedness of that person evidenced by notes, debentures, bonds or other securities sold by that person for money;</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lease obligations that are capitalized on the books of that person in accordance with generally accepted accounting principles;</w:t>
      </w:r>
    </w:p>
    <w:p>
      <w:pPr>
        <w:spacing w:after="0" w:line="210" w:lineRule="exact"/>
        <w:rPr>
          <w:rFonts w:ascii="Times New Roman" w:cs="Times New Roman" w:eastAsia="Times New Roman" w:hAnsi="Times New Roman"/>
          <w:sz w:val="15"/>
          <w:szCs w:val="15"/>
          <w:color w:val="auto"/>
        </w:rPr>
      </w:pPr>
    </w:p>
    <w:p>
      <w:pPr>
        <w:jc w:val="both"/>
        <w:ind w:left="660" w:hanging="399"/>
        <w:spacing w:after="0" w:line="267" w:lineRule="auto"/>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146" w:lineRule="exact"/>
        <w:rPr>
          <w:rFonts w:ascii="Times New Roman" w:cs="Times New Roman" w:eastAsia="Times New Roman" w:hAnsi="Times New Roman"/>
          <w:sz w:val="15"/>
          <w:szCs w:val="15"/>
          <w:color w:val="auto"/>
        </w:rPr>
      </w:pPr>
    </w:p>
    <w:p>
      <w:pPr>
        <w:ind w:left="660" w:right="20" w:hanging="399"/>
        <w:spacing w:after="0" w:line="283" w:lineRule="auto"/>
        <w:tabs>
          <w:tab w:leader="none" w:pos="6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debt indenture.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following description of our capital stock is intended as a summary only and therefore is not a complete description of our capital stock. This description is based upon, and is qualified by reference to, our Restated and Amended Articles of Incorporation, as amended (our “Charter”), our Amended and Restated Bylaws, as amended (our “Bylaws”), and applicable provisions of Nevada corporate law. You should read our Charter and Bylaws for the provisions that are important to you.</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Our authorized capital stock consists of 325,000,000 shares of common stock, $0.001 par value per share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and 10,000,000 shares of preferred stock, $0.001 par value per share, all of which preferred stock is undesignated. The following description of our capital stock and provisions of our Charter and Bylaws are summaries and are qualified by reference to our Charter and Bylaws. Copies of these documents are filed with the SEC as exhibits to our Annual Report on Form 10-K for the year ended March 31, 2023, filed with the SEC on June 28,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description of our common stock and certain provisions of our Charter, and our amended and restated bylaws, and certain provisions of Nevada law.</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We may elect or be required to amend our Charter to increase the number of shares of common stock authorized for issuance prior to completing sales of shares of our common stock, or securities convertible and/or exchangeable into shares of our common stock described in this prospectus and/or any accompanying prospectus supplement.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i w:val="1"/>
          <w:iCs w:val="1"/>
          <w:color w:val="auto"/>
        </w:rPr>
        <w:t>This section describes the general terms of our common stock that we may offer from time to time. For more detailed information, a holder of our common stock should refer to our Charter and our Bylaws.</w:t>
      </w:r>
    </w:p>
    <w:p>
      <w:pPr>
        <w:spacing w:after="0" w:line="13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Except as otherwise expressly provided in our Charter,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Voting Rights </w:t>
      </w:r>
      <w:r>
        <w:rPr>
          <w:rFonts w:ascii="Times New Roman" w:cs="Times New Roman" w:eastAsia="Times New Roman" w:hAnsi="Times New Roman"/>
          <w:sz w:val="15"/>
          <w:szCs w:val="15"/>
          <w:color w:val="auto"/>
        </w:rPr>
        <w:t>Each holder of our common stock is entitled to cast one vote for each share of common stock held on all matters submitted to a vote of stockholders. Cumulative voting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election of directors is not allowed under our Charter, which means that a plurality of the shares voted can elect all of the directors then outstanding for election. Except as otherwise provided under Nevada law or our Charter and Bylaws, on matters other than election of directors, action on a matter is approved if the votes cast favoring the action exceed the votes cast opposing the action.</w:t>
      </w:r>
    </w:p>
    <w:p>
      <w:pPr>
        <w:spacing w:after="0" w:line="14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Dividend Rights </w:t>
      </w:r>
      <w:r>
        <w:rPr>
          <w:rFonts w:ascii="Times New Roman" w:cs="Times New Roman" w:eastAsia="Times New Roman" w:hAnsi="Times New Roman"/>
          <w:sz w:val="15"/>
          <w:szCs w:val="15"/>
          <w:color w:val="auto"/>
        </w:rPr>
        <w:t>The holders of outstanding shares of our common stock are entitled to receive dividends out of funds legally available, if our Board of Directors (our “Board”), in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discretion, determines to issue a dividend, and only at the times and in the amounts that our Board may determine. Our Board is not obligated to declare a dividend. We have not paid any dividends on our common stock in the past and we do not intend to pay dividends in the foreseeable future.</w:t>
      </w:r>
    </w:p>
    <w:p>
      <w:pPr>
        <w:spacing w:after="0" w:line="144"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4"/>
          <w:szCs w:val="14"/>
          <w:i w:val="1"/>
          <w:iCs w:val="1"/>
          <w:color w:val="auto"/>
        </w:rPr>
        <w:t xml:space="preserve">Liquidation Rights </w:t>
      </w:r>
      <w:r>
        <w:rPr>
          <w:rFonts w:ascii="Times New Roman" w:cs="Times New Roman" w:eastAsia="Times New Roman" w:hAnsi="Times New Roman"/>
          <w:sz w:val="14"/>
          <w:szCs w:val="14"/>
          <w:color w:val="auto"/>
        </w:rPr>
        <w:t>Upon our liquidation, dissolution or winding-up, the holders of our common stock will be entitled to share equally, identically and ratably in all assets remaining,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the prior satisfaction of all outstanding debt and liabilities and the preferential rights and payment of liquidation preferences, if any, on any outstanding shares of preferred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No Preemptive or Similar Rights </w:t>
      </w:r>
      <w:r>
        <w:rPr>
          <w:rFonts w:ascii="Times New Roman" w:cs="Times New Roman" w:eastAsia="Times New Roman" w:hAnsi="Times New Roman"/>
          <w:sz w:val="15"/>
          <w:szCs w:val="15"/>
          <w:color w:val="auto"/>
        </w:rPr>
        <w:t>Our common stock is not subject to conversion, redemption, sinking fund or similar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Listing on The Nasdaq Capital Market </w:t>
      </w:r>
      <w:r>
        <w:rPr>
          <w:rFonts w:ascii="Times New Roman" w:cs="Times New Roman" w:eastAsia="Times New Roman" w:hAnsi="Times New Roman"/>
          <w:sz w:val="15"/>
          <w:szCs w:val="15"/>
          <w:color w:val="auto"/>
        </w:rPr>
        <w:t>Our common stock is listed on The Nasdaq Capital Market under the symbol “VTGN.”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Authorized but Unissued Shares </w:t>
      </w:r>
      <w:r>
        <w:rPr>
          <w:rFonts w:ascii="Times New Roman" w:cs="Times New Roman" w:eastAsia="Times New Roman" w:hAnsi="Times New Roman"/>
          <w:sz w:val="15"/>
          <w:szCs w:val="15"/>
          <w:color w:val="auto"/>
        </w:rPr>
        <w:t>The authorized but unissued shares of common stock are available for future issuance without stockholder approval, subject to any limitations imposed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applicable listing rules of The Nasdaq Stock Market. These additional shares may be used for a variety of corporate finance transactions, acquisitions and employee benefit plans. The existence of authorized but unissued and unreserved common stock could make it more difficult or discourage an attempt to obtain control of us by means of a proxy contest, tender offer, merger or otherwise.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i w:val="1"/>
          <w:iCs w:val="1"/>
          <w:color w:val="auto"/>
        </w:rPr>
        <w:t xml:space="preserve">Transfer Agent and Registrar </w:t>
      </w:r>
      <w:r>
        <w:rPr>
          <w:rFonts w:ascii="Times New Roman" w:cs="Times New Roman" w:eastAsia="Times New Roman" w:hAnsi="Times New Roman"/>
          <w:sz w:val="15"/>
          <w:szCs w:val="15"/>
          <w:color w:val="auto"/>
        </w:rPr>
        <w:t>The transfer agent and registrar for our common stock is Computershare Trust Company, N.A.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Offered Under Prior Registration Statements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October 2, 2023, we entered into an underwriting agreement (the “Underwriting Agreement”) with Jefferies LLC, Stifel, Nicolaus &amp; Company, Incorporated, and William Blair &amp; Company, L.L.C., as the representatives of the underwriters listed on Schedule A attached thereto (the “Underwriters”), in connection with the underwritten offering, issuance and sale by us of 15,010,810 shares common stock, pre-funded warrants to purchase up to 3,577,240 shares of common stock (the “Pre-Funded Warrants”), warrants to purchase up to 9,294,022 shares of common stock (or pre-funded warrants to purchase up to 9,294,022 shares of common stock in lieu thereof) (the “Tranche 1 Warrants”) and warrants to purchase 11,265,086 shares of common stock (or pre-funded warrants to purchase up to 11,265,086 shares of common stock in lieu thereof) (the “Tranche 2 Warrants”).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are also offering shares of common stock issuable from time to time upon exercise of our pre-funded warrants, Tranche 1 Warrants and Tranche 2 Warrants. The following is a summary of certain terms and conditions of the pre-funded warrants, Tranche 1 Warrants and Tranche 2 Warrants, which summary is subject in all respect to the provisions contained in the pre-funded warrants, Tranche 1 Warrants and Tranche 2 Warrants. Forms of each of the pre-funded warrants, Tranche 1 Warrants and Tranche 2 Warrants are filed with the SEC as exhibits to our Current Report on Form 8-K, dated October 4, 2023 and incorporated by reference herein.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Pre-Funded Warrants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i w:val="1"/>
          <w:iCs w:val="1"/>
          <w:color w:val="auto"/>
        </w:rPr>
        <w:t>Exercisability</w:t>
      </w:r>
      <w:r>
        <w:rPr>
          <w:rFonts w:ascii="Times New Roman" w:cs="Times New Roman" w:eastAsia="Times New Roman" w:hAnsi="Times New Roman"/>
          <w:sz w:val="15"/>
          <w:szCs w:val="15"/>
          <w:color w:val="auto"/>
        </w:rPr>
        <w:t>. The pre-funded warrants are exercisable at any time after their original issuance. The pre-funded warrants will be exercisable, at the option of each holder, in whole or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exercise price.</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Exercise Limitations</w:t>
      </w:r>
      <w:r>
        <w:rPr>
          <w:rFonts w:ascii="Times New Roman" w:cs="Times New Roman" w:eastAsia="Times New Roman" w:hAnsi="Times New Roman"/>
          <w:sz w:val="15"/>
          <w:szCs w:val="15"/>
          <w:color w:val="auto"/>
        </w:rPr>
        <w:t>. A holder will not have the right to exercise any portion of the pre-funded warrant if the holder (together with its affiliates) would beneficially own in excess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9.99% of the number of shares of our common stock outstanding immediately after giving effect to the exercise, as such percentage ownership is determined in accordance with the terms of the pre-funded warrants. However, any holder may elect, prior to issuance of its pre-funded warrant, to include a provision in such holder’s pre-funded warrant that will permit such holder to elect to increase or decrease such percentage to any other percentage upon at least 61 days’ prior notice from the holder to us.</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Exercise Price</w:t>
      </w:r>
      <w:r>
        <w:rPr>
          <w:rFonts w:ascii="Times New Roman" w:cs="Times New Roman" w:eastAsia="Times New Roman" w:hAnsi="Times New Roman"/>
          <w:sz w:val="15"/>
          <w:szCs w:val="15"/>
          <w:color w:val="auto"/>
        </w:rPr>
        <w:t>. The exercise price per whole share of our common stock purchasable upon the exercise of the pre-funded warrants is $0.001 per share of common stock. The exercise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Transferability</w:t>
      </w:r>
      <w:r>
        <w:rPr>
          <w:rFonts w:ascii="Times New Roman" w:cs="Times New Roman" w:eastAsia="Times New Roman" w:hAnsi="Times New Roman"/>
          <w:sz w:val="15"/>
          <w:szCs w:val="15"/>
          <w:color w:val="auto"/>
        </w:rPr>
        <w:t>. Subject to applicable laws, the pre-funded warrants may be offered for sale, sold, transferred or assigned without our consent.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i w:val="1"/>
          <w:iCs w:val="1"/>
          <w:color w:val="auto"/>
        </w:rPr>
        <w:t>Exchange Listing</w:t>
      </w:r>
      <w:r>
        <w:rPr>
          <w:rFonts w:ascii="Times New Roman" w:cs="Times New Roman" w:eastAsia="Times New Roman" w:hAnsi="Times New Roman"/>
          <w:sz w:val="15"/>
          <w:szCs w:val="15"/>
          <w:color w:val="auto"/>
        </w:rPr>
        <w:t>. The pre-funded warrants are not listed, and we do not intend to list the pre-funded warrants on The Nasdaq Capital Market, any other national securities exchange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other nationally recognized trading system.</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i w:val="1"/>
          <w:iCs w:val="1"/>
          <w:color w:val="auto"/>
        </w:rPr>
        <w:t>Fundamental Transactions</w:t>
      </w:r>
      <w:r>
        <w:rPr>
          <w:rFonts w:ascii="Times New Roman" w:cs="Times New Roman" w:eastAsia="Times New Roman" w:hAnsi="Times New Roman"/>
          <w:sz w:val="15"/>
          <w:szCs w:val="15"/>
          <w:color w:val="auto"/>
        </w:rPr>
        <w:t>. In the event of a fundamental transaction, as described in the pre-funded warrants and generally including any reorganization, recapitalization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5"/>
          <w:szCs w:val="15"/>
          <w:i w:val="1"/>
          <w:iCs w:val="1"/>
          <w:color w:val="auto"/>
        </w:rPr>
        <w:t>Rights as a Stockholder</w:t>
      </w:r>
      <w:r>
        <w:rPr>
          <w:rFonts w:ascii="Times New Roman" w:cs="Times New Roman" w:eastAsia="Times New Roman" w:hAnsi="Times New Roman"/>
          <w:sz w:val="15"/>
          <w:szCs w:val="15"/>
          <w:color w:val="auto"/>
        </w:rPr>
        <w:t>. Except by virtue of such holder’s ownership of shares of our common stock, the holder of a pre-funded warrant does not have the rights or privileges of a holder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our common stock, including any voting rights, until the holder exercises the pre-funded warrant.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Tranche 1 Warrants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i w:val="1"/>
          <w:iCs w:val="1"/>
          <w:color w:val="auto"/>
        </w:rPr>
        <w:t>Exercisability</w:t>
      </w:r>
      <w:r>
        <w:rPr>
          <w:rFonts w:ascii="Times New Roman" w:cs="Times New Roman" w:eastAsia="Times New Roman" w:hAnsi="Times New Roman"/>
          <w:sz w:val="15"/>
          <w:szCs w:val="15"/>
          <w:color w:val="auto"/>
        </w:rPr>
        <w:t>. The Tranche 1 Warrants are exercisable at any time after their original issuance and will expire 60 days after the later of (i) the date on which we first publicly disclose,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whether by press release or Form 8-K filing, the top-line data for our PALISADE-3 study and (ii) the date on which we first publicly disclose, whether by press release or Form 8-K filing, the top-line data for our PALISADE-4 study. The Tranche 1 Warrants will be exercisable, at the option of each holder, in whole or in part by delivering to us a duly executed exercise notice and by payment in full in immediately available funds for the number of shares of common stock or pre-funded warrants purchased upon such exercise. As an alternative to payment in immediately available funds, the holder may if and only if at the time of exercise hereof there is no effective registration statement registering, or the prospectus contained therein is not available for the issuance of the common stock or pre-funded warrants to the holder, then in its sole discretion, elect to exercise the Tranche 2 Warrant through a cashless exercise, in which case the holder would receive upon such exercise the net number of shares of common stock or pre-funded warrants determined according to the formula set forth in the Tranche 1 Warrant. No fractional shares of common stock or pre-funded warrants will be issued in connection with the exercise of a Tranche 1 Warrant. In lieu of fractional shares, we will pay the holder an amount in cash equal to the fractional amount multiplied by the exercise price.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Exercise Limitations</w:t>
      </w:r>
      <w:r>
        <w:rPr>
          <w:rFonts w:ascii="Times New Roman" w:cs="Times New Roman" w:eastAsia="Times New Roman" w:hAnsi="Times New Roman"/>
          <w:sz w:val="15"/>
          <w:szCs w:val="15"/>
          <w:color w:val="auto"/>
        </w:rPr>
        <w:t>. A holder will not have the right to exercise any portion of the Tranche 1 Warrant if the holder (together with its affiliates) would beneficially own in excess of 9.99%</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number of shares of our common stock outstanding immediately after giving effect to the exercise, as such percentage ownership is determined in accordance with the terms of the Tranche 1 Warrant. However, any holder may elect, prior to issuance of its Tranche 1 Warrant, to include a provision in such holder’s Tranche 1 Warrant that will permit such holder to elect to increase or decrease such percentage to any other percentage upon at least 61 days’ prior notice from the holder to us.</w:t>
      </w:r>
    </w:p>
    <w:p>
      <w:pPr>
        <w:spacing w:after="0" w:line="14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i w:val="1"/>
          <w:iCs w:val="1"/>
          <w:color w:val="auto"/>
        </w:rPr>
        <w:t>Exercise Price</w:t>
      </w:r>
      <w:r>
        <w:rPr>
          <w:rFonts w:ascii="Times New Roman" w:cs="Times New Roman" w:eastAsia="Times New Roman" w:hAnsi="Times New Roman"/>
          <w:sz w:val="15"/>
          <w:szCs w:val="15"/>
          <w:color w:val="auto"/>
        </w:rPr>
        <w:t>. The exercise price per whole share of our common stock or pre-funded warrants purchasable upon the exercise of the Tranche 1 Warrants is $5.38 per share of common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or pre-funded warrant. The exercise price of the Tranche 1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Transferability</w:t>
      </w:r>
      <w:r>
        <w:rPr>
          <w:rFonts w:ascii="Times New Roman" w:cs="Times New Roman" w:eastAsia="Times New Roman" w:hAnsi="Times New Roman"/>
          <w:sz w:val="15"/>
          <w:szCs w:val="15"/>
          <w:color w:val="auto"/>
        </w:rPr>
        <w:t>. Subject to applicable laws, the Tranche 1 Warrants may be offered for sale, sold, transferred or assigned without our consent.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i w:val="1"/>
          <w:iCs w:val="1"/>
          <w:color w:val="auto"/>
        </w:rPr>
        <w:t>Exchange Listing</w:t>
      </w:r>
      <w:r>
        <w:rPr>
          <w:rFonts w:ascii="Times New Roman" w:cs="Times New Roman" w:eastAsia="Times New Roman" w:hAnsi="Times New Roman"/>
          <w:sz w:val="15"/>
          <w:szCs w:val="15"/>
          <w:color w:val="auto"/>
        </w:rPr>
        <w:t>. The Tranche 1 Warrants are not listed, and we do not intend to list the Tranche 1 Warrants on The Nasdaq Capital Market, any other national securities exchange or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nationally recognized trading system.</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i w:val="1"/>
          <w:iCs w:val="1"/>
          <w:color w:val="auto"/>
        </w:rPr>
        <w:t>Fundamental Transactions</w:t>
      </w:r>
      <w:r>
        <w:rPr>
          <w:rFonts w:ascii="Times New Roman" w:cs="Times New Roman" w:eastAsia="Times New Roman" w:hAnsi="Times New Roman"/>
          <w:sz w:val="15"/>
          <w:szCs w:val="15"/>
          <w:color w:val="auto"/>
        </w:rPr>
        <w:t>. In the event of a fundamental transaction, as described in the Tranche 1 Warrants and generally including any reorganization, recapitalization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Tranche 1 Warrants will be entitled to receive upon exercise of the Tranche 1 Warrants the kind and amount of securities, cash or other property that the holders would have received had they exercised the Tranche 1 Warrants immediately prior to such fundamental transaction.</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i w:val="1"/>
          <w:iCs w:val="1"/>
          <w:color w:val="auto"/>
        </w:rPr>
        <w:t>Rights as a Stockholder</w:t>
      </w:r>
      <w:r>
        <w:rPr>
          <w:rFonts w:ascii="Times New Roman" w:cs="Times New Roman" w:eastAsia="Times New Roman" w:hAnsi="Times New Roman"/>
          <w:sz w:val="15"/>
          <w:szCs w:val="15"/>
          <w:color w:val="auto"/>
        </w:rPr>
        <w:t>. Except by virtue of such holder’s ownership of shares of our common stock, the holder of a Tranche 1 Warrant does not have the rights or privileges of a holder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our common stock, including any voting rights, until the holder exercises the Tranche 1 Warrant.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color w:val="auto"/>
        </w:rPr>
        <w:t>Tranche 2 Warrants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i w:val="1"/>
          <w:iCs w:val="1"/>
          <w:color w:val="auto"/>
        </w:rPr>
        <w:t>Form</w:t>
      </w:r>
      <w:r>
        <w:rPr>
          <w:rFonts w:ascii="Times New Roman" w:cs="Times New Roman" w:eastAsia="Times New Roman" w:hAnsi="Times New Roman"/>
          <w:sz w:val="15"/>
          <w:szCs w:val="15"/>
          <w:color w:val="auto"/>
        </w:rPr>
        <w:t>. The Tranche 2 Warrants will be issued as individual warrant agreements to the investors. You should review the form of Tranche 2 Warrants, which will be filed as an exhibit to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Current Report on Form 8-K, for a complete description of the terms and conditions applicable to the Tranche 2 Warrants.</w:t>
      </w:r>
    </w:p>
    <w:p>
      <w:pPr>
        <w:spacing w:after="0" w:line="13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5"/>
          <w:szCs w:val="15"/>
          <w:i w:val="1"/>
          <w:iCs w:val="1"/>
          <w:color w:val="auto"/>
        </w:rPr>
        <w:t>Exercisability</w:t>
      </w:r>
      <w:r>
        <w:rPr>
          <w:rFonts w:ascii="Times New Roman" w:cs="Times New Roman" w:eastAsia="Times New Roman" w:hAnsi="Times New Roman"/>
          <w:sz w:val="15"/>
          <w:szCs w:val="15"/>
          <w:color w:val="auto"/>
        </w:rPr>
        <w:t>. The Tranche 2 Warrants are exercisable at any time after their original issuance and will expire on the five year anniversary of the original issuance. The Tranche 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Warrants will be exercisable, at the option of each holder, in whole or in part by delivering to us a duly executed exercise notice and by payment in full in immediately available funds for the number of shares of common stock or pre-funded warrants purchased upon such exercise. As an alternative to payment in immediately available funds, the holder may, in its sole discretion, elect to exercise the Tranche 2 Warrant through a cashless exercise, in which case the holder would receive upon such exercise the net number of shares of common stock or pre-funded warrants determined according to the formula set forth in the Tranche 2 Warrant. No fractional shares of common stock or pre-funded warrants will be issued in connection with the exercise of a Tranche 2 Warrant. In lieu of fractional shares, we will pay the holder an amount in cash equal to the fractional amount multiplied by the exercise price.</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Exercise Limitations</w:t>
      </w:r>
      <w:r>
        <w:rPr>
          <w:rFonts w:ascii="Times New Roman" w:cs="Times New Roman" w:eastAsia="Times New Roman" w:hAnsi="Times New Roman"/>
          <w:sz w:val="15"/>
          <w:szCs w:val="15"/>
          <w:color w:val="auto"/>
        </w:rPr>
        <w:t>. A holder will not have the right to exercise any portion of the Tranche 2 Warrant if the holder (together with its affiliates) would beneficially own in excess of 9.99%</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number of shares of our common stock outstanding immediately after giving effect to the exercise, as such percentage ownership is determined in accordance with the terms of the Tranche 2 Warrant. However, any holder may elect, prior to issuance of its Tranche 2 Warrant, to include a provision in such holder’s Tranche 2 Warrant that will permit such holder to elect to increase or decrease such percentage to any other percentage upon at least 61 days’ prior notice from the holder to us.</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Exercise Price</w:t>
      </w:r>
      <w:r>
        <w:rPr>
          <w:rFonts w:ascii="Times New Roman" w:cs="Times New Roman" w:eastAsia="Times New Roman" w:hAnsi="Times New Roman"/>
          <w:sz w:val="15"/>
          <w:szCs w:val="15"/>
          <w:color w:val="auto"/>
        </w:rPr>
        <w:t>. The exercise price per whole share of our common stock or pre-funded warrant purchasable upon the exercise of the Tranche 2 Warrants is $8.877 per share of common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or pre-funded warrant. The exercise price of the Tranche 2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Transferability</w:t>
      </w:r>
      <w:r>
        <w:rPr>
          <w:rFonts w:ascii="Times New Roman" w:cs="Times New Roman" w:eastAsia="Times New Roman" w:hAnsi="Times New Roman"/>
          <w:sz w:val="15"/>
          <w:szCs w:val="15"/>
          <w:color w:val="auto"/>
        </w:rPr>
        <w:t>. Subject to applicable laws, the Tranche 2 Warrants may be offered for sale, sold, transferred or assigned without our consent.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i w:val="1"/>
          <w:iCs w:val="1"/>
          <w:color w:val="auto"/>
        </w:rPr>
        <w:t>Exchange Listing</w:t>
      </w:r>
      <w:r>
        <w:rPr>
          <w:rFonts w:ascii="Times New Roman" w:cs="Times New Roman" w:eastAsia="Times New Roman" w:hAnsi="Times New Roman"/>
          <w:sz w:val="15"/>
          <w:szCs w:val="15"/>
          <w:color w:val="auto"/>
        </w:rPr>
        <w:t>. The Tranche 2 Warrants are not listed, and we do not intend to list the Tranche 2 Warrants on The Nasdaq Capital Market, any other national securities exchange or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nationally recognized trading system.</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i w:val="1"/>
          <w:iCs w:val="1"/>
          <w:color w:val="auto"/>
        </w:rPr>
        <w:t>Fundamental Transactions</w:t>
      </w:r>
      <w:r>
        <w:rPr>
          <w:rFonts w:ascii="Times New Roman" w:cs="Times New Roman" w:eastAsia="Times New Roman" w:hAnsi="Times New Roman"/>
          <w:sz w:val="15"/>
          <w:szCs w:val="15"/>
          <w:color w:val="auto"/>
        </w:rPr>
        <w:t>. In the event of a fundamental transaction, as described in the Tranche 2 Warrants and generally including any reorganization, recapitalization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Tranche 2 Warrants will be entitled to receive upon exercise of the Tranche 2 Warrants the kind and amount of securities, cash or other property that the holders would have received had they exercised the Tranche 2 Warrants immediately prior to such fundamental transaction.</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i w:val="1"/>
          <w:iCs w:val="1"/>
          <w:color w:val="auto"/>
        </w:rPr>
        <w:t>Rights as a Stockholder</w:t>
      </w:r>
      <w:r>
        <w:rPr>
          <w:rFonts w:ascii="Times New Roman" w:cs="Times New Roman" w:eastAsia="Times New Roman" w:hAnsi="Times New Roman"/>
          <w:sz w:val="15"/>
          <w:szCs w:val="15"/>
          <w:color w:val="auto"/>
        </w:rPr>
        <w:t>. Except by virtue of such holder’s ownership of shares of our common stock, the holder of a Tranche 2 Warrant does not have the rights or privileges of a holder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our common stock, including any voting rights, until the holder exercises the Tranche 2 Warrant.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PREFERRED STOCK</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i w:val="1"/>
          <w:iCs w:val="1"/>
          <w:color w:val="auto"/>
        </w:rPr>
        <w:t>This section describes the general terms and provisions of our authorized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Charter, and the applicable prospectus supplement (and any related free writing prospectus that we may authorize to be provided to you) for more specific information.</w:t>
      </w:r>
    </w:p>
    <w:p>
      <w:pPr>
        <w:spacing w:after="0" w:line="1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Board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Shares of Preferred Stock Issuable Pursuant to this Prospectus</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Any preferred stock offered pursuant to this prospectus will have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135" w:lineRule="exact"/>
        <w:rPr>
          <w:sz w:val="20"/>
          <w:szCs w:val="20"/>
          <w:color w:val="auto"/>
        </w:rPr>
      </w:pPr>
    </w:p>
    <w:p>
      <w:pPr>
        <w:ind w:left="660" w:hanging="399"/>
        <w:spacing w:after="0"/>
        <w:tabs>
          <w:tab w:leader="none" w:pos="6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stated value per share of the preferred stock and the number of shares offered;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liquidation preference per share;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at which the preferred stock will be issued;</w:t>
      </w:r>
    </w:p>
    <w:p>
      <w:pPr>
        <w:spacing w:after="0" w:line="210" w:lineRule="exact"/>
        <w:rPr>
          <w:rFonts w:ascii="Times New Roman" w:cs="Times New Roman" w:eastAsia="Times New Roman" w:hAnsi="Times New Roman"/>
          <w:sz w:val="15"/>
          <w:szCs w:val="15"/>
          <w:color w:val="auto"/>
        </w:rPr>
      </w:pPr>
    </w:p>
    <w:p>
      <w:pPr>
        <w:ind w:left="660" w:right="620" w:hanging="399"/>
        <w:spacing w:after="0" w:line="283" w:lineRule="auto"/>
        <w:tabs>
          <w:tab w:leader="none" w:pos="6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redemption or sinking fund provisions;</w:t>
      </w:r>
    </w:p>
    <w:p>
      <w:pPr>
        <w:spacing w:after="0" w:line="210" w:lineRule="exact"/>
        <w:rPr>
          <w:rFonts w:ascii="Times New Roman" w:cs="Times New Roman" w:eastAsia="Times New Roman" w:hAnsi="Times New Roman"/>
          <w:sz w:val="15"/>
          <w:szCs w:val="15"/>
          <w:color w:val="auto"/>
        </w:rPr>
      </w:pPr>
    </w:p>
    <w:p>
      <w:pPr>
        <w:ind w:left="660" w:right="20" w:hanging="399"/>
        <w:spacing w:after="0" w:line="283" w:lineRule="auto"/>
        <w:tabs>
          <w:tab w:leader="none" w:pos="6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currency of the United States, the currency or currencies including composite currencies in which the preferred stock is denominated and/or in which payments will or may be payable;</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conversion provisions;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special tax implications of the preferred stock; and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rights, preferences, privileges, limitations and restrictions on the preferred stock.</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i w:val="1"/>
          <w:iCs w:val="1"/>
          <w:color w:val="auto"/>
        </w:rPr>
        <w:t>Rank</w:t>
      </w:r>
      <w:r>
        <w:rPr>
          <w:rFonts w:ascii="Times New Roman" w:cs="Times New Roman" w:eastAsia="Times New Roman" w:hAnsi="Times New Roman"/>
          <w:sz w:val="15"/>
          <w:szCs w:val="15"/>
          <w:color w:val="auto"/>
        </w:rPr>
        <w:t>. Unless otherwise specified in the prospectus supplement, the preferred stock will, with respect to dividend rights and rights upon our liquidation, dissolution or winding up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affairs, rank:</w:t>
      </w:r>
    </w:p>
    <w:p>
      <w:pPr>
        <w:spacing w:after="0" w:line="132" w:lineRule="exact"/>
        <w:rPr>
          <w:sz w:val="20"/>
          <w:szCs w:val="20"/>
          <w:color w:val="auto"/>
        </w:rPr>
      </w:pPr>
    </w:p>
    <w:p>
      <w:pPr>
        <w:ind w:left="660" w:hanging="399"/>
        <w:spacing w:after="0" w:line="283" w:lineRule="auto"/>
        <w:tabs>
          <w:tab w:leader="none" w:pos="6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senior to our common stock and to all equity securities ranking junior to such preferred stock with respect to dividend rights or rights upon our liquidation, dissolution or winding up of our affairs;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26" w:name="page27"/>
    <w:bookmarkEnd w:id="26"/>
    <w:p>
      <w:pPr>
        <w:ind w:left="660" w:hanging="399"/>
        <w:spacing w:after="0" w:line="283" w:lineRule="auto"/>
        <w:tabs>
          <w:tab w:leader="none" w:pos="6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34" w:lineRule="exact"/>
        <w:rPr>
          <w:rFonts w:ascii="Times New Roman" w:cs="Times New Roman" w:eastAsia="Times New Roman" w:hAnsi="Times New Roman"/>
          <w:sz w:val="15"/>
          <w:szCs w:val="15"/>
          <w:color w:val="auto"/>
        </w:rPr>
      </w:pPr>
    </w:p>
    <w:p>
      <w:pPr>
        <w:ind w:left="660" w:right="20" w:hanging="399"/>
        <w:spacing w:after="0" w:line="283" w:lineRule="auto"/>
        <w:tabs>
          <w:tab w:leader="none" w:pos="6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term “equity securities” does not include convertible debt securities.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Dividends</w:t>
      </w:r>
      <w:r>
        <w:rPr>
          <w:rFonts w:ascii="Times New Roman" w:cs="Times New Roman" w:eastAsia="Times New Roman" w:hAnsi="Times New Roman"/>
          <w:sz w:val="15"/>
          <w:szCs w:val="15"/>
          <w:color w:val="auto"/>
        </w:rPr>
        <w:t>. Holders of the preferred stock of each series will be entitled to receive, when, as and if declared by our Board, cash dividends at such rates and on such dates described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Dividends on any series of preferred stock may be cumulative or noncumulative, as described in the applicable prospectus supplement. If our Board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i w:val="1"/>
          <w:iCs w:val="1"/>
          <w:color w:val="auto"/>
        </w:rPr>
        <w:t>Liquidation Preference</w:t>
      </w:r>
      <w:r>
        <w:rPr>
          <w:rFonts w:ascii="Times New Roman" w:cs="Times New Roman" w:eastAsia="Times New Roman" w:hAnsi="Times New Roman"/>
          <w:sz w:val="15"/>
          <w:szCs w:val="15"/>
          <w:color w:val="auto"/>
        </w:rPr>
        <w:t>. Upon any voluntary or involuntary liquidation, dissolution or winding up of our affairs, then, before we make any distribution or payment to the holders of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i w:val="1"/>
          <w:iCs w:val="1"/>
          <w:color w:val="auto"/>
        </w:rPr>
        <w:t>Redemption</w:t>
      </w:r>
      <w:r>
        <w:rPr>
          <w:rFonts w:ascii="Times New Roman" w:cs="Times New Roman" w:eastAsia="Times New Roman" w:hAnsi="Times New Roman"/>
          <w:sz w:val="15"/>
          <w:szCs w:val="15"/>
          <w:color w:val="auto"/>
        </w:rPr>
        <w:t>. If so provided in the applicable prospectus supplement, the preferred stock will be subject to mandatory redemption or redemption at our option, as a whole or in part, in each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case upon the terms, at the times and at the redemption prices set forth in such prospectus supplement.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7" w:name="page28"/>
    <w:bookmarkEnd w:id="27"/>
    <w:p>
      <w:pPr>
        <w:jc w:val="both"/>
        <w:spacing w:after="0" w:line="267" w:lineRule="auto"/>
        <w:rPr>
          <w:sz w:val="20"/>
          <w:szCs w:val="20"/>
          <w:color w:val="auto"/>
        </w:rPr>
      </w:pPr>
      <w:r>
        <w:rPr>
          <w:rFonts w:ascii="Times New Roman" w:cs="Times New Roman" w:eastAsia="Times New Roman" w:hAnsi="Times New Roman"/>
          <w:sz w:val="15"/>
          <w:szCs w:val="15"/>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Voting Rights</w:t>
      </w:r>
      <w:r>
        <w:rPr>
          <w:rFonts w:ascii="Times New Roman" w:cs="Times New Roman" w:eastAsia="Times New Roman" w:hAnsi="Times New Roman"/>
          <w:sz w:val="15"/>
          <w:szCs w:val="15"/>
          <w:color w:val="auto"/>
        </w:rPr>
        <w:t>. Holders of preferred stock will not have any voting rights, except as required by law or as indicated in the applicable prospectus supplement.</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Unless otherwise provided for under the terms of any series of preferred stock, no consent or vote of the holders of shares of preferred stock or any series thereof shall be required for any amendment to our restated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Conversion Rights</w:t>
      </w:r>
      <w:r>
        <w:rPr>
          <w:rFonts w:ascii="Times New Roman" w:cs="Times New Roman" w:eastAsia="Times New Roman" w:hAnsi="Times New Roman"/>
          <w:sz w:val="15"/>
          <w:szCs w:val="15"/>
          <w:color w:val="auto"/>
        </w:rPr>
        <w:t>. The terms and conditions, if any, upon which any series of preferred stock is convertible into our common stock will be set forth in the applicable prospectus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Transfer Agent and Registrar</w:t>
      </w:r>
      <w:r>
        <w:rPr>
          <w:rFonts w:ascii="Times New Roman" w:cs="Times New Roman" w:eastAsia="Times New Roman" w:hAnsi="Times New Roman"/>
          <w:sz w:val="15"/>
          <w:szCs w:val="15"/>
          <w:color w:val="auto"/>
        </w:rPr>
        <w:t>. The transfer agent and registrar for the preferred stock will be set forth in the applicable prospectus supplement.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Warrants may be offered independently or together with common stock or preferred stock and/or debt securities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152" w:lineRule="exact"/>
        <w:rPr>
          <w:sz w:val="20"/>
          <w:szCs w:val="20"/>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specific designation and aggregate number of, and the offering price at which we will issue, the warrants;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currency units in which the offering price, if any, and the exercise price are payable;</w:t>
      </w:r>
    </w:p>
    <w:p>
      <w:pPr>
        <w:spacing w:after="0" w:line="210" w:lineRule="exact"/>
        <w:rPr>
          <w:rFonts w:ascii="Times New Roman" w:cs="Times New Roman" w:eastAsia="Times New Roman" w:hAnsi="Times New Roman"/>
          <w:sz w:val="15"/>
          <w:szCs w:val="15"/>
          <w:color w:val="auto"/>
        </w:rPr>
      </w:pPr>
    </w:p>
    <w:p>
      <w:pPr>
        <w:ind w:left="660" w:right="60" w:hanging="399"/>
        <w:spacing w:after="0" w:line="283" w:lineRule="auto"/>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are to be sold separately or with other securities as parts of units;</w:t>
      </w:r>
    </w:p>
    <w:p>
      <w:pPr>
        <w:spacing w:after="0" w:line="210" w:lineRule="exact"/>
        <w:rPr>
          <w:rFonts w:ascii="Times New Roman" w:cs="Times New Roman" w:eastAsia="Times New Roman" w:hAnsi="Times New Roman"/>
          <w:sz w:val="15"/>
          <w:szCs w:val="15"/>
          <w:color w:val="auto"/>
        </w:rPr>
      </w:pPr>
    </w:p>
    <w:p>
      <w:pPr>
        <w:ind w:left="660" w:right="480" w:hanging="399"/>
        <w:spacing w:after="0" w:line="283" w:lineRule="auto"/>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material U.S. federal income tax consequences;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the warrant agent for the warrants and of any other depositaries, execution or paying agents, transfer agents, registrars or other agents;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listing, if any, of the warrants or any securities purchasable upon exercise of the warrants on any securities exchange;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any equity securities purchasable upon exercise of the warrants;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aggregate principal amount, currency and terms of any debt securities that may be purchased upon exercise of the warrants;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preferred stock with which the warrants are issued and the number of warrants issued with each security;</w:t>
      </w:r>
    </w:p>
    <w:p>
      <w:pPr>
        <w:spacing w:after="0" w:line="210" w:lineRule="exact"/>
        <w:rPr>
          <w:rFonts w:ascii="Times New Roman" w:cs="Times New Roman" w:eastAsia="Times New Roman" w:hAnsi="Times New Roman"/>
          <w:sz w:val="15"/>
          <w:szCs w:val="15"/>
          <w:color w:val="auto"/>
        </w:rPr>
      </w:pPr>
    </w:p>
    <w:p>
      <w:pPr>
        <w:ind w:left="660" w:right="780" w:hanging="399"/>
        <w:spacing w:after="0" w:line="283" w:lineRule="auto"/>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from and after which any warrants issued as part of a unit and the related debt securities, preferred stock, or common stock will be separately transferable;</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common stock, preferred stock purchasable upon exercise of a warrant and the price at which those shares may be purchased;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minimum or maximum amount of the warrants that may be exercised at any one time;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with respect to book-entry procedures, if any;</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anti-dilution provisions of, and other provisions for changes to or adjustment in the exercise price of, the warrants, if any;</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redemption or call provisions; and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terms of the warrants, including terms, procedures and limitations relating to the exchange or exercise of the warrants.</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OUR UNITS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If so described in a particular prospectus supplement, the specific terms of any series of units may differ from the general description of terms presented below.</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may issue units comprised of one or more of the other securities that may be offered under this prospectus, in any combination. The following, together with the additional information we may include in the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Any applicable prospectus supplement will describe:</w:t>
      </w:r>
    </w:p>
    <w:p>
      <w:pPr>
        <w:spacing w:after="0" w:line="188" w:lineRule="exact"/>
        <w:rPr>
          <w:sz w:val="20"/>
          <w:szCs w:val="20"/>
          <w:color w:val="auto"/>
        </w:rPr>
      </w:pPr>
    </w:p>
    <w:p>
      <w:pPr>
        <w:ind w:left="660" w:hanging="399"/>
        <w:spacing w:after="0" w:line="261" w:lineRule="auto"/>
        <w:tabs>
          <w:tab w:leader="none" w:pos="6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material terms of the units and of the securities comprising the units, including whether and under what circumstances those securities may be held or transferred separately;</w:t>
      </w:r>
    </w:p>
    <w:p>
      <w:pPr>
        <w:spacing w:after="0" w:line="353"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provisions relating to the issuance, payment, settlement, transfer or exchange of the units or of the securities comprising the units;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special tax implications of the units; and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provisions of the governing unit agreement that differ from those described above.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CERTAIN PROVISIONS OF NEVADA LAW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OUR CHARTER AND BYLAWS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Transactions with Interested Persons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Under the Nevada Revised Statutes (the “NRS”)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52" w:lineRule="exact"/>
        <w:rPr>
          <w:sz w:val="20"/>
          <w:szCs w:val="20"/>
          <w:color w:val="auto"/>
        </w:rPr>
      </w:pPr>
    </w:p>
    <w:p>
      <w:pPr>
        <w:ind w:left="540" w:right="180" w:hanging="279"/>
        <w:spacing w:after="0" w:line="283"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of the common directorship, office or financial interest is known to our Board or a committee of our Board and a majority of disinterested directors on the Board (or on the committee) authorize, approved or ratify the transaction in good faith;</w:t>
      </w:r>
    </w:p>
    <w:p>
      <w:pPr>
        <w:spacing w:after="0" w:line="134" w:lineRule="exact"/>
        <w:rPr>
          <w:rFonts w:ascii="Times New Roman" w:cs="Times New Roman" w:eastAsia="Times New Roman" w:hAnsi="Times New Roman"/>
          <w:sz w:val="15"/>
          <w:szCs w:val="15"/>
          <w:color w:val="auto"/>
        </w:rPr>
      </w:pPr>
    </w:p>
    <w:p>
      <w:pPr>
        <w:ind w:left="540" w:right="440" w:hanging="279"/>
        <w:spacing w:after="0" w:line="283"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of the common directorship, office or financial interest is known to the stockholders and stockholders holding a majority of the shares, including shares held by the common or interested directors or officers, authorize, approve or ratify the transaction in good faith;</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of the common directorship, office or financial interest is not known to the director or officer at the time the transaction is brought to the Board for action; or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is fair to the Company at the time it is authorized or approved.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Charter and Nevada law include certain provisions which may have the effect of delaying or deterring a change in control or in our management or encouraging persons considering unsolicited tender offers or other unilateral takeover proposals to negotiate with our board of directors rather than pursue non-negotiated takeover attempts. These provisions include authorized blank check preferred stock, restrictions on business combinations, and the availability of authorized but unissued common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Combination with Interested Stockholders Statute</w:t>
      </w:r>
    </w:p>
    <w:p>
      <w:pPr>
        <w:spacing w:after="0" w:line="19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Sections 78.411 to 78.444 of the NRS, which apply to any Nevada corporation which has at least 200 stockholders of record and is publicly traded, including us, prohibits an “interested stockholder” from entering into specified types of business “combinations” with the Nevada corporation for two years, unless certain conditions are met. A “combination” includes:</w:t>
      </w:r>
    </w:p>
    <w:p>
      <w:pPr>
        <w:spacing w:after="0" w:line="135" w:lineRule="exact"/>
        <w:rPr>
          <w:sz w:val="20"/>
          <w:szCs w:val="20"/>
          <w:color w:val="auto"/>
        </w:rPr>
      </w:pPr>
    </w:p>
    <w:p>
      <w:pPr>
        <w:ind w:left="540" w:hanging="279"/>
        <w:spacing w:after="0" w:line="283"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of the corporation or any subsidiary of the corporation with an “interested stockholder,” or any other entity, whether or not itself an “interested stockholder,” which is, or after and as a result of the merger would be, an affiliate or associate of an “interested stockholder;”</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lease, exchange, mortgage, pledge, transfer, or other disposition in one transaction, or a series of transactions, to or with an “interested stockholder” or any affiliate or associate of an “interested stockholder,” of assets of the corporation or any subsidiary:</w:t>
      </w:r>
    </w:p>
    <w:p>
      <w:pPr>
        <w:spacing w:after="0" w:line="134"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having an aggregate market value equal to more than 5% of the aggregate market value of the corporation’s assets, determined on a consolidated basis;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having an aggregate market value equal to more than 5% of the aggregate market value of all outstanding voting shares of the corporation; or</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representing more than 10% of the earning power or net income, determined on a consolidated basis, of the corporation; or</w:t>
      </w:r>
    </w:p>
    <w:p>
      <w:pPr>
        <w:spacing w:after="0" w:line="188"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or transfer by the corporation or any subsidiary, of any shares of the corporation or any subsidiary to an “interested stockholder” or any affiliate or associate of an “interested stockholder,” having an aggregate market value equal to 5% or more of the aggregate market value of all of the outstanding voting shares of the corporation, except under the exercise of warrants or rights to purchase shares offered, or a dividend or distribution paid or made, pro rata to all stockholders of the resident domestic corporation;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31" w:name="page32"/>
    <w:bookmarkEnd w:id="31"/>
    <w:p>
      <w:pPr>
        <w:ind w:left="540" w:right="20" w:hanging="279"/>
        <w:spacing w:after="0" w:line="283"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adoption of any plan, or proposal for the liquidation or dissolution of the corporation, under any agreement, arrangement or understanding, with the “interested stockholder,” or any affiliate or associate of the “interested stockholder;”</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of the following actions occurs:</w:t>
      </w:r>
    </w:p>
    <w:p>
      <w:pPr>
        <w:spacing w:after="0" w:line="188" w:lineRule="exact"/>
        <w:rPr>
          <w:rFonts w:ascii="Times New Roman" w:cs="Times New Roman" w:eastAsia="Times New Roman" w:hAnsi="Times New Roman"/>
          <w:sz w:val="15"/>
          <w:szCs w:val="15"/>
          <w:color w:val="auto"/>
        </w:rPr>
      </w:pPr>
    </w:p>
    <w:p>
      <w:pPr>
        <w:ind w:left="800" w:hanging="268"/>
        <w:spacing w:after="0" w:line="283" w:lineRule="auto"/>
        <w:tabs>
          <w:tab w:leader="none" w:pos="80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reclassification of the corporation’s securities, including, without limitation, any splitting of shares, share dividend, or other distribution of shares with respect to other shares, or any issuance of new shares in exchange for a proportionately greater number of old shares;</w:t>
      </w:r>
    </w:p>
    <w:p>
      <w:pPr>
        <w:spacing w:after="0" w:line="134"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recapitalization of the corporation;</w:t>
      </w:r>
    </w:p>
    <w:p>
      <w:pPr>
        <w:spacing w:after="0" w:line="211" w:lineRule="exact"/>
        <w:rPr>
          <w:sz w:val="20"/>
          <w:szCs w:val="20"/>
          <w:color w:val="auto"/>
        </w:rPr>
      </w:pPr>
    </w:p>
    <w:p>
      <w:pPr>
        <w:ind w:left="800" w:hanging="268"/>
        <w:spacing w:after="0"/>
        <w:tabs>
          <w:tab w:leader="none" w:pos="8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or consolidation of the corporation with any subsidiary; or</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transaction, whether or not with or into or otherwise involving the interested stockholder,</w:t>
      </w:r>
    </w:p>
    <w:p>
      <w:pPr>
        <w:spacing w:after="0" w:line="188"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5"/>
          <w:szCs w:val="15"/>
          <w:color w:val="auto"/>
        </w:rPr>
        <w:t>under any agreement, arrangement or understanding, whether or not in writing, with the interested stockholder or any affiliate or associate of the interested stockholder, which has the immediate and proximate effect of increasing the proportionate share of the outstanding shares of any class or series of voting shares or securities convertible into voting shares of the corporation or any subsidiary of the corporation which is beneficially owned by the interested stockholder or any affiliate or associate of the interested stockholder, except as a result of immaterial changes because of adjustments of fractional shares; or</w:t>
      </w:r>
    </w:p>
    <w:p>
      <w:pPr>
        <w:spacing w:after="0" w:line="152" w:lineRule="exact"/>
        <w:rPr>
          <w:sz w:val="20"/>
          <w:szCs w:val="20"/>
          <w:color w:val="auto"/>
        </w:rPr>
      </w:pPr>
    </w:p>
    <w:p>
      <w:pPr>
        <w:ind w:left="540" w:hanging="279"/>
        <w:spacing w:after="0" w:line="283"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receipt by an “interested stockholder” or any affiliate or associate of an “interested stockholder,” except proportionately as a stockholder of the corporation, of the benefit of any loan, advance, guarantee, pledge or other financial assistance or any tax credit or other tax advantage provided by or through the corporation.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 “interested stockholder” is a person who is:</w:t>
      </w:r>
    </w:p>
    <w:p>
      <w:pPr>
        <w:spacing w:after="0" w:line="188" w:lineRule="exact"/>
        <w:rPr>
          <w:sz w:val="20"/>
          <w:szCs w:val="20"/>
          <w:color w:val="auto"/>
        </w:rPr>
      </w:pPr>
    </w:p>
    <w:p>
      <w:pPr>
        <w:ind w:left="540" w:hanging="279"/>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the beneficial owner of 10% or more of the voting power of the outstanding voting shares of the corporation; or</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affiliate or associate of the corporation, which at any time within two years immediately before the date in question was the beneficial owner, directly or indirectly, of 10% or more of the voting power of the then outstanding shares of the corporation.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A corporation to which the Combinations with Interested Stockholders Statute applies may not engage in a “combination” within two years after the interested stockholder first became an interested stockholder, unless the combination meets all of the requirements of the corporation’s articles of incorporation and (i) the combination or the transaction by which the person first became an interested stockholder is approved by the board of directors before the person first became an interested stockholder, or (ii)(a) the combination is approved by the board of directors and (b) at or after that time, the combination is approved at an annual or special meeting of the stockholders, and not by written consent, by the affirmative vote of the stockholders representing at least 60% of the outstanding voting power of the corporation not beneficially owned by the interested stockholder or the affiliates or associates of the interested stockholder. If this approval is not obtained, the combination may be consummated after the two year period expires if either (i)(a) the combination or transaction by which the person first became an interested stockholder is approved by the board of directors before such person first became an interested stockholder, (b) the combination is approved by a majority of the outstanding voting power of the corporation not beneficially owned by the interested stockholder or any affiliate or associate of the interested stockholder, or (c) the combination otherwise meets the requirements of the Combination with Interested Stockholders statute. Alternatively, a combination with an interested stockholder engaged in more than 2 years after the date the person first became an interested stockholder may be permissible if the aggregate amount of cash and the market value of consideration other than cash to be received by holders of shares of common stock and holders of any other class or series of shares meets the minimum requirements set forth in the statue, and prior to the completion of the combination, except in limited circumstances, the interested stockholder has not become the beneficial owner of additional voting shares of the corporation.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color w:val="auto"/>
        </w:rPr>
        <w:t>Acquisition of Controlling Interest Statute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addition, Nevada’s “Acquisition of Controlling Interest Statute,” prohibits an acquiror, under certain circumstances, from voting shares of a target corporation’s stock after crossing certain threshold ownership percentages, unless the acquiror obtains the approval of the target corporation’s stockholders. Sections 78.378 to 78.3793 of the NRS only apply to Nevada corporations with at least 200 stockholders, including at least 100 record stockholders who are Nevada residents, that do business directly or indirectly in Nevada and whose articles of incorporation or bylaws in effect ten days following the acquisition of a controlling interest by an acquiror do not prohibit its application.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do not intend to “do business” in Nevada within the meaning of the Acquisition of Controlling Interest Statute. Further, our Bylaws contain a specific opt out from the statute.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Therefore, we believe it is unlikely that this statute will apply to us. The statute specifies three thresholds:</w:t>
      </w:r>
    </w:p>
    <w:p>
      <w:pPr>
        <w:spacing w:after="0" w:line="173" w:lineRule="exact"/>
        <w:rPr>
          <w:sz w:val="20"/>
          <w:szCs w:val="20"/>
          <w:color w:val="auto"/>
        </w:rPr>
      </w:pPr>
    </w:p>
    <w:p>
      <w:pPr>
        <w:ind w:left="540" w:hanging="279"/>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one-fifth but less than one-third;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one-third but less than a majority;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majority or more, of the outstanding voting power.</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Once an acquiror crosses one of these thresholds, shares which it acquired in the transaction taking it over the threshold (or within 90 days preceding the date thereof) become “control shares” which could be deprived of the right to vote until a majority of the disinterested stockholders restore that right. A special stockholders’ meeting may be called at the request of the acquiror to consider the voting rights of the acquiror’s shares. If the acquiror requests a special meeting and gives an undertaking to pay the expenses of said meeting, then the meeting must take place no earlier than 30 days (unless the acquiror requests that the meeting be held sooner) and no more than 50 days (unless the acquiror agrees to a later date) after the delivery by the acquiror to the corporation of an information statement which sets forth the range of voting power that the acquiror has acquired or proposes to acquire and certain other information concerning the acquiror and the proposed control share acquisition.</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If no such request for a stockholders’ meeting is made, consideration of the voting rights of the acquiror’s shares must be taken at the next special or annual stockholders’ meeting. If the stockholders fail to restore voting rights to the acquiror, or if the acquiror fails to timely deliver an information statement to the corporation, then the corporation may, if so provided in its articles of incorporation or bylaws, call certain of the acquiror’s shares for redemption at the average price paid for the control shares by the acquiror.</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Our Charter and our Bylaws do not currently permit us to redeem an acquiror’s shares under these circumstances. The Acquisition of Controlling Interest Statute also provides that in the event the stockholders restore full voting rights to a holder of control shares that owns a majority of the voting stock, then all other stockholders who do not vote in favor of restoring voting rights to the control shares may demand payment for the “fair value” of their shares as determined by a court in dissenter’s rights proceeding pursuant to Chapter 92A of the NRS.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sell securities:</w:t>
      </w:r>
    </w:p>
    <w:p>
      <w:pPr>
        <w:spacing w:after="0" w:line="188" w:lineRule="exact"/>
        <w:rPr>
          <w:sz w:val="20"/>
          <w:szCs w:val="20"/>
          <w:color w:val="auto"/>
        </w:rPr>
      </w:pPr>
    </w:p>
    <w:p>
      <w:pPr>
        <w:ind w:left="660" w:hanging="399"/>
        <w:spacing w:after="0"/>
        <w:tabs>
          <w:tab w:leader="none" w:pos="6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underwriters;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dealers;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agents;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to purchasers; or</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combination of any of these methods of sale.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also sell equity securities covered by this registration statement in an “at the market offering” as defined in Rule 415 under the Securities Act of 1933, as amended (the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 Such offering may be made into an existing trading market for such securities in transactions at other than a fixed price, either:</w:t>
      </w:r>
    </w:p>
    <w:p>
      <w:pPr>
        <w:spacing w:after="0" w:line="173" w:lineRule="exact"/>
        <w:rPr>
          <w:sz w:val="20"/>
          <w:szCs w:val="20"/>
          <w:color w:val="auto"/>
        </w:rPr>
      </w:pPr>
    </w:p>
    <w:p>
      <w:pPr>
        <w:ind w:left="660" w:hanging="399"/>
        <w:spacing w:after="0" w:line="283" w:lineRule="auto"/>
        <w:tabs>
          <w:tab w:leader="none" w:pos="6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through the facilities of The Nasdaq Capital Market or any other securities exchange or quotation or trading service on which such securities may be listed, quoted or traded at the time of sale; and/or</w:t>
      </w:r>
    </w:p>
    <w:p>
      <w:pPr>
        <w:spacing w:after="0" w:line="134"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or through a market maker other than on The Nasdaq Capital Market or such other securities exchanges or quotation or trading services.</w:t>
      </w:r>
    </w:p>
    <w:p>
      <w:pPr>
        <w:spacing w:after="0" w:line="2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distribution of the securities may be effected from time to time in one or more transactions:</w:t>
      </w:r>
    </w:p>
    <w:p>
      <w:pPr>
        <w:spacing w:after="0" w:line="188" w:lineRule="exact"/>
        <w:rPr>
          <w:sz w:val="20"/>
          <w:szCs w:val="20"/>
          <w:color w:val="auto"/>
        </w:rPr>
      </w:pPr>
    </w:p>
    <w:p>
      <w:pPr>
        <w:ind w:left="660" w:hanging="399"/>
        <w:spacing w:after="0"/>
        <w:tabs>
          <w:tab w:leader="none" w:pos="6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which may be changed from time to time;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 of sale;</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such prevailing market prices; or</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Each prospectus supplement will describe the method of distribution of the securities and any applicable restrictions.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prospectus supplement with respect to the securities of a particular series will describe the terms of the offering of the securities, including the following:</w:t>
      </w:r>
    </w:p>
    <w:p>
      <w:pPr>
        <w:spacing w:after="0" w:line="188" w:lineRule="exact"/>
        <w:rPr>
          <w:sz w:val="20"/>
          <w:szCs w:val="20"/>
          <w:color w:val="auto"/>
        </w:rPr>
      </w:pPr>
    </w:p>
    <w:p>
      <w:pPr>
        <w:ind w:left="660" w:hanging="399"/>
        <w:spacing w:after="0"/>
        <w:tabs>
          <w:tab w:leader="none" w:pos="6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agent or any underwriters;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 offering or purchase price and the proceeds we will receive from the sale of the securities;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re-allowed or paid to the agent or underwriters;</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items constituting underwriting compensation;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34" w:name="page35"/>
    <w:bookmarkEnd w:id="34"/>
    <w:p>
      <w:pPr>
        <w:ind w:left="660" w:hanging="399"/>
        <w:spacing w:after="0"/>
        <w:tabs>
          <w:tab w:leader="none" w:pos="6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re-allowed or paid to dealers; and</w:t>
      </w:r>
    </w:p>
    <w:p>
      <w:pPr>
        <w:spacing w:after="0" w:line="210" w:lineRule="exact"/>
        <w:rPr>
          <w:rFonts w:ascii="Times New Roman" w:cs="Times New Roman" w:eastAsia="Times New Roman" w:hAnsi="Times New Roman"/>
          <w:sz w:val="15"/>
          <w:szCs w:val="15"/>
          <w:color w:val="auto"/>
        </w:rPr>
      </w:pPr>
    </w:p>
    <w:p>
      <w:pPr>
        <w:ind w:left="660" w:hanging="399"/>
        <w:spacing w:after="0"/>
        <w:tabs>
          <w:tab w:leader="none" w:pos="6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exchanges on which the securities will be listed.</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52" w:lineRule="exact"/>
        <w:rPr>
          <w:sz w:val="20"/>
          <w:szCs w:val="20"/>
          <w:color w:val="auto"/>
        </w:rPr>
      </w:pPr>
    </w:p>
    <w:p>
      <w:pPr>
        <w:ind w:left="660" w:hanging="399"/>
        <w:spacing w:after="0" w:line="283" w:lineRule="auto"/>
        <w:tabs>
          <w:tab w:leader="none" w:pos="6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by an institution of the securities covered under that contract shall not at the time of delivery be prohibited under the laws of the jurisdiction to which that institution is subject; and</w:t>
      </w:r>
    </w:p>
    <w:p>
      <w:pPr>
        <w:spacing w:after="0" w:line="134" w:lineRule="exact"/>
        <w:rPr>
          <w:rFonts w:ascii="Times New Roman" w:cs="Times New Roman" w:eastAsia="Times New Roman" w:hAnsi="Times New Roman"/>
          <w:sz w:val="15"/>
          <w:szCs w:val="15"/>
          <w:color w:val="auto"/>
        </w:rPr>
      </w:pPr>
    </w:p>
    <w:p>
      <w:pPr>
        <w:ind w:left="660" w:hanging="399"/>
        <w:spacing w:after="0" w:line="283" w:lineRule="auto"/>
        <w:tabs>
          <w:tab w:leader="none" w:pos="6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Under Rule 15c6-1 of the Securities Exchange Act of 1934, as amended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w:t>
      </w:r>
    </w:p>
    <w:p>
      <w:pPr>
        <w:spacing w:after="0" w:line="15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Certain legal matters in connection with this offering will be passed upon for us by Latham &amp; Watkins LLP, Chicago, Illinois. The validity of the securities offered hereby will be passed upon for us by Woodburn and Wedge, Reno, Nevada. Additional legal matters may be passed upon for us or any underwriters, dealers or agents, by counsel that we will name in the applicable prospectus supplement.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WithumSmith+Brown, PC (“Withum”) our independent registered public accounting firm, has audited our consolidated financial statements included in our Annual Report on Form 10-K for the year ended March 31, 2023,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Withum’s report, given on their authority as experts in accounting and auditing.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36" w:name="page37"/>
    <w:bookmarkEnd w:id="36"/>
    <w:p>
      <w:pPr>
        <w:jc w:val="both"/>
        <w:ind w:left="100" w:right="140"/>
        <w:spacing w:after="0" w:line="270" w:lineRule="auto"/>
        <w:rPr>
          <w:sz w:val="20"/>
          <w:szCs w:val="20"/>
          <w:color w:val="auto"/>
        </w:rPr>
      </w:pPr>
      <w:r>
        <w:rPr>
          <w:rFonts w:ascii="Times New Roman" w:cs="Times New Roman" w:eastAsia="Times New Roman" w:hAnsi="Times New Roman"/>
          <w:sz w:val="15"/>
          <w:szCs w:val="15"/>
          <w:b w:val="1"/>
          <w:bCs w:val="1"/>
          <w:color w:val="FF0000"/>
        </w:rPr>
        <w:drawing>
          <wp:anchor simplePos="0" relativeHeight="251657728" behindDoc="1" locked="0" layoutInCell="0" allowOverlap="1">
            <wp:simplePos x="0" y="0"/>
            <wp:positionH relativeFrom="page">
              <wp:posOffset>196850</wp:posOffset>
            </wp:positionH>
            <wp:positionV relativeFrom="page">
              <wp:posOffset>461010</wp:posOffset>
            </wp:positionV>
            <wp:extent cx="7155180" cy="587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7155180" cy="587375"/>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FF0000"/>
        </w:rPr>
        <w:t>SUBJECT TO COMPLETION, DATED FEBRUARY 13,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 Prospectus dated</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101600</wp:posOffset>
            </wp:positionV>
            <wp:extent cx="1568450" cy="422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1568450" cy="42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$100,000,000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5"/>
          <w:szCs w:val="15"/>
          <w:color w:val="auto"/>
        </w:rPr>
        <w:t>On May 14, 2021, we entered into an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5"/>
          <w:szCs w:val="15"/>
          <w:color w:val="auto"/>
        </w:rPr>
        <w:t xml:space="preserve"> (the “Sales Agreement”) with Jefferies LLC (“Jefferies”) relating to shares of our common stock, par value $0.001 per share. In accordance with the terms of the Sales Agreement, under this prospectus supplement, we may offer and sell shares of our common stock having an aggregate offering price of up to $100,000,000 from time to time through Jefferies, acting as our sales agent.</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Our common stock is listed on The Nasdaq Capital Market under the trading symbol “VTGN.” On February 12, 2024, the last reported sale price of our common stock on The Nasdaq Capital Market was $5.15 per share.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Sales of our common stock, if any, under this prospectus supplement may be made by any method permitted that is deemed to be an “at the market offering” as defined in Rule 415(a)(4) promulgated under the Securities Act of 1933, as amended (the “Securities Act”). Jefferies is not required to sell any specific amount of securities, but will act as our sales agent and use commercially reasonable efforts to sell on our behalf all of the shares of common stock requested to be sold by us, consistent with its normal trading and sales practices, on mutually agreed terms between Jefferies and us. There is no arrangement for funds to be received in any escrow, trust or similar arrangement.</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Jefferies will be entitled to a commission of up to 3.0% of the gross sales price per share of common stock sold under this Prospectus Supplement. In connection with the sale of our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(the “Exchange Act”). See “Plan of Distribution” beginning on page </w:t>
      </w:r>
      <w:r>
        <w:rPr>
          <w:rFonts w:ascii="Times New Roman" w:cs="Times New Roman" w:eastAsia="Times New Roman" w:hAnsi="Times New Roman"/>
          <w:sz w:val="15"/>
          <w:szCs w:val="15"/>
          <w:u w:val="single" w:color="auto"/>
          <w:color w:val="0000EE"/>
        </w:rPr>
        <w:t>S-13</w:t>
      </w:r>
      <w:r>
        <w:rPr>
          <w:rFonts w:ascii="Times New Roman" w:cs="Times New Roman" w:eastAsia="Times New Roman" w:hAnsi="Times New Roman"/>
          <w:sz w:val="15"/>
          <w:szCs w:val="15"/>
          <w:color w:val="auto"/>
        </w:rPr>
        <w:t xml:space="preserve"> for additional information regarding the compensation to be paid to 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715518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7155180" cy="21590"/>
                    </a:xfrm>
                    <a:prstGeom prst="rect">
                      <a:avLst/>
                    </a:prstGeom>
                    <a:noFill/>
                  </pic:spPr>
                </pic:pic>
              </a:graphicData>
            </a:graphic>
          </wp:anchor>
        </w:drawing>
      </w:r>
    </w:p>
    <w:p>
      <w:pPr>
        <w:spacing w:after="0" w:line="252" w:lineRule="exact"/>
        <w:rPr>
          <w:sz w:val="20"/>
          <w:szCs w:val="20"/>
          <w:color w:val="auto"/>
        </w:rPr>
      </w:pPr>
    </w:p>
    <w:p>
      <w:pPr>
        <w:ind w:right="60" w:firstLine="541"/>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Investing in our common stock involves a high degree of risk. You should review carefully the risks and uncertainties described under the heading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beginning on page </w:t>
      </w:r>
      <w:r>
        <w:rPr>
          <w:rFonts w:ascii="Times New Roman" w:cs="Times New Roman" w:eastAsia="Times New Roman" w:hAnsi="Times New Roman"/>
          <w:sz w:val="15"/>
          <w:szCs w:val="15"/>
          <w:b w:val="1"/>
          <w:bCs w:val="1"/>
          <w:i w:val="1"/>
          <w:iCs w:val="1"/>
          <w:u w:val="single" w:color="auto"/>
          <w:color w:val="0000EE"/>
        </w:rPr>
        <w:t>S-9</w:t>
      </w:r>
      <w:r>
        <w:rPr>
          <w:rFonts w:ascii="Times New Roman" w:cs="Times New Roman" w:eastAsia="Times New Roman" w:hAnsi="Times New Roman"/>
          <w:sz w:val="15"/>
          <w:szCs w:val="15"/>
          <w:b w:val="1"/>
          <w:bCs w:val="1"/>
          <w:i w:val="1"/>
          <w:iCs w:val="1"/>
          <w:color w:val="auto"/>
        </w:rPr>
        <w:t xml:space="preserve"> of this prospectus supplement and under similar headings in the documents incorporated by reference into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715518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7155180" cy="21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80" w:firstLine="541"/>
        <w:spacing w:after="0" w:line="289"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supplement and the accompanying base prospectus is truthful or complete. Any representation to the contrary is a criminal offense.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Jefferies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ind w:left="4060"/>
              <w:spacing w:after="0"/>
              <w:rPr>
                <w:sz w:val="20"/>
                <w:szCs w:val="20"/>
                <w:color w:val="auto"/>
              </w:rPr>
            </w:pPr>
            <w:r>
              <w:rPr>
                <w:rFonts w:ascii="Times New Roman" w:cs="Times New Roman" w:eastAsia="Times New Roman" w:hAnsi="Times New Roman"/>
                <w:sz w:val="15"/>
                <w:szCs w:val="15"/>
                <w:color w:val="auto"/>
              </w:rPr>
              <w:t>The date of this prospectus supplement is</w:t>
            </w:r>
          </w:p>
        </w:tc>
        <w:tc>
          <w:tcPr>
            <w:tcW w:w="4600" w:type="dxa"/>
            <w:vAlign w:val="bottom"/>
          </w:tcPr>
          <w:p>
            <w:pPr>
              <w:jc w:val="right"/>
              <w:ind w:right="4005"/>
              <w:spacing w:after="0"/>
              <w:rPr>
                <w:sz w:val="20"/>
                <w:szCs w:val="20"/>
                <w:color w:val="auto"/>
              </w:rPr>
            </w:pPr>
            <w:r>
              <w:rPr>
                <w:rFonts w:ascii="Times New Roman" w:cs="Times New Roman" w:eastAsia="Times New Roman" w:hAnsi="Times New Roman"/>
                <w:sz w:val="15"/>
                <w:szCs w:val="15"/>
                <w:color w:val="auto"/>
              </w:rPr>
              <w:t>, 2024.</w:t>
            </w:r>
          </w:p>
        </w:tc>
      </w:tr>
      <w:tr>
        <w:trPr>
          <w:trHeight w:val="225"/>
        </w:trPr>
        <w:tc>
          <w:tcPr>
            <w:tcW w:w="666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r>
      <w:tr>
        <w:trPr>
          <w:trHeight w:val="513"/>
        </w:trPr>
        <w:tc>
          <w:tcPr>
            <w:tcW w:w="66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99" w:right="31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20" w:type="dxa"/>
            <w:vAlign w:val="bottom"/>
            <w:gridSpan w:val="2"/>
          </w:tcPr>
          <w:p>
            <w:pPr>
              <w:ind w:left="16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8700" w:type="dxa"/>
            <w:vAlign w:val="bottom"/>
            <w:gridSpan w:val="13"/>
          </w:tcPr>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840" w:type="dxa"/>
            <w:vAlign w:val="bottom"/>
            <w:tcBorders>
              <w:bottom w:val="single" w:sz="8" w:color="0000EE"/>
            </w:tcBorders>
            <w:gridSpan w:val="9"/>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w w:val="98"/>
              </w:rPr>
              <w:t>ABOUT THIS PROSPECTUS SUPPLEMENT</w:t>
            </w:r>
          </w:p>
        </w:tc>
        <w:tc>
          <w:tcPr>
            <w:tcW w:w="5840" w:type="dxa"/>
            <w:vAlign w:val="bottom"/>
            <w:tcBorders>
              <w:bottom w:val="single" w:sz="8" w:color="CCEEFF"/>
            </w:tcBorders>
            <w:gridSpan w:val="3"/>
            <w:shd w:val="clear" w:color="auto" w:fill="CCEEFF"/>
          </w:tcPr>
          <w:p>
            <w:pPr>
              <w:spacing w:after="0"/>
              <w:rPr>
                <w:sz w:val="13"/>
                <w:szCs w:val="13"/>
                <w:color w:val="auto"/>
              </w:rPr>
            </w:pPr>
          </w:p>
        </w:tc>
        <w:tc>
          <w:tcPr>
            <w:tcW w:w="2340" w:type="dxa"/>
            <w:vAlign w:val="bottom"/>
            <w:tcBorders>
              <w:bottom w:val="single" w:sz="8" w:color="CCEEFF"/>
              <w:right w:val="single" w:sz="8" w:color="CCEEFF"/>
            </w:tcBorders>
            <w:shd w:val="clear" w:color="auto" w:fill="CCEEFF"/>
          </w:tcPr>
          <w:p>
            <w:pPr>
              <w:spacing w:after="0"/>
              <w:rPr>
                <w:sz w:val="13"/>
                <w:szCs w:val="13"/>
                <w:color w:val="auto"/>
              </w:rPr>
            </w:pPr>
          </w:p>
        </w:tc>
        <w:tc>
          <w:tcPr>
            <w:tcW w:w="220" w:type="dxa"/>
            <w:vAlign w:val="bottom"/>
            <w:tcBorders>
              <w:bottom w:val="single" w:sz="8" w:color="0000EE"/>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5"/>
                <w:szCs w:val="15"/>
                <w:color w:val="0000EE"/>
                <w:w w:val="95"/>
              </w:rPr>
              <w:t>S-1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680" w:type="dxa"/>
            <w:vAlign w:val="bottom"/>
            <w:gridSpan w:val="12"/>
          </w:tcPr>
          <w:p>
            <w:pPr>
              <w:spacing w:after="0" w:line="147" w:lineRule="exact"/>
              <w:rPr>
                <w:sz w:val="20"/>
                <w:szCs w:val="20"/>
                <w:color w:val="auto"/>
              </w:rPr>
            </w:pPr>
            <w:r>
              <w:rPr>
                <w:rFonts w:ascii="Times New Roman" w:cs="Times New Roman" w:eastAsia="Times New Roman" w:hAnsi="Times New Roman"/>
                <w:sz w:val="15"/>
                <w:szCs w:val="15"/>
                <w:color w:val="0000EE"/>
              </w:rPr>
              <w:t>CAUTIONARY NOTE REGARDING FORWARD-LOOKING STATEMENTS</w:t>
            </w:r>
          </w:p>
        </w:tc>
        <w:tc>
          <w:tcPr>
            <w:tcW w:w="2340" w:type="dxa"/>
            <w:vAlign w:val="bottom"/>
          </w:tcPr>
          <w:p>
            <w:pPr>
              <w:spacing w:after="0"/>
              <w:rPr>
                <w:sz w:val="12"/>
                <w:szCs w:val="12"/>
                <w:color w:val="auto"/>
              </w:rPr>
            </w:pPr>
          </w:p>
        </w:tc>
        <w:tc>
          <w:tcPr>
            <w:tcW w:w="22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0000EE"/>
                <w:w w:val="95"/>
              </w:rPr>
              <w:t>S-3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Borders>
              <w:top w:val="single" w:sz="8" w:color="0000EE"/>
              <w:bottom w:val="single" w:sz="8" w:color="0000EE"/>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8"/>
              </w:rPr>
              <w:t>PROSPECTUS SUPPLEMENT SUMMARY</w:t>
            </w:r>
          </w:p>
        </w:tc>
        <w:tc>
          <w:tcPr>
            <w:tcW w:w="208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3880" w:type="dxa"/>
            <w:vAlign w:val="bottom"/>
            <w:tcBorders>
              <w:bottom w:val="single" w:sz="8" w:color="CCEEFF"/>
            </w:tcBorders>
            <w:shd w:val="clear" w:color="auto" w:fill="CCEEFF"/>
          </w:tcPr>
          <w:p>
            <w:pPr>
              <w:spacing w:after="0"/>
              <w:rPr>
                <w:sz w:val="15"/>
                <w:szCs w:val="15"/>
                <w:color w:val="auto"/>
              </w:rPr>
            </w:pPr>
          </w:p>
        </w:tc>
        <w:tc>
          <w:tcPr>
            <w:tcW w:w="234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0000EE"/>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w w:val="95"/>
              </w:rPr>
              <w:t>S-5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4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5"/>
                <w:szCs w:val="15"/>
                <w:color w:val="0000EE"/>
                <w:w w:val="95"/>
              </w:rPr>
              <w:t>THE OFFERING</w:t>
            </w:r>
          </w:p>
        </w:tc>
        <w:tc>
          <w:tcPr>
            <w:tcW w:w="7640" w:type="dxa"/>
            <w:vAlign w:val="bottom"/>
            <w:gridSpan w:val="9"/>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Borders>
              <w:bottom w:val="single" w:sz="8" w:color="0000EE"/>
            </w:tcBorders>
          </w:tcPr>
          <w:p>
            <w:pPr>
              <w:jc w:val="right"/>
              <w:spacing w:after="0" w:line="147" w:lineRule="exact"/>
              <w:rPr>
                <w:sz w:val="20"/>
                <w:szCs w:val="20"/>
                <w:color w:val="auto"/>
              </w:rPr>
            </w:pPr>
            <w:r>
              <w:rPr>
                <w:rFonts w:ascii="Times New Roman" w:cs="Times New Roman" w:eastAsia="Times New Roman" w:hAnsi="Times New Roman"/>
                <w:sz w:val="15"/>
                <w:szCs w:val="15"/>
                <w:color w:val="0000EE"/>
                <w:w w:val="95"/>
              </w:rPr>
              <w:t>S-8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Borders>
              <w:bottom w:val="single" w:sz="8" w:color="0000EE"/>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4"/>
              </w:rPr>
              <w:t>RISK FACTORS</w:t>
            </w:r>
          </w:p>
        </w:tc>
        <w:tc>
          <w:tcPr>
            <w:tcW w:w="7660" w:type="dxa"/>
            <w:vAlign w:val="bottom"/>
            <w:tcBorders>
              <w:bottom w:val="single" w:sz="8" w:color="CCEEFF"/>
            </w:tcBorders>
            <w:gridSpan w:val="10"/>
            <w:shd w:val="clear" w:color="auto" w:fill="CCEEFF"/>
          </w:tcPr>
          <w:p>
            <w:pPr>
              <w:spacing w:after="0"/>
              <w:rPr>
                <w:sz w:val="15"/>
                <w:szCs w:val="15"/>
                <w:color w:val="auto"/>
              </w:rPr>
            </w:pPr>
          </w:p>
        </w:tc>
        <w:tc>
          <w:tcPr>
            <w:tcW w:w="234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0000EE"/>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w w:val="95"/>
              </w:rPr>
              <w:t>S-9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5"/>
                <w:szCs w:val="15"/>
                <w:color w:val="0000EE"/>
                <w:w w:val="97"/>
              </w:rPr>
              <w:t>USE OF PROCEEDS</w:t>
            </w:r>
          </w:p>
        </w:tc>
        <w:tc>
          <w:tcPr>
            <w:tcW w:w="7380" w:type="dxa"/>
            <w:vAlign w:val="bottom"/>
            <w:gridSpan w:val="7"/>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Borders>
              <w:bottom w:val="single" w:sz="8" w:color="0000EE"/>
            </w:tcBorders>
          </w:tcPr>
          <w:p>
            <w:pPr>
              <w:jc w:val="right"/>
              <w:spacing w:after="0" w:line="147" w:lineRule="exact"/>
              <w:rPr>
                <w:sz w:val="20"/>
                <w:szCs w:val="20"/>
                <w:color w:val="auto"/>
              </w:rPr>
            </w:pPr>
            <w:r>
              <w:rPr>
                <w:rFonts w:ascii="Times New Roman" w:cs="Times New Roman" w:eastAsia="Times New Roman" w:hAnsi="Times New Roman"/>
                <w:sz w:val="15"/>
                <w:szCs w:val="15"/>
                <w:color w:val="0000EE"/>
                <w:w w:val="70"/>
              </w:rPr>
              <w:t>S-11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80" w:type="dxa"/>
            <w:vAlign w:val="bottom"/>
            <w:gridSpan w:val="1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DILUTION</w:t>
            </w:r>
          </w:p>
        </w:tc>
        <w:tc>
          <w:tcPr>
            <w:tcW w:w="256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rPr>
              <w:t>S-12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340" w:type="dxa"/>
            <w:vAlign w:val="bottom"/>
            <w:tcBorders>
              <w:right w:val="single" w:sz="8" w:color="0000EE"/>
            </w:tcBorders>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680" w:type="dxa"/>
            <w:vAlign w:val="bottom"/>
            <w:gridSpan w:val="12"/>
          </w:tcPr>
          <w:p>
            <w:pPr>
              <w:spacing w:after="0" w:line="147" w:lineRule="exact"/>
              <w:rPr>
                <w:sz w:val="20"/>
                <w:szCs w:val="20"/>
                <w:color w:val="auto"/>
              </w:rPr>
            </w:pPr>
            <w:r>
              <w:rPr>
                <w:rFonts w:ascii="Times New Roman" w:cs="Times New Roman" w:eastAsia="Times New Roman" w:hAnsi="Times New Roman"/>
                <w:sz w:val="15"/>
                <w:szCs w:val="15"/>
                <w:color w:val="0000EE"/>
              </w:rPr>
              <w:t>PLAN OF DISTRIBUTION</w:t>
            </w:r>
          </w:p>
        </w:tc>
        <w:tc>
          <w:tcPr>
            <w:tcW w:w="25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5"/>
                <w:szCs w:val="15"/>
                <w:color w:val="0000EE"/>
              </w:rPr>
              <w:t>S-12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80" w:type="dxa"/>
            <w:vAlign w:val="bottom"/>
            <w:gridSpan w:val="6"/>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LEGAL MATTERS</w:t>
            </w:r>
          </w:p>
        </w:tc>
        <w:tc>
          <w:tcPr>
            <w:tcW w:w="7000" w:type="dxa"/>
            <w:vAlign w:val="bottom"/>
            <w:gridSpan w:val="6"/>
            <w:shd w:val="clear" w:color="auto" w:fill="CCEEFF"/>
          </w:tcPr>
          <w:p>
            <w:pPr>
              <w:spacing w:after="0"/>
              <w:rPr>
                <w:sz w:val="13"/>
                <w:szCs w:val="13"/>
                <w:color w:val="auto"/>
              </w:rPr>
            </w:pPr>
          </w:p>
        </w:tc>
        <w:tc>
          <w:tcPr>
            <w:tcW w:w="256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rPr>
              <w:t>S-14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340" w:type="dxa"/>
            <w:vAlign w:val="bottom"/>
            <w:tcBorders>
              <w:right w:val="single" w:sz="8" w:color="0000EE"/>
            </w:tcBorders>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20" w:type="dxa"/>
            <w:vAlign w:val="bottom"/>
          </w:tcPr>
          <w:p>
            <w:pPr>
              <w:spacing w:after="0" w:line="147" w:lineRule="exact"/>
              <w:rPr>
                <w:sz w:val="20"/>
                <w:szCs w:val="20"/>
                <w:color w:val="auto"/>
              </w:rPr>
            </w:pPr>
            <w:r>
              <w:rPr>
                <w:rFonts w:ascii="Times New Roman" w:cs="Times New Roman" w:eastAsia="Times New Roman" w:hAnsi="Times New Roman"/>
                <w:sz w:val="15"/>
                <w:szCs w:val="15"/>
                <w:color w:val="0000EE"/>
                <w:w w:val="89"/>
              </w:rPr>
              <w:t>EXPERTS</w:t>
            </w:r>
          </w:p>
        </w:tc>
        <w:tc>
          <w:tcPr>
            <w:tcW w:w="560" w:type="dxa"/>
            <w:vAlign w:val="bottom"/>
            <w:gridSpan w:val="3"/>
          </w:tcPr>
          <w:p>
            <w:pPr>
              <w:spacing w:after="0"/>
              <w:rPr>
                <w:sz w:val="12"/>
                <w:szCs w:val="12"/>
                <w:color w:val="auto"/>
              </w:rPr>
            </w:pPr>
          </w:p>
        </w:tc>
        <w:tc>
          <w:tcPr>
            <w:tcW w:w="7500" w:type="dxa"/>
            <w:vAlign w:val="bottom"/>
            <w:gridSpan w:val="8"/>
          </w:tcPr>
          <w:p>
            <w:pPr>
              <w:spacing w:after="0"/>
              <w:rPr>
                <w:sz w:val="12"/>
                <w:szCs w:val="12"/>
                <w:color w:val="auto"/>
              </w:rPr>
            </w:pPr>
          </w:p>
        </w:tc>
        <w:tc>
          <w:tcPr>
            <w:tcW w:w="25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5"/>
                <w:szCs w:val="15"/>
                <w:color w:val="0000EE"/>
              </w:rPr>
              <w:t>S-14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gridSpan w:val="10"/>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8"/>
              </w:rPr>
              <w:t>WHERE YOU CAN FIND MORE INFORMATION</w:t>
            </w:r>
          </w:p>
        </w:tc>
        <w:tc>
          <w:tcPr>
            <w:tcW w:w="5520" w:type="dxa"/>
            <w:vAlign w:val="bottom"/>
            <w:gridSpan w:val="2"/>
            <w:shd w:val="clear" w:color="auto" w:fill="CCEEFF"/>
          </w:tcPr>
          <w:p>
            <w:pPr>
              <w:spacing w:after="0"/>
              <w:rPr>
                <w:sz w:val="13"/>
                <w:szCs w:val="13"/>
                <w:color w:val="auto"/>
              </w:rPr>
            </w:pPr>
          </w:p>
        </w:tc>
        <w:tc>
          <w:tcPr>
            <w:tcW w:w="256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0000EE"/>
              </w:rPr>
              <w:t>S-14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340" w:type="dxa"/>
            <w:vAlign w:val="bottom"/>
            <w:tcBorders>
              <w:right w:val="single" w:sz="8" w:color="0000EE"/>
            </w:tcBorders>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160" w:type="dxa"/>
            <w:vAlign w:val="bottom"/>
            <w:gridSpan w:val="10"/>
          </w:tcPr>
          <w:p>
            <w:pPr>
              <w:spacing w:after="0" w:line="147" w:lineRule="exact"/>
              <w:rPr>
                <w:sz w:val="20"/>
                <w:szCs w:val="20"/>
                <w:color w:val="auto"/>
              </w:rPr>
            </w:pPr>
            <w:r>
              <w:rPr>
                <w:rFonts w:ascii="Times New Roman" w:cs="Times New Roman" w:eastAsia="Times New Roman" w:hAnsi="Times New Roman"/>
                <w:sz w:val="15"/>
                <w:szCs w:val="15"/>
                <w:color w:val="0000EE"/>
              </w:rPr>
              <w:t>INCORPORATION BY REFERENCE</w:t>
            </w:r>
          </w:p>
        </w:tc>
        <w:tc>
          <w:tcPr>
            <w:tcW w:w="5520" w:type="dxa"/>
            <w:vAlign w:val="bottom"/>
            <w:gridSpan w:val="2"/>
          </w:tcPr>
          <w:p>
            <w:pPr>
              <w:spacing w:after="0"/>
              <w:rPr>
                <w:sz w:val="12"/>
                <w:szCs w:val="12"/>
                <w:color w:val="auto"/>
              </w:rPr>
            </w:pPr>
          </w:p>
        </w:tc>
        <w:tc>
          <w:tcPr>
            <w:tcW w:w="25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5"/>
                <w:szCs w:val="15"/>
                <w:color w:val="0000EE"/>
              </w:rPr>
              <w:t>S-15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69215</wp:posOffset>
            </wp:positionV>
            <wp:extent cx="715518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This prospectus supplement is part of a shelf registration statement on Form S-3 that we filed with the Securities and Exchange Commission (the “SEC”). Under the shelf registration process, we may offer shares of our common stock having an aggregate offering price of up to $350,000,000. Under this prospectus supplement, we may from time to time sell shares of our common stock having an aggregate offering price of up to $100,000,000 at prices and on terms to be determined by market conditions at the time of the offering. The $100,000,000 of shares of our common stock that may be sold under this prospectus supplement are included in the $350,000,000 of shares of common stock that may be sold under the registration statement.</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relate to the offering of our common stock. Before buying any of the common stock that we are offering, we urge you to carefully read this prospectus supplement and the accompanying prospectus, together with the information incorporated by reference as described under the heading “Incorporation of Certain Information by Reference” in this prospectus supplement. These documents contain important information that you should consider when making your investment decision.</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This document is in two parts. The first part is this prospectus supplement, which describes the specific terms of the common stock we are offering and also adds to and updates information contained in the accompanying prospectus and the documents incorporated by reference herein or therein. The second part, the accompanying prospectus, provides more general information. Generally, when we refer to this prospectus, we are referring to both this prospectus supplement and the accompanying prospectus.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Any statement so modified or superseded will not be deemed, except as so modified or superseded, to constitute a part of this prospectus.</w:t>
      </w:r>
    </w:p>
    <w:p>
      <w:pPr>
        <w:spacing w:after="0" w:line="1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We further note that the representations, warranties and covenants made by us in any agreement that is filed as an exhibit to any document that is incorporated by reference herein or in the accompanying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You should rely only on the information contained in, or incorporated by reference in this prospectus supplement, the accompanying prospectus and in any free writing prospectus that we may authorize for use in connection with this offering. We have not, and Jefferies has not, authorized anyone to provide any information other than that contained or incorporated by reference in this prospectus supplement, in the accompanying prospectus or in any free writing prospectus prepared by or on behalf of us or to which we have referred you. We and Jefferies take no responsibility for, and can provide no assurance as to the reliability of, any other information that others may give you. We are not, and Jefferies is not, making an offer to sell, or soliciting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the accompanying prospectus, the documents incorporated by reference herein or therein, and in any free writing prospectus prepared by or on behalf of us that we may authorize for use in connection with this filing is accurate only as of the date of those respective documents. Our business, financial condition, results of operations and prospectus may have changed since those dates. It is important for you to read and consider all information contained in this prospectus supplement, the accompanying prospectus, the documents incorporated by reference herein and therein, and any free writing prospectus prepared by or on behalf of us that we may authorize for use in connection with this offering, in their entirety, before making an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07" w:right="319"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15"/>
          <w:szCs w:val="15"/>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Unless otherwise stated, all references in this prospectus supplement and the accompanying prospectus to “we,” “us,” “our,” “Vistagen,” “the Company” and similar designations refer, collectively, to Vistagen Therapeutics, Inc., a Nevada corporation, and its consolidated subsidiaries.</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use our trademarks and our logo in this prospectus supplement and the documents incorporated by reference. Solely for the convenience, trademarks and tradenames referred to in this prospectus supplement appear without the “®” and “™” symbols, but those references are not intended to indicate, in any way, that we will not assert, to the fullest extent under applicable law, our rights to these trademarks and tradenames.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This prospectus supplement, the accompanying base prospectus and the documents incorporated by reference herein and therein contain forward-looking statements that involve substantial risks and uncertainties. All statements, other than statements of historical facts, contained in this prospectus, any prospectus supplement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46" w:lineRule="exact"/>
        <w:rPr>
          <w:sz w:val="20"/>
          <w:szCs w:val="20"/>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capital to satisfy our working capital requirements;</w:t>
      </w:r>
    </w:p>
    <w:p>
      <w:pPr>
        <w:spacing w:after="0" w:line="210"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our estimates regarding expenses, future revenues and capital requirements;</w:t>
      </w:r>
    </w:p>
    <w:p>
      <w:pPr>
        <w:spacing w:after="0" w:line="210" w:lineRule="exact"/>
        <w:rPr>
          <w:rFonts w:ascii="Times New Roman" w:cs="Times New Roman" w:eastAsia="Times New Roman" w:hAnsi="Times New Roman"/>
          <w:sz w:val="15"/>
          <w:szCs w:val="15"/>
          <w:color w:val="auto"/>
        </w:rPr>
      </w:pPr>
    </w:p>
    <w:p>
      <w:pPr>
        <w:jc w:val="both"/>
        <w:ind w:left="540" w:hanging="279"/>
        <w:spacing w:after="0" w:line="261"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develop and commercialize our product candidates, including, among other things, fasedienol (PH94B) as a potential acute treatment of anxiety for adults with social anxiety disorder (“SAD”), itruvone (PH10) as a potential treatment for adults with major depressive disorder (“MDD”) and other depression-related disorders, PH80 for vasomotor symptoms (hot flashes) due to menopause, premenstrual dysphoric disorder (“PMDD”) or migraine, PH15 for cognition improvement, PH284 for appetite-related disorders or AV-101 as a potential treatment of disorders involving the Central Nervous System (“CNS”);</w:t>
      </w:r>
    </w:p>
    <w:p>
      <w:pPr>
        <w:spacing w:after="0" w:line="151"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initiate and complete necessary preclinical and clinical studies in accordance with applicable regulatory requirements to advance the development of our product candidates and for those studies to generate positive results;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regulatory and political developments in the United States and foreign countries;</w:t>
      </w:r>
    </w:p>
    <w:p>
      <w:pPr>
        <w:spacing w:after="0" w:line="210"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third-party contractors involved with the manufacture and production of our drug candidates for nonclinical and clinical development activities, contract research organizations, potential commercial activities and other third-party nonclinical and clinical development collaborators and regulatory service providers;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intellectual property, regulatory and commercial protection for our core assets, including product candidates;</w:t>
      </w:r>
    </w:p>
    <w:p>
      <w:pPr>
        <w:spacing w:after="0" w:line="210"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of the potential markets for our product candidates and our ability to serve those markets;</w:t>
      </w:r>
    </w:p>
    <w:p>
      <w:pPr>
        <w:spacing w:after="0" w:line="210"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of our product candidates for any indication once approved;</w:t>
      </w:r>
    </w:p>
    <w:p>
      <w:pPr>
        <w:spacing w:after="0" w:line="210" w:lineRule="exact"/>
        <w:rPr>
          <w:rFonts w:ascii="Times New Roman" w:cs="Times New Roman" w:eastAsia="Times New Roman" w:hAnsi="Times New Roman"/>
          <w:sz w:val="15"/>
          <w:szCs w:val="15"/>
          <w:color w:val="auto"/>
        </w:rPr>
      </w:pPr>
    </w:p>
    <w:p>
      <w:pPr>
        <w:ind w:left="540" w:right="160" w:hanging="279"/>
        <w:spacing w:after="0" w:line="283"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key scientific, clinical and nonclinical development, regulatory, commercial, and/or management personnel, internally or from one of our third-party collaborators; contract manufacturing organizations, contract research organizations or other service providers;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as a going concern;</w:t>
      </w:r>
    </w:p>
    <w:p>
      <w:pPr>
        <w:spacing w:after="0" w:line="210"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regarding expenses, future revenue, capital requirements and needs for additional financing;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41" w:name="page42"/>
    <w:bookmarkEnd w:id="41"/>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use of our existing cash and cash equivalents; and</w:t>
      </w:r>
    </w:p>
    <w:p>
      <w:pPr>
        <w:spacing w:after="0" w:line="210"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including those described under Item 1A, “Risk Factors,” in our Annual Report on Form 10-K for the fiscal year ended March 31, 2023, and those described under Part II, Item 1A, “Risk Factors,” in our Quarterly Reports on Form 10-Q for the quarters ended June 30, 2023, September 30, 2023 and December 31, 2023, which risk factors are incorporated herein by reference.</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Moreover, our forward-looking statements do not reflect the potential impact of any future acquisitions, mergers, dispositions, joint ventures or investments we may make.</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You should read this prospectus supplement, the accompanying base prospectus and the documents incorporated by reference herein and therein completely and with the understanding that our actual future results may be materially different from what we expect. We qualify all of the forward-looking statements in this prospectus supplement, the accompanying base prospectus and the documents incorporated by reference herein and therein by these cautionary statements. Except as required by law, we undertake no obligation to publicly update any forward-looking statements, whether as a result of new information, future events or otherwise.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215265</wp:posOffset>
            </wp:positionV>
            <wp:extent cx="7188835" cy="5334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7188835" cy="5334000"/>
                    </a:xfrm>
                    <a:prstGeom prst="rect">
                      <a:avLst/>
                    </a:prstGeom>
                    <a:noFill/>
                  </pic:spPr>
                </pic:pic>
              </a:graphicData>
            </a:graphic>
          </wp:anchor>
        </w:drawing>
        <w:t>PROSPECTUS SUPPLEMENT SUMMARY</w:t>
      </w:r>
    </w:p>
    <w:p>
      <w:pPr>
        <w:spacing w:after="0" w:line="190"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This summary highlights selected information about us and this offering and does not contain all of the information that you should consider before investing in our securities. Before investing in our common stock, you should carefully read the information contained and incorporated by reference in this prospectus supplement, the accompanying prospectus, any related free-writing prospectus that we have authorized for use in connection with this offering and the documents incorporated by reference herein or therein, including the sections titled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Cautionary Note Regarding Forward-Looking Statements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and the financial statements and accompanying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are a clinical-stage biopharmaceutical company pioneering neuroscience to deliver first-in-class therapies for psychiatric and neurological disorders. Five of our six clinical-stage product candidates – fasedienol (PH94B), itruvone (PH10), PH15, PH80 and PH284 – belong to a new class of drugs known as pherines, which have the potential to rapidly deliver meaningful efficacy with a differentiated safety profile. Pherines are investigational neuroactive nasal sprays with innovative proposed mechanisms of action that activate chemosensory neurons in the nasal passages to impact fundamental neural circuits in the brain without the need for systemic absorption or binding to receptors in the brain. Our sixth clinical-stage product candidate, AV-101, is an investigational oral drug candidate with the potential to inhibit, but not block, NMDA receptor activity.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passionate about transforming what is possible in the treatment of anxiety, depression, and other neuroscience disorders.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Clinical-Stage Neuroscience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Fasedienol Nasal Spray for Social Anxiety Disorder (SAD)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Fasedienol (PH94B) is an odorless, tasteless synthetic investigational pherine nasal spray from the androstane family in Phase 3 clinical development for the acute treatment of anxiety for adults with SAD. When administered intranasally in microgram-level doses, fasedienol activates receptors of peripheral nasal chemosensory neurons connected to subsets of neurons in the olfactory bulbs that, in turn, connect to neurons in the limbic amygdala involved in the pathophysiology of SAD, and potentially other anxiety and mood disorders. Fasedienol is pharmacologically active without requiring apparent systemic absorption or direct activity on neurons in the brain to achieve its rapid-onset and short-duration anxiolytic effects. We believe fasedienol has the potential to achieve these effects with significantly reduced risks of side effects and other safety concerns, such as potential drug-drug interactions, abuse, misuse, and addiction, associated with certain other systemic pharmaceuticals that act directly on neurons in the brain and are sometimes prescribed for anxiety disorders.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U.S. Food and Drug Administration (the </w:t>
      </w:r>
      <w:r>
        <w:rPr>
          <w:rFonts w:ascii="Times New Roman" w:cs="Times New Roman" w:eastAsia="Times New Roman" w:hAnsi="Times New Roman"/>
          <w:sz w:val="15"/>
          <w:szCs w:val="15"/>
          <w:i w:val="1"/>
          <w:iCs w:val="1"/>
          <w:color w:val="auto"/>
        </w:rPr>
        <w:t>FDA</w:t>
      </w:r>
      <w:r>
        <w:rPr>
          <w:rFonts w:ascii="Times New Roman" w:cs="Times New Roman" w:eastAsia="Times New Roman" w:hAnsi="Times New Roman"/>
          <w:sz w:val="15"/>
          <w:szCs w:val="15"/>
          <w:color w:val="auto"/>
        </w:rPr>
        <w:t>) has granted Fast Track designation for the development of fasedienol as a potential treatment for SAD.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Fasedienol PALISADE Phase 3 Program in SAD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Given how fasedienol’s rapid-onset mechanism of action (</w:t>
      </w:r>
      <w:r>
        <w:rPr>
          <w:rFonts w:ascii="Times New Roman" w:cs="Times New Roman" w:eastAsia="Times New Roman" w:hAnsi="Times New Roman"/>
          <w:sz w:val="15"/>
          <w:szCs w:val="15"/>
          <w:i w:val="1"/>
          <w:iCs w:val="1"/>
          <w:color w:val="auto"/>
        </w:rPr>
        <w:t>MOA</w:t>
      </w:r>
      <w:r>
        <w:rPr>
          <w:rFonts w:ascii="Times New Roman" w:cs="Times New Roman" w:eastAsia="Times New Roman" w:hAnsi="Times New Roman"/>
          <w:sz w:val="15"/>
          <w:szCs w:val="15"/>
          <w:color w:val="auto"/>
        </w:rPr>
        <w:t>) is differentiated from all FDA-approved anxiety drugs, our primary target indication for fasedienol is the acute treatment of anxiety in adults with SAD. Currently, there is no FDA-approved drug therapy for the acute treatment of SAD. For that acute indication, we have aligned with the FDA that the Subjective Units of Distress Scale (</w:t>
      </w:r>
      <w:r>
        <w:rPr>
          <w:rFonts w:ascii="Times New Roman" w:cs="Times New Roman" w:eastAsia="Times New Roman" w:hAnsi="Times New Roman"/>
          <w:sz w:val="15"/>
          <w:szCs w:val="15"/>
          <w:i w:val="1"/>
          <w:iCs w:val="1"/>
          <w:color w:val="auto"/>
        </w:rPr>
        <w:t>SUDS</w:t>
      </w:r>
      <w:r>
        <w:rPr>
          <w:rFonts w:ascii="Times New Roman" w:cs="Times New Roman" w:eastAsia="Times New Roman" w:hAnsi="Times New Roman"/>
          <w:sz w:val="15"/>
          <w:szCs w:val="15"/>
          <w:color w:val="auto"/>
        </w:rPr>
        <w:t>) is an appropriate primary efficacy endpoint because it provides a measure of anxiety on a minute-by-minute basis immediately related to the specific stressor. We believe utilizing a simulated anxiety-provoking public speaking challenge study design provides the most appropriate and efficient path for the Phase 3 clinical development of fasedienol’s potential to become the first FDA-approved acute treatment of anxiety for adults with SAD. Our PALISADE Phase 3 Program currently includes four randomized, double-blind, placebo-controlled, Phase 3 clinical trials designed to evaluate the efficacy, safety, and tolerability of a single dose of fasedienol to relieve anxiety symptoms in adult patients with SAD during a simulated, anxiety-provoking public speaking challenge in a clinical setting, as measured using the patient-reported SUDS, two of which Phase 3 trials (</w:t>
      </w:r>
      <w:r>
        <w:rPr>
          <w:rFonts w:ascii="Times New Roman" w:cs="Times New Roman" w:eastAsia="Times New Roman" w:hAnsi="Times New Roman"/>
          <w:sz w:val="15"/>
          <w:szCs w:val="15"/>
          <w:i w:val="1"/>
          <w:iCs w:val="1"/>
          <w:color w:val="auto"/>
        </w:rPr>
        <w:t>PALISADE-1 and PALISADE-2</w:t>
      </w:r>
      <w:r>
        <w:rPr>
          <w:rFonts w:ascii="Times New Roman" w:cs="Times New Roman" w:eastAsia="Times New Roman" w:hAnsi="Times New Roman"/>
          <w:sz w:val="15"/>
          <w:szCs w:val="15"/>
          <w:color w:val="auto"/>
        </w:rPr>
        <w:t>) have been concluded and two of which Phase 3 trials (</w:t>
      </w:r>
      <w:r>
        <w:rPr>
          <w:rFonts w:ascii="Times New Roman" w:cs="Times New Roman" w:eastAsia="Times New Roman" w:hAnsi="Times New Roman"/>
          <w:sz w:val="15"/>
          <w:szCs w:val="15"/>
          <w:i w:val="1"/>
          <w:iCs w:val="1"/>
          <w:color w:val="auto"/>
        </w:rPr>
        <w:t>PALISADE-3 and PALISADE-4</w:t>
      </w:r>
      <w:r>
        <w:rPr>
          <w:rFonts w:ascii="Times New Roman" w:cs="Times New Roman" w:eastAsia="Times New Roman" w:hAnsi="Times New Roman"/>
          <w:sz w:val="15"/>
          <w:szCs w:val="15"/>
          <w:color w:val="auto"/>
        </w:rPr>
        <w:t>) will be initiated in 2024, each with open-label extension. Our PALISADE Phase 3 Program also includes an open-label safety study concluded in 2022 (</w:t>
      </w:r>
      <w:r>
        <w:rPr>
          <w:rFonts w:ascii="Times New Roman" w:cs="Times New Roman" w:eastAsia="Times New Roman" w:hAnsi="Times New Roman"/>
          <w:sz w:val="15"/>
          <w:szCs w:val="15"/>
          <w:i w:val="1"/>
          <w:iCs w:val="1"/>
          <w:color w:val="auto"/>
        </w:rPr>
        <w:t>PALISADE OLS)</w:t>
      </w:r>
      <w:r>
        <w:rPr>
          <w:rFonts w:ascii="Times New Roman" w:cs="Times New Roman" w:eastAsia="Times New Roman" w:hAnsi="Times New Roman"/>
          <w:sz w:val="15"/>
          <w:szCs w:val="15"/>
          <w:color w:val="auto"/>
        </w:rPr>
        <w:t>, a Phase 2 repeat dose study to be initiated in 2024 (</w:t>
      </w:r>
      <w:r>
        <w:rPr>
          <w:rFonts w:ascii="Times New Roman" w:cs="Times New Roman" w:eastAsia="Times New Roman" w:hAnsi="Times New Roman"/>
          <w:sz w:val="15"/>
          <w:szCs w:val="15"/>
          <w:i w:val="1"/>
          <w:iCs w:val="1"/>
          <w:color w:val="auto"/>
        </w:rPr>
        <w:t>Repeat Dose Study</w:t>
      </w:r>
      <w:r>
        <w:rPr>
          <w:rFonts w:ascii="Times New Roman" w:cs="Times New Roman" w:eastAsia="Times New Roman" w:hAnsi="Times New Roman"/>
          <w:sz w:val="15"/>
          <w:szCs w:val="15"/>
          <w:color w:val="auto"/>
        </w:rPr>
        <w:t>), two standard preclinical studies to be initiated in 2024, and a small human factor study planned to be initiated in 2025.</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71755</wp:posOffset>
            </wp:positionV>
            <wp:extent cx="715518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40"/>
          </w:cols>
          <w:pgMar w:left="440" w:top="640" w:right="41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194310</wp:posOffset>
            </wp:positionH>
            <wp:positionV relativeFrom="page">
              <wp:posOffset>215265</wp:posOffset>
            </wp:positionV>
            <wp:extent cx="7188835" cy="636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7188835" cy="6365240"/>
                    </a:xfrm>
                    <a:prstGeom prst="rect">
                      <a:avLst/>
                    </a:prstGeom>
                    <a:noFill/>
                  </pic:spPr>
                </pic:pic>
              </a:graphicData>
            </a:graphic>
          </wp:anchor>
        </w:drawing>
        <w:t>In early August 2023, we received and reported positive topline results from our PALISADE-2 Phase 3 trial of fasedienol in SAD based on the 141 subjects who completed the trial. Our PALISADE-2 Phase 3 trial met its primary efficacy endpoint, the difference in mean SUDS scores during the public speaking challenge at baseline (Visit 2) and treatment (Visit 3) for subjects treated with fasedienol versus placebo at Visit 3. Fasedienol-treated patients demonstrated a greater mean change from baseline (least-squares (</w:t>
      </w:r>
      <w:r>
        <w:rPr>
          <w:rFonts w:ascii="Times New Roman" w:cs="Times New Roman" w:eastAsia="Times New Roman" w:hAnsi="Times New Roman"/>
          <w:sz w:val="15"/>
          <w:szCs w:val="15"/>
          <w:i w:val="1"/>
          <w:iCs w:val="1"/>
          <w:color w:val="auto"/>
        </w:rPr>
        <w:t>LS</w:t>
      </w:r>
      <w:r>
        <w:rPr>
          <w:rFonts w:ascii="Times New Roman" w:cs="Times New Roman" w:eastAsia="Times New Roman" w:hAnsi="Times New Roman"/>
          <w:sz w:val="15"/>
          <w:szCs w:val="15"/>
          <w:color w:val="auto"/>
        </w:rPr>
        <w:t>)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Clinical Global Impressions – Improvement (</w:t>
      </w:r>
      <w:r>
        <w:rPr>
          <w:rFonts w:ascii="Times New Roman" w:cs="Times New Roman" w:eastAsia="Times New Roman" w:hAnsi="Times New Roman"/>
          <w:sz w:val="15"/>
          <w:szCs w:val="15"/>
          <w:i w:val="1"/>
          <w:iCs w:val="1"/>
          <w:color w:val="auto"/>
        </w:rPr>
        <w:t>CGI-I</w:t>
      </w:r>
      <w:r>
        <w:rPr>
          <w:rFonts w:ascii="Times New Roman" w:cs="Times New Roman" w:eastAsia="Times New Roman" w:hAnsi="Times New Roman"/>
          <w:sz w:val="15"/>
          <w:szCs w:val="15"/>
          <w:color w:val="auto"/>
        </w:rPr>
        <w:t>) scale. Responders were identified as those who were rated ‘very much less anxious’ or ‘much less anxious’ and 37.7% of fasedienol-treated patients were rated as responders, as compared to 21.4% of those treated with placebo (p=0.033). The trial also met the important exploratory endpoint of the difference in the proportion of patient-assessed responders between fasedienol and placebo as measured by the Patient’s Global Impression of Change (</w:t>
      </w:r>
      <w:r>
        <w:rPr>
          <w:rFonts w:ascii="Times New Roman" w:cs="Times New Roman" w:eastAsia="Times New Roman" w:hAnsi="Times New Roman"/>
          <w:sz w:val="15"/>
          <w:szCs w:val="15"/>
          <w:i w:val="1"/>
          <w:iCs w:val="1"/>
          <w:color w:val="auto"/>
        </w:rPr>
        <w:t>PGI-C</w:t>
      </w:r>
      <w:r>
        <w:rPr>
          <w:rFonts w:ascii="Times New Roman" w:cs="Times New Roman" w:eastAsia="Times New Roman" w:hAnsi="Times New Roman"/>
          <w:sz w:val="15"/>
          <w:szCs w:val="15"/>
          <w:color w:val="auto"/>
        </w:rPr>
        <w:t>). Responders were identified as those who self-rated ‘very much less anxious’ or ‘much less anxious’ and 40.6% of fasedienol-treated patients were rated as responders, as compared to 18.6% of those treated with placebo (p=0.003). In addition, our PALISADE-2 trial also met the exploratory endpoint of the difference in the proportion of patients in each treatment group with a 20-point or greater improvement in patient-assessed SUDS score from baseline (Visit 2) to treatment (Visit 3). Of the fasedienol-treated patients, 35.7% demonstrated this statistically significant and clinically meaningful improvement in SUDS score, as compared to 18.6% in the placebo-treated group (p=0.020). Fasedienol was observed to be well-tolerated with no serious adverse events, and the treatment-emergent adverse event (</w:t>
      </w:r>
      <w:r>
        <w:rPr>
          <w:rFonts w:ascii="Times New Roman" w:cs="Times New Roman" w:eastAsia="Times New Roman" w:hAnsi="Times New Roman"/>
          <w:sz w:val="15"/>
          <w:szCs w:val="15"/>
          <w:i w:val="1"/>
          <w:iCs w:val="1"/>
          <w:color w:val="auto"/>
        </w:rPr>
        <w:t>TEAE</w:t>
      </w:r>
      <w:r>
        <w:rPr>
          <w:rFonts w:ascii="Times New Roman" w:cs="Times New Roman" w:eastAsia="Times New Roman" w:hAnsi="Times New Roman"/>
          <w:sz w:val="15"/>
          <w:szCs w:val="15"/>
          <w:color w:val="auto"/>
        </w:rPr>
        <w:t>) profiles were comparable between fasedienol and placebo. Overall, no TEAE, except for pyrexia in the placebo group (2.49%), was more prevalent than 2.0%.</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To complement the positive topline results from PALISADE-2, we are preparing to launch PALISADE-3 in the first half of 2024 and PALISADE-4 in the second half of 2024. Like PALISADE-2, both PALISADE-3 and PALISADE-4 will be multi-center, randomized, double-blind, placebo-controlled studies designed to evaluate the efficacy, safety, and tolerability of the acute administration of fasedienol to relieve anxiety symptoms in adult patients with SAD after a single dose of fasedienol during a simulated, anxiety-provoking public speaking challenge in a clinical setting, as measured using the patient-reported SUDS as the primary efficacy endpoint. In addition, both PALISADE-3 and PALISADE-4 will have an open-label extension for a period of up to 12 months. We believe either PALISADE-3 or PALISADE-4, if successful, together with PALISADE-2, may establish substantial evidence of effectiveness of fasedienol in support of a potential fasedienol NDA submission for the acute treatment of anxiety in adults with SAD with the FDA.</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are also planning to initiate the Repeat Dose Study in the second half of 2024. The Repeat Dose Study will be a multi-center, randomized, double-blind, placebo-controlled, clinical trial designed to evaluate repeated dosing of fasedienol in adult patients with SAD during a single simulated, anxiety-provoking public speaking challenge in a clinical setting. The Repeat Dose Study trial will consist of three different dosing arms, with an open-label extension for a period of up to 12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U.S. FDA has granted Fast Track designation for the investigation of fasedienol for the acute treatment of SAD.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Itruvone Nasal Spray for Major Depressive Disorder (MDD)</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Itruvone (PH10) is an odorless, tasteless synthetic investigational neuroactive pherine nasal spray from the pregnane family with an innovative potential MOA that is fundamentally differentiated from the MOA of all currently approved treatments for depression disorders. Itruvone neuroactive nasal spray is administered at microgram-level doses and is designed to engage and activate chemosensory neurons in the nasal cavity, which are connected to neural circuits in the brain that produce antidepressant effects. Unlike all currently approved oral antidepressants (</w:t>
      </w:r>
      <w:r>
        <w:rPr>
          <w:rFonts w:ascii="Times New Roman" w:cs="Times New Roman" w:eastAsia="Times New Roman" w:hAnsi="Times New Roman"/>
          <w:sz w:val="15"/>
          <w:szCs w:val="15"/>
          <w:i w:val="1"/>
          <w:iCs w:val="1"/>
          <w:color w:val="auto"/>
        </w:rPr>
        <w:t>ADs</w:t>
      </w:r>
      <w:r>
        <w:rPr>
          <w:rFonts w:ascii="Times New Roman" w:cs="Times New Roman" w:eastAsia="Times New Roman" w:hAnsi="Times New Roman"/>
          <w:sz w:val="15"/>
          <w:szCs w:val="15"/>
          <w:color w:val="auto"/>
        </w:rPr>
        <w:t>) and rapid-onset intravenous and intranasal ketamine-based therapy, we believe itruvone does not require systemic absorption or direct activity on neurons in the brain to produce antidepressant effects without the side effects and safety concerns that may be associated with current antidepressant therapies.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 xml:space="preserve">We are currently preparing and planning for potential U.S. Phase 2B clinical development of itruvone for treatment of MDD. In a randomized, double-blind, placebo-controlled parallel design Phase 2A clinical trial of itruvone in MDD and published in the peer-reviewed </w:t>
      </w:r>
      <w:r>
        <w:rPr>
          <w:rFonts w:ascii="Times New Roman" w:cs="Times New Roman" w:eastAsia="Times New Roman" w:hAnsi="Times New Roman"/>
          <w:sz w:val="15"/>
          <w:szCs w:val="15"/>
          <w:i w:val="1"/>
          <w:iCs w:val="1"/>
          <w:color w:val="auto"/>
        </w:rPr>
        <w:t>British Journal of Pharmaceutical and Medical Research,</w:t>
      </w:r>
      <w:r>
        <w:rPr>
          <w:rFonts w:ascii="Times New Roman" w:cs="Times New Roman" w:eastAsia="Times New Roman" w:hAnsi="Times New Roman"/>
          <w:sz w:val="15"/>
          <w:szCs w:val="15"/>
          <w:color w:val="auto"/>
        </w:rPr>
        <w:t xml:space="preserve"> at a 6.4 μg dose administered intranasally twice daily for eight weeks, PH10 significantly reduced depressive symptoms as early as one week based on the 17-item Hamilton Depression Scale (HAM-D-17) scores compared to placebo (p=0.022). Itruvone was well-tolerated and did not cause psychological side effects (such as dissociation or hallucinations) or other safety concerns that may be associated with other approved pharmacological therapies for MDD. The trial was sponsored by Pherin Pharmaceuticals (</w:t>
      </w:r>
      <w:r>
        <w:rPr>
          <w:rFonts w:ascii="Times New Roman" w:cs="Times New Roman" w:eastAsia="Times New Roman" w:hAnsi="Times New Roman"/>
          <w:sz w:val="15"/>
          <w:szCs w:val="15"/>
          <w:i w:val="1"/>
          <w:iCs w:val="1"/>
          <w:color w:val="auto"/>
        </w:rPr>
        <w:t>Pherin</w:t>
      </w:r>
      <w:r>
        <w:rPr>
          <w:rFonts w:ascii="Times New Roman" w:cs="Times New Roman" w:eastAsia="Times New Roman" w:hAnsi="Times New Roman"/>
          <w:sz w:val="15"/>
          <w:szCs w:val="15"/>
          <w:color w:val="auto"/>
        </w:rPr>
        <w:t>), now a wholly-owned subsidiary of Vistagen, and was conducted in Mexico. Positive data from our recent U.S. IND-enabling Phase 1 trial demonstrated that there were no reported treatment-related serious adverse events (</w:t>
      </w:r>
      <w:r>
        <w:rPr>
          <w:rFonts w:ascii="Times New Roman" w:cs="Times New Roman" w:eastAsia="Times New Roman" w:hAnsi="Times New Roman"/>
          <w:sz w:val="15"/>
          <w:szCs w:val="15"/>
          <w:i w:val="1"/>
          <w:iCs w:val="1"/>
          <w:color w:val="auto"/>
        </w:rPr>
        <w:t>SAEs</w:t>
      </w:r>
      <w:r>
        <w:rPr>
          <w:rFonts w:ascii="Times New Roman" w:cs="Times New Roman" w:eastAsia="Times New Roman" w:hAnsi="Times New Roman"/>
          <w:sz w:val="15"/>
          <w:szCs w:val="15"/>
          <w:color w:val="auto"/>
        </w:rPr>
        <w:t>) or discontinuations due to adverse events in the trial. Overall, itruvone was well-tolerated and continued to demonstrate a favorable safety profile consistent with all other itruvone trials completed to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U.S. FDA has granted Fast Track designation for the investigation of itruvone for the treatment of MDD.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PH80 Nasal Spray for Women</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 Health Disorders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PH80 is an odorless, tasteless synthetic investigational pherine nasal spray with a novel, rapid-onset potential MOA that is fundamentally differentiated from the MOA of all currently approved treatments for vasomotor symptoms (hot flashes) due to menopause, premenstrual dysphoric disorder (</w:t>
      </w:r>
      <w:r>
        <w:rPr>
          <w:rFonts w:ascii="Times New Roman" w:cs="Times New Roman" w:eastAsia="Times New Roman" w:hAnsi="Times New Roman"/>
          <w:sz w:val="15"/>
          <w:szCs w:val="15"/>
          <w:i w:val="1"/>
          <w:iCs w:val="1"/>
          <w:color w:val="auto"/>
        </w:rPr>
        <w:t>PMDD</w:t>
      </w:r>
      <w:r>
        <w:rPr>
          <w:rFonts w:ascii="Times New Roman" w:cs="Times New Roman" w:eastAsia="Times New Roman" w:hAnsi="Times New Roman"/>
          <w:sz w:val="15"/>
          <w:szCs w:val="15"/>
          <w:color w:val="auto"/>
        </w:rPr>
        <w:t>), and other women’s health disorders and migraine headaches. PH80 activates chemosensory neurons in the nasal cavity connected to neural circuits that modulate the basal forebrain associated with the control of body temperature.</w:t>
      </w: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71755</wp:posOffset>
            </wp:positionV>
            <wp:extent cx="715518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40"/>
          </w:cols>
          <w:pgMar w:left="440" w:top="644" w:right="419" w:bottom="1440" w:gutter="0" w:footer="0" w:header="0"/>
        </w:sectPr>
      </w:pPr>
    </w:p>
    <w:bookmarkStart w:id="44" w:name="page45"/>
    <w:bookmarkEnd w:id="44"/>
    <w:p>
      <w:pPr>
        <w:jc w:val="both"/>
        <w:spacing w:after="0" w:line="25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215265</wp:posOffset>
            </wp:positionV>
            <wp:extent cx="7188835" cy="67094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7188835" cy="6709410"/>
                    </a:xfrm>
                    <a:prstGeom prst="rect">
                      <a:avLst/>
                    </a:prstGeom>
                    <a:noFill/>
                  </pic:spPr>
                </pic:pic>
              </a:graphicData>
            </a:graphic>
          </wp:anchor>
        </w:drawing>
        <w:t xml:space="preserve">PH80 for Moderate to Severe Vasomotor Symptoms (hot flashes) due to Menopause. </w:t>
      </w:r>
      <w:r>
        <w:rPr>
          <w:rFonts w:ascii="Times New Roman" w:cs="Times New Roman" w:eastAsia="Times New Roman" w:hAnsi="Times New Roman"/>
          <w:sz w:val="15"/>
          <w:szCs w:val="15"/>
          <w:color w:val="auto"/>
        </w:rPr>
        <w:t>We recently reported positive results from a previously unpublished exploratory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randomized, double-blind, placebo-controlled Phase 2A study of PH80 for the acute treatment of vasomotor symptoms (hot flashes) due to menopause sponsored by Pherin, now our wholly-owned subsidiary. This Phase 2A study conducted in a real-world setting demonstrated a statistically significant reduction in the daily number of menopausal hot flashes compared to placebo at the end of the first week of treatment (p=&lt;0.001), and the improvement was maintained through each treatment week until the end of the four-week treatment period (p=&lt;0.001). PH80 treatment also significantly reduced the severity, disruption in function, and sweating related to hot flashes during the treatment period as compared with placebo. PH80 was well-tolerated with no serious adverse events (</w:t>
      </w:r>
      <w:r>
        <w:rPr>
          <w:rFonts w:ascii="Times New Roman" w:cs="Times New Roman" w:eastAsia="Times New Roman" w:hAnsi="Times New Roman"/>
          <w:sz w:val="15"/>
          <w:szCs w:val="15"/>
          <w:i w:val="1"/>
          <w:iCs w:val="1"/>
          <w:color w:val="auto"/>
        </w:rPr>
        <w:t>SAEs</w:t>
      </w:r>
      <w:r>
        <w:rPr>
          <w:rFonts w:ascii="Times New Roman" w:cs="Times New Roman" w:eastAsia="Times New Roman" w:hAnsi="Times New Roman"/>
          <w:sz w:val="15"/>
          <w:szCs w:val="15"/>
          <w:color w:val="auto"/>
        </w:rPr>
        <w:t>), and the adverse event profiles were comparable between PH80 and placebo. All 36 subjects completed four weeks of treatment and no subject discontinued participation in the study as a result of TEAEs.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b w:val="1"/>
          <w:bCs w:val="1"/>
          <w:color w:val="auto"/>
        </w:rPr>
        <w:t>PH80 for Premenstrual Dysphoric Disorder (</w:t>
      </w:r>
      <w:r>
        <w:rPr>
          <w:rFonts w:ascii="Times New Roman" w:cs="Times New Roman" w:eastAsia="Times New Roman" w:hAnsi="Times New Roman"/>
          <w:sz w:val="15"/>
          <w:szCs w:val="15"/>
          <w:b w:val="1"/>
          <w:bCs w:val="1"/>
          <w:i w:val="1"/>
          <w:iCs w:val="1"/>
          <w:color w:val="auto"/>
        </w:rPr>
        <w:t>PMDD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We also recently reported positive results from a previously unpublished exploratory randomized, double-blind, placebo-controlled Phase 2A clinical study of PH80 for acute management of the symptoms of PMDD, including negative mood and physical and behavioral symptoms, in subjects with a regular menstrual cycle and at least a one-year history of PMDD. This Phase 2A study was sponsored by Pherin, now our wholly-owned subsidiary, and demonstrated a statistically significant improvement versus placebo in acute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w:t>
      </w:r>
      <w:r>
        <w:rPr>
          <w:rFonts w:ascii="Times New Roman" w:cs="Times New Roman" w:eastAsia="Times New Roman" w:hAnsi="Times New Roman"/>
          <w:sz w:val="15"/>
          <w:szCs w:val="15"/>
          <w:i w:val="1"/>
          <w:iCs w:val="1"/>
          <w:color w:val="auto"/>
        </w:rPr>
        <w:t>DSR</w:t>
      </w:r>
      <w:r>
        <w:rPr>
          <w:rFonts w:ascii="Times New Roman" w:cs="Times New Roman" w:eastAsia="Times New Roman" w:hAnsi="Times New Roman"/>
          <w:sz w:val="15"/>
          <w:szCs w:val="15"/>
          <w:color w:val="auto"/>
        </w:rPr>
        <w:t>) as early as Day 4 and continuing to Day 6 (p=0.008). PH80 also demonstrated statistically and clinically significant improvement versus placebo at Day 6 on the clinician-rated Premenstrual Tension Scale (</w:t>
      </w:r>
      <w:r>
        <w:rPr>
          <w:rFonts w:ascii="Times New Roman" w:cs="Times New Roman" w:eastAsia="Times New Roman" w:hAnsi="Times New Roman"/>
          <w:sz w:val="15"/>
          <w:szCs w:val="15"/>
          <w:i w:val="1"/>
          <w:iCs w:val="1"/>
          <w:color w:val="auto"/>
        </w:rPr>
        <w:t>PMTS</w:t>
      </w:r>
      <w:r>
        <w:rPr>
          <w:rFonts w:ascii="Times New Roman" w:cs="Times New Roman" w:eastAsia="Times New Roman" w:hAnsi="Times New Roman"/>
          <w:sz w:val="15"/>
          <w:szCs w:val="15"/>
          <w:color w:val="auto"/>
        </w:rPr>
        <w:t>) total score (p=0.006). PH80 was well-tolerated with no SAEs. The most common TEAE was headache, reported by 17% in the placebo group and 7% in the PH80 group. No other TEAE occurred more than once per subject.</w:t>
      </w:r>
    </w:p>
    <w:p>
      <w:pPr>
        <w:spacing w:after="0" w:line="1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We are preparing to conduct certain nonclinical studies during the 2024 calendar year necessary to submit our U.S. IND for potential Phase 2B clinical development of PH80 in the U.S. for one or more women’s health indications.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PH15 Nasal Spray for Cognitive and Psychomotor Performance and Improvement</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PH15 is an odorless, tasteless synthetic investigational pherine nasal spray with a novel, rapid-onset potential MOA that is fundamentally differentiated from the MOA of all currently approved treatments to improve cognitive impairment caused by mental fatigue and potentially other disorders. We believe intranasal PH15 has the potential to improve cognitive and psychomotor performance and improvement of reaction time in individuals with mental fatigue. We are currently evaluating the potential path forward for PH15, including an assessment of completed studies and studies we believe are necessary to submit a U.S. IND for potential further Phase 2 clinical development of PH15 in the U.S., including the appropriate indication for demonstrating improvement of cognitive function.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PH284 Nasal Spray for Cachexia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PH284 is an odorless, tasteless synthetic investigational pherine nasal spray with a novel, rapid-onset potential MOA that is fundamentally differentiated from the MOA of all currently approved treatments for the loss of appetite associated with chronic disorders such as cancer. Cachexia is a serious but under-recognized consequence of many chronic diseases with body mass loss of &gt;10% and a prevalence of 5 to 15 %. We believe PH284 may have therapeutic potential for improving subjective feelings of hunger in patients with cachexia. We are currently evaluating the potential path forward for PH284, including assessment of completed studies and studies we believe are necessary to submit a U.S. IND for potential further Phase 2 clinical development of PH15 for the treatment of cachexia, including the appropriate patient populations for demonstrating an increase in appetite and weight gain.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AV-101 for Neurological Disorders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AV-</w:t>
      </w:r>
      <w:r>
        <w:rPr>
          <w:rFonts w:ascii="Times New Roman" w:cs="Times New Roman" w:eastAsia="Times New Roman" w:hAnsi="Times New Roman"/>
          <w:sz w:val="15"/>
          <w:szCs w:val="15"/>
          <w:i w:val="1"/>
          <w:iCs w:val="1"/>
          <w:color w:val="auto"/>
        </w:rPr>
        <w:t>101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4</w:t>
      </w:r>
      <w:r>
        <w:rPr>
          <w:rFonts w:ascii="Times New Roman" w:cs="Times New Roman" w:eastAsia="Times New Roman" w:hAnsi="Times New Roman"/>
          <w:sz w:val="15"/>
          <w:szCs w:val="15"/>
          <w:color w:val="auto"/>
        </w:rPr>
        <w:t>-Cl-KYN) is a novel, oral prodrug that targets the NMDAR (N-methyl-D-aspartate receptor), an ionotropic glutamate receptor in the brain. Based on observations and findings from preclinical studies, we believe AV-</w:t>
      </w:r>
      <w:r>
        <w:rPr>
          <w:rFonts w:ascii="Times New Roman" w:cs="Times New Roman" w:eastAsia="Times New Roman" w:hAnsi="Times New Roman"/>
          <w:sz w:val="15"/>
          <w:szCs w:val="15"/>
          <w:i w:val="1"/>
          <w:iCs w:val="1"/>
          <w:color w:val="auto"/>
        </w:rPr>
        <w:t>101</w:t>
      </w:r>
      <w:r>
        <w:rPr>
          <w:rFonts w:ascii="Times New Roman" w:cs="Times New Roman" w:eastAsia="Times New Roman" w:hAnsi="Times New Roman"/>
          <w:sz w:val="15"/>
          <w:szCs w:val="15"/>
          <w:color w:val="auto"/>
        </w:rPr>
        <w:t xml:space="preserve"> has the potential to become a new oral treatment alternative for multiple neuroscience disorders, including levodopa-induced dyskinesia and neuropathic pain among others. We are currently assessing a path forward for potential Phase </w:t>
      </w:r>
      <w:r>
        <w:rPr>
          <w:rFonts w:ascii="Times New Roman" w:cs="Times New Roman" w:eastAsia="Times New Roman" w:hAnsi="Times New Roman"/>
          <w:sz w:val="15"/>
          <w:szCs w:val="15"/>
          <w:i w:val="1"/>
          <w:iCs w:val="1"/>
          <w:color w:val="auto"/>
        </w:rPr>
        <w:t>2A</w:t>
      </w:r>
      <w:r>
        <w:rPr>
          <w:rFonts w:ascii="Times New Roman" w:cs="Times New Roman" w:eastAsia="Times New Roman" w:hAnsi="Times New Roman"/>
          <w:sz w:val="15"/>
          <w:szCs w:val="15"/>
          <w:color w:val="auto"/>
        </w:rPr>
        <w:t xml:space="preserve"> clinical development of AV-</w:t>
      </w:r>
      <w:r>
        <w:rPr>
          <w:rFonts w:ascii="Times New Roman" w:cs="Times New Roman" w:eastAsia="Times New Roman" w:hAnsi="Times New Roman"/>
          <w:sz w:val="15"/>
          <w:szCs w:val="15"/>
          <w:i w:val="1"/>
          <w:iCs w:val="1"/>
          <w:color w:val="auto"/>
        </w:rPr>
        <w:t>101,</w:t>
      </w:r>
      <w:r>
        <w:rPr>
          <w:rFonts w:ascii="Times New Roman" w:cs="Times New Roman" w:eastAsia="Times New Roman" w:hAnsi="Times New Roman"/>
          <w:sz w:val="15"/>
          <w:szCs w:val="15"/>
          <w:color w:val="auto"/>
        </w:rPr>
        <w:t xml:space="preserve"> either on our own or with collaborators, as a treatment for levodopa-induced dyskinesia associated with Parkinson’s disease therapy and possibly </w:t>
      </w:r>
      <w:r>
        <w:rPr>
          <w:rFonts w:ascii="Times New Roman" w:cs="Times New Roman" w:eastAsia="Times New Roman" w:hAnsi="Times New Roman"/>
          <w:sz w:val="15"/>
          <w:szCs w:val="15"/>
          <w:i w:val="1"/>
          <w:iCs w:val="1"/>
          <w:color w:val="auto"/>
        </w:rPr>
        <w:t>one</w:t>
      </w:r>
      <w:r>
        <w:rPr>
          <w:rFonts w:ascii="Times New Roman" w:cs="Times New Roman" w:eastAsia="Times New Roman" w:hAnsi="Times New Roman"/>
          <w:sz w:val="15"/>
          <w:szCs w:val="15"/>
          <w:color w:val="auto"/>
        </w:rPr>
        <w:t xml:space="preserve"> or more additional neurological disorders involving the NMDAR receptor.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U.S. FDA has granted Fast Track designation for the investigation of AV-101 for the treatment of neuropathic pain and for the adjunctive treatment of MDD.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Vistagen Therapeutics, Inc., a Nevada corporation, is the parent of Pherin Pharmaceuticals, Inc., a Delaware corporation, and Vistastem, Inc., a wholly owned California corporation. Our principal executive offices are located at 343 Allerton Avenue, South San Francisco, California 94080, and our telephone number is (650) 577-3600. Our website address is www.vistagen.com. The information contained on our website is not part of this prospectus supplement or the accompanying prospectus. We have included our website address as a factual reference and do not intend it to be an active link to our website.</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71755</wp:posOffset>
            </wp:positionV>
            <wp:extent cx="715518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40"/>
          </w:cols>
          <w:pgMar w:left="440" w:top="640" w:right="41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502"/>
        </w:trPr>
        <w:tc>
          <w:tcPr>
            <w:tcW w:w="2280" w:type="dxa"/>
            <w:vAlign w:val="bottom"/>
            <w:tcBorders>
              <w:top w:val="single" w:sz="8" w:color="auto"/>
              <w:left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500" w:type="dxa"/>
            <w:vAlign w:val="bottom"/>
            <w:tcBorders>
              <w:top w:val="single" w:sz="8" w:color="auto"/>
              <w:right w:val="single" w:sz="8" w:color="auto"/>
            </w:tcBorders>
            <w:gridSpan w:val="4"/>
          </w:tcPr>
          <w:p>
            <w:pPr>
              <w:ind w:left="1280"/>
              <w:spacing w:after="0"/>
              <w:rPr>
                <w:sz w:val="20"/>
                <w:szCs w:val="20"/>
                <w:color w:val="auto"/>
              </w:rPr>
            </w:pPr>
            <w:r>
              <w:rPr>
                <w:rFonts w:ascii="Times New Roman" w:cs="Times New Roman" w:eastAsia="Times New Roman" w:hAnsi="Times New Roman"/>
                <w:sz w:val="15"/>
                <w:szCs w:val="15"/>
                <w:b w:val="1"/>
                <w:bCs w:val="1"/>
                <w:color w:val="auto"/>
              </w:rPr>
              <w:t>THE OFFERING</w:t>
            </w:r>
          </w:p>
        </w:tc>
        <w:tc>
          <w:tcPr>
            <w:tcW w:w="0" w:type="dxa"/>
            <w:vAlign w:val="bottom"/>
          </w:tcPr>
          <w:p>
            <w:pPr>
              <w:spacing w:after="0"/>
              <w:rPr>
                <w:sz w:val="1"/>
                <w:szCs w:val="1"/>
                <w:color w:val="auto"/>
              </w:rPr>
            </w:pPr>
          </w:p>
        </w:tc>
      </w:tr>
      <w:tr>
        <w:trPr>
          <w:trHeight w:val="361"/>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Common Stock Offered by Us</w:t>
            </w:r>
          </w:p>
        </w:tc>
        <w:tc>
          <w:tcPr>
            <w:tcW w:w="9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5"/>
                <w:szCs w:val="15"/>
                <w:color w:val="auto"/>
              </w:rPr>
              <w:t>Shares of our common stock having an aggregate offering price of up to $100,000,000.</w:t>
            </w:r>
          </w:p>
        </w:tc>
        <w:tc>
          <w:tcPr>
            <w:tcW w:w="0" w:type="dxa"/>
            <w:vAlign w:val="bottom"/>
          </w:tcPr>
          <w:p>
            <w:pPr>
              <w:spacing w:after="0"/>
              <w:rPr>
                <w:sz w:val="1"/>
                <w:szCs w:val="1"/>
                <w:color w:val="auto"/>
              </w:rPr>
            </w:pPr>
          </w:p>
        </w:tc>
      </w:tr>
      <w:tr>
        <w:trPr>
          <w:trHeight w:val="326"/>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Plan of Distribution</w:t>
            </w:r>
          </w:p>
        </w:tc>
        <w:tc>
          <w:tcPr>
            <w:tcW w:w="9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5"/>
                <w:szCs w:val="15"/>
                <w:color w:val="auto"/>
              </w:rPr>
              <w:t xml:space="preserve">“At the market offering” that may be made from time to time through our sales agent, Jefferies. See “Plan of Distribution” on page </w:t>
            </w:r>
            <w:r>
              <w:rPr>
                <w:rFonts w:ascii="Times New Roman" w:cs="Times New Roman" w:eastAsia="Times New Roman" w:hAnsi="Times New Roman"/>
                <w:sz w:val="15"/>
                <w:szCs w:val="15"/>
                <w:color w:val="0000EE"/>
              </w:rPr>
              <w:t>S-13</w:t>
            </w:r>
            <w:r>
              <w:rPr>
                <w:rFonts w:ascii="Times New Roman" w:cs="Times New Roman" w:eastAsia="Times New Roman" w:hAnsi="Times New Roman"/>
                <w:sz w:val="15"/>
                <w:szCs w:val="15"/>
                <w:color w:val="auto"/>
              </w:rPr>
              <w:t xml:space="preserve"> of this</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tcBorders>
          </w:tcPr>
          <w:p>
            <w:pPr>
              <w:spacing w:after="0"/>
              <w:rPr>
                <w:sz w:val="16"/>
                <w:szCs w:val="16"/>
                <w:color w:val="auto"/>
              </w:rPr>
            </w:pPr>
          </w:p>
        </w:tc>
        <w:tc>
          <w:tcPr>
            <w:tcW w:w="818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auto"/>
              </w:rPr>
              <w:t>prospectus supplement.</w:t>
            </w:r>
          </w:p>
        </w:tc>
        <w:tc>
          <w:tcPr>
            <w:tcW w:w="300" w:type="dxa"/>
            <w:vAlign w:val="bottom"/>
            <w:tcBorders>
              <w:top w:val="single" w:sz="8" w:color="0000EE"/>
            </w:tcBorders>
          </w:tcPr>
          <w:p>
            <w:pPr>
              <w:spacing w:after="0"/>
              <w:rPr>
                <w:sz w:val="16"/>
                <w:szCs w:val="16"/>
                <w:color w:val="auto"/>
              </w:rPr>
            </w:pPr>
          </w:p>
        </w:tc>
        <w:tc>
          <w:tcPr>
            <w:tcW w:w="56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Use of Proceeds</w:t>
            </w:r>
          </w:p>
        </w:tc>
        <w:tc>
          <w:tcPr>
            <w:tcW w:w="9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5"/>
                <w:szCs w:val="15"/>
                <w:color w:val="auto"/>
              </w:rPr>
              <w:t>Our management will retain broad discretion regarding the allocation and use of the net proceeds. We intend to use the net proceeds from this</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tcBorders>
          </w:tcPr>
          <w:p>
            <w:pPr>
              <w:spacing w:after="0"/>
              <w:rPr>
                <w:sz w:val="15"/>
                <w:szCs w:val="15"/>
                <w:color w:val="auto"/>
              </w:rPr>
            </w:pPr>
          </w:p>
        </w:tc>
        <w:tc>
          <w:tcPr>
            <w:tcW w:w="9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5"/>
                <w:szCs w:val="15"/>
                <w:color w:val="auto"/>
              </w:rPr>
              <w:t>offering to advance the clinical development of our product candidates and for working capital and other general corporate purposes. See “Use of</w:t>
            </w: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tcBorders>
          </w:tcPr>
          <w:p>
            <w:pPr>
              <w:spacing w:after="0"/>
              <w:rPr>
                <w:sz w:val="14"/>
                <w:szCs w:val="14"/>
                <w:color w:val="auto"/>
              </w:rPr>
            </w:pPr>
          </w:p>
        </w:tc>
        <w:tc>
          <w:tcPr>
            <w:tcW w:w="9040" w:type="dxa"/>
            <w:vAlign w:val="bottom"/>
            <w:tcBorders>
              <w:right w:val="single" w:sz="8" w:color="auto"/>
            </w:tcBorders>
            <w:gridSpan w:val="8"/>
          </w:tcPr>
          <w:p>
            <w:pPr>
              <w:ind w:left="100"/>
              <w:spacing w:after="0" w:line="161" w:lineRule="exact"/>
              <w:rPr>
                <w:sz w:val="20"/>
                <w:szCs w:val="20"/>
                <w:color w:val="auto"/>
              </w:rPr>
            </w:pPr>
            <w:r>
              <w:rPr>
                <w:rFonts w:ascii="Times New Roman" w:cs="Times New Roman" w:eastAsia="Times New Roman" w:hAnsi="Times New Roman"/>
                <w:sz w:val="15"/>
                <w:szCs w:val="15"/>
                <w:color w:val="auto"/>
              </w:rPr>
              <w:t xml:space="preserve">Proceeds” on page </w:t>
            </w:r>
            <w:r>
              <w:rPr>
                <w:rFonts w:ascii="Times New Roman" w:cs="Times New Roman" w:eastAsia="Times New Roman" w:hAnsi="Times New Roman"/>
                <w:sz w:val="15"/>
                <w:szCs w:val="15"/>
                <w:color w:val="0000EE"/>
              </w:rPr>
              <w:t>S-11</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Risk Factors</w:t>
            </w: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500" w:type="dxa"/>
            <w:vAlign w:val="bottom"/>
            <w:tcBorders>
              <w:righ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280" w:type="dxa"/>
            <w:vAlign w:val="bottom"/>
            <w:tcBorders>
              <w:left w:val="single" w:sz="8" w:color="auto"/>
            </w:tcBorders>
            <w:vMerge w:val="continue"/>
          </w:tcPr>
          <w:p>
            <w:pPr>
              <w:spacing w:after="0"/>
              <w:rPr>
                <w:sz w:val="24"/>
                <w:szCs w:val="24"/>
                <w:color w:val="auto"/>
              </w:rPr>
            </w:pPr>
          </w:p>
        </w:tc>
        <w:tc>
          <w:tcPr>
            <w:tcW w:w="9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5"/>
                <w:szCs w:val="15"/>
                <w:color w:val="auto"/>
              </w:rPr>
              <w:t>Investing in our common stock involves a high degree of risk. See the information contained under the heading “Risk Factors” beginning on</w:t>
            </w:r>
          </w:p>
        </w:tc>
        <w:tc>
          <w:tcPr>
            <w:tcW w:w="0" w:type="dxa"/>
            <w:vAlign w:val="bottom"/>
          </w:tcPr>
          <w:p>
            <w:pPr>
              <w:spacing w:after="0"/>
              <w:rPr>
                <w:sz w:val="1"/>
                <w:szCs w:val="1"/>
                <w:color w:val="auto"/>
              </w:rPr>
            </w:pPr>
          </w:p>
        </w:tc>
      </w:tr>
      <w:tr>
        <w:trPr>
          <w:trHeight w:val="161"/>
        </w:trPr>
        <w:tc>
          <w:tcPr>
            <w:tcW w:w="2280" w:type="dxa"/>
            <w:vAlign w:val="bottom"/>
            <w:tcBorders>
              <w:left w:val="single" w:sz="8" w:color="auto"/>
            </w:tcBorders>
          </w:tcPr>
          <w:p>
            <w:pPr>
              <w:spacing w:after="0"/>
              <w:rPr>
                <w:sz w:val="14"/>
                <w:szCs w:val="14"/>
                <w:color w:val="auto"/>
              </w:rPr>
            </w:pPr>
          </w:p>
        </w:tc>
        <w:tc>
          <w:tcPr>
            <w:tcW w:w="9040" w:type="dxa"/>
            <w:vAlign w:val="bottom"/>
            <w:tcBorders>
              <w:right w:val="single" w:sz="8" w:color="auto"/>
            </w:tcBorders>
            <w:gridSpan w:val="8"/>
          </w:tcPr>
          <w:p>
            <w:pPr>
              <w:ind w:left="100"/>
              <w:spacing w:after="0" w:line="161" w:lineRule="exact"/>
              <w:rPr>
                <w:sz w:val="20"/>
                <w:szCs w:val="20"/>
                <w:color w:val="auto"/>
              </w:rPr>
            </w:pP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color w:val="0000EE"/>
              </w:rPr>
              <w:t>S-9</w:t>
            </w:r>
            <w:r>
              <w:rPr>
                <w:rFonts w:ascii="Times New Roman" w:cs="Times New Roman" w:eastAsia="Times New Roman" w:hAnsi="Times New Roman"/>
                <w:sz w:val="15"/>
                <w:szCs w:val="15"/>
                <w:color w:val="auto"/>
              </w:rPr>
              <w:t xml:space="preserve"> of this prospectus supplement and under similar headings in the accompanying prospectus and in the other documents that are</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380" w:type="dxa"/>
            <w:vAlign w:val="bottom"/>
            <w:tcBorders>
              <w:right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280" w:type="dxa"/>
            <w:vAlign w:val="bottom"/>
            <w:tcBorders>
              <w:left w:val="single" w:sz="8" w:color="auto"/>
            </w:tcBorders>
          </w:tcPr>
          <w:p>
            <w:pPr>
              <w:spacing w:after="0"/>
              <w:rPr>
                <w:sz w:val="15"/>
                <w:szCs w:val="15"/>
                <w:color w:val="auto"/>
              </w:rPr>
            </w:pPr>
          </w:p>
        </w:tc>
        <w:tc>
          <w:tcPr>
            <w:tcW w:w="9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5"/>
                <w:szCs w:val="15"/>
                <w:color w:val="auto"/>
              </w:rPr>
              <w:t>incorporated by reference herein and therein, including specifically under “Item 1A: Risk Factors” and elsewhere in our Annual Report on Form</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tcBorders>
          </w:tcPr>
          <w:p>
            <w:pPr>
              <w:spacing w:after="0"/>
              <w:rPr>
                <w:sz w:val="15"/>
                <w:szCs w:val="15"/>
                <w:color w:val="auto"/>
              </w:rPr>
            </w:pPr>
          </w:p>
        </w:tc>
        <w:tc>
          <w:tcPr>
            <w:tcW w:w="9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5"/>
                <w:szCs w:val="15"/>
                <w:color w:val="auto"/>
              </w:rPr>
              <w:t>10-K for the fiscal year ended March 31, 2023 and in our Quarterly Reports on Form 10-Q for the periods ended June 30, 2023, September 30,</w:t>
            </w:r>
          </w:p>
        </w:tc>
        <w:tc>
          <w:tcPr>
            <w:tcW w:w="0" w:type="dxa"/>
            <w:vAlign w:val="bottom"/>
          </w:tcPr>
          <w:p>
            <w:pPr>
              <w:spacing w:after="0"/>
              <w:rPr>
                <w:sz w:val="1"/>
                <w:szCs w:val="1"/>
                <w:color w:val="auto"/>
              </w:rPr>
            </w:pPr>
          </w:p>
        </w:tc>
      </w:tr>
      <w:tr>
        <w:trPr>
          <w:trHeight w:val="196"/>
        </w:trPr>
        <w:tc>
          <w:tcPr>
            <w:tcW w:w="2280" w:type="dxa"/>
            <w:vAlign w:val="bottom"/>
            <w:tcBorders>
              <w:left w:val="single" w:sz="8" w:color="auto"/>
            </w:tcBorders>
          </w:tcPr>
          <w:p>
            <w:pPr>
              <w:spacing w:after="0"/>
              <w:rPr>
                <w:sz w:val="17"/>
                <w:szCs w:val="17"/>
                <w:color w:val="auto"/>
              </w:rPr>
            </w:pPr>
          </w:p>
        </w:tc>
        <w:tc>
          <w:tcPr>
            <w:tcW w:w="9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5"/>
                <w:szCs w:val="15"/>
                <w:color w:val="auto"/>
              </w:rPr>
              <w:t>2023 and December 31, 2023.</w:t>
            </w:r>
          </w:p>
        </w:tc>
        <w:tc>
          <w:tcPr>
            <w:tcW w:w="0" w:type="dxa"/>
            <w:vAlign w:val="bottom"/>
          </w:tcPr>
          <w:p>
            <w:pPr>
              <w:spacing w:after="0"/>
              <w:rPr>
                <w:sz w:val="1"/>
                <w:szCs w:val="1"/>
                <w:color w:val="auto"/>
              </w:rPr>
            </w:pPr>
          </w:p>
        </w:tc>
      </w:tr>
      <w:tr>
        <w:trPr>
          <w:trHeight w:val="361"/>
        </w:trPr>
        <w:tc>
          <w:tcPr>
            <w:tcW w:w="22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Nasdaq Capital Market symbol</w:t>
            </w:r>
          </w:p>
        </w:tc>
        <w:tc>
          <w:tcPr>
            <w:tcW w:w="904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15"/>
                <w:szCs w:val="15"/>
                <w:color w:val="auto"/>
              </w:rPr>
              <w:t>“VTGN”</w:t>
            </w:r>
          </w:p>
        </w:tc>
        <w:tc>
          <w:tcPr>
            <w:tcW w:w="0" w:type="dxa"/>
            <w:vAlign w:val="bottom"/>
          </w:tcPr>
          <w:p>
            <w:pPr>
              <w:spacing w:after="0"/>
              <w:rPr>
                <w:sz w:val="1"/>
                <w:szCs w:val="1"/>
                <w:color w:val="auto"/>
              </w:rPr>
            </w:pPr>
          </w:p>
        </w:tc>
      </w:tr>
      <w:tr>
        <w:trPr>
          <w:trHeight w:val="299"/>
        </w:trPr>
        <w:tc>
          <w:tcPr>
            <w:tcW w:w="22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00" w:type="dxa"/>
            <w:vAlign w:val="bottom"/>
            <w:gridSpan w:val="4"/>
          </w:tcPr>
          <w:p>
            <w:pPr>
              <w:ind w:left="1720"/>
              <w:spacing w:after="0"/>
              <w:rPr>
                <w:sz w:val="20"/>
                <w:szCs w:val="20"/>
                <w:color w:val="auto"/>
              </w:rPr>
            </w:pPr>
            <w:r>
              <w:rPr>
                <w:rFonts w:ascii="Times New Roman" w:cs="Times New Roman" w:eastAsia="Times New Roman" w:hAnsi="Times New Roman"/>
                <w:sz w:val="15"/>
                <w:szCs w:val="15"/>
                <w:color w:val="auto"/>
              </w:rPr>
              <w:t>S-8</w:t>
            </w:r>
          </w:p>
        </w:tc>
        <w:tc>
          <w:tcPr>
            <w:tcW w:w="0" w:type="dxa"/>
            <w:vAlign w:val="bottom"/>
          </w:tcPr>
          <w:p>
            <w:pPr>
              <w:spacing w:after="0"/>
              <w:rPr>
                <w:sz w:val="1"/>
                <w:szCs w:val="1"/>
                <w:color w:val="auto"/>
              </w:rPr>
            </w:pPr>
          </w:p>
        </w:tc>
      </w:tr>
      <w:tr>
        <w:trPr>
          <w:trHeight w:val="73"/>
        </w:trPr>
        <w:tc>
          <w:tcPr>
            <w:tcW w:w="2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6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00" w:top="318" w:right="27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i w:val="1"/>
          <w:iCs w:val="1"/>
          <w:color w:val="auto"/>
        </w:rPr>
        <w:t>Investing in our securities involves a high degree of risk. Before making an investment decision, you should carefully consider the risks described below and in our Annual Report on Form 10-K for the fiscal year ended March 31, 2023 and our Quarterly Reports on Form 10-Q for the periods ended June 30, 2023, September 30, 2023 and December 31, 2023 incorporated by reference into this prospectus supplement and the accompanying prospectus, any amendment or update thereto reflected in our subsequent filings with the SEC, any related free writing prospectus and all of the other information contained in this prospectus supplement, the accompanying prospectus, any related free writing prospectus and the documents incorporated by reference herein or therein, including our financial statements and related notes.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currently believe to be immaterial may also materially harm our business, operating results and financial condition and could result in a complete loss of your investment.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Relating to this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Purchasers will experience immediate dilution in the book value per share of the common stock purchased in the offering.</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shares sold in this offering, if any, will be sold from time to time at various prices. However, we expect that the offering price of our common stock will be substantially higher than the net tangible book value per share of our outstanding common stock. After giving effect to the sale of shares of our common stock in the aggregate amount of $100,000,000 at an assumed offering price of $4.90 per share, the last sale price of our common stock on February 9, 2024 on The Nasdaq Capital Market, and after deducting commissions and estimated offering expenses, our as adjusted net tangible book value as of December 31, 2023 would have been approximately $220.0 million or approximately $4.64 per share. This represents an immediate increase in net tangible book value of approximately $0.10 per share to our existing stockholders and an immediate dilution in as adjusted net tangible book value of approximately $0.26 per share to purchasers of our common stock in this offering. See “Dilution” for more information.</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at prices that may be higher or lower than the price per share in this offering. Further, the exercise of outstanding options or warrants could result in further dilution to investors and any additional shares issued in connection with acquisitions, collaborations, licensing transactions or other similar transactions will result in dilution to investors. In addition, the market price of our common stock could fall as a result of resales of any of these shares of common stock due to an increased number of shares available for sale in the market.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The common stock offered hereby will be sold in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at the market offerings,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and investors who buy shares at different times will likely pay different prices.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shares of our common stock, or the perception that such sales may occur, may adversely impact the price of our common stock.</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December 31, 2023, we had 27,025,209 shares of common stock outstanding, as well as outstanding options to purchase an aggregate of 729,500 shares of our common stock at a weighted average exercise price of $36.48 per share, and outstanding warrants to purchase up to an aggregate of 24,182,034 shares of our common stock at a weighted average exercise price of $6.24 per share. The exercise and/or conversion of such outstanding derivative securities may result in further dilution of your investment.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47" w:name="page48"/>
    <w:bookmarkEnd w:id="47"/>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Our management will have broad discretion in the use of the net proceeds from this offering and may allocate such net proceeds in ways that you and other stockholders may not approve.</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Our management will have broad discretion in the use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actual number of shares we will issue under the Sales Agreement with Jefferies, at any one time or in total, is uncertain.</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Subject to certain limitations in the Sales Agreement with Jefferies and compliance with applicable law, we have the discretion to deliver placement notices to Jefferies at any time throughout the term of the Sales Agreement. The number of shares that are sold by Jefferies after delivering a placement notice will fluctuate based on the market price of the common stock during the sales period and limits we set with Jefferies.</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or publish inaccurate or unfavorable research about our business, our stock price and trading volume could decline.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trading market for our common stock depends in part on the research and reports that securities or industry analysts publish about us or our business. We currently have research coverage by four securities and industry analysts.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48" w:lineRule="exact"/>
        <w:rPr>
          <w:sz w:val="20"/>
          <w:szCs w:val="20"/>
          <w:color w:val="auto"/>
        </w:rPr>
      </w:pPr>
    </w:p>
    <w:p>
      <w:pPr>
        <w:ind w:right="56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securities litigation, class action and derivative lawsuits, which could result in substantial costs and could divert management attention away from other business concerns.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Even if the lawsuits are without merit, defending against these claims can result in substantial costs and divert management time and resources from other business concerns, which could seriously harm our business. An adverse judgment could result in monetary damages, which could have a negative impact on our liquidity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market price of our common stock may be adversely affected by market conditions affecting the stock markets in general, including price and trading fluctuations on Nasdaq.</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A weak global economy or other circumstances, such as changes in tariffs and trade, could also contribute to extreme volatility of the markets, which may have an effect on the market price of our common stock.</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may issue and sell shares of our common stock having aggregate sales proceeds of up to $100,000,000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our Sales Agreement with Jefferies.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intend to use the net proceeds from this offering to advance the clinical development of our product candidates and for working capital and other general corporate purposes. Pending other uses, we intend to invest our proceeds from this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Purchasers of our common offered by this prospectus supplement and the accompanying prospectus will suffer immediate and substantial dilution in the net tangible book value per share of common stock. Net tangible book value is total assets minus the sum of liabilities and intangible assets. Net tangible book value per share is net tangible book value divided by the total number of shares of common stock outstanding. As of December 31, 2023, our net tangible book value was approximately $122.7 million, or approximately $4.54 per share.</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After giving effect to the assumed sale of 20,408,163 shares of common stock in the aggregate amount of $100,000,000 at an assumed public offering price of $4.90 per share, the last reported price of our common stock on The Nasdaq Capital Market on February 9, 2024, after deducting the underwriting discount and commissions, and estimated offering expenses payable by us, our pro forma net tangible book value as of December 31, 2023 would have been approximately $220.0 million or approximately $4.64 per share. This amount represents an immediate increase in net tangible book value of approximately $0.10 per share to existing stockholders and an immediate dilution in net tangible book value of approximately $0.26 per share to purchasers of our common stock in this offering.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illustrates the dilution in net tangible book value per share to new investors:</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Public offering price per share</w:t>
            </w:r>
          </w:p>
        </w:tc>
        <w:tc>
          <w:tcPr>
            <w:tcW w:w="64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tangible book value per share as of December 31, 2023</w:t>
            </w:r>
          </w:p>
        </w:tc>
        <w:tc>
          <w:tcPr>
            <w:tcW w:w="640" w:type="dxa"/>
            <w:vAlign w:val="bottom"/>
          </w:tcPr>
          <w:p>
            <w:pPr>
              <w:jc w:val="right"/>
              <w:ind w:right="485"/>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4.54</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Increase in pro forma, net tangible book value per share after this offering</w:t>
            </w:r>
          </w:p>
        </w:tc>
        <w:tc>
          <w:tcPr>
            <w:tcW w:w="64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0.10</w:t>
            </w: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80" w:type="dxa"/>
            <w:vAlign w:val="bottom"/>
            <w:tcBorders>
              <w:top w:val="single" w:sz="8" w:color="CCEEFF"/>
            </w:tcBorders>
          </w:tcPr>
          <w:p>
            <w:pPr>
              <w:ind w:left="380"/>
              <w:spacing w:after="0"/>
              <w:rPr>
                <w:sz w:val="20"/>
                <w:szCs w:val="20"/>
                <w:color w:val="auto"/>
              </w:rPr>
            </w:pPr>
            <w:r>
              <w:rPr>
                <w:rFonts w:ascii="Times New Roman" w:cs="Times New Roman" w:eastAsia="Times New Roman" w:hAnsi="Times New Roman"/>
                <w:sz w:val="15"/>
                <w:szCs w:val="15"/>
                <w:color w:val="auto"/>
              </w:rPr>
              <w:t>Pro forma net tangible book value per share after this offering</w:t>
            </w:r>
          </w:p>
        </w:tc>
        <w:tc>
          <w:tcPr>
            <w:tcW w:w="6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60" w:type="dxa"/>
            <w:vAlign w:val="bottom"/>
            <w:tcBorders>
              <w:top w:val="single" w:sz="8" w:color="CCEEFF"/>
            </w:tcBorders>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in pro forma net tangible book value per share to new investors in this offering</w:t>
            </w:r>
          </w:p>
        </w:tc>
        <w:tc>
          <w:tcPr>
            <w:tcW w:w="64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foregoing discussion and table do not take into account further dilution to new investors that could occur upon the exercise of outstanding options or warrants having a per share exercise price less than the assumed public offering price in this offering. To the extent that we raise additional capital through the sale of equity or convertible debt securities after this offering, the issuance of those securities could result in further dilution to our stockholders.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above discussion and table are based on 27,025,209 shares of common stock outstanding as of December 31, 2023 and excludes the following securities:</w:t>
      </w:r>
    </w:p>
    <w:p>
      <w:pPr>
        <w:spacing w:after="0" w:line="188" w:lineRule="exact"/>
        <w:rPr>
          <w:sz w:val="20"/>
          <w:szCs w:val="20"/>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24,182,034 shares of common stock that have been reserved for issuance upon exercise of outstanding warrants, with a weighted average exercise price of $6.24 per share;</w:t>
      </w:r>
    </w:p>
    <w:p>
      <w:pPr>
        <w:spacing w:after="0" w:line="23" w:lineRule="exact"/>
        <w:rPr>
          <w:rFonts w:ascii="Times New Roman" w:cs="Times New Roman" w:eastAsia="Times New Roman" w:hAnsi="Times New Roman"/>
          <w:sz w:val="15"/>
          <w:szCs w:val="15"/>
          <w:color w:val="auto"/>
        </w:rPr>
      </w:pPr>
    </w:p>
    <w:p>
      <w:pPr>
        <w:ind w:left="540" w:right="20" w:hanging="279"/>
        <w:spacing w:after="0" w:line="251" w:lineRule="auto"/>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729,500 shares of common stock reserved for issuance upon exercise of outstanding stock options under our 2019 Omnibus Equity Incentive Plan, as amended (the “2019 Plan”), with a weighted average exercise price of $36.48 per share;</w:t>
      </w: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552,295 shares of common stock reserved for future issuance in connection with future grants under the 2019 Plan; and</w:t>
      </w:r>
    </w:p>
    <w:p>
      <w:pPr>
        <w:spacing w:after="0" w:line="7"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19,480 shares of common stock reserved for future issuance in connection with our 2019 Employee Stock Purchase Plan (the “ESPP”).</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have previously entered into the Sales Agreement with Jefferies, under which we may offer and sell shares of common stock from time to time through Jefferies acting as agent. Pursuant to this prospectus supplement, we may offer and sell up to $100,000,000 of our shares of common stock. Sales of our shares of common stock, if any, under this prospectus supplement and the accompanying base prospectus will be made by any method that is deemed to be an “at the market offering” as defined in Rule 415(a)(4) under the Securities Act.</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Pursuant to recent amendments to Rule 15c6-1 of the Exchange Act, settlement for any securities offered under this prospectus supplement on or after May 28, 2024, may occur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will pay Jefferies a commission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$215,000. The remaining sale proceeds, after deducting any other transaction fees, will equal our net proceeds from the sale of such shares.</w:t>
      </w:r>
    </w:p>
    <w:p>
      <w:pPr>
        <w:spacing w:after="0" w:line="15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Jefferies will provide written confirmation to us before the open on The Nasdaq Capital Market on the day following each day on which shares of common stock are sold under the sales agreement. Each confirmation will include the number of shares sold on that day, the aggregate gross proceeds of such sales and the proceeds to us.</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offering of our shares of common stock pursuant to the Sales Agreement will terminate as permitted therein.</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A prospectus supplement and the accompanying base prospectus in electronic format may be made available on a website maintained by Jefferies, and Jefferies may distribute the prospectus supplement and the accompanying prospectus electronically.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Certain legal matters in connection with this offering will be passed upon for us by Latham &amp; Watkins LLP, Chicago, Illinois. The validity of the securities offered hereby will be passed upon for us by Woodburn and Wedge, Reno, Nevada. Jefferies LLC is being represented in connection with this offering by Cooley LLP, New York, New York.</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WithumSmith+Brown, PC (“Withum”) our independent registered public accounting firm, has audited our consolidated financial statements included in our Annual Report on Form 10-K for the year ended March 31, 2023,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Withum’s report, given on their authority as experts in accounting and auditing.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under the Securities Act with respect to the securities covered by this prospectus supplement. This prospectus supplement, which is a part of the registration statement, does not contain all of the information set forth in the registration statement or the exhibits and schedules filed therewith. For further information with respect to us and the securities covered by this prospectus, please see the registration statement and the exhibits filed with the registration statement. The SEC maintains an Internet website that contains reports, proxy and information statements and other information regarding registrants that file electronically with the SEC. The address of the website is www.sec.gov.</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are subject to the information and periodic reporting requirements of the Exchange Act and, in accordance therewith, we file periodic reports, proxy statements and other information with the SEC. Such periodic reports, proxy statements and other information are available free of charge at our website, www.vistagen.com, as soon as reasonably practicable after such material is electronically filed with, or furnished to, the SEC. Our website and the information contained on that site, or connected to that site, are not incorporated into and are not a part of this prospectus supplement.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52" w:name="page53"/>
    <w:bookmarkEnd w:id="52"/>
    <w:p>
      <w:pPr>
        <w:ind w:left="3320"/>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documents filed by us with the SEC are incorporated by reference in this prospectus supplement:</w:t>
      </w:r>
    </w:p>
    <w:p>
      <w:pPr>
        <w:spacing w:after="0" w:line="188" w:lineRule="exact"/>
        <w:rPr>
          <w:sz w:val="20"/>
          <w:szCs w:val="20"/>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Form 10-K for the year ended March 31, 2023, filed on </w:t>
      </w:r>
      <w:hyperlink r:id="rId16">
        <w:r>
          <w:rPr>
            <w:rFonts w:ascii="Times New Roman" w:cs="Times New Roman" w:eastAsia="Times New Roman" w:hAnsi="Times New Roman"/>
            <w:sz w:val="15"/>
            <w:szCs w:val="15"/>
            <w:u w:val="single" w:color="auto"/>
            <w:color w:val="0000EE"/>
          </w:rPr>
          <w:t>June 28, 2023</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Form 10-Q for the period ended June 30, 2023, filed on </w:t>
      </w:r>
      <w:hyperlink r:id="rId17">
        <w:r>
          <w:rPr>
            <w:rFonts w:ascii="Times New Roman" w:cs="Times New Roman" w:eastAsia="Times New Roman" w:hAnsi="Times New Roman"/>
            <w:sz w:val="15"/>
            <w:szCs w:val="15"/>
            <w:u w:val="single" w:color="auto"/>
            <w:color w:val="0000EE"/>
          </w:rPr>
          <w:t>August 10, 2022</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Form 10-Q for the period ended September 30, 2023, filed on </w:t>
      </w:r>
      <w:hyperlink r:id="rId18">
        <w:r>
          <w:rPr>
            <w:rFonts w:ascii="Times New Roman" w:cs="Times New Roman" w:eastAsia="Times New Roman" w:hAnsi="Times New Roman"/>
            <w:sz w:val="15"/>
            <w:szCs w:val="15"/>
            <w:u w:val="single" w:color="auto"/>
            <w:color w:val="0000EE"/>
          </w:rPr>
          <w:t>November 9, 2023</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Form 10-Q for the period ended December 31, 2023, filed on </w:t>
      </w:r>
      <w:hyperlink r:id="rId19">
        <w:r>
          <w:rPr>
            <w:rFonts w:ascii="Times New Roman" w:cs="Times New Roman" w:eastAsia="Times New Roman" w:hAnsi="Times New Roman"/>
            <w:sz w:val="15"/>
            <w:szCs w:val="15"/>
            <w:u w:val="single" w:color="auto"/>
            <w:color w:val="0000EE"/>
          </w:rPr>
          <w:t>February 13, 2024</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Definitive Proxy Statement on Schedule 14A, filed on </w:t>
      </w:r>
      <w:hyperlink r:id="rId20">
        <w:r>
          <w:rPr>
            <w:rFonts w:ascii="Times New Roman" w:cs="Times New Roman" w:eastAsia="Times New Roman" w:hAnsi="Times New Roman"/>
            <w:sz w:val="15"/>
            <w:szCs w:val="15"/>
            <w:u w:val="single" w:color="auto"/>
            <w:color w:val="0000EE"/>
          </w:rPr>
          <w:t>July 28, 2023</w:t>
        </w:r>
      </w:hyperlink>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540" w:right="260" w:hanging="279"/>
        <w:spacing w:after="0" w:line="267" w:lineRule="auto"/>
        <w:tabs>
          <w:tab w:leader="none" w:pos="540" w:val="left"/>
        </w:tabs>
        <w:numPr>
          <w:ilvl w:val="0"/>
          <w:numId w:val="38"/>
        </w:numPr>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auto"/>
        </w:rPr>
        <w:t xml:space="preserve">our Current Reports on Form 8-K, filed on </w:t>
      </w:r>
      <w:hyperlink r:id="rId21">
        <w:r>
          <w:rPr>
            <w:rFonts w:ascii="Times New Roman" w:cs="Times New Roman" w:eastAsia="Times New Roman" w:hAnsi="Times New Roman"/>
            <w:sz w:val="15"/>
            <w:szCs w:val="15"/>
            <w:u w:val="single" w:color="auto"/>
            <w:color w:val="0000EE"/>
          </w:rPr>
          <w:t>April 6, 2023</w:t>
        </w:r>
      </w:hyperlink>
      <w:r>
        <w:rPr>
          <w:rFonts w:ascii="Times New Roman" w:cs="Times New Roman" w:eastAsia="Times New Roman" w:hAnsi="Times New Roman"/>
          <w:sz w:val="15"/>
          <w:szCs w:val="15"/>
          <w:color w:val="auto"/>
        </w:rPr>
        <w:t xml:space="preserve">, </w:t>
      </w:r>
      <w:hyperlink r:id="rId22">
        <w:r>
          <w:rPr>
            <w:rFonts w:ascii="Times New Roman" w:cs="Times New Roman" w:eastAsia="Times New Roman" w:hAnsi="Times New Roman"/>
            <w:sz w:val="15"/>
            <w:szCs w:val="15"/>
            <w:u w:val="single" w:color="auto"/>
            <w:color w:val="0000EE"/>
          </w:rPr>
          <w:t>April 19, 2023</w:t>
        </w:r>
      </w:hyperlink>
      <w:r>
        <w:rPr>
          <w:rFonts w:ascii="Times New Roman" w:cs="Times New Roman" w:eastAsia="Times New Roman" w:hAnsi="Times New Roman"/>
          <w:sz w:val="15"/>
          <w:szCs w:val="15"/>
          <w:color w:val="auto"/>
        </w:rPr>
        <w:t xml:space="preserve">, </w:t>
      </w:r>
      <w:hyperlink r:id="rId23">
        <w:r>
          <w:rPr>
            <w:rFonts w:ascii="Times New Roman" w:cs="Times New Roman" w:eastAsia="Times New Roman" w:hAnsi="Times New Roman"/>
            <w:sz w:val="15"/>
            <w:szCs w:val="15"/>
            <w:u w:val="single" w:color="auto"/>
            <w:color w:val="0000EE"/>
          </w:rPr>
          <w:t>June 1, 2023</w:t>
        </w:r>
      </w:hyperlink>
      <w:r>
        <w:rPr>
          <w:rFonts w:ascii="Times New Roman" w:cs="Times New Roman" w:eastAsia="Times New Roman" w:hAnsi="Times New Roman"/>
          <w:sz w:val="15"/>
          <w:szCs w:val="15"/>
          <w:color w:val="auto"/>
        </w:rPr>
        <w:t xml:space="preserve">, </w:t>
      </w:r>
      <w:hyperlink r:id="rId24">
        <w:r>
          <w:rPr>
            <w:rFonts w:ascii="Times New Roman" w:cs="Times New Roman" w:eastAsia="Times New Roman" w:hAnsi="Times New Roman"/>
            <w:sz w:val="15"/>
            <w:szCs w:val="15"/>
            <w:u w:val="single" w:color="auto"/>
            <w:color w:val="0000EE"/>
          </w:rPr>
          <w:t>June 6, 2023</w:t>
        </w:r>
      </w:hyperlink>
      <w:r>
        <w:rPr>
          <w:rFonts w:ascii="Times New Roman" w:cs="Times New Roman" w:eastAsia="Times New Roman" w:hAnsi="Times New Roman"/>
          <w:sz w:val="15"/>
          <w:szCs w:val="15"/>
          <w:color w:val="auto"/>
        </w:rPr>
        <w:t xml:space="preserve">, </w:t>
      </w:r>
      <w:hyperlink r:id="rId25">
        <w:r>
          <w:rPr>
            <w:rFonts w:ascii="Times New Roman" w:cs="Times New Roman" w:eastAsia="Times New Roman" w:hAnsi="Times New Roman"/>
            <w:sz w:val="15"/>
            <w:szCs w:val="15"/>
            <w:u w:val="single" w:color="auto"/>
            <w:color w:val="0000EE"/>
          </w:rPr>
          <w:t>June 7, 2023</w:t>
        </w:r>
      </w:hyperlink>
      <w:r>
        <w:rPr>
          <w:rFonts w:ascii="Times New Roman" w:cs="Times New Roman" w:eastAsia="Times New Roman" w:hAnsi="Times New Roman"/>
          <w:sz w:val="15"/>
          <w:szCs w:val="15"/>
          <w:color w:val="auto"/>
        </w:rPr>
        <w:t xml:space="preserve">, </w:t>
      </w:r>
      <w:hyperlink r:id="rId26">
        <w:r>
          <w:rPr>
            <w:rFonts w:ascii="Times New Roman" w:cs="Times New Roman" w:eastAsia="Times New Roman" w:hAnsi="Times New Roman"/>
            <w:sz w:val="15"/>
            <w:szCs w:val="15"/>
            <w:u w:val="single" w:color="auto"/>
            <w:color w:val="0000EE"/>
          </w:rPr>
          <w:t>June 13, 2023</w:t>
        </w:r>
      </w:hyperlink>
      <w:r>
        <w:rPr>
          <w:rFonts w:ascii="Times New Roman" w:cs="Times New Roman" w:eastAsia="Times New Roman" w:hAnsi="Times New Roman"/>
          <w:sz w:val="15"/>
          <w:szCs w:val="15"/>
          <w:color w:val="auto"/>
        </w:rPr>
        <w:t xml:space="preserve">, </w:t>
      </w:r>
      <w:hyperlink r:id="rId27">
        <w:r>
          <w:rPr>
            <w:rFonts w:ascii="Times New Roman" w:cs="Times New Roman" w:eastAsia="Times New Roman" w:hAnsi="Times New Roman"/>
            <w:sz w:val="15"/>
            <w:szCs w:val="15"/>
            <w:u w:val="single" w:color="auto"/>
            <w:color w:val="0000EE"/>
          </w:rPr>
          <w:t>June 21, 2023</w:t>
        </w:r>
      </w:hyperlink>
      <w:r>
        <w:rPr>
          <w:rFonts w:ascii="Times New Roman" w:cs="Times New Roman" w:eastAsia="Times New Roman" w:hAnsi="Times New Roman"/>
          <w:sz w:val="15"/>
          <w:szCs w:val="15"/>
          <w:color w:val="auto"/>
        </w:rPr>
        <w:t xml:space="preserve">, </w:t>
      </w:r>
      <w:hyperlink r:id="rId28">
        <w:r>
          <w:rPr>
            <w:rFonts w:ascii="Times New Roman" w:cs="Times New Roman" w:eastAsia="Times New Roman" w:hAnsi="Times New Roman"/>
            <w:sz w:val="15"/>
            <w:szCs w:val="15"/>
            <w:u w:val="single" w:color="auto"/>
            <w:color w:val="0000EE"/>
          </w:rPr>
          <w:t>June 23, 2023</w:t>
        </w:r>
      </w:hyperlink>
      <w:r>
        <w:rPr>
          <w:rFonts w:ascii="Times New Roman" w:cs="Times New Roman" w:eastAsia="Times New Roman" w:hAnsi="Times New Roman"/>
          <w:sz w:val="15"/>
          <w:szCs w:val="15"/>
          <w:color w:val="auto"/>
        </w:rPr>
        <w:t xml:space="preserve">, </w:t>
      </w:r>
      <w:hyperlink r:id="rId29">
        <w:r>
          <w:rPr>
            <w:rFonts w:ascii="Times New Roman" w:cs="Times New Roman" w:eastAsia="Times New Roman" w:hAnsi="Times New Roman"/>
            <w:sz w:val="15"/>
            <w:szCs w:val="15"/>
            <w:u w:val="single" w:color="auto"/>
            <w:color w:val="0000EE"/>
          </w:rPr>
          <w:t>July 7, 2023</w:t>
        </w:r>
      </w:hyperlink>
      <w:r>
        <w:rPr>
          <w:rFonts w:ascii="Times New Roman" w:cs="Times New Roman" w:eastAsia="Times New Roman" w:hAnsi="Times New Roman"/>
          <w:sz w:val="15"/>
          <w:szCs w:val="15"/>
          <w:color w:val="auto"/>
        </w:rPr>
        <w:t xml:space="preserve">, </w:t>
      </w:r>
      <w:hyperlink r:id="rId30">
        <w:r>
          <w:rPr>
            <w:rFonts w:ascii="Times New Roman" w:cs="Times New Roman" w:eastAsia="Times New Roman" w:hAnsi="Times New Roman"/>
            <w:sz w:val="15"/>
            <w:szCs w:val="15"/>
            <w:u w:val="single" w:color="auto"/>
            <w:color w:val="0000EE"/>
          </w:rPr>
          <w:t>July 13,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1">
        <w:r>
          <w:rPr>
            <w:rFonts w:ascii="Times New Roman" w:cs="Times New Roman" w:eastAsia="Times New Roman" w:hAnsi="Times New Roman"/>
            <w:sz w:val="15"/>
            <w:szCs w:val="15"/>
            <w:u w:val="single" w:color="auto"/>
            <w:color w:val="0000EE"/>
          </w:rPr>
          <w:t>July 18,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2">
        <w:r>
          <w:rPr>
            <w:rFonts w:ascii="Times New Roman" w:cs="Times New Roman" w:eastAsia="Times New Roman" w:hAnsi="Times New Roman"/>
            <w:sz w:val="15"/>
            <w:szCs w:val="15"/>
            <w:u w:val="single" w:color="auto"/>
            <w:color w:val="0000EE"/>
          </w:rPr>
          <w:t>August 22,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3">
        <w:r>
          <w:rPr>
            <w:rFonts w:ascii="Times New Roman" w:cs="Times New Roman" w:eastAsia="Times New Roman" w:hAnsi="Times New Roman"/>
            <w:sz w:val="15"/>
            <w:szCs w:val="15"/>
            <w:u w:val="single" w:color="auto"/>
            <w:color w:val="0000EE"/>
          </w:rPr>
          <w:t>September 8,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4">
        <w:r>
          <w:rPr>
            <w:rFonts w:ascii="Times New Roman" w:cs="Times New Roman" w:eastAsia="Times New Roman" w:hAnsi="Times New Roman"/>
            <w:sz w:val="15"/>
            <w:szCs w:val="15"/>
            <w:u w:val="single" w:color="auto"/>
            <w:color w:val="0000EE"/>
          </w:rPr>
          <w:t>September 13,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5">
        <w:r>
          <w:rPr>
            <w:rFonts w:ascii="Times New Roman" w:cs="Times New Roman" w:eastAsia="Times New Roman" w:hAnsi="Times New Roman"/>
            <w:sz w:val="15"/>
            <w:szCs w:val="15"/>
            <w:u w:val="single" w:color="auto"/>
            <w:color w:val="0000EE"/>
          </w:rPr>
          <w:t>September 29,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6">
        <w:r>
          <w:rPr>
            <w:rFonts w:ascii="Times New Roman" w:cs="Times New Roman" w:eastAsia="Times New Roman" w:hAnsi="Times New Roman"/>
            <w:sz w:val="15"/>
            <w:szCs w:val="15"/>
            <w:u w:val="single" w:color="auto"/>
            <w:color w:val="0000EE"/>
          </w:rPr>
          <w:t>October 2, 2023</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37">
        <w:r>
          <w:rPr>
            <w:rFonts w:ascii="Times New Roman" w:cs="Times New Roman" w:eastAsia="Times New Roman" w:hAnsi="Times New Roman"/>
            <w:sz w:val="15"/>
            <w:szCs w:val="15"/>
            <w:u w:val="single" w:color="auto"/>
            <w:color w:val="0000EE"/>
          </w:rPr>
          <w:t xml:space="preserve">October 4, 2023 </w:t>
        </w:r>
      </w:hyperlink>
      <w:r>
        <w:rPr>
          <w:rFonts w:ascii="Times New Roman" w:cs="Times New Roman" w:eastAsia="Times New Roman" w:hAnsi="Times New Roman"/>
          <w:sz w:val="15"/>
          <w:szCs w:val="15"/>
          <w:color w:val="000000"/>
        </w:rPr>
        <w:t>(excluding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any information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 xml:space="preserve">furnished in such reports under Item 7.01), </w:t>
      </w:r>
      <w:hyperlink r:id="rId38">
        <w:r>
          <w:rPr>
            <w:rFonts w:ascii="Times New Roman" w:cs="Times New Roman" w:eastAsia="Times New Roman" w:hAnsi="Times New Roman"/>
            <w:sz w:val="15"/>
            <w:szCs w:val="15"/>
            <w:u w:val="single" w:color="auto"/>
            <w:color w:val="0000EE"/>
          </w:rPr>
          <w:t>October 26, 2023</w:t>
        </w:r>
      </w:hyperlink>
      <w:r>
        <w:rPr>
          <w:rFonts w:ascii="Times New Roman" w:cs="Times New Roman" w:eastAsia="Times New Roman" w:hAnsi="Times New Roman"/>
          <w:sz w:val="15"/>
          <w:szCs w:val="15"/>
          <w:color w:val="000000"/>
        </w:rPr>
        <w:t xml:space="preserve">, </w:t>
      </w:r>
      <w:hyperlink r:id="rId39">
        <w:r>
          <w:rPr>
            <w:rFonts w:ascii="Times New Roman" w:cs="Times New Roman" w:eastAsia="Times New Roman" w:hAnsi="Times New Roman"/>
            <w:sz w:val="15"/>
            <w:szCs w:val="15"/>
            <w:u w:val="single" w:color="auto"/>
            <w:color w:val="0000EE"/>
          </w:rPr>
          <w:t>November 6, 2023</w:t>
        </w:r>
      </w:hyperlink>
      <w:r>
        <w:rPr>
          <w:rFonts w:ascii="Times New Roman" w:cs="Times New Roman" w:eastAsia="Times New Roman" w:hAnsi="Times New Roman"/>
          <w:sz w:val="15"/>
          <w:szCs w:val="15"/>
          <w:color w:val="000000"/>
        </w:rPr>
        <w:t xml:space="preserve">(as amended on </w:t>
      </w:r>
      <w:hyperlink r:id="rId40">
        <w:r>
          <w:rPr>
            <w:rFonts w:ascii="Times New Roman" w:cs="Times New Roman" w:eastAsia="Times New Roman" w:hAnsi="Times New Roman"/>
            <w:sz w:val="15"/>
            <w:szCs w:val="15"/>
            <w:u w:val="single" w:color="auto"/>
            <w:color w:val="0000EE"/>
          </w:rPr>
          <w:t>November 7, 2023</w:t>
        </w:r>
      </w:hyperlink>
      <w:r>
        <w:rPr>
          <w:rFonts w:ascii="Times New Roman" w:cs="Times New Roman" w:eastAsia="Times New Roman" w:hAnsi="Times New Roman"/>
          <w:sz w:val="15"/>
          <w:szCs w:val="15"/>
          <w:u w:val="single" w:color="auto"/>
          <w:color w:val="000000"/>
        </w:rPr>
        <w:t>)</w:t>
      </w:r>
      <w:r>
        <w:rPr>
          <w:rFonts w:ascii="Times New Roman" w:cs="Times New Roman" w:eastAsia="Times New Roman" w:hAnsi="Times New Roman"/>
          <w:sz w:val="15"/>
          <w:szCs w:val="15"/>
          <w:color w:val="000000"/>
        </w:rPr>
        <w:t xml:space="preserve">, and </w:t>
      </w:r>
      <w:hyperlink r:id="rId41">
        <w:r>
          <w:rPr>
            <w:rFonts w:ascii="Times New Roman" w:cs="Times New Roman" w:eastAsia="Times New Roman" w:hAnsi="Times New Roman"/>
            <w:sz w:val="15"/>
            <w:szCs w:val="15"/>
            <w:u w:val="single" w:color="auto"/>
            <w:color w:val="0000EE"/>
          </w:rPr>
          <w:t>January 3, 2024</w:t>
        </w:r>
      </w:hyperlink>
      <w:r>
        <w:rPr>
          <w:rFonts w:ascii="Times New Roman" w:cs="Times New Roman" w:eastAsia="Times New Roman" w:hAnsi="Times New Roman"/>
          <w:sz w:val="15"/>
          <w:szCs w:val="15"/>
          <w:color w:val="000000"/>
        </w:rPr>
        <w:t>; and</w:t>
      </w:r>
    </w:p>
    <w:p>
      <w:pPr>
        <w:spacing w:after="0" w:line="146" w:lineRule="exact"/>
        <w:rPr>
          <w:rFonts w:ascii="Times New Roman" w:cs="Times New Roman" w:eastAsia="Times New Roman" w:hAnsi="Times New Roman"/>
          <w:sz w:val="15"/>
          <w:szCs w:val="15"/>
          <w:color w:val="000000"/>
        </w:rPr>
      </w:pPr>
    </w:p>
    <w:p>
      <w:pPr>
        <w:ind w:left="540" w:right="180" w:hanging="279"/>
        <w:spacing w:after="0" w:line="283" w:lineRule="auto"/>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the Registration Statement on Form 8-A filed pursuant to Section 12(b) of the Securities Exchange Act of 1934, as amended (the </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xml:space="preserve">) on </w:t>
      </w:r>
      <w:hyperlink r:id="rId42">
        <w:r>
          <w:rPr>
            <w:rFonts w:ascii="Times New Roman" w:cs="Times New Roman" w:eastAsia="Times New Roman" w:hAnsi="Times New Roman"/>
            <w:sz w:val="15"/>
            <w:szCs w:val="15"/>
            <w:u w:val="single" w:color="auto"/>
            <w:color w:val="0000EE"/>
          </w:rPr>
          <w:t>May 3, 2016</w:t>
        </w:r>
      </w:hyperlink>
      <w:r>
        <w:rPr>
          <w:rFonts w:ascii="Times New Roman" w:cs="Times New Roman" w:eastAsia="Times New Roman" w:hAnsi="Times New Roman"/>
          <w:sz w:val="15"/>
          <w:szCs w:val="15"/>
          <w:color w:val="auto"/>
        </w:rPr>
        <w:t>, including any amendment or report filed with the Commission for the purpose of updating this description.</w:t>
      </w:r>
    </w:p>
    <w:p>
      <w:pPr>
        <w:spacing w:after="0" w:line="135" w:lineRule="exact"/>
        <w:rPr>
          <w:rFonts w:ascii="Times New Roman" w:cs="Times New Roman" w:eastAsia="Times New Roman" w:hAnsi="Times New Roman"/>
          <w:sz w:val="15"/>
          <w:szCs w:val="15"/>
          <w:color w:val="000000"/>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herein by reference and are an important part of this prospectus.</w:t>
      </w:r>
    </w:p>
    <w:p>
      <w:pPr>
        <w:spacing w:after="0" w:line="152" w:lineRule="exact"/>
        <w:rPr>
          <w:rFonts w:ascii="Times New Roman" w:cs="Times New Roman" w:eastAsia="Times New Roman" w:hAnsi="Times New Roman"/>
          <w:sz w:val="15"/>
          <w:szCs w:val="15"/>
          <w:color w:val="000000"/>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46" w:lineRule="exact"/>
        <w:rPr>
          <w:rFonts w:ascii="Times New Roman" w:cs="Times New Roman" w:eastAsia="Times New Roman" w:hAnsi="Times New Roman"/>
          <w:sz w:val="15"/>
          <w:szCs w:val="15"/>
          <w:color w:val="000000"/>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will provide upon request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46"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343 Allerton Avenue</w:t>
      </w:r>
    </w:p>
    <w:p>
      <w:pPr>
        <w:spacing w:after="0" w:line="8"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South San Francisco, California 94080</w:t>
      </w:r>
    </w:p>
    <w:p>
      <w:pPr>
        <w:spacing w:after="0" w:line="8"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(650) 577-3600</w:t>
      </w:r>
    </w:p>
    <w:p>
      <w:pPr>
        <w:spacing w:after="0" w:line="173" w:lineRule="exact"/>
        <w:rPr>
          <w:rFonts w:ascii="Times New Roman" w:cs="Times New Roman" w:eastAsia="Times New Roman" w:hAnsi="Times New Roman"/>
          <w:sz w:val="15"/>
          <w:szCs w:val="15"/>
          <w:color w:val="000000"/>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152" w:lineRule="exact"/>
        <w:rPr>
          <w:rFonts w:ascii="Times New Roman" w:cs="Times New Roman" w:eastAsia="Times New Roman" w:hAnsi="Times New Roman"/>
          <w:sz w:val="15"/>
          <w:szCs w:val="15"/>
          <w:color w:val="000000"/>
        </w:rPr>
      </w:pPr>
    </w:p>
    <w:p>
      <w:pPr>
        <w:jc w:val="center"/>
        <w:spacing w:after="0"/>
        <w:rPr>
          <w:sz w:val="20"/>
          <w:szCs w:val="20"/>
          <w:color w:val="auto"/>
        </w:rPr>
      </w:pPr>
      <w:r>
        <w:rPr>
          <w:rFonts w:ascii="Times New Roman" w:cs="Times New Roman" w:eastAsia="Times New Roman" w:hAnsi="Times New Roman"/>
          <w:sz w:val="15"/>
          <w:szCs w:val="15"/>
          <w:color w:val="auto"/>
        </w:rPr>
        <w:t>S-15</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361315</wp:posOffset>
            </wp:positionV>
            <wp:extent cx="715518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7155180" cy="21590"/>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411480</wp:posOffset>
            </wp:positionV>
            <wp:extent cx="715518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page">
              <wp:posOffset>2990215</wp:posOffset>
            </wp:positionH>
            <wp:positionV relativeFrom="page">
              <wp:posOffset>919480</wp:posOffset>
            </wp:positionV>
            <wp:extent cx="1568450" cy="422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568450" cy="42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$100,000,000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257175</wp:posOffset>
            </wp:positionV>
            <wp:extent cx="715518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160020</wp:posOffset>
            </wp:positionV>
            <wp:extent cx="715518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167640</wp:posOffset>
            </wp:positionV>
            <wp:extent cx="715518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155180" cy="215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546735</wp:posOffset>
            </wp:positionV>
            <wp:extent cx="715518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8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14. OTHER EXPENSES OF ISSUANCE AND DISTRIBUTION</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following table sets forth an estimate of the fees and expenses, other than the underwriting discounts and commissions, payable by us in connection with the issuance and distribution of the securities being registered.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8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3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39,857</w:t>
            </w:r>
          </w:p>
        </w:tc>
      </w:tr>
      <w:tr>
        <w:trPr>
          <w:trHeight w:val="180"/>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r>
      <w:tr>
        <w:trPr>
          <w:trHeight w:val="18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3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r>
      <w:tr>
        <w:trPr>
          <w:trHeight w:val="180"/>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Blue Sky, qualification fees and expenses</w:t>
            </w:r>
          </w:p>
        </w:tc>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r>
      <w:tr>
        <w:trPr>
          <w:trHeight w:val="18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 agent fees and expenses</w:t>
            </w:r>
          </w:p>
        </w:tc>
        <w:tc>
          <w:tcPr>
            <w:tcW w:w="3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r>
      <w:tr>
        <w:trPr>
          <w:trHeight w:val="180"/>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Trustee fees and expenses</w:t>
            </w:r>
          </w:p>
        </w:tc>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r>
      <w:tr>
        <w:trPr>
          <w:trHeight w:val="18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agent fees and expenses</w:t>
            </w:r>
          </w:p>
        </w:tc>
        <w:tc>
          <w:tcPr>
            <w:tcW w:w="3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r>
      <w:tr>
        <w:trPr>
          <w:trHeight w:val="180"/>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Printing and miscellaneous fees and expenses</w:t>
            </w:r>
          </w:p>
        </w:tc>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r>
      <w:tr>
        <w:trPr>
          <w:trHeight w:val="220"/>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34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(1) These fees are calculated based on the securities offered and the number of issuances and accordingly cannot be estimated at this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15. INDEMNIFICATION OF OFFICERS AND DIRECTORS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Section 78.7502 of the NRS permits a corporation to indemnify any person who was, is or is threatened to be made a party in a completed, pending or threatened proceeding, whether civil, criminal, administrative or investigative (except an action by or in the right of the corporation), by reason of being or having been an officer, director, employee or agent of the corporation or serving in certain capacities at the request of the corporation. Indemnification may include attorneys' fees, judgments, fines and amounts paid in settlement. The person to be indemnified must have acted in good faith and in a manner he or she reasonably believed to be in or not opposed to the best interests of the corporation and, with respect to any criminal action, such person must have had no reasonable cause to believe his conduct was unlawful.</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With respect to actions by or in the right of the corporation,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was brought or other court of competent jurisdiction determines upon application that in view of all circumstances the person is fairly and reasonably entitled to indemnity for such expenses as the court deems proper.</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Unless indemnification is ordered by a court, the determination to pay indemnification must be made by the stockholders, by a majority vote of a quorum of the Board of Directors who were not parties to the action, suit or proceeding, or in certain circumstances by independent legal counsel in a written opinion. Section 78.751 of the NRS permits the articles of incorporation or bylaws to provide for payment to an indemnified person of the expenses of defending an action as incurred upon receipt of an undertaking to repay the amount if it is ultimately determined by a court of competent jurisdiction that the person is not entitled to indemnification.</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Section 78.7502 also provides that to the extent a director, officer, employee or agent has been successful on the merits or otherwise in the defense of any such action, he must be indemnified by the corporation against expenses, including attorneys' fees, actually and reasonably incurred in connection with the defense.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Article X of our Charter, entitled “Indemnification,” provides that we shall indemnify, and shall advance or reimburse the reasonable expenses incurred in advance of final disposition of the proceeding of, any individual made a party to a proceeding because that individual is or was a director of the corporation to the full extent and under all circumstances permitted by applicable law. Article X of our Bylaws, entitled “Indemnification,” provides that we shall indemnify our directors and officers to the fullest extent not prohibited by the NRS, except in the case of proceedings initiated by such officers or directors unless certain other factors are present.</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3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07" w:right="319" w:bottom="1440" w:gutter="0" w:footer="0" w:header="0"/>
        </w:sectPr>
      </w:pPr>
    </w:p>
    <w:bookmarkStart w:id="55" w:name="page56"/>
    <w:bookmarkEnd w:id="55"/>
    <w:p>
      <w:pPr>
        <w:ind w:left="10"/>
        <w:spacing w:after="0"/>
        <w:rPr>
          <w:sz w:val="20"/>
          <w:szCs w:val="20"/>
          <w:color w:val="auto"/>
        </w:rPr>
      </w:pPr>
      <w:r>
        <w:rPr>
          <w:rFonts w:ascii="Times New Roman" w:cs="Times New Roman" w:eastAsia="Times New Roman" w:hAnsi="Times New Roman"/>
          <w:sz w:val="15"/>
          <w:szCs w:val="15"/>
          <w:b w:val="1"/>
          <w:bCs w:val="1"/>
          <w:color w:val="auto"/>
        </w:rPr>
        <w:t>ITEM 16. EXHIBITS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1.1*</w:t>
            </w:r>
          </w:p>
        </w:tc>
        <w:tc>
          <w:tcPr>
            <w:tcW w:w="1026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Form of Underwriting Agreement</w:t>
            </w:r>
          </w:p>
        </w:tc>
      </w:tr>
      <w:tr>
        <w:trPr>
          <w:trHeight w:val="18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1.2*</w:t>
            </w:r>
          </w:p>
        </w:tc>
        <w:tc>
          <w:tcPr>
            <w:tcW w:w="1026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Form of Placement Agent Agreement</w:t>
            </w:r>
          </w:p>
        </w:tc>
      </w:tr>
      <w:tr>
        <w:trPr>
          <w:trHeight w:val="139"/>
        </w:trPr>
        <w:tc>
          <w:tcPr>
            <w:tcW w:w="1000" w:type="dxa"/>
            <w:vAlign w:val="bottom"/>
          </w:tcPr>
          <w:p>
            <w:pPr>
              <w:spacing w:after="0" w:line="130" w:lineRule="exact"/>
              <w:rPr>
                <w:sz w:val="20"/>
                <w:szCs w:val="20"/>
                <w:color w:val="auto"/>
              </w:rPr>
            </w:pPr>
            <w:r>
              <w:rPr>
                <w:rFonts w:ascii="Times New Roman" w:cs="Times New Roman" w:eastAsia="Times New Roman" w:hAnsi="Times New Roman"/>
                <w:sz w:val="15"/>
                <w:szCs w:val="15"/>
                <w:color w:val="auto"/>
              </w:rPr>
              <w:t>1.3</w:t>
            </w:r>
          </w:p>
        </w:tc>
        <w:tc>
          <w:tcPr>
            <w:tcW w:w="1820" w:type="dxa"/>
            <w:vAlign w:val="bottom"/>
            <w:gridSpan w:val="2"/>
          </w:tcPr>
          <w:p>
            <w:pPr>
              <w:spacing w:after="0" w:line="130" w:lineRule="exact"/>
              <w:rPr>
                <w:rFonts w:ascii="Times New Roman" w:cs="Times New Roman" w:eastAsia="Times New Roman" w:hAnsi="Times New Roman"/>
                <w:sz w:val="15"/>
                <w:szCs w:val="15"/>
                <w:color w:val="0000EE"/>
              </w:rPr>
            </w:pPr>
            <w:hyperlink r:id="rId103">
              <w:r>
                <w:rPr>
                  <w:rFonts w:ascii="Times New Roman" w:cs="Times New Roman" w:eastAsia="Times New Roman" w:hAnsi="Times New Roman"/>
                  <w:sz w:val="15"/>
                  <w:szCs w:val="15"/>
                  <w:color w:val="0000EE"/>
                </w:rPr>
                <w:t>Open Market Sale Agreement</w:t>
              </w:r>
            </w:hyperlink>
          </w:p>
        </w:tc>
        <w:tc>
          <w:tcPr>
            <w:tcW w:w="180" w:type="dxa"/>
            <w:vAlign w:val="bottom"/>
            <w:tcBorders>
              <w:bottom w:val="single" w:sz="8" w:color="0000EE"/>
            </w:tcBorders>
            <w:gridSpan w:val="2"/>
          </w:tcPr>
          <w:p>
            <w:pPr>
              <w:spacing w:after="0" w:line="119" w:lineRule="exact"/>
              <w:rPr>
                <w:rFonts w:ascii="Times New Roman" w:cs="Times New Roman" w:eastAsia="Times New Roman" w:hAnsi="Times New Roman"/>
                <w:sz w:val="13"/>
                <w:szCs w:val="13"/>
                <w:color w:val="0000EE"/>
                <w:w w:val="84"/>
              </w:rPr>
            </w:pPr>
            <w:hyperlink r:id="rId103">
              <w:r>
                <w:rPr>
                  <w:rFonts w:ascii="Times New Roman" w:cs="Times New Roman" w:eastAsia="Times New Roman" w:hAnsi="Times New Roman"/>
                  <w:sz w:val="13"/>
                  <w:szCs w:val="13"/>
                  <w:color w:val="0000EE"/>
                  <w:w w:val="84"/>
                </w:rPr>
                <w:t>SM</w:t>
              </w:r>
            </w:hyperlink>
          </w:p>
        </w:tc>
        <w:tc>
          <w:tcPr>
            <w:tcW w:w="8260" w:type="dxa"/>
            <w:vAlign w:val="bottom"/>
            <w:gridSpan w:val="8"/>
          </w:tcPr>
          <w:p>
            <w:pPr>
              <w:spacing w:after="0" w:line="130" w:lineRule="exact"/>
              <w:rPr>
                <w:rFonts w:ascii="Times New Roman" w:cs="Times New Roman" w:eastAsia="Times New Roman" w:hAnsi="Times New Roman"/>
                <w:sz w:val="15"/>
                <w:szCs w:val="15"/>
                <w:color w:val="0000EE"/>
              </w:rPr>
            </w:pPr>
            <w:hyperlink r:id="rId103">
              <w:r>
                <w:rPr>
                  <w:rFonts w:ascii="Times New Roman" w:cs="Times New Roman" w:eastAsia="Times New Roman" w:hAnsi="Times New Roman"/>
                  <w:sz w:val="15"/>
                  <w:szCs w:val="15"/>
                  <w:color w:val="0000EE"/>
                </w:rPr>
                <w:t>, dated May 14, 2021, by and between Vistagen Therapeutics, Inc. and Jefferies LLC, incorporated by reference from Exhibit 1.1 to the</w:t>
              </w:r>
            </w:hyperlink>
          </w:p>
        </w:tc>
      </w:tr>
      <w:tr>
        <w:trPr>
          <w:trHeight w:val="20"/>
        </w:trPr>
        <w:tc>
          <w:tcPr>
            <w:tcW w:w="1000" w:type="dxa"/>
            <w:vAlign w:val="bottom"/>
          </w:tcPr>
          <w:p>
            <w:pPr>
              <w:spacing w:after="0" w:line="20" w:lineRule="exact"/>
              <w:rPr>
                <w:sz w:val="1"/>
                <w:szCs w:val="1"/>
                <w:color w:val="auto"/>
              </w:rPr>
            </w:pPr>
          </w:p>
        </w:tc>
        <w:tc>
          <w:tcPr>
            <w:tcW w:w="110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1460" w:type="dxa"/>
            <w:vAlign w:val="bottom"/>
            <w:tcBorders>
              <w:bottom w:val="single" w:sz="8" w:color="0000EE"/>
            </w:tcBorders>
          </w:tcPr>
          <w:p>
            <w:pPr>
              <w:spacing w:after="0" w:line="20" w:lineRule="exact"/>
              <w:rPr>
                <w:sz w:val="1"/>
                <w:szCs w:val="1"/>
                <w:color w:val="auto"/>
              </w:rPr>
            </w:pPr>
          </w:p>
        </w:tc>
        <w:tc>
          <w:tcPr>
            <w:tcW w:w="48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r>
      <w:tr>
        <w:trPr>
          <w:trHeight w:val="143"/>
        </w:trPr>
        <w:tc>
          <w:tcPr>
            <w:tcW w:w="1000" w:type="dxa"/>
            <w:vAlign w:val="bottom"/>
          </w:tcPr>
          <w:p>
            <w:pPr>
              <w:spacing w:after="0"/>
              <w:rPr>
                <w:sz w:val="12"/>
                <w:szCs w:val="12"/>
                <w:color w:val="auto"/>
              </w:rPr>
            </w:pPr>
          </w:p>
        </w:tc>
        <w:tc>
          <w:tcPr>
            <w:tcW w:w="10260" w:type="dxa"/>
            <w:vAlign w:val="bottom"/>
            <w:gridSpan w:val="12"/>
          </w:tcPr>
          <w:p>
            <w:pPr>
              <w:spacing w:after="0" w:line="143" w:lineRule="exact"/>
              <w:rPr>
                <w:rFonts w:ascii="Times New Roman" w:cs="Times New Roman" w:eastAsia="Times New Roman" w:hAnsi="Times New Roman"/>
                <w:sz w:val="15"/>
                <w:szCs w:val="15"/>
                <w:color w:val="0000EE"/>
              </w:rPr>
            </w:pPr>
            <w:hyperlink r:id="rId103">
              <w:r>
                <w:rPr>
                  <w:rFonts w:ascii="Times New Roman" w:cs="Times New Roman" w:eastAsia="Times New Roman" w:hAnsi="Times New Roman"/>
                  <w:sz w:val="15"/>
                  <w:szCs w:val="15"/>
                  <w:color w:val="0000EE"/>
                </w:rPr>
                <w:t>Company’s Current Report on Form 8-K, filed on May 14, 2021.</w:t>
              </w:r>
            </w:hyperlink>
          </w:p>
        </w:tc>
      </w:tr>
      <w:tr>
        <w:trPr>
          <w:trHeight w:val="20"/>
        </w:trPr>
        <w:tc>
          <w:tcPr>
            <w:tcW w:w="10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3.1</w:t>
            </w:r>
          </w:p>
        </w:tc>
        <w:tc>
          <w:tcPr>
            <w:tcW w:w="10260" w:type="dxa"/>
            <w:vAlign w:val="bottom"/>
            <w:tcBorders>
              <w:bottom w:val="single" w:sz="8" w:color="0000EE"/>
            </w:tcBorders>
            <w:gridSpan w:val="12"/>
          </w:tcPr>
          <w:p>
            <w:pPr>
              <w:spacing w:after="0" w:line="161" w:lineRule="exact"/>
              <w:rPr>
                <w:rFonts w:ascii="Times New Roman" w:cs="Times New Roman" w:eastAsia="Times New Roman" w:hAnsi="Times New Roman"/>
                <w:sz w:val="15"/>
                <w:szCs w:val="15"/>
                <w:color w:val="0000EE"/>
              </w:rPr>
            </w:pPr>
            <w:hyperlink r:id="rId104">
              <w:r>
                <w:rPr>
                  <w:rFonts w:ascii="Times New Roman" w:cs="Times New Roman" w:eastAsia="Times New Roman" w:hAnsi="Times New Roman"/>
                  <w:sz w:val="15"/>
                  <w:szCs w:val="15"/>
                  <w:color w:val="0000EE"/>
                </w:rPr>
                <w:t>Restated Articles of Incorporation of Vistagen Therapeutics, Inc., dated August 16, 2016, incorporated by reference from Exhibit 3.1 to the Company’s Current Report on</w:t>
              </w:r>
            </w:hyperlink>
          </w:p>
        </w:tc>
      </w:tr>
      <w:tr>
        <w:trPr>
          <w:trHeight w:val="160"/>
        </w:trPr>
        <w:tc>
          <w:tcPr>
            <w:tcW w:w="1000" w:type="dxa"/>
            <w:vAlign w:val="bottom"/>
          </w:tcPr>
          <w:p>
            <w:pPr>
              <w:spacing w:after="0"/>
              <w:rPr>
                <w:sz w:val="13"/>
                <w:szCs w:val="13"/>
                <w:color w:val="auto"/>
              </w:rPr>
            </w:pPr>
          </w:p>
        </w:tc>
        <w:tc>
          <w:tcPr>
            <w:tcW w:w="2180" w:type="dxa"/>
            <w:vAlign w:val="bottom"/>
            <w:tcBorders>
              <w:bottom w:val="single" w:sz="8" w:color="0000EE"/>
            </w:tcBorders>
            <w:gridSpan w:val="6"/>
          </w:tcPr>
          <w:p>
            <w:pPr>
              <w:spacing w:after="0" w:line="161" w:lineRule="exact"/>
              <w:rPr>
                <w:rFonts w:ascii="Times New Roman" w:cs="Times New Roman" w:eastAsia="Times New Roman" w:hAnsi="Times New Roman"/>
                <w:sz w:val="15"/>
                <w:szCs w:val="15"/>
                <w:color w:val="0000EE"/>
                <w:w w:val="99"/>
              </w:rPr>
            </w:pPr>
            <w:hyperlink r:id="rId104">
              <w:r>
                <w:rPr>
                  <w:rFonts w:ascii="Times New Roman" w:cs="Times New Roman" w:eastAsia="Times New Roman" w:hAnsi="Times New Roman"/>
                  <w:sz w:val="15"/>
                  <w:szCs w:val="15"/>
                  <w:color w:val="0000EE"/>
                  <w:w w:val="99"/>
                </w:rPr>
                <w:t>Form 8-K, filed on August 17, 2016</w:t>
              </w:r>
            </w:hyperlink>
          </w:p>
        </w:tc>
        <w:tc>
          <w:tcPr>
            <w:tcW w:w="8080" w:type="dxa"/>
            <w:vAlign w:val="bottom"/>
            <w:gridSpan w:val="6"/>
          </w:tcPr>
          <w:p>
            <w:pPr>
              <w:spacing w:after="0"/>
              <w:rPr>
                <w:sz w:val="13"/>
                <w:szCs w:val="13"/>
                <w:color w:val="auto"/>
              </w:rPr>
            </w:pPr>
          </w:p>
        </w:tc>
      </w:tr>
      <w:tr>
        <w:trPr>
          <w:trHeight w:val="160"/>
        </w:trPr>
        <w:tc>
          <w:tcPr>
            <w:tcW w:w="10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3.2</w:t>
            </w:r>
          </w:p>
        </w:tc>
        <w:tc>
          <w:tcPr>
            <w:tcW w:w="10260" w:type="dxa"/>
            <w:vAlign w:val="bottom"/>
            <w:gridSpan w:val="12"/>
          </w:tcPr>
          <w:p>
            <w:pPr>
              <w:spacing w:after="0" w:line="161" w:lineRule="exact"/>
              <w:rPr>
                <w:rFonts w:ascii="Times New Roman" w:cs="Times New Roman" w:eastAsia="Times New Roman" w:hAnsi="Times New Roman"/>
                <w:sz w:val="15"/>
                <w:szCs w:val="15"/>
                <w:color w:val="0000EE"/>
              </w:rPr>
            </w:pPr>
            <w:hyperlink r:id="rId105">
              <w:r>
                <w:rPr>
                  <w:rFonts w:ascii="Times New Roman" w:cs="Times New Roman" w:eastAsia="Times New Roman" w:hAnsi="Times New Roman"/>
                  <w:sz w:val="15"/>
                  <w:szCs w:val="15"/>
                  <w:color w:val="0000EE"/>
                </w:rPr>
                <w:t>Second Amended and Restated Bylaws of Vistagen Therapeutics, Inc., dated August 16, 2016, incorporated by reference from Exhibit 3.2 to the Company’s Current</w:t>
              </w:r>
            </w:hyperlink>
          </w:p>
        </w:tc>
      </w:tr>
      <w:tr>
        <w:trPr>
          <w:trHeight w:val="160"/>
        </w:trPr>
        <w:tc>
          <w:tcPr>
            <w:tcW w:w="1000" w:type="dxa"/>
            <w:vAlign w:val="bottom"/>
          </w:tcPr>
          <w:p>
            <w:pPr>
              <w:spacing w:after="0"/>
              <w:rPr>
                <w:sz w:val="13"/>
                <w:szCs w:val="13"/>
                <w:color w:val="auto"/>
              </w:rPr>
            </w:pPr>
          </w:p>
        </w:tc>
        <w:tc>
          <w:tcPr>
            <w:tcW w:w="2820" w:type="dxa"/>
            <w:vAlign w:val="bottom"/>
            <w:tcBorders>
              <w:top w:val="single" w:sz="8" w:color="0000EE"/>
              <w:bottom w:val="single" w:sz="8" w:color="0000EE"/>
            </w:tcBorders>
            <w:gridSpan w:val="7"/>
          </w:tcPr>
          <w:p>
            <w:pPr>
              <w:spacing w:after="0" w:line="161" w:lineRule="exact"/>
              <w:rPr>
                <w:rFonts w:ascii="Times New Roman" w:cs="Times New Roman" w:eastAsia="Times New Roman" w:hAnsi="Times New Roman"/>
                <w:sz w:val="15"/>
                <w:szCs w:val="15"/>
                <w:color w:val="0000EE"/>
                <w:w w:val="99"/>
              </w:rPr>
            </w:pPr>
            <w:hyperlink r:id="rId105">
              <w:r>
                <w:rPr>
                  <w:rFonts w:ascii="Times New Roman" w:cs="Times New Roman" w:eastAsia="Times New Roman" w:hAnsi="Times New Roman"/>
                  <w:sz w:val="15"/>
                  <w:szCs w:val="15"/>
                  <w:color w:val="0000EE"/>
                  <w:w w:val="99"/>
                </w:rPr>
                <w:t>Report on Form 8-K, filed on August 17, 2016</w:t>
              </w:r>
            </w:hyperlink>
          </w:p>
        </w:tc>
        <w:tc>
          <w:tcPr>
            <w:tcW w:w="7420" w:type="dxa"/>
            <w:vAlign w:val="bottom"/>
            <w:tcBorders>
              <w:top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1026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Form of specimen certificate representing preferred stock</w:t>
            </w:r>
          </w:p>
        </w:tc>
      </w:tr>
      <w:tr>
        <w:trPr>
          <w:trHeight w:val="161"/>
        </w:trPr>
        <w:tc>
          <w:tcPr>
            <w:tcW w:w="10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4.2</w:t>
            </w:r>
          </w:p>
        </w:tc>
        <w:tc>
          <w:tcPr>
            <w:tcW w:w="1100" w:type="dxa"/>
            <w:vAlign w:val="bottom"/>
            <w:tcBorders>
              <w:bottom w:val="single" w:sz="8" w:color="0000EE"/>
            </w:tcBorders>
          </w:tcPr>
          <w:p>
            <w:pPr>
              <w:spacing w:after="0" w:line="161" w:lineRule="exact"/>
              <w:rPr>
                <w:sz w:val="20"/>
                <w:szCs w:val="20"/>
                <w:color w:val="auto"/>
              </w:rPr>
            </w:pPr>
            <w:r>
              <w:rPr>
                <w:rFonts w:ascii="Times New Roman" w:cs="Times New Roman" w:eastAsia="Times New Roman" w:hAnsi="Times New Roman"/>
                <w:sz w:val="15"/>
                <w:szCs w:val="15"/>
                <w:color w:val="0000EE"/>
                <w:w w:val="98"/>
              </w:rPr>
              <w:t>Form of indenture</w:t>
            </w:r>
          </w:p>
        </w:tc>
        <w:tc>
          <w:tcPr>
            <w:tcW w:w="9160" w:type="dxa"/>
            <w:vAlign w:val="bottom"/>
            <w:gridSpan w:val="11"/>
          </w:tcPr>
          <w:p>
            <w:pPr>
              <w:spacing w:after="0"/>
              <w:rPr>
                <w:sz w:val="14"/>
                <w:szCs w:val="14"/>
                <w:color w:val="auto"/>
              </w:rPr>
            </w:pPr>
          </w:p>
        </w:tc>
      </w:tr>
      <w:tr>
        <w:trPr>
          <w:trHeight w:val="18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4.3*</w:t>
            </w:r>
          </w:p>
        </w:tc>
        <w:tc>
          <w:tcPr>
            <w:tcW w:w="1026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Form of debt security</w:t>
            </w:r>
          </w:p>
        </w:tc>
      </w:tr>
      <w:tr>
        <w:trPr>
          <w:trHeight w:val="18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4.4*</w:t>
            </w:r>
          </w:p>
        </w:tc>
        <w:tc>
          <w:tcPr>
            <w:tcW w:w="1026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Form of warrant</w:t>
            </w:r>
          </w:p>
        </w:tc>
      </w:tr>
      <w:tr>
        <w:trPr>
          <w:trHeight w:val="18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4.5*</w:t>
            </w:r>
          </w:p>
        </w:tc>
        <w:tc>
          <w:tcPr>
            <w:tcW w:w="1026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Form of warrant agreement</w:t>
            </w:r>
          </w:p>
        </w:tc>
      </w:tr>
      <w:tr>
        <w:trPr>
          <w:trHeight w:val="18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4.6*</w:t>
            </w:r>
          </w:p>
        </w:tc>
        <w:tc>
          <w:tcPr>
            <w:tcW w:w="1026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Form of unit agreement</w:t>
            </w:r>
          </w:p>
        </w:tc>
      </w:tr>
      <w:tr>
        <w:trPr>
          <w:trHeight w:val="161"/>
        </w:trPr>
        <w:tc>
          <w:tcPr>
            <w:tcW w:w="10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5.1</w:t>
            </w:r>
          </w:p>
        </w:tc>
        <w:tc>
          <w:tcPr>
            <w:tcW w:w="2040" w:type="dxa"/>
            <w:vAlign w:val="bottom"/>
            <w:tcBorders>
              <w:bottom w:val="single" w:sz="8" w:color="0000EE"/>
            </w:tcBorders>
            <w:gridSpan w:val="5"/>
          </w:tcPr>
          <w:p>
            <w:pPr>
              <w:spacing w:after="0" w:line="161" w:lineRule="exact"/>
              <w:rPr>
                <w:sz w:val="20"/>
                <w:szCs w:val="20"/>
                <w:color w:val="auto"/>
              </w:rPr>
            </w:pPr>
            <w:r>
              <w:rPr>
                <w:rFonts w:ascii="Times New Roman" w:cs="Times New Roman" w:eastAsia="Times New Roman" w:hAnsi="Times New Roman"/>
                <w:sz w:val="15"/>
                <w:szCs w:val="15"/>
                <w:color w:val="0000EE"/>
                <w:w w:val="98"/>
              </w:rPr>
              <w:t>Opinion of Woodburn and Wedge</w:t>
            </w:r>
          </w:p>
        </w:tc>
        <w:tc>
          <w:tcPr>
            <w:tcW w:w="8220" w:type="dxa"/>
            <w:vAlign w:val="bottom"/>
            <w:gridSpan w:val="7"/>
          </w:tcPr>
          <w:p>
            <w:pPr>
              <w:spacing w:after="0"/>
              <w:rPr>
                <w:sz w:val="14"/>
                <w:szCs w:val="14"/>
                <w:color w:val="auto"/>
              </w:rPr>
            </w:pPr>
          </w:p>
        </w:tc>
      </w:tr>
      <w:tr>
        <w:trPr>
          <w:trHeight w:val="160"/>
        </w:trPr>
        <w:tc>
          <w:tcPr>
            <w:tcW w:w="10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23.1</w:t>
            </w:r>
          </w:p>
        </w:tc>
        <w:tc>
          <w:tcPr>
            <w:tcW w:w="3560" w:type="dxa"/>
            <w:vAlign w:val="bottom"/>
            <w:tcBorders>
              <w:bottom w:val="single" w:sz="8" w:color="0000EE"/>
            </w:tcBorders>
            <w:gridSpan w:val="8"/>
          </w:tcPr>
          <w:p>
            <w:pPr>
              <w:spacing w:after="0" w:line="161" w:lineRule="exact"/>
              <w:rPr>
                <w:sz w:val="20"/>
                <w:szCs w:val="20"/>
                <w:color w:val="auto"/>
              </w:rPr>
            </w:pPr>
            <w:r>
              <w:rPr>
                <w:rFonts w:ascii="Times New Roman" w:cs="Times New Roman" w:eastAsia="Times New Roman" w:hAnsi="Times New Roman"/>
                <w:sz w:val="15"/>
                <w:szCs w:val="15"/>
                <w:color w:val="0000EE"/>
                <w:w w:val="99"/>
              </w:rPr>
              <w:t>Consent of Woodburn and Wedge (included in Exhibit 5.1)</w:t>
            </w:r>
          </w:p>
        </w:tc>
        <w:tc>
          <w:tcPr>
            <w:tcW w:w="6700" w:type="dxa"/>
            <w:vAlign w:val="bottom"/>
            <w:gridSpan w:val="4"/>
          </w:tcPr>
          <w:p>
            <w:pPr>
              <w:spacing w:after="0"/>
              <w:rPr>
                <w:sz w:val="13"/>
                <w:szCs w:val="13"/>
                <w:color w:val="auto"/>
              </w:rPr>
            </w:pPr>
          </w:p>
        </w:tc>
      </w:tr>
      <w:tr>
        <w:trPr>
          <w:trHeight w:val="160"/>
        </w:trPr>
        <w:tc>
          <w:tcPr>
            <w:tcW w:w="10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23.2</w:t>
            </w:r>
          </w:p>
        </w:tc>
        <w:tc>
          <w:tcPr>
            <w:tcW w:w="5360" w:type="dxa"/>
            <w:vAlign w:val="bottom"/>
            <w:tcBorders>
              <w:bottom w:val="single" w:sz="8" w:color="0000EE"/>
            </w:tcBorders>
            <w:gridSpan w:val="10"/>
          </w:tcPr>
          <w:p>
            <w:pPr>
              <w:spacing w:after="0" w:line="161" w:lineRule="exact"/>
              <w:rPr>
                <w:sz w:val="20"/>
                <w:szCs w:val="20"/>
                <w:color w:val="auto"/>
              </w:rPr>
            </w:pPr>
            <w:r>
              <w:rPr>
                <w:rFonts w:ascii="Times New Roman" w:cs="Times New Roman" w:eastAsia="Times New Roman" w:hAnsi="Times New Roman"/>
                <w:sz w:val="15"/>
                <w:szCs w:val="15"/>
                <w:color w:val="0000EE"/>
                <w:w w:val="99"/>
              </w:rPr>
              <w:t>Consent of Independent Registered Public Accounting Firm – WithumSmith+Brown, PC</w:t>
            </w:r>
          </w:p>
        </w:tc>
        <w:tc>
          <w:tcPr>
            <w:tcW w:w="4900" w:type="dxa"/>
            <w:vAlign w:val="bottom"/>
            <w:gridSpan w:val="2"/>
          </w:tcPr>
          <w:p>
            <w:pPr>
              <w:spacing w:after="0"/>
              <w:rPr>
                <w:sz w:val="13"/>
                <w:szCs w:val="13"/>
                <w:color w:val="auto"/>
              </w:rPr>
            </w:pPr>
          </w:p>
        </w:tc>
      </w:tr>
    </w:tbl>
    <w:p>
      <w:pPr>
        <w:spacing w:after="0" w:line="8" w:lineRule="exact"/>
        <w:rPr>
          <w:sz w:val="20"/>
          <w:szCs w:val="20"/>
          <w:color w:val="auto"/>
        </w:rPr>
      </w:pPr>
    </w:p>
    <w:p>
      <w:pPr>
        <w:ind w:left="1010" w:hanging="1010"/>
        <w:spacing w:after="0"/>
        <w:tabs>
          <w:tab w:leader="none" w:pos="101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Power of Attorney (located on signature page)</w:t>
      </w:r>
    </w:p>
    <w:p>
      <w:pPr>
        <w:spacing w:after="0" w:line="23" w:lineRule="exact"/>
        <w:rPr>
          <w:sz w:val="20"/>
          <w:szCs w:val="20"/>
          <w:color w:val="auto"/>
        </w:rPr>
      </w:pPr>
    </w:p>
    <w:p>
      <w:pPr>
        <w:ind w:left="10"/>
        <w:spacing w:after="0"/>
        <w:tabs>
          <w:tab w:leader="none" w:pos="989" w:val="left"/>
        </w:tabs>
        <w:rPr>
          <w:sz w:val="20"/>
          <w:szCs w:val="20"/>
          <w:color w:val="auto"/>
        </w:rPr>
      </w:pPr>
      <w:r>
        <w:rPr>
          <w:rFonts w:ascii="Times New Roman" w:cs="Times New Roman" w:eastAsia="Times New Roman" w:hAnsi="Times New Roman"/>
          <w:sz w:val="15"/>
          <w:szCs w:val="15"/>
          <w:color w:val="auto"/>
        </w:rPr>
        <w:t>25.1**</w:t>
      </w:r>
      <w:r>
        <w:rPr>
          <w:sz w:val="20"/>
          <w:szCs w:val="20"/>
          <w:color w:val="auto"/>
        </w:rPr>
        <w:tab/>
      </w:r>
      <w:r>
        <w:rPr>
          <w:rFonts w:ascii="Times New Roman" w:cs="Times New Roman" w:eastAsia="Times New Roman" w:hAnsi="Times New Roman"/>
          <w:sz w:val="15"/>
          <w:szCs w:val="15"/>
          <w:color w:val="auto"/>
        </w:rPr>
        <w:t>Statement of Eligibility on Form T-1 under the Trust Indenture Act of 1939, as amended, of Debt Trustee (to be filed prior to any issuance of debt securities)</w:t>
      </w:r>
    </w:p>
    <w:p>
      <w:pPr>
        <w:spacing w:after="0" w:line="8" w:lineRule="exact"/>
        <w:rPr>
          <w:sz w:val="20"/>
          <w:szCs w:val="20"/>
          <w:color w:val="auto"/>
        </w:rPr>
      </w:pPr>
    </w:p>
    <w:p>
      <w:pPr>
        <w:ind w:left="1010" w:hanging="1010"/>
        <w:spacing w:after="0"/>
        <w:tabs>
          <w:tab w:leader="none" w:pos="101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Filing Fees Exhibit</w:t>
      </w:r>
    </w:p>
    <w:p>
      <w:pPr>
        <w:spacing w:after="0" w:line="173" w:lineRule="exact"/>
        <w:rPr>
          <w:sz w:val="20"/>
          <w:szCs w:val="20"/>
          <w:color w:val="auto"/>
        </w:rPr>
      </w:pPr>
    </w:p>
    <w:p>
      <w:pPr>
        <w:ind w:left="430" w:hanging="430"/>
        <w:spacing w:after="0" w:line="261" w:lineRule="auto"/>
        <w:tabs>
          <w:tab w:leader="none" w:pos="43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if necessary, by an amendment to this registration statement or incorporation by reference pursuant to a Current Report on Form 8-K in connection with an offering of securities.</w:t>
      </w:r>
    </w:p>
    <w:p>
      <w:pPr>
        <w:spacing w:after="0" w:line="1" w:lineRule="exact"/>
        <w:rPr>
          <w:sz w:val="20"/>
          <w:szCs w:val="20"/>
          <w:color w:val="auto"/>
        </w:rPr>
      </w:pPr>
    </w:p>
    <w:p>
      <w:pPr>
        <w:ind w:left="430" w:hanging="430"/>
        <w:spacing w:after="0"/>
        <w:tabs>
          <w:tab w:leader="none" w:pos="43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in accordance with the requirements of Section 305(b)(2) of the Trust Indenture Act of 1939.</w:t>
      </w:r>
    </w:p>
    <w:p>
      <w:pPr>
        <w:spacing w:after="0" w:line="1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92" w:lineRule="exact"/>
        <w:rPr>
          <w:sz w:val="20"/>
          <w:szCs w:val="20"/>
          <w:color w:val="auto"/>
        </w:rPr>
      </w:pPr>
    </w:p>
    <w:p>
      <w:pPr>
        <w:ind w:left="210" w:hanging="210"/>
        <w:spacing w:after="0"/>
        <w:tabs>
          <w:tab w:leader="none" w:pos="21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w:t>
      </w:r>
    </w:p>
    <w:p>
      <w:pPr>
        <w:spacing w:after="0" w:line="188" w:lineRule="exact"/>
        <w:rPr>
          <w:rFonts w:ascii="Times New Roman" w:cs="Times New Roman" w:eastAsia="Times New Roman" w:hAnsi="Times New Roman"/>
          <w:sz w:val="15"/>
          <w:szCs w:val="15"/>
          <w:color w:val="auto"/>
        </w:rPr>
      </w:pPr>
    </w:p>
    <w:p>
      <w:pPr>
        <w:ind w:left="790" w:hanging="248"/>
        <w:spacing w:after="0"/>
        <w:tabs>
          <w:tab w:leader="none" w:pos="790"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88" w:lineRule="exact"/>
        <w:rPr>
          <w:rFonts w:ascii="Times New Roman" w:cs="Times New Roman" w:eastAsia="Times New Roman" w:hAnsi="Times New Roman"/>
          <w:sz w:val="15"/>
          <w:szCs w:val="15"/>
          <w:color w:val="auto"/>
        </w:rPr>
      </w:pPr>
    </w:p>
    <w:p>
      <w:pPr>
        <w:ind w:left="1290" w:hanging="207"/>
        <w:spacing w:after="0"/>
        <w:tabs>
          <w:tab w:leader="none" w:pos="1290" w:val="left"/>
        </w:tabs>
        <w:numPr>
          <w:ilvl w:val="2"/>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 of 1933;</w:t>
      </w:r>
    </w:p>
    <w:p>
      <w:pPr>
        <w:spacing w:after="0" w:line="188" w:lineRule="exact"/>
        <w:rPr>
          <w:rFonts w:ascii="Times New Roman" w:cs="Times New Roman" w:eastAsia="Times New Roman" w:hAnsi="Times New Roman"/>
          <w:sz w:val="15"/>
          <w:szCs w:val="15"/>
          <w:color w:val="auto"/>
        </w:rPr>
      </w:pPr>
    </w:p>
    <w:p>
      <w:pPr>
        <w:jc w:val="both"/>
        <w:ind w:left="550" w:firstLine="533"/>
        <w:spacing w:after="0" w:line="257" w:lineRule="auto"/>
        <w:tabs>
          <w:tab w:leader="none" w:pos="1370" w:val="left"/>
        </w:tabs>
        <w:numPr>
          <w:ilvl w:val="2"/>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54" w:lineRule="exact"/>
        <w:rPr>
          <w:rFonts w:ascii="Times New Roman" w:cs="Times New Roman" w:eastAsia="Times New Roman" w:hAnsi="Times New Roman"/>
          <w:sz w:val="15"/>
          <w:szCs w:val="15"/>
          <w:color w:val="auto"/>
        </w:rPr>
      </w:pPr>
    </w:p>
    <w:p>
      <w:pPr>
        <w:ind w:left="550" w:firstLine="533"/>
        <w:spacing w:after="0" w:line="283" w:lineRule="auto"/>
        <w:tabs>
          <w:tab w:leader="none" w:pos="1412" w:val="left"/>
        </w:tabs>
        <w:numPr>
          <w:ilvl w:val="2"/>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5518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504" w:right="319" w:bottom="1440" w:gutter="0" w:footer="0" w:header="0"/>
        </w:sectPr>
      </w:pPr>
    </w:p>
    <w:bookmarkStart w:id="56" w:name="page57"/>
    <w:bookmarkEnd w:id="56"/>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paragraphs (i), (ii) and (iii) do not apply if the information required to be included in a post-effective amendment by those paragraphs is contained in reports filed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or furnished to the Commission by the Registrant pursuant to Section 13 or Section 15(d) of the Exchange Act of 1934 that are incorporated by reference in the registration statement, or is contained in a form of prospectus filed pursuant to Rule 424(b) that is part of the registration statement.</w:t>
      </w:r>
    </w:p>
    <w:p>
      <w:pPr>
        <w:spacing w:after="0" w:line="146" w:lineRule="exact"/>
        <w:rPr>
          <w:sz w:val="20"/>
          <w:szCs w:val="20"/>
          <w:color w:val="auto"/>
        </w:rPr>
      </w:pPr>
    </w:p>
    <w:p>
      <w:pPr>
        <w:ind w:right="20" w:firstLine="532"/>
        <w:spacing w:after="0" w:line="283" w:lineRule="auto"/>
        <w:tabs>
          <w:tab w:leader="none" w:pos="804"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4" w:lineRule="exact"/>
        <w:rPr>
          <w:rFonts w:ascii="Times New Roman" w:cs="Times New Roman" w:eastAsia="Times New Roman" w:hAnsi="Times New Roman"/>
          <w:sz w:val="15"/>
          <w:szCs w:val="15"/>
          <w:color w:val="auto"/>
        </w:rPr>
      </w:pPr>
    </w:p>
    <w:p>
      <w:pPr>
        <w:ind w:left="780" w:hanging="248"/>
        <w:spacing w:after="0"/>
        <w:tabs>
          <w:tab w:leader="none" w:pos="7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88" w:lineRule="exact"/>
        <w:rPr>
          <w:sz w:val="20"/>
          <w:szCs w:val="20"/>
          <w:color w:val="auto"/>
        </w:rPr>
      </w:pPr>
    </w:p>
    <w:p>
      <w:pPr>
        <w:ind w:left="780" w:hanging="248"/>
        <w:spacing w:after="0"/>
        <w:tabs>
          <w:tab w:leader="none" w:pos="78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of 1933 to any purchaser:</w:t>
      </w:r>
    </w:p>
    <w:p>
      <w:pPr>
        <w:spacing w:after="0" w:line="188" w:lineRule="exact"/>
        <w:rPr>
          <w:rFonts w:ascii="Times New Roman" w:cs="Times New Roman" w:eastAsia="Times New Roman" w:hAnsi="Times New Roman"/>
          <w:sz w:val="15"/>
          <w:szCs w:val="15"/>
          <w:color w:val="auto"/>
        </w:rPr>
      </w:pPr>
    </w:p>
    <w:p>
      <w:pPr>
        <w:ind w:firstLine="1073"/>
        <w:spacing w:after="0" w:line="283" w:lineRule="auto"/>
        <w:tabs>
          <w:tab w:leader="none" w:pos="1276"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4" w:lineRule="exact"/>
        <w:rPr>
          <w:rFonts w:ascii="Times New Roman" w:cs="Times New Roman" w:eastAsia="Times New Roman" w:hAnsi="Times New Roman"/>
          <w:sz w:val="15"/>
          <w:szCs w:val="15"/>
          <w:color w:val="auto"/>
        </w:rPr>
      </w:pPr>
    </w:p>
    <w:p>
      <w:pPr>
        <w:jc w:val="both"/>
        <w:ind w:firstLine="1073"/>
        <w:spacing w:after="0" w:line="255" w:lineRule="auto"/>
        <w:tabs>
          <w:tab w:leader="none" w:pos="1311"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5" w:lineRule="exact"/>
        <w:rPr>
          <w:rFonts w:ascii="Times New Roman" w:cs="Times New Roman" w:eastAsia="Times New Roman" w:hAnsi="Times New Roman"/>
          <w:sz w:val="15"/>
          <w:szCs w:val="15"/>
          <w:color w:val="auto"/>
        </w:rPr>
      </w:pPr>
    </w:p>
    <w:p>
      <w:pPr>
        <w:jc w:val="both"/>
        <w:ind w:firstLine="532"/>
        <w:spacing w:after="0" w:line="261" w:lineRule="auto"/>
        <w:tabs>
          <w:tab w:leader="none" w:pos="803"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1" w:lineRule="exact"/>
        <w:rPr>
          <w:rFonts w:ascii="Times New Roman" w:cs="Times New Roman" w:eastAsia="Times New Roman" w:hAnsi="Times New Roman"/>
          <w:sz w:val="15"/>
          <w:szCs w:val="15"/>
          <w:color w:val="auto"/>
        </w:rPr>
      </w:pPr>
    </w:p>
    <w:p>
      <w:pPr>
        <w:ind w:left="1280" w:hanging="207"/>
        <w:spacing w:after="0"/>
        <w:tabs>
          <w:tab w:leader="none" w:pos="1280"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w:t>
      </w:r>
    </w:p>
    <w:p>
      <w:pPr>
        <w:spacing w:after="0" w:line="188" w:lineRule="exact"/>
        <w:rPr>
          <w:rFonts w:ascii="Times New Roman" w:cs="Times New Roman" w:eastAsia="Times New Roman" w:hAnsi="Times New Roman"/>
          <w:sz w:val="15"/>
          <w:szCs w:val="15"/>
          <w:color w:val="auto"/>
        </w:rPr>
      </w:pPr>
    </w:p>
    <w:p>
      <w:pPr>
        <w:ind w:left="1320" w:hanging="247"/>
        <w:spacing w:after="0"/>
        <w:tabs>
          <w:tab w:leader="none" w:pos="1320"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the undersigned registrant;</w:t>
      </w:r>
    </w:p>
    <w:p>
      <w:pPr>
        <w:spacing w:after="0" w:line="188" w:lineRule="exact"/>
        <w:rPr>
          <w:rFonts w:ascii="Times New Roman" w:cs="Times New Roman" w:eastAsia="Times New Roman" w:hAnsi="Times New Roman"/>
          <w:sz w:val="15"/>
          <w:szCs w:val="15"/>
          <w:color w:val="auto"/>
        </w:rPr>
      </w:pPr>
    </w:p>
    <w:p>
      <w:pPr>
        <w:ind w:firstLine="1073"/>
        <w:spacing w:after="0" w:line="283" w:lineRule="auto"/>
        <w:tabs>
          <w:tab w:leader="none" w:pos="1394"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4" w:lineRule="exact"/>
        <w:rPr>
          <w:rFonts w:ascii="Times New Roman" w:cs="Times New Roman" w:eastAsia="Times New Roman" w:hAnsi="Times New Roman"/>
          <w:sz w:val="15"/>
          <w:szCs w:val="15"/>
          <w:color w:val="auto"/>
        </w:rPr>
      </w:pPr>
    </w:p>
    <w:p>
      <w:pPr>
        <w:ind w:left="1360" w:hanging="287"/>
        <w:spacing w:after="0"/>
        <w:tabs>
          <w:tab w:leader="none" w:pos="1360"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88" w:lineRule="exact"/>
        <w:rPr>
          <w:sz w:val="20"/>
          <w:szCs w:val="20"/>
          <w:color w:val="auto"/>
        </w:rPr>
      </w:pPr>
    </w:p>
    <w:p>
      <w:pPr>
        <w:jc w:val="both"/>
        <w:ind w:firstLine="532"/>
        <w:spacing w:after="0" w:line="261" w:lineRule="auto"/>
        <w:tabs>
          <w:tab w:leader="none" w:pos="869"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2" w:lineRule="exact"/>
        <w:rPr>
          <w:sz w:val="20"/>
          <w:szCs w:val="20"/>
          <w:color w:val="auto"/>
        </w:rPr>
      </w:pPr>
    </w:p>
    <w:p>
      <w:pPr>
        <w:jc w:val="both"/>
        <w:ind w:firstLine="532"/>
        <w:spacing w:after="0" w:line="256" w:lineRule="auto"/>
        <w:tabs>
          <w:tab w:leader="none" w:pos="858"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each Registrant pursuant to the foregoing provisions, or otherwise, each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6" w:lineRule="exact"/>
        <w:rPr>
          <w:sz w:val="20"/>
          <w:szCs w:val="20"/>
          <w:color w:val="auto"/>
        </w:rPr>
      </w:pPr>
    </w:p>
    <w:p>
      <w:pPr>
        <w:ind w:firstLine="532"/>
        <w:spacing w:after="0" w:line="283" w:lineRule="auto"/>
        <w:tabs>
          <w:tab w:leader="none" w:pos="814"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February 13, 2024.</w:t>
      </w:r>
    </w:p>
    <w:p>
      <w:pPr>
        <w:spacing w:after="0" w:line="1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b w:val="1"/>
          <w:bCs w:val="1"/>
          <w:color w:val="auto"/>
        </w:rPr>
        <w:t>Vistagen Therapeutics, Inc.</w:t>
      </w:r>
    </w:p>
    <w:p>
      <w:pPr>
        <w:spacing w:after="0" w:line="181" w:lineRule="exact"/>
        <w:rPr>
          <w:sz w:val="20"/>
          <w:szCs w:val="20"/>
          <w:color w:val="auto"/>
        </w:rPr>
      </w:pPr>
    </w:p>
    <w:tbl>
      <w:tblPr>
        <w:tblLayout w:type="fixed"/>
        <w:tblInd w:w="5000" w:type="dxa"/>
        <w:tblCellMar>
          <w:top w:w="0" w:type="dxa"/>
          <w:left w:w="0" w:type="dxa"/>
          <w:bottom w:w="0" w:type="dxa"/>
          <w:right w:w="0" w:type="dxa"/>
        </w:tblCellMar>
      </w:tblPr>
      <w:tr>
        <w:trPr>
          <w:trHeight w:val="172"/>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Shawn K. Singh</w:t>
            </w:r>
          </w:p>
        </w:tc>
      </w:tr>
      <w:tr>
        <w:trPr>
          <w:trHeight w:val="20"/>
        </w:trPr>
        <w:tc>
          <w:tcPr>
            <w:tcW w:w="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0"/>
        </w:trPr>
        <w:tc>
          <w:tcPr>
            <w:tcW w:w="56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Shawn K. Singh, J.D.</w:t>
            </w:r>
          </w:p>
        </w:tc>
      </w:tr>
      <w:tr>
        <w:trPr>
          <w:trHeight w:val="196"/>
        </w:trPr>
        <w:tc>
          <w:tcPr>
            <w:tcW w:w="56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8"/>
              </w:rPr>
              <w:t>Chief Executive Officer</w:t>
            </w: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KNOW ALL PERSONS BY THESE PRESENTS, that each person whose signature below constitutes and appoints Shawn K. Singh as attorney-in-fact, with power of substitution, for him or her in any and all capacities, to sign any amendments, including post-effective amendments, to this Registration Statement on Form S-3 and any other registration statement for the same offering that is to be effective under Rule 462(b) of the Securities Act of 1933, and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Act of 1933, this registration statement has been signed by the following persons in the capacities and on the dates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4980" w:type="dxa"/>
            <w:vAlign w:val="bottom"/>
          </w:tcPr>
          <w:p>
            <w:pPr>
              <w:ind w:left="308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2400" w:type="dxa"/>
            <w:vAlign w:val="bottom"/>
          </w:tcPr>
          <w:p>
            <w:pPr>
              <w:jc w:val="center"/>
              <w:ind w:left="1225"/>
              <w:spacing w:after="0"/>
              <w:rPr>
                <w:sz w:val="20"/>
                <w:szCs w:val="20"/>
                <w:color w:val="auto"/>
              </w:rPr>
            </w:pPr>
            <w:r>
              <w:rPr>
                <w:rFonts w:ascii="Times New Roman" w:cs="Times New Roman" w:eastAsia="Times New Roman" w:hAnsi="Times New Roman"/>
                <w:sz w:val="15"/>
                <w:szCs w:val="15"/>
                <w:b w:val="1"/>
                <w:bCs w:val="1"/>
                <w:color w:val="auto"/>
                <w:w w:val="99"/>
              </w:rPr>
              <w:t>Date</w:t>
            </w:r>
          </w:p>
        </w:tc>
      </w:tr>
      <w:tr>
        <w:trPr>
          <w:trHeight w:val="326"/>
        </w:trPr>
        <w:tc>
          <w:tcPr>
            <w:tcW w:w="11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5"/>
                <w:szCs w:val="15"/>
                <w:color w:val="auto"/>
                <w:w w:val="98"/>
              </w:rPr>
              <w:t>/s/ Shawn K. Singh</w:t>
            </w:r>
          </w:p>
        </w:tc>
        <w:tc>
          <w:tcPr>
            <w:tcW w:w="2140" w:type="dxa"/>
            <w:vAlign w:val="bottom"/>
            <w:gridSpan w:val="5"/>
          </w:tcPr>
          <w:p>
            <w:pPr>
              <w:spacing w:after="0"/>
              <w:rPr>
                <w:sz w:val="24"/>
                <w:szCs w:val="24"/>
                <w:color w:val="auto"/>
              </w:rPr>
            </w:pP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Chief Executive Officer and Director</w:t>
            </w:r>
          </w:p>
        </w:tc>
        <w:tc>
          <w:tcPr>
            <w:tcW w:w="2400" w:type="dxa"/>
            <w:vAlign w:val="bottom"/>
          </w:tcPr>
          <w:p>
            <w:pPr>
              <w:jc w:val="center"/>
              <w:ind w:left="1225"/>
              <w:spacing w:after="0"/>
              <w:rPr>
                <w:sz w:val="20"/>
                <w:szCs w:val="20"/>
                <w:color w:val="auto"/>
              </w:rPr>
            </w:pPr>
            <w:r>
              <w:rPr>
                <w:rFonts w:ascii="Times New Roman" w:cs="Times New Roman" w:eastAsia="Times New Roman" w:hAnsi="Times New Roman"/>
                <w:sz w:val="15"/>
                <w:szCs w:val="15"/>
                <w:color w:val="auto"/>
                <w:w w:val="99"/>
              </w:rPr>
              <w:t>February 13, 2024</w:t>
            </w:r>
          </w:p>
        </w:tc>
      </w:tr>
      <w:tr>
        <w:trPr>
          <w:trHeight w:val="195"/>
        </w:trPr>
        <w:tc>
          <w:tcPr>
            <w:tcW w:w="33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Shawn K. Singh</w:t>
            </w: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2400" w:type="dxa"/>
            <w:vAlign w:val="bottom"/>
          </w:tcPr>
          <w:p>
            <w:pPr>
              <w:spacing w:after="0"/>
              <w:rPr>
                <w:sz w:val="16"/>
                <w:szCs w:val="16"/>
                <w:color w:val="auto"/>
              </w:rPr>
            </w:pPr>
          </w:p>
        </w:tc>
      </w:tr>
      <w:tr>
        <w:trPr>
          <w:trHeight w:val="326"/>
        </w:trPr>
        <w:tc>
          <w:tcPr>
            <w:tcW w:w="14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color w:val="auto"/>
                <w:w w:val="98"/>
              </w:rPr>
              <w:t>/s/ Cynthia L. Anderson</w:t>
            </w:r>
          </w:p>
        </w:tc>
        <w:tc>
          <w:tcPr>
            <w:tcW w:w="1860" w:type="dxa"/>
            <w:vAlign w:val="bottom"/>
            <w:gridSpan w:val="3"/>
          </w:tcPr>
          <w:p>
            <w:pPr>
              <w:spacing w:after="0"/>
              <w:rPr>
                <w:sz w:val="24"/>
                <w:szCs w:val="24"/>
                <w:color w:val="auto"/>
              </w:rPr>
            </w:pP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Chief Financial Officer</w:t>
            </w:r>
          </w:p>
        </w:tc>
        <w:tc>
          <w:tcPr>
            <w:tcW w:w="2400" w:type="dxa"/>
            <w:vAlign w:val="bottom"/>
          </w:tcPr>
          <w:p>
            <w:pPr>
              <w:jc w:val="center"/>
              <w:ind w:left="1225"/>
              <w:spacing w:after="0"/>
              <w:rPr>
                <w:sz w:val="20"/>
                <w:szCs w:val="20"/>
                <w:color w:val="auto"/>
              </w:rPr>
            </w:pPr>
            <w:r>
              <w:rPr>
                <w:rFonts w:ascii="Times New Roman" w:cs="Times New Roman" w:eastAsia="Times New Roman" w:hAnsi="Times New Roman"/>
                <w:sz w:val="15"/>
                <w:szCs w:val="15"/>
                <w:color w:val="auto"/>
                <w:w w:val="99"/>
              </w:rPr>
              <w:t>February 13, 2024</w:t>
            </w:r>
          </w:p>
        </w:tc>
      </w:tr>
      <w:tr>
        <w:trPr>
          <w:trHeight w:val="195"/>
        </w:trPr>
        <w:tc>
          <w:tcPr>
            <w:tcW w:w="33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Cynthia L. Anderson</w:t>
            </w: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i w:val="1"/>
                <w:iCs w:val="1"/>
                <w:color w:val="auto"/>
              </w:rPr>
              <w:t>(Principal Financial and Accounting Officer)</w:t>
            </w:r>
          </w:p>
        </w:tc>
        <w:tc>
          <w:tcPr>
            <w:tcW w:w="2400" w:type="dxa"/>
            <w:vAlign w:val="bottom"/>
          </w:tcPr>
          <w:p>
            <w:pPr>
              <w:spacing w:after="0"/>
              <w:rPr>
                <w:sz w:val="16"/>
                <w:szCs w:val="16"/>
                <w:color w:val="auto"/>
              </w:rPr>
            </w:pPr>
          </w:p>
        </w:tc>
      </w:tr>
      <w:tr>
        <w:trPr>
          <w:trHeight w:val="326"/>
        </w:trPr>
        <w:tc>
          <w:tcPr>
            <w:tcW w:w="33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Margaret M. FitzPatrick</w:t>
            </w: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Chair of the Board of Directors</w:t>
            </w:r>
          </w:p>
        </w:tc>
        <w:tc>
          <w:tcPr>
            <w:tcW w:w="2400" w:type="dxa"/>
            <w:vAlign w:val="bottom"/>
          </w:tcPr>
          <w:p>
            <w:pPr>
              <w:jc w:val="center"/>
              <w:ind w:left="1225"/>
              <w:spacing w:after="0"/>
              <w:rPr>
                <w:sz w:val="20"/>
                <w:szCs w:val="20"/>
                <w:color w:val="auto"/>
              </w:rPr>
            </w:pPr>
            <w:r>
              <w:rPr>
                <w:rFonts w:ascii="Times New Roman" w:cs="Times New Roman" w:eastAsia="Times New Roman" w:hAnsi="Times New Roman"/>
                <w:sz w:val="15"/>
                <w:szCs w:val="15"/>
                <w:color w:val="auto"/>
                <w:w w:val="99"/>
              </w:rPr>
              <w:t>February 13, 2024</w:t>
            </w:r>
          </w:p>
        </w:tc>
      </w:tr>
      <w:tr>
        <w:trPr>
          <w:trHeight w:val="195"/>
        </w:trPr>
        <w:tc>
          <w:tcPr>
            <w:tcW w:w="162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5"/>
                <w:szCs w:val="15"/>
                <w:color w:val="auto"/>
              </w:rPr>
              <w:t>Margaret M. FitzPatrick</w:t>
            </w:r>
          </w:p>
        </w:tc>
        <w:tc>
          <w:tcPr>
            <w:tcW w:w="16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26"/>
        </w:trPr>
        <w:tc>
          <w:tcPr>
            <w:tcW w:w="33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Jerry B. Gin</w:t>
            </w: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Director</w:t>
            </w:r>
          </w:p>
        </w:tc>
        <w:tc>
          <w:tcPr>
            <w:tcW w:w="2400" w:type="dxa"/>
            <w:vAlign w:val="bottom"/>
          </w:tcPr>
          <w:p>
            <w:pPr>
              <w:jc w:val="center"/>
              <w:ind w:left="1225"/>
              <w:spacing w:after="0"/>
              <w:rPr>
                <w:sz w:val="20"/>
                <w:szCs w:val="20"/>
                <w:color w:val="auto"/>
              </w:rPr>
            </w:pPr>
            <w:r>
              <w:rPr>
                <w:rFonts w:ascii="Times New Roman" w:cs="Times New Roman" w:eastAsia="Times New Roman" w:hAnsi="Times New Roman"/>
                <w:sz w:val="15"/>
                <w:szCs w:val="15"/>
                <w:color w:val="auto"/>
                <w:w w:val="99"/>
              </w:rPr>
              <w:t>February 13, 2024</w:t>
            </w:r>
          </w:p>
        </w:tc>
      </w:tr>
      <w:tr>
        <w:trPr>
          <w:trHeight w:val="195"/>
        </w:trPr>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Jerry B. Gin</w:t>
            </w:r>
          </w:p>
        </w:tc>
        <w:tc>
          <w:tcPr>
            <w:tcW w:w="2400" w:type="dxa"/>
            <w:vAlign w:val="bottom"/>
            <w:gridSpan w:val="7"/>
          </w:tcPr>
          <w:p>
            <w:pPr>
              <w:spacing w:after="0"/>
              <w:rPr>
                <w:sz w:val="16"/>
                <w:szCs w:val="16"/>
                <w:color w:val="auto"/>
              </w:rPr>
            </w:pPr>
          </w:p>
        </w:tc>
        <w:tc>
          <w:tcPr>
            <w:tcW w:w="49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26"/>
        </w:trPr>
        <w:tc>
          <w:tcPr>
            <w:tcW w:w="1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5"/>
                <w:szCs w:val="15"/>
                <w:color w:val="auto"/>
                <w:w w:val="98"/>
              </w:rPr>
              <w:t>/s/ Ann M. Cunningham</w:t>
            </w:r>
          </w:p>
        </w:tc>
        <w:tc>
          <w:tcPr>
            <w:tcW w:w="1840" w:type="dxa"/>
            <w:vAlign w:val="bottom"/>
            <w:gridSpan w:val="2"/>
          </w:tcPr>
          <w:p>
            <w:pPr>
              <w:spacing w:after="0"/>
              <w:rPr>
                <w:sz w:val="24"/>
                <w:szCs w:val="24"/>
                <w:color w:val="auto"/>
              </w:rPr>
            </w:pP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Director</w:t>
            </w:r>
          </w:p>
        </w:tc>
        <w:tc>
          <w:tcPr>
            <w:tcW w:w="2400" w:type="dxa"/>
            <w:vAlign w:val="bottom"/>
          </w:tcPr>
          <w:p>
            <w:pPr>
              <w:jc w:val="center"/>
              <w:ind w:left="1225"/>
              <w:spacing w:after="0"/>
              <w:rPr>
                <w:sz w:val="20"/>
                <w:szCs w:val="20"/>
                <w:color w:val="auto"/>
              </w:rPr>
            </w:pPr>
            <w:r>
              <w:rPr>
                <w:rFonts w:ascii="Times New Roman" w:cs="Times New Roman" w:eastAsia="Times New Roman" w:hAnsi="Times New Roman"/>
                <w:sz w:val="15"/>
                <w:szCs w:val="15"/>
                <w:color w:val="auto"/>
                <w:w w:val="99"/>
              </w:rPr>
              <w:t>February 13, 2024</w:t>
            </w:r>
          </w:p>
        </w:tc>
      </w:tr>
      <w:tr>
        <w:trPr>
          <w:trHeight w:val="195"/>
        </w:trPr>
        <w:tc>
          <w:tcPr>
            <w:tcW w:w="33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Ann M. Cunningham</w:t>
            </w:r>
          </w:p>
        </w:tc>
        <w:tc>
          <w:tcPr>
            <w:tcW w:w="49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26"/>
        </w:trPr>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w w:val="97"/>
              </w:rPr>
              <w:t>/s/ Joanne Curley</w:t>
            </w:r>
          </w:p>
        </w:tc>
        <w:tc>
          <w:tcPr>
            <w:tcW w:w="2260" w:type="dxa"/>
            <w:vAlign w:val="bottom"/>
            <w:gridSpan w:val="6"/>
          </w:tcPr>
          <w:p>
            <w:pPr>
              <w:spacing w:after="0"/>
              <w:rPr>
                <w:sz w:val="24"/>
                <w:szCs w:val="24"/>
                <w:color w:val="auto"/>
              </w:rPr>
            </w:pP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Director</w:t>
            </w:r>
          </w:p>
        </w:tc>
        <w:tc>
          <w:tcPr>
            <w:tcW w:w="2400" w:type="dxa"/>
            <w:vAlign w:val="bottom"/>
          </w:tcPr>
          <w:p>
            <w:pPr>
              <w:jc w:val="center"/>
              <w:ind w:left="1225"/>
              <w:spacing w:after="0"/>
              <w:rPr>
                <w:sz w:val="20"/>
                <w:szCs w:val="20"/>
                <w:color w:val="auto"/>
              </w:rPr>
            </w:pPr>
            <w:r>
              <w:rPr>
                <w:rFonts w:ascii="Times New Roman" w:cs="Times New Roman" w:eastAsia="Times New Roman" w:hAnsi="Times New Roman"/>
                <w:sz w:val="15"/>
                <w:szCs w:val="15"/>
                <w:color w:val="auto"/>
                <w:w w:val="99"/>
              </w:rPr>
              <w:t>February 13, 2024</w:t>
            </w:r>
          </w:p>
        </w:tc>
      </w:tr>
      <w:tr>
        <w:trPr>
          <w:trHeight w:val="195"/>
        </w:trPr>
        <w:tc>
          <w:tcPr>
            <w:tcW w:w="33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Joanne Curley</w:t>
            </w:r>
          </w:p>
        </w:tc>
        <w:tc>
          <w:tcPr>
            <w:tcW w:w="49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26"/>
        </w:trPr>
        <w:tc>
          <w:tcPr>
            <w:tcW w:w="1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w w:val="97"/>
              </w:rPr>
              <w:t>/s/ Mary L. Rotunno</w:t>
            </w:r>
          </w:p>
        </w:tc>
        <w:tc>
          <w:tcPr>
            <w:tcW w:w="2080" w:type="dxa"/>
            <w:vAlign w:val="bottom"/>
            <w:gridSpan w:val="4"/>
          </w:tcPr>
          <w:p>
            <w:pPr>
              <w:spacing w:after="0"/>
              <w:rPr>
                <w:sz w:val="24"/>
                <w:szCs w:val="24"/>
                <w:color w:val="auto"/>
              </w:rPr>
            </w:pP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Director</w:t>
            </w:r>
          </w:p>
        </w:tc>
        <w:tc>
          <w:tcPr>
            <w:tcW w:w="2400" w:type="dxa"/>
            <w:vAlign w:val="bottom"/>
          </w:tcPr>
          <w:p>
            <w:pPr>
              <w:jc w:val="center"/>
              <w:ind w:left="1225"/>
              <w:spacing w:after="0"/>
              <w:rPr>
                <w:sz w:val="20"/>
                <w:szCs w:val="20"/>
                <w:color w:val="auto"/>
              </w:rPr>
            </w:pPr>
            <w:r>
              <w:rPr>
                <w:rFonts w:ascii="Times New Roman" w:cs="Times New Roman" w:eastAsia="Times New Roman" w:hAnsi="Times New Roman"/>
                <w:sz w:val="15"/>
                <w:szCs w:val="15"/>
                <w:color w:val="auto"/>
                <w:w w:val="99"/>
              </w:rPr>
              <w:t>February 13, 2024</w:t>
            </w:r>
          </w:p>
        </w:tc>
      </w:tr>
      <w:tr>
        <w:trPr>
          <w:trHeight w:val="195"/>
        </w:trPr>
        <w:tc>
          <w:tcPr>
            <w:tcW w:w="33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Mary L. Rotunno</w:t>
            </w:r>
          </w:p>
        </w:tc>
        <w:tc>
          <w:tcPr>
            <w:tcW w:w="49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26"/>
        </w:trPr>
        <w:tc>
          <w:tcPr>
            <w:tcW w:w="33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/s/ Jon S. Saxe</w:t>
            </w:r>
          </w:p>
        </w:tc>
        <w:tc>
          <w:tcPr>
            <w:tcW w:w="49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Director</w:t>
            </w:r>
          </w:p>
        </w:tc>
        <w:tc>
          <w:tcPr>
            <w:tcW w:w="2400" w:type="dxa"/>
            <w:vAlign w:val="bottom"/>
          </w:tcPr>
          <w:p>
            <w:pPr>
              <w:jc w:val="center"/>
              <w:ind w:left="1225"/>
              <w:spacing w:after="0"/>
              <w:rPr>
                <w:sz w:val="20"/>
                <w:szCs w:val="20"/>
                <w:color w:val="auto"/>
              </w:rPr>
            </w:pPr>
            <w:r>
              <w:rPr>
                <w:rFonts w:ascii="Times New Roman" w:cs="Times New Roman" w:eastAsia="Times New Roman" w:hAnsi="Times New Roman"/>
                <w:sz w:val="15"/>
                <w:szCs w:val="15"/>
                <w:color w:val="auto"/>
                <w:w w:val="99"/>
              </w:rPr>
              <w:t>February 13, 2024</w:t>
            </w:r>
          </w:p>
        </w:tc>
      </w:tr>
      <w:tr>
        <w:trPr>
          <w:trHeight w:val="195"/>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Jon S. Saxe</w:t>
            </w:r>
          </w:p>
        </w:tc>
        <w:tc>
          <w:tcPr>
            <w:tcW w:w="2440" w:type="dxa"/>
            <w:vAlign w:val="bottom"/>
            <w:gridSpan w:val="8"/>
          </w:tcPr>
          <w:p>
            <w:pPr>
              <w:spacing w:after="0"/>
              <w:rPr>
                <w:sz w:val="16"/>
                <w:szCs w:val="16"/>
                <w:color w:val="auto"/>
              </w:rPr>
            </w:pPr>
          </w:p>
        </w:tc>
        <w:tc>
          <w:tcPr>
            <w:tcW w:w="49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361"/>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980" w:type="dxa"/>
            <w:vAlign w:val="bottom"/>
          </w:tcPr>
          <w:p>
            <w:pPr>
              <w:ind w:left="2220"/>
              <w:spacing w:after="0"/>
              <w:rPr>
                <w:sz w:val="20"/>
                <w:szCs w:val="20"/>
                <w:color w:val="auto"/>
              </w:rPr>
            </w:pPr>
            <w:r>
              <w:rPr>
                <w:rFonts w:ascii="Times New Roman" w:cs="Times New Roman" w:eastAsia="Times New Roman" w:hAnsi="Times New Roman"/>
                <w:sz w:val="15"/>
                <w:szCs w:val="15"/>
                <w:color w:val="auto"/>
              </w:rPr>
              <w:t>II-4</w:t>
            </w:r>
          </w:p>
        </w:tc>
        <w:tc>
          <w:tcPr>
            <w:tcW w:w="2400" w:type="dxa"/>
            <w:vAlign w:val="bottom"/>
          </w:tcPr>
          <w:p>
            <w:pPr>
              <w:spacing w:after="0"/>
              <w:rPr>
                <w:sz w:val="24"/>
                <w:szCs w:val="24"/>
                <w:color w:val="auto"/>
              </w:rPr>
            </w:pPr>
          </w:p>
        </w:tc>
      </w:tr>
    </w:tbl>
    <w:p>
      <w:pPr>
        <w:sectPr>
          <w:pgSz w:w="11900" w:h="16838" w:orient="portrait"/>
          <w:cols w:equalWidth="0" w:num="1">
            <w:col w:w="11260"/>
          </w:cols>
          <w:pgMar w:left="320" w:top="504"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5"/>
          <w:szCs w:val="15"/>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389255</wp:posOffset>
            </wp:positionV>
            <wp:extent cx="715518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5"/>
          <w:szCs w:val="15"/>
          <w:b w:val="1"/>
          <w:bCs w:val="1"/>
          <w:color w:val="auto"/>
        </w:rPr>
        <w:t>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274955</wp:posOffset>
            </wp:positionV>
            <wp:extent cx="178308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17830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INDENTURE</w:t>
      </w:r>
    </w:p>
    <w:p>
      <w:pPr>
        <w:spacing w:after="0" w:line="19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5"/>
          <w:szCs w:val="15"/>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272415</wp:posOffset>
            </wp:positionV>
            <wp:extent cx="178308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17830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[TRUSTEE]</w:t>
      </w:r>
    </w:p>
    <w:p>
      <w:pPr>
        <w:spacing w:after="0" w:line="19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5"/>
          <w:szCs w:val="15"/>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386715</wp:posOffset>
            </wp:positionV>
            <wp:extent cx="715518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723265</wp:posOffset>
            </wp:positionV>
            <wp:extent cx="715518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60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Page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3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 DEFINITIONS AND INCORPORATION BY REFERENCE</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1.1.</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Definitions.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1.2.</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Definitions.</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1.3.</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Incorporation by Reference of Trust Indenture Act.</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1.4.</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Rules of Construction.</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660" w:type="dxa"/>
            <w:vAlign w:val="bottom"/>
            <w:gridSpan w:val="2"/>
          </w:tcPr>
          <w:p>
            <w:pPr>
              <w:spacing w:after="0"/>
              <w:rPr>
                <w:sz w:val="15"/>
                <w:szCs w:val="15"/>
                <w:color w:val="auto"/>
              </w:rPr>
            </w:pPr>
          </w:p>
        </w:tc>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II. THE SECURITIES</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2.1.</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Issuable in Series.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2.2.</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Establishment of Terms of Series of Securities.</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2.3.</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Execution and Authentication.</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2.4.</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Registrar, Paying Agent and Notice Agent.</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2.5.</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Paying Agent to Hold Money in Trust.</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2.6.</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Holder Lists.</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2.7.</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Transfer and Exchange.</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2.8.</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Mutilated, Destroyed, Lost and Stolen Securities.</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2.9.</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Outstanding Securities.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2.10.</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Treasury Securities.</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2.11.</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Temporary Securities.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2.12.</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Cancellation.</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2.13.</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Defaulted Interest.</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2.14.</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Global Securities.</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2.15.</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CUSIP Numbers.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660" w:type="dxa"/>
            <w:vAlign w:val="bottom"/>
            <w:gridSpan w:val="2"/>
            <w:shd w:val="clear" w:color="auto" w:fill="CCEEFF"/>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III. REDEMPTION</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3.1.</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Notice to Trustee.</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3.2.</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Selection of Securities to be Redeemed.</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3.3.</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Notice of Redemption.</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3.4.</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Effect of Notice of Redemption.</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3.5.</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Deposit of Redemption Price.</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3.6.</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Securities Redeemed in Part.</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660" w:type="dxa"/>
            <w:vAlign w:val="bottom"/>
            <w:gridSpan w:val="2"/>
            <w:shd w:val="clear" w:color="auto" w:fill="CCEEFF"/>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IV. COVENANTS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4.1.</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 of Principal and Interest.</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4.2.</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 Reports.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4.3.</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Compliance Certificate.</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4.4.</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Stay, Extension and Usury Laws.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660" w:type="dxa"/>
            <w:vAlign w:val="bottom"/>
            <w:gridSpan w:val="2"/>
            <w:shd w:val="clear" w:color="auto" w:fill="CCEEFF"/>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 SUCCESSORS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5.1.</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When Company May Merge, Etc.</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5.2.</w:t>
            </w:r>
          </w:p>
        </w:tc>
        <w:tc>
          <w:tcPr>
            <w:tcW w:w="3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Successor Corporation Substituted.</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660" w:type="dxa"/>
            <w:vAlign w:val="bottom"/>
            <w:gridSpan w:val="2"/>
            <w:shd w:val="clear" w:color="auto" w:fill="CCEEFF"/>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 DEFAULTS AND REMEDIES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6.1.</w:t>
            </w:r>
          </w:p>
        </w:tc>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Events of Default.</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07"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6.2.</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Acceleration of Maturity; Rescission and Annulment.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6.3.</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Collection of Indebtedness and Suits for Enforcement by Trustee.</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6.4.</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Trustee May File Proofs of Claim.</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6.5.</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Trustee May Enforce Claims Without Possession of Securities.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6.6.</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Application of Money Collected.</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6.7.</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Limitation on Suits.</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6.8.</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Unconditional Right of Holders to Receive Principal and Interest.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6.9.</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Restoration of Rights and Remedies.</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6.10.</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Rights and Remedies Cumulative.</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6.11.</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Delay or Omission Not Waiver.</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6.12.</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Control by Holders.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6.13.</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Waiver of Past Defaults.</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6.14.</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Undertaking for Costs.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240" w:type="dxa"/>
            <w:vAlign w:val="bottom"/>
            <w:gridSpan w:val="2"/>
          </w:tcPr>
          <w:p>
            <w:pPr>
              <w:spacing w:after="0"/>
              <w:rPr>
                <w:sz w:val="15"/>
                <w:szCs w:val="15"/>
                <w:color w:val="auto"/>
              </w:rPr>
            </w:pPr>
          </w:p>
        </w:tc>
        <w:tc>
          <w:tcPr>
            <w:tcW w:w="30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VII. TRUSTEE</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7.1.</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Duties of Trustee.</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7.2.</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Rights of Trustee.</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7.3.</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Individual Rights of Trustee.</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7.4.</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Trustee’s Disclaimer.</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7.5.</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Notice of Defaults.</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7.6.</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Reports by Trustee to Holders.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7.7.</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 and Indemnity.</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7.8.</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Replacement of Trustee.</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7.9.</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Successor Trustee by Merger, Etc.</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7.10.</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Eligibility; Disqualification.</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7.11.</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Preferential Collection of Claims Against Company.</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240" w:type="dxa"/>
            <w:vAlign w:val="bottom"/>
            <w:gridSpan w:val="2"/>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VIII. SATISFACTION AND DISCHARGE; DEFEASANCE</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8.1.</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Satisfaction and Discharge of Indenture.</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8.2.</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Application of Trust Funds; Indemnification.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8.3.</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Legal Defeasance of Securities of any Series.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8.4.</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Covenant Defeasance.</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8.5.</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 to Company.</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8.6.</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Reinstatement.</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240" w:type="dxa"/>
            <w:vAlign w:val="bottom"/>
            <w:gridSpan w:val="2"/>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IX. AMENDMENTS AND WAIVERS</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9.1.</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Without Consent of Holders.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9.2.</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With Consent of Holders.</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9.3.</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Limitations.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9.4.</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Compliance with Trust Indenture Act.</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9.5.</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Revocation and Effect of Consents.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9.6.</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Notation on or Exchange of Securities.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9.7.</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Trustee Protected.</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240" w:type="dxa"/>
            <w:vAlign w:val="bottom"/>
            <w:gridSpan w:val="2"/>
          </w:tcPr>
          <w:p>
            <w:pPr>
              <w:spacing w:after="0"/>
              <w:rPr>
                <w:sz w:val="15"/>
                <w:szCs w:val="15"/>
                <w:color w:val="auto"/>
              </w:rPr>
            </w:pPr>
          </w:p>
        </w:tc>
        <w:tc>
          <w:tcPr>
            <w:tcW w:w="30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X. MISCELLANEOUS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10.1.</w:t>
            </w:r>
          </w:p>
        </w:tc>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Trust Indenture Act Controls.</w:t>
            </w:r>
          </w:p>
        </w:tc>
        <w:tc>
          <w:tcPr>
            <w:tcW w:w="3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10.2.</w:t>
            </w: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Notices.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10.3.</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Communication by Holders with Other Holders.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10.4.</w:t>
            </w:r>
          </w:p>
        </w:tc>
        <w:tc>
          <w:tcPr>
            <w:tcW w:w="6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Certificate and Opinion as to Conditions Precedent.</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10.5.</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Statements Required in Certificate or Opinion.</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10.6.</w:t>
            </w:r>
          </w:p>
        </w:tc>
        <w:tc>
          <w:tcPr>
            <w:tcW w:w="6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Rules by Trustee and Agents.</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10.7.</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Legal Holidays.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10.8.</w:t>
            </w:r>
          </w:p>
        </w:tc>
        <w:tc>
          <w:tcPr>
            <w:tcW w:w="6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 Recourse Against Others.</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10.9.</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Counterparts.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10.10.</w:t>
            </w:r>
          </w:p>
        </w:tc>
        <w:tc>
          <w:tcPr>
            <w:tcW w:w="6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Governing Law; Waiver of Jury Trial; Consent to Jurisdiction.</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10.11.</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 Adverse Interpretation of Other Agreements.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10.12.</w:t>
            </w:r>
          </w:p>
        </w:tc>
        <w:tc>
          <w:tcPr>
            <w:tcW w:w="6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Successors.</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10.13.</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Severability.</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10.14.</w:t>
            </w:r>
          </w:p>
        </w:tc>
        <w:tc>
          <w:tcPr>
            <w:tcW w:w="6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Table of Contents, Headings, Etc.</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10.15.</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Securities in a Foreign Currency.</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10.16.</w:t>
            </w:r>
          </w:p>
        </w:tc>
        <w:tc>
          <w:tcPr>
            <w:tcW w:w="6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Judgment Currency.</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10.17.</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Force Majeure.</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10.18.</w:t>
            </w:r>
          </w:p>
        </w:tc>
        <w:tc>
          <w:tcPr>
            <w:tcW w:w="6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U.S.A. Patriot Act.</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140" w:type="dxa"/>
            <w:vAlign w:val="bottom"/>
            <w:gridSpan w:val="2"/>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XI. SINKING FUNDS</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11.1.</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Applicability of Article.</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Section 11.2.</w:t>
            </w:r>
          </w:p>
        </w:tc>
        <w:tc>
          <w:tcPr>
            <w:tcW w:w="6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Satisfaction of Sinking Fund Payments with Securities.</w:t>
            </w: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Section 11.3.</w:t>
            </w:r>
          </w:p>
        </w:tc>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Redemption of Securities for Sinking Fund.</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9"/>
        </w:trPr>
        <w:tc>
          <w:tcPr>
            <w:tcW w:w="2520" w:type="dxa"/>
            <w:vAlign w:val="bottom"/>
          </w:tcPr>
          <w:p>
            <w:pPr>
              <w:spacing w:after="0"/>
              <w:rPr>
                <w:sz w:val="20"/>
                <w:szCs w:val="20"/>
                <w:color w:val="auto"/>
              </w:rPr>
            </w:pPr>
          </w:p>
        </w:tc>
        <w:tc>
          <w:tcPr>
            <w:tcW w:w="8740" w:type="dxa"/>
            <w:vAlign w:val="bottom"/>
          </w:tcPr>
          <w:p>
            <w:pPr>
              <w:jc w:val="center"/>
              <w:ind w:right="2444"/>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r>
      <w:tr>
        <w:trPr>
          <w:trHeight w:val="337"/>
        </w:trPr>
        <w:tc>
          <w:tcPr>
            <w:tcW w:w="2520" w:type="dxa"/>
            <w:vAlign w:val="bottom"/>
          </w:tcPr>
          <w:p>
            <w:pPr>
              <w:spacing w:after="0"/>
              <w:rPr>
                <w:sz w:val="24"/>
                <w:szCs w:val="24"/>
                <w:color w:val="auto"/>
              </w:rPr>
            </w:pPr>
          </w:p>
        </w:tc>
        <w:tc>
          <w:tcPr>
            <w:tcW w:w="8740" w:type="dxa"/>
            <w:vAlign w:val="bottom"/>
          </w:tcPr>
          <w:p>
            <w:pPr>
              <w:jc w:val="center"/>
              <w:ind w:right="2464"/>
              <w:spacing w:after="0"/>
              <w:rPr>
                <w:sz w:val="20"/>
                <w:szCs w:val="20"/>
                <w:color w:val="auto"/>
              </w:rPr>
            </w:pPr>
            <w:r>
              <w:rPr>
                <w:rFonts w:ascii="Times New Roman" w:cs="Times New Roman" w:eastAsia="Times New Roman" w:hAnsi="Times New Roman"/>
                <w:sz w:val="15"/>
                <w:szCs w:val="15"/>
                <w:color w:val="auto"/>
              </w:rPr>
              <w:t>Reconciliation and tie between Trust Indenture Act of 1939 and</w:t>
            </w:r>
          </w:p>
        </w:tc>
      </w:tr>
      <w:tr>
        <w:trPr>
          <w:trHeight w:val="196"/>
        </w:trPr>
        <w:tc>
          <w:tcPr>
            <w:tcW w:w="2520" w:type="dxa"/>
            <w:vAlign w:val="bottom"/>
          </w:tcPr>
          <w:p>
            <w:pPr>
              <w:spacing w:after="0"/>
              <w:rPr>
                <w:sz w:val="17"/>
                <w:szCs w:val="17"/>
                <w:color w:val="auto"/>
              </w:rPr>
            </w:pPr>
          </w:p>
        </w:tc>
        <w:tc>
          <w:tcPr>
            <w:tcW w:w="8740" w:type="dxa"/>
            <w:vAlign w:val="bottom"/>
          </w:tcPr>
          <w:p>
            <w:pPr>
              <w:jc w:val="center"/>
              <w:ind w:right="2444"/>
              <w:spacing w:after="0"/>
              <w:rPr>
                <w:sz w:val="20"/>
                <w:szCs w:val="20"/>
                <w:color w:val="auto"/>
              </w:rPr>
            </w:pPr>
            <w:r>
              <w:rPr>
                <w:rFonts w:ascii="Times New Roman" w:cs="Times New Roman" w:eastAsia="Times New Roman" w:hAnsi="Times New Roman"/>
                <w:sz w:val="15"/>
                <w:szCs w:val="15"/>
                <w:color w:val="auto"/>
              </w:rPr>
              <w:t>Indenture, dated as of ____________, 20__</w:t>
            </w:r>
          </w:p>
        </w:tc>
      </w:tr>
      <w:tr>
        <w:trPr>
          <w:trHeight w:val="360"/>
        </w:trPr>
        <w:tc>
          <w:tcPr>
            <w:tcW w:w="2520" w:type="dxa"/>
            <w:vAlign w:val="bottom"/>
          </w:tcPr>
          <w:p>
            <w:pPr>
              <w:spacing w:after="0"/>
              <w:rPr>
                <w:sz w:val="24"/>
                <w:szCs w:val="24"/>
                <w:color w:val="auto"/>
              </w:rPr>
            </w:pPr>
          </w:p>
        </w:tc>
        <w:tc>
          <w:tcPr>
            <w:tcW w:w="8740" w:type="dxa"/>
            <w:vAlign w:val="bottom"/>
          </w:tcPr>
          <w:p>
            <w:pPr>
              <w:spacing w:after="0"/>
              <w:rPr>
                <w:sz w:val="24"/>
                <w:szCs w:val="24"/>
                <w:color w:val="auto"/>
              </w:rPr>
            </w:pP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 310(a)(1)</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7.10</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(a)(2)</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7.10</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(a)(3)</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(a)(4)</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(a)(5)</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7.10</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(b)</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7.10</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 311(a)</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7.11</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(b)</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7.11</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(c)</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 312(a)</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2.6</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(b)</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10.3</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(c)</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10.3</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 313(a)</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7.6</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(b)(1)</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7.6</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(b)(2)</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7.6</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(c)(1)</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7.6</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(d)</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7.6</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 314(a)</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4.2, 10.5</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(b)</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(c)(1)</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10.4</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(c)(2)</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10.4</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(c)(3)</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(d)</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(e)</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10.5</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(f)</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 315(a)</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7.1</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(b)</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7.5</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(c)</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7.1</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(d)</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7.1</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(e)</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6.14</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 316(a)</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2.10</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(a)(1)(A)</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6.12</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(a)(1)(B)</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6.13</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(b)</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6.8</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 317(a)(1)</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6.3</w:t>
            </w:r>
          </w:p>
        </w:tc>
      </w:tr>
      <w:tr>
        <w:trPr>
          <w:trHeight w:val="180"/>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(a)(2)</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6.4</w:t>
            </w:r>
          </w:p>
        </w:tc>
      </w:tr>
      <w:tr>
        <w:trPr>
          <w:trHeight w:val="180"/>
        </w:trPr>
        <w:tc>
          <w:tcPr>
            <w:tcW w:w="2520" w:type="dxa"/>
            <w:vAlign w:val="bottom"/>
            <w:shd w:val="clear" w:color="auto" w:fill="CCEEFF"/>
          </w:tcPr>
          <w:p>
            <w:pPr>
              <w:jc w:val="right"/>
              <w:ind w:right="1105"/>
              <w:spacing w:after="0"/>
              <w:rPr>
                <w:sz w:val="20"/>
                <w:szCs w:val="20"/>
                <w:color w:val="auto"/>
              </w:rPr>
            </w:pPr>
            <w:r>
              <w:rPr>
                <w:rFonts w:ascii="Times New Roman" w:cs="Times New Roman" w:eastAsia="Times New Roman" w:hAnsi="Times New Roman"/>
                <w:sz w:val="15"/>
                <w:szCs w:val="15"/>
                <w:color w:val="auto"/>
              </w:rPr>
              <w:t>(b)</w:t>
            </w:r>
          </w:p>
        </w:tc>
        <w:tc>
          <w:tcPr>
            <w:tcW w:w="8740" w:type="dxa"/>
            <w:vAlign w:val="bottom"/>
            <w:shd w:val="clear" w:color="auto" w:fill="CCEEFF"/>
          </w:tcPr>
          <w:p>
            <w:pPr>
              <w:ind w:left="6500"/>
              <w:spacing w:after="0"/>
              <w:rPr>
                <w:sz w:val="20"/>
                <w:szCs w:val="20"/>
                <w:color w:val="auto"/>
              </w:rPr>
            </w:pPr>
            <w:r>
              <w:rPr>
                <w:rFonts w:ascii="Times New Roman" w:cs="Times New Roman" w:eastAsia="Times New Roman" w:hAnsi="Times New Roman"/>
                <w:sz w:val="15"/>
                <w:szCs w:val="15"/>
                <w:color w:val="auto"/>
              </w:rPr>
              <w:t>2.5</w:t>
            </w:r>
          </w:p>
        </w:tc>
      </w:tr>
      <w:tr>
        <w:trPr>
          <w:trHeight w:val="196"/>
        </w:trPr>
        <w:tc>
          <w:tcPr>
            <w:tcW w:w="2520" w:type="dxa"/>
            <w:vAlign w:val="bottom"/>
          </w:tcPr>
          <w:p>
            <w:pPr>
              <w:jc w:val="right"/>
              <w:ind w:right="1105"/>
              <w:spacing w:after="0"/>
              <w:rPr>
                <w:sz w:val="20"/>
                <w:szCs w:val="20"/>
                <w:color w:val="auto"/>
              </w:rPr>
            </w:pPr>
            <w:r>
              <w:rPr>
                <w:rFonts w:ascii="Times New Roman" w:cs="Times New Roman" w:eastAsia="Times New Roman" w:hAnsi="Times New Roman"/>
                <w:sz w:val="15"/>
                <w:szCs w:val="15"/>
                <w:color w:val="auto"/>
              </w:rPr>
              <w:t>§ 318(a)</w:t>
            </w:r>
          </w:p>
        </w:tc>
        <w:tc>
          <w:tcPr>
            <w:tcW w:w="8740" w:type="dxa"/>
            <w:vAlign w:val="bottom"/>
          </w:tcPr>
          <w:p>
            <w:pPr>
              <w:ind w:left="6500"/>
              <w:spacing w:after="0"/>
              <w:rPr>
                <w:sz w:val="20"/>
                <w:szCs w:val="20"/>
                <w:color w:val="auto"/>
              </w:rPr>
            </w:pPr>
            <w:r>
              <w:rPr>
                <w:rFonts w:ascii="Times New Roman" w:cs="Times New Roman" w:eastAsia="Times New Roman" w:hAnsi="Times New Roman"/>
                <w:sz w:val="15"/>
                <w:szCs w:val="15"/>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71628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16280" cy="698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 This reconciliation and tie shall not, for any purpose, be deemed to be part of the Indenture.</w:t>
      </w:r>
    </w:p>
    <w:p>
      <w:pPr>
        <w:spacing w:after="0" w:line="18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496" w:right="319" w:bottom="1440" w:gutter="0" w:footer="0" w:header="0"/>
        </w:sectPr>
      </w:pPr>
    </w:p>
    <w:bookmarkStart w:id="63" w:name="page64"/>
    <w:bookmarkEnd w:id="63"/>
    <w:p>
      <w:pPr>
        <w:ind w:left="1080"/>
        <w:spacing w:after="0"/>
        <w:rPr>
          <w:sz w:val="20"/>
          <w:szCs w:val="20"/>
          <w:color w:val="auto"/>
        </w:rPr>
      </w:pPr>
      <w:r>
        <w:rPr>
          <w:rFonts w:ascii="Times New Roman" w:cs="Times New Roman" w:eastAsia="Times New Roman" w:hAnsi="Times New Roman"/>
          <w:sz w:val="15"/>
          <w:szCs w:val="15"/>
          <w:color w:val="auto"/>
        </w:rPr>
        <w:t>Indenture dated as of __________, 20__ between Vistagen Therapeutics, Inc., a company incorporated under the laws of the State of Nevada (“</w:t>
      </w: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[TRUSTEE] (“</w:t>
      </w:r>
      <w:r>
        <w:rPr>
          <w:rFonts w:ascii="Times New Roman" w:cs="Times New Roman" w:eastAsia="Times New Roman" w:hAnsi="Times New Roman"/>
          <w:sz w:val="15"/>
          <w:szCs w:val="15"/>
          <w:i w:val="1"/>
          <w:iCs w:val="1"/>
          <w:color w:val="auto"/>
        </w:rPr>
        <w:t>Trustee</w:t>
      </w:r>
      <w:r>
        <w:rPr>
          <w:rFonts w:ascii="Times New Roman" w:cs="Times New Roman" w:eastAsia="Times New Roman" w:hAnsi="Times New Roman"/>
          <w:sz w:val="15"/>
          <w:szCs w:val="15"/>
          <w:color w:val="auto"/>
        </w:rPr>
        <w:t>”).</w:t>
      </w:r>
    </w:p>
    <w:p>
      <w:pPr>
        <w:spacing w:after="0" w:line="17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5"/>
          <w:szCs w:val="15"/>
          <w:color w:val="auto"/>
        </w:rPr>
        <w:t>Each party agrees as follows for the benefit of the other party and for the equal and ratable benefit of the Holders of the Securities issued under this Indenture.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DEFINITIONS AND INCORPORATION BY REFERENCE</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1.1.</w:t>
      </w:r>
      <w:r>
        <w:rPr>
          <w:sz w:val="20"/>
          <w:szCs w:val="20"/>
          <w:color w:val="auto"/>
        </w:rPr>
        <w:tab/>
      </w:r>
      <w:r>
        <w:rPr>
          <w:rFonts w:ascii="Times New Roman" w:cs="Times New Roman" w:eastAsia="Times New Roman" w:hAnsi="Times New Roman"/>
          <w:sz w:val="14"/>
          <w:szCs w:val="14"/>
          <w:u w:val="single" w:color="auto"/>
          <w:color w:val="auto"/>
        </w:rPr>
        <w:t>Definitions.</w:t>
      </w:r>
    </w:p>
    <w:p>
      <w:pPr>
        <w:spacing w:after="0" w:line="186" w:lineRule="exact"/>
        <w:rPr>
          <w:sz w:val="20"/>
          <w:szCs w:val="20"/>
          <w:color w:val="auto"/>
        </w:rPr>
      </w:pPr>
    </w:p>
    <w:p>
      <w:pPr>
        <w:jc w:val="both"/>
        <w:ind w:firstLine="1083"/>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Affiliate</w:t>
      </w:r>
      <w:r>
        <w:rPr>
          <w:rFonts w:ascii="Times New Roman" w:cs="Times New Roman" w:eastAsia="Times New Roman" w:hAnsi="Times New Roman"/>
          <w:sz w:val="15"/>
          <w:szCs w:val="15"/>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4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“Agent</w:t>
      </w:r>
      <w:r>
        <w:rPr>
          <w:rFonts w:ascii="Times New Roman" w:cs="Times New Roman" w:eastAsia="Times New Roman" w:hAnsi="Times New Roman"/>
          <w:sz w:val="15"/>
          <w:szCs w:val="15"/>
          <w:color w:val="auto"/>
        </w:rPr>
        <w:t>” means any Registrar, Paying Agent or Notice Agent.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“Board of Directors</w:t>
      </w:r>
      <w:r>
        <w:rPr>
          <w:rFonts w:ascii="Times New Roman" w:cs="Times New Roman" w:eastAsia="Times New Roman" w:hAnsi="Times New Roman"/>
          <w:sz w:val="15"/>
          <w:szCs w:val="15"/>
          <w:color w:val="auto"/>
        </w:rPr>
        <w:t>” means the board of directors of the Company or any duly authorized committee thereof.</w:t>
      </w:r>
    </w:p>
    <w:p>
      <w:pPr>
        <w:spacing w:after="0" w:line="188"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“Board Resolution</w:t>
      </w:r>
      <w:r>
        <w:rPr>
          <w:rFonts w:ascii="Times New Roman" w:cs="Times New Roman" w:eastAsia="Times New Roman" w:hAnsi="Times New Roman"/>
          <w:sz w:val="15"/>
          <w:szCs w:val="15"/>
          <w:color w:val="auto"/>
        </w:rPr>
        <w:t>” means a copy of a resolution certified by the Secretary or an Assistant Secretary of the Company to have been adopted by the Board of Directors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pursuant to authorization by the Board of Directors and to be in full force and effect on the date of the certificate and delivered to the Trustee.</w:t>
      </w:r>
    </w:p>
    <w:p>
      <w:pPr>
        <w:spacing w:after="0" w:line="130" w:lineRule="exact"/>
        <w:rPr>
          <w:sz w:val="20"/>
          <w:szCs w:val="20"/>
          <w:color w:val="auto"/>
        </w:rPr>
      </w:pPr>
    </w:p>
    <w:p>
      <w:pPr>
        <w:jc w:val="both"/>
        <w:ind w:right="20"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“Business Day</w:t>
      </w:r>
      <w:r>
        <w:rPr>
          <w:rFonts w:ascii="Times New Roman" w:cs="Times New Roman" w:eastAsia="Times New Roman" w:hAnsi="Times New Roman"/>
          <w:sz w:val="15"/>
          <w:szCs w:val="15"/>
          <w:color w:val="auto"/>
        </w:rPr>
        <w:t>” means any day except a Saturday, Sunday or a legal holiday in the City of New York, New York (or in connection with any payment, the place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payment) on which banking institutions are authorized or required by law, regulation or executive order to close.</w:t>
      </w:r>
    </w:p>
    <w:p>
      <w:pPr>
        <w:spacing w:after="0" w:line="1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“Capital Stock</w:t>
      </w:r>
      <w:r>
        <w:rPr>
          <w:rFonts w:ascii="Times New Roman" w:cs="Times New Roman" w:eastAsia="Times New Roman" w:hAnsi="Times New Roman"/>
          <w:sz w:val="15"/>
          <w:szCs w:val="15"/>
          <w:color w:val="auto"/>
        </w:rPr>
        <w:t>” means any and all shares, interests, participations, rights or other equivalents (however designated) of corporate stock.</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means the party named as such above until a successor replaces it and thereafter means the successor.</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“Company Order</w:t>
      </w:r>
      <w:r>
        <w:rPr>
          <w:rFonts w:ascii="Times New Roman" w:cs="Times New Roman" w:eastAsia="Times New Roman" w:hAnsi="Times New Roman"/>
          <w:sz w:val="15"/>
          <w:szCs w:val="15"/>
          <w:color w:val="auto"/>
        </w:rPr>
        <w:t>” means a written order signed in the name of the Company by an Officer and delivered to the Trustee.</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“Corporate Trust Office</w:t>
      </w:r>
      <w:r>
        <w:rPr>
          <w:rFonts w:ascii="Times New Roman" w:cs="Times New Roman" w:eastAsia="Times New Roman" w:hAnsi="Times New Roman"/>
          <w:sz w:val="15"/>
          <w:szCs w:val="15"/>
          <w:color w:val="auto"/>
        </w:rPr>
        <w:t>” means the office of the Trustee at which at any particular time its corporate trust business related to this Indenture shall be principally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administered.</w:t>
      </w:r>
    </w:p>
    <w:p>
      <w:pPr>
        <w:spacing w:after="0" w:line="17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“Default</w:t>
      </w:r>
      <w:r>
        <w:rPr>
          <w:rFonts w:ascii="Times New Roman" w:cs="Times New Roman" w:eastAsia="Times New Roman" w:hAnsi="Times New Roman"/>
          <w:sz w:val="15"/>
          <w:szCs w:val="15"/>
          <w:color w:val="auto"/>
        </w:rPr>
        <w:t>” means any event which is, or after notice, passage of time or both would be,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316230</wp:posOffset>
            </wp:positionV>
            <wp:extent cx="715518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10" w:right="319" w:bottom="1440" w:gutter="0" w:footer="0" w:header="0"/>
        </w:sectPr>
      </w:pPr>
    </w:p>
    <w:bookmarkStart w:id="64" w:name="page65"/>
    <w:bookmarkEnd w:id="64"/>
    <w:p>
      <w:pPr>
        <w:jc w:val="both"/>
        <w:ind w:firstLine="1083"/>
        <w:spacing w:after="0" w:line="268" w:lineRule="auto"/>
        <w:rPr>
          <w:sz w:val="20"/>
          <w:szCs w:val="20"/>
          <w:color w:val="auto"/>
        </w:rPr>
      </w:pPr>
      <w:r>
        <w:rPr>
          <w:rFonts w:ascii="Times New Roman" w:cs="Times New Roman" w:eastAsia="Times New Roman" w:hAnsi="Times New Roman"/>
          <w:sz w:val="15"/>
          <w:szCs w:val="15"/>
          <w:i w:val="1"/>
          <w:iCs w:val="1"/>
          <w:color w:val="auto"/>
        </w:rPr>
        <w:t>“Depositary</w:t>
      </w:r>
      <w:r>
        <w:rPr>
          <w:rFonts w:ascii="Times New Roman" w:cs="Times New Roman" w:eastAsia="Times New Roman" w:hAnsi="Times New Roman"/>
          <w:sz w:val="15"/>
          <w:szCs w:val="15"/>
          <w:color w:val="auto"/>
        </w:rPr>
        <w:t>” means, with respect to the Securities of any Series issuable or issued in whole or in part in the form of one or more Global Securities, the person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44"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“Discount Security</w:t>
      </w:r>
      <w:r>
        <w:rPr>
          <w:rFonts w:ascii="Times New Roman" w:cs="Times New Roman" w:eastAsia="Times New Roman" w:hAnsi="Times New Roman"/>
          <w:sz w:val="15"/>
          <w:szCs w:val="15"/>
          <w:color w:val="auto"/>
        </w:rPr>
        <w:t>” means any Security that provides for an amount less than the stated principal amount thereof to be due and payable upon declaration of acceleration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maturity thereof pursuant to Section 6.2.</w:t>
      </w:r>
    </w:p>
    <w:p>
      <w:pPr>
        <w:spacing w:after="0" w:line="1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“Dollars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means the currency of the United States of America.</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“Foreign Currency</w:t>
      </w:r>
      <w:r>
        <w:rPr>
          <w:rFonts w:ascii="Times New Roman" w:cs="Times New Roman" w:eastAsia="Times New Roman" w:hAnsi="Times New Roman"/>
          <w:sz w:val="15"/>
          <w:szCs w:val="15"/>
          <w:color w:val="auto"/>
        </w:rPr>
        <w:t>” means any currency or currency unit issued by a government other than the government of the United States of America.</w:t>
      </w:r>
    </w:p>
    <w:p>
      <w:pPr>
        <w:spacing w:after="0" w:line="188" w:lineRule="exact"/>
        <w:rPr>
          <w:sz w:val="20"/>
          <w:szCs w:val="20"/>
          <w:color w:val="auto"/>
        </w:rPr>
      </w:pPr>
    </w:p>
    <w:p>
      <w:pPr>
        <w:jc w:val="both"/>
        <w:ind w:firstLine="1083"/>
        <w:spacing w:after="0" w:line="268" w:lineRule="auto"/>
        <w:rPr>
          <w:sz w:val="20"/>
          <w:szCs w:val="20"/>
          <w:color w:val="auto"/>
        </w:rPr>
      </w:pPr>
      <w:r>
        <w:rPr>
          <w:rFonts w:ascii="Times New Roman" w:cs="Times New Roman" w:eastAsia="Times New Roman" w:hAnsi="Times New Roman"/>
          <w:sz w:val="15"/>
          <w:szCs w:val="15"/>
          <w:i w:val="1"/>
          <w:iCs w:val="1"/>
          <w:color w:val="auto"/>
        </w:rPr>
        <w:t>“Foreign Government Obligations</w:t>
      </w:r>
      <w:r>
        <w:rPr>
          <w:rFonts w:ascii="Times New Roman" w:cs="Times New Roman" w:eastAsia="Times New Roman" w:hAnsi="Times New Roman"/>
          <w:sz w:val="15"/>
          <w:szCs w:val="15"/>
          <w:color w:val="auto"/>
        </w:rPr>
        <w:t>” means, with respect to Securities of any Series that are denominated in a Foreign Currency, direct obligations of, or obligations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guaranteed by, the government that issued or caused to be issued such currency for the payment of which obligations its full faith and credit is pledged and which are not callable or redeemable at the option of the issuer thereof.</w:t>
      </w:r>
    </w:p>
    <w:p>
      <w:pPr>
        <w:spacing w:after="0" w:line="144" w:lineRule="exact"/>
        <w:rPr>
          <w:sz w:val="20"/>
          <w:szCs w:val="20"/>
          <w:color w:val="auto"/>
        </w:rPr>
      </w:pPr>
    </w:p>
    <w:p>
      <w:pPr>
        <w:jc w:val="both"/>
        <w:ind w:right="20" w:firstLine="1083"/>
        <w:spacing w:after="0" w:line="268" w:lineRule="auto"/>
        <w:rPr>
          <w:sz w:val="20"/>
          <w:szCs w:val="20"/>
          <w:color w:val="auto"/>
        </w:rPr>
      </w:pPr>
      <w:r>
        <w:rPr>
          <w:rFonts w:ascii="Times New Roman" w:cs="Times New Roman" w:eastAsia="Times New Roman" w:hAnsi="Times New Roman"/>
          <w:sz w:val="15"/>
          <w:szCs w:val="15"/>
          <w:i w:val="1"/>
          <w:iCs w:val="1"/>
          <w:color w:val="auto"/>
        </w:rPr>
        <w:t>“GAAP</w:t>
      </w:r>
      <w:r>
        <w:rPr>
          <w:rFonts w:ascii="Times New Roman" w:cs="Times New Roman" w:eastAsia="Times New Roman" w:hAnsi="Times New Roman"/>
          <w:sz w:val="15"/>
          <w:szCs w:val="15"/>
          <w:color w:val="auto"/>
        </w:rPr>
        <w:t>” means generally accepted accounting principles in the United States of America set forth in the opinions and pronouncements of the Accounting Principles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44"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“Global Security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Global Securities</w:t>
      </w:r>
      <w:r>
        <w:rPr>
          <w:rFonts w:ascii="Times New Roman" w:cs="Times New Roman" w:eastAsia="Times New Roman" w:hAnsi="Times New Roman"/>
          <w:sz w:val="15"/>
          <w:szCs w:val="15"/>
          <w:color w:val="auto"/>
        </w:rPr>
        <w:t>” means a Security or Securities, as the case may be, in the form established pursuant to Section 2.2 evidencing all or part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Series of Securities, issued to the Depositary for such Series or its nominee, and registered in the name of such Depositary or nominee.</w:t>
      </w:r>
    </w:p>
    <w:p>
      <w:pPr>
        <w:spacing w:after="0" w:line="1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“Holder</w:t>
      </w:r>
      <w:r>
        <w:rPr>
          <w:rFonts w:ascii="Times New Roman" w:cs="Times New Roman" w:eastAsia="Times New Roman" w:hAnsi="Times New Roman"/>
          <w:sz w:val="15"/>
          <w:szCs w:val="15"/>
          <w:color w:val="auto"/>
        </w:rPr>
        <w:t>” means a person in whose name a Security is registered on the Registrar’s books.</w:t>
      </w:r>
    </w:p>
    <w:p>
      <w:pPr>
        <w:spacing w:after="0" w:line="188"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“Indenture</w:t>
      </w:r>
      <w:r>
        <w:rPr>
          <w:rFonts w:ascii="Times New Roman" w:cs="Times New Roman" w:eastAsia="Times New Roman" w:hAnsi="Times New Roman"/>
          <w:sz w:val="15"/>
          <w:szCs w:val="15"/>
          <w:color w:val="auto"/>
        </w:rPr>
        <w:t>” means this Indenture as amended or supplemented from time to time and shall include the form and terms of particular Series of Securities established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contemplated hereunder.</w:t>
      </w:r>
    </w:p>
    <w:p>
      <w:pPr>
        <w:spacing w:after="0" w:line="1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“interest</w:t>
      </w:r>
      <w:r>
        <w:rPr>
          <w:rFonts w:ascii="Times New Roman" w:cs="Times New Roman" w:eastAsia="Times New Roman" w:hAnsi="Times New Roman"/>
          <w:sz w:val="15"/>
          <w:szCs w:val="15"/>
          <w:color w:val="auto"/>
        </w:rPr>
        <w:t>” with respect to any Discount Security which by its terms bears interest only after Maturity, means interest payable after Maturity.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09" w:right="319" w:bottom="1440" w:gutter="0" w:footer="0" w:header="0"/>
        </w:sectPr>
      </w:pPr>
    </w:p>
    <w:bookmarkStart w:id="65" w:name="page66"/>
    <w:bookmarkEnd w:id="65"/>
    <w:p>
      <w:pPr>
        <w:jc w:val="both"/>
        <w:ind w:right="20" w:firstLine="1083"/>
        <w:spacing w:after="0" w:line="28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Maturity</w:t>
      </w:r>
      <w:r>
        <w:rPr>
          <w:rFonts w:ascii="Times New Roman" w:cs="Times New Roman" w:eastAsia="Times New Roman" w:hAnsi="Times New Roman"/>
          <w:sz w:val="15"/>
          <w:szCs w:val="15"/>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30"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“Officer</w:t>
      </w:r>
      <w:r>
        <w:rPr>
          <w:rFonts w:ascii="Times New Roman" w:cs="Times New Roman" w:eastAsia="Times New Roman" w:hAnsi="Times New Roman"/>
          <w:sz w:val="15"/>
          <w:szCs w:val="15"/>
          <w:color w:val="auto"/>
        </w:rPr>
        <w:t>” means the Chief Executive Officer, President, the Chief Financial Officer, the Treasurer or any Assistant Treasurer, the Secretary or any Assistant Secretary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any Vice President of the Company.</w:t>
      </w:r>
    </w:p>
    <w:p>
      <w:pPr>
        <w:spacing w:after="0" w:line="1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“Officer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 Certificate</w:t>
      </w:r>
      <w:r>
        <w:rPr>
          <w:rFonts w:ascii="Times New Roman" w:cs="Times New Roman" w:eastAsia="Times New Roman" w:hAnsi="Times New Roman"/>
          <w:sz w:val="15"/>
          <w:szCs w:val="15"/>
          <w:color w:val="auto"/>
        </w:rPr>
        <w:t>” means a certificate signed by any Officer that meets the requirements of this Indenture.</w:t>
      </w:r>
    </w:p>
    <w:p>
      <w:pPr>
        <w:spacing w:after="0" w:line="188"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“Opinion of Counsel</w:t>
      </w:r>
      <w:r>
        <w:rPr>
          <w:rFonts w:ascii="Times New Roman" w:cs="Times New Roman" w:eastAsia="Times New Roman" w:hAnsi="Times New Roman"/>
          <w:sz w:val="15"/>
          <w:szCs w:val="15"/>
          <w:color w:val="auto"/>
        </w:rPr>
        <w:t>” means a written opinion of legal counsel who is acceptable to the Trustee. The counsel may be an employee of or counsel to the Company.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opinion may contain customary limitations, conditions and exceptions.</w:t>
      </w:r>
    </w:p>
    <w:p>
      <w:pPr>
        <w:spacing w:after="0" w:line="130"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“person</w:t>
      </w:r>
      <w:r>
        <w:rPr>
          <w:rFonts w:ascii="Times New Roman" w:cs="Times New Roman" w:eastAsia="Times New Roman" w:hAnsi="Times New Roman"/>
          <w:sz w:val="15"/>
          <w:szCs w:val="15"/>
          <w:color w:val="auto"/>
        </w:rPr>
        <w:t>” means any individual, corporation, partnership, joint venture, association, limited liability company, joint-stock company, trust, unincorporated organization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government or any agency or political subdivision thereof.</w:t>
      </w:r>
    </w:p>
    <w:p>
      <w:pPr>
        <w:spacing w:after="0" w:line="1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“principal</w:t>
      </w:r>
      <w:r>
        <w:rPr>
          <w:rFonts w:ascii="Times New Roman" w:cs="Times New Roman" w:eastAsia="Times New Roman" w:hAnsi="Times New Roman"/>
          <w:sz w:val="15"/>
          <w:szCs w:val="15"/>
          <w:color w:val="auto"/>
        </w:rPr>
        <w:t>” of a Security means the principal of the Security plus, when appropriate, the premium, if any, on, the Security.</w:t>
      </w:r>
    </w:p>
    <w:p>
      <w:pPr>
        <w:spacing w:after="0" w:line="188"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“Responsible Officer</w:t>
      </w:r>
      <w:r>
        <w:rPr>
          <w:rFonts w:ascii="Times New Roman" w:cs="Times New Roman" w:eastAsia="Times New Roman" w:hAnsi="Times New Roman"/>
          <w:sz w:val="15"/>
          <w:szCs w:val="15"/>
          <w:color w:val="auto"/>
        </w:rPr>
        <w:t>” means any officer of the Trustee in its Corporate Trust Office having responsibility for administration of this Indenture and also means,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respect to a particular corporate trust matter, any other officer to whom any corporate trust matter is referred because of his or her knowledge of and familiarity with a particular subject.</w:t>
      </w:r>
    </w:p>
    <w:p>
      <w:pPr>
        <w:spacing w:after="0" w:line="1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“SEC</w:t>
      </w:r>
      <w:r>
        <w:rPr>
          <w:rFonts w:ascii="Times New Roman" w:cs="Times New Roman" w:eastAsia="Times New Roman" w:hAnsi="Times New Roman"/>
          <w:sz w:val="15"/>
          <w:szCs w:val="15"/>
          <w:color w:val="auto"/>
        </w:rPr>
        <w:t>” means the Securities and Exchange Commission.</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“Security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Securities</w:t>
      </w:r>
      <w:r>
        <w:rPr>
          <w:rFonts w:ascii="Times New Roman" w:cs="Times New Roman" w:eastAsia="Times New Roman" w:hAnsi="Times New Roman"/>
          <w:sz w:val="15"/>
          <w:szCs w:val="15"/>
          <w:color w:val="auto"/>
        </w:rPr>
        <w:t>” means the debentures, notes or other debt instruments of the Company of any Series authenticated and delivered under this Indenture.</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“Series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Series of Securities</w:t>
      </w:r>
      <w:r>
        <w:rPr>
          <w:rFonts w:ascii="Times New Roman" w:cs="Times New Roman" w:eastAsia="Times New Roman" w:hAnsi="Times New Roman"/>
          <w:sz w:val="15"/>
          <w:szCs w:val="15"/>
          <w:color w:val="auto"/>
        </w:rPr>
        <w:t>” means each series of debentures, notes or other debt instruments of the Company created pursuant to Sections 2.1 and 2.2 hereof.</w:t>
      </w:r>
    </w:p>
    <w:p>
      <w:pPr>
        <w:spacing w:after="0" w:line="188"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“Stated Maturity</w:t>
      </w:r>
      <w:r>
        <w:rPr>
          <w:rFonts w:ascii="Times New Roman" w:cs="Times New Roman" w:eastAsia="Times New Roman" w:hAnsi="Times New Roman"/>
          <w:sz w:val="15"/>
          <w:szCs w:val="15"/>
          <w:color w:val="auto"/>
        </w:rPr>
        <w:t>” when used with respect to any Security, means the date specified in such Security as the fixed date on which the principal of such Security or interest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 due and payable.</w:t>
      </w:r>
    </w:p>
    <w:p>
      <w:pPr>
        <w:spacing w:after="0" w:line="130" w:lineRule="exact"/>
        <w:rPr>
          <w:sz w:val="20"/>
          <w:szCs w:val="20"/>
          <w:color w:val="auto"/>
        </w:rPr>
      </w:pPr>
    </w:p>
    <w:p>
      <w:pPr>
        <w:jc w:val="both"/>
        <w:ind w:firstLine="1083"/>
        <w:spacing w:after="0" w:line="268" w:lineRule="auto"/>
        <w:rPr>
          <w:sz w:val="20"/>
          <w:szCs w:val="20"/>
          <w:color w:val="auto"/>
        </w:rPr>
      </w:pPr>
      <w:r>
        <w:rPr>
          <w:rFonts w:ascii="Times New Roman" w:cs="Times New Roman" w:eastAsia="Times New Roman" w:hAnsi="Times New Roman"/>
          <w:sz w:val="15"/>
          <w:szCs w:val="15"/>
          <w:i w:val="1"/>
          <w:iCs w:val="1"/>
          <w:color w:val="auto"/>
        </w:rPr>
        <w:t>“Subsidiary</w:t>
      </w:r>
      <w:r>
        <w:rPr>
          <w:rFonts w:ascii="Times New Roman" w:cs="Times New Roman" w:eastAsia="Times New Roman" w:hAnsi="Times New Roman"/>
          <w:sz w:val="15"/>
          <w:szCs w:val="15"/>
          <w:color w:val="auto"/>
        </w:rPr>
        <w:t>” of any specified person means any corporation, association or other business entity of which more than 50% of the total voting power of shares of Capital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44"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“TIA</w:t>
      </w:r>
      <w:r>
        <w:rPr>
          <w:rFonts w:ascii="Times New Roman" w:cs="Times New Roman" w:eastAsia="Times New Roman" w:hAnsi="Times New Roman"/>
          <w:sz w:val="15"/>
          <w:szCs w:val="15"/>
          <w:color w:val="auto"/>
        </w:rPr>
        <w:t>” means the Trust Indenture Act of 1939 (15 U.S. Code §§ 77aaa-77bbbb) as in effect on the date of this Indenture;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the event the Trust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Indenture Act of 1939 is amended after such date, “TIA” means, to the extent required by any such amendment, the Trust Indenture Act as so amended.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66" w:name="page67"/>
    <w:bookmarkEnd w:id="66"/>
    <w:p>
      <w:pPr>
        <w:jc w:val="both"/>
        <w:ind w:firstLine="1083"/>
        <w:spacing w:after="0" w:line="268" w:lineRule="auto"/>
        <w:rPr>
          <w:sz w:val="20"/>
          <w:szCs w:val="20"/>
          <w:color w:val="auto"/>
        </w:rPr>
      </w:pPr>
      <w:r>
        <w:rPr>
          <w:rFonts w:ascii="Times New Roman" w:cs="Times New Roman" w:eastAsia="Times New Roman" w:hAnsi="Times New Roman"/>
          <w:sz w:val="15"/>
          <w:szCs w:val="15"/>
          <w:i w:val="1"/>
          <w:iCs w:val="1"/>
          <w:color w:val="auto"/>
        </w:rPr>
        <w:t>“Trustee</w:t>
      </w:r>
      <w:r>
        <w:rPr>
          <w:rFonts w:ascii="Times New Roman" w:cs="Times New Roman" w:eastAsia="Times New Roman" w:hAnsi="Times New Roman"/>
          <w:sz w:val="15"/>
          <w:szCs w:val="15"/>
          <w:color w:val="auto"/>
        </w:rPr>
        <w:t>” means the person named as the “Trustee” in the first paragraph of this instrument until a successor Trustee shall have become such pursuant to the applicable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4" w:lineRule="exact"/>
        <w:rPr>
          <w:sz w:val="20"/>
          <w:szCs w:val="20"/>
          <w:color w:val="auto"/>
        </w:rPr>
      </w:pPr>
    </w:p>
    <w:p>
      <w:pPr>
        <w:jc w:val="both"/>
        <w:ind w:firstLine="1083"/>
        <w:spacing w:after="0" w:line="259" w:lineRule="auto"/>
        <w:rPr>
          <w:sz w:val="20"/>
          <w:szCs w:val="20"/>
          <w:color w:val="auto"/>
        </w:rPr>
      </w:pPr>
      <w:r>
        <w:rPr>
          <w:rFonts w:ascii="Times New Roman" w:cs="Times New Roman" w:eastAsia="Times New Roman" w:hAnsi="Times New Roman"/>
          <w:sz w:val="15"/>
          <w:szCs w:val="15"/>
          <w:i w:val="1"/>
          <w:iCs w:val="1"/>
          <w:color w:val="auto"/>
        </w:rPr>
        <w:t>“U.S. Government Obligations</w:t>
      </w:r>
      <w:r>
        <w:rPr>
          <w:rFonts w:ascii="Times New Roman" w:cs="Times New Roman" w:eastAsia="Times New Roman" w:hAnsi="Times New Roman"/>
          <w:sz w:val="15"/>
          <w:szCs w:val="15"/>
          <w:color w:val="auto"/>
        </w:rPr>
        <w:t>” means securities which are direct obligations of, or guaranteed by, the United States of America for the payment of which its full faith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43"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Section 1.2.</w:t>
            </w:r>
          </w:p>
        </w:tc>
        <w:tc>
          <w:tcPr>
            <w:tcW w:w="64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Definitions.</w:t>
            </w: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TERM</w:t>
            </w:r>
          </w:p>
        </w:tc>
        <w:tc>
          <w:tcPr>
            <w:tcW w:w="104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DEFINED IN SECTION</w:t>
            </w:r>
          </w:p>
        </w:tc>
        <w:tc>
          <w:tcPr>
            <w:tcW w:w="0" w:type="dxa"/>
            <w:vAlign w:val="bottom"/>
          </w:tcPr>
          <w:p>
            <w:pPr>
              <w:spacing w:after="0"/>
              <w:rPr>
                <w:sz w:val="1"/>
                <w:szCs w:val="1"/>
                <w:color w:val="auto"/>
              </w:rPr>
            </w:pPr>
          </w:p>
        </w:tc>
      </w:tr>
      <w:tr>
        <w:trPr>
          <w:trHeight w:val="375"/>
        </w:trPr>
        <w:tc>
          <w:tcPr>
            <w:tcW w:w="20" w:type="dxa"/>
            <w:vAlign w:val="bottom"/>
            <w:vMerge w:val="restart"/>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“Agent Member</w:t>
            </w:r>
            <w:r>
              <w:rPr>
                <w:rFonts w:ascii="Times New Roman" w:cs="Times New Roman" w:eastAsia="Times New Roman" w:hAnsi="Times New Roman"/>
                <w:sz w:val="15"/>
                <w:szCs w:val="15"/>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2.14.6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“Bankruptcy Law</w:t>
            </w:r>
            <w:r>
              <w:rPr>
                <w:rFonts w:ascii="Times New Roman" w:cs="Times New Roman" w:eastAsia="Times New Roman" w:hAnsi="Times New Roman"/>
                <w:sz w:val="15"/>
                <w:szCs w:val="15"/>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“Custodian</w:t>
            </w: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“Event of Default</w:t>
            </w:r>
            <w:r>
              <w:rPr>
                <w:rFonts w:ascii="Times New Roman" w:cs="Times New Roman" w:eastAsia="Times New Roman" w:hAnsi="Times New Roman"/>
                <w:sz w:val="15"/>
                <w:szCs w:val="15"/>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“Judgment Currency</w:t>
            </w:r>
            <w:r>
              <w:rPr>
                <w:rFonts w:ascii="Times New Roman" w:cs="Times New Roman" w:eastAsia="Times New Roman" w:hAnsi="Times New Roman"/>
                <w:sz w:val="15"/>
                <w:szCs w:val="15"/>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“mandatory sinking fund payment</w:t>
            </w:r>
            <w:r>
              <w:rPr>
                <w:rFonts w:ascii="Times New Roman" w:cs="Times New Roman" w:eastAsia="Times New Roman" w:hAnsi="Times New Roman"/>
                <w:sz w:val="15"/>
                <w:szCs w:val="15"/>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“New York Banking Day</w:t>
            </w:r>
            <w:r>
              <w:rPr>
                <w:rFonts w:ascii="Times New Roman" w:cs="Times New Roman" w:eastAsia="Times New Roman" w:hAnsi="Times New Roman"/>
                <w:sz w:val="15"/>
                <w:szCs w:val="15"/>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“Notice Agent</w:t>
            </w:r>
            <w:r>
              <w:rPr>
                <w:rFonts w:ascii="Times New Roman" w:cs="Times New Roman" w:eastAsia="Times New Roman" w:hAnsi="Times New Roman"/>
                <w:sz w:val="15"/>
                <w:szCs w:val="15"/>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“optional sinking fund payment</w:t>
            </w:r>
            <w:r>
              <w:rPr>
                <w:rFonts w:ascii="Times New Roman" w:cs="Times New Roman" w:eastAsia="Times New Roman" w:hAnsi="Times New Roman"/>
                <w:sz w:val="15"/>
                <w:szCs w:val="15"/>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11.1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“Paying Agent</w:t>
            </w:r>
            <w:r>
              <w:rPr>
                <w:rFonts w:ascii="Times New Roman" w:cs="Times New Roman" w:eastAsia="Times New Roman" w:hAnsi="Times New Roman"/>
                <w:sz w:val="15"/>
                <w:szCs w:val="15"/>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“Registrar</w:t>
            </w: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“Required Currency</w:t>
            </w:r>
            <w:r>
              <w:rPr>
                <w:rFonts w:ascii="Times New Roman" w:cs="Times New Roman" w:eastAsia="Times New Roman" w:hAnsi="Times New Roman"/>
                <w:sz w:val="15"/>
                <w:szCs w:val="15"/>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“Specified Courts</w:t>
            </w:r>
            <w:r>
              <w:rPr>
                <w:rFonts w:ascii="Times New Roman" w:cs="Times New Roman" w:eastAsia="Times New Roman" w:hAnsi="Times New Roman"/>
                <w:sz w:val="15"/>
                <w:szCs w:val="15"/>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8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“successor person</w:t>
            </w:r>
            <w:r>
              <w:rPr>
                <w:rFonts w:ascii="Times New Roman" w:cs="Times New Roman" w:eastAsia="Times New Roman" w:hAnsi="Times New Roman"/>
                <w:sz w:val="15"/>
                <w:szCs w:val="15"/>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Section 1.3.</w:t>
            </w:r>
          </w:p>
        </w:tc>
        <w:tc>
          <w:tcPr>
            <w:tcW w:w="64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Incorporation by Reference of Trust Indenture Act.</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1083"/>
        <w:spacing w:after="0" w:line="283" w:lineRule="auto"/>
        <w:rPr>
          <w:sz w:val="20"/>
          <w:szCs w:val="20"/>
          <w:color w:val="auto"/>
        </w:rPr>
      </w:pPr>
      <w:r>
        <w:rPr>
          <w:rFonts w:ascii="Times New Roman" w:cs="Times New Roman" w:eastAsia="Times New Roman" w:hAnsi="Times New Roman"/>
          <w:sz w:val="15"/>
          <w:szCs w:val="15"/>
          <w:color w:val="auto"/>
        </w:rPr>
        <w:t>Whenever this Indenture refers to a provision of the TIA, the provision is incorporated by reference in and made a part of this Indenture. The following TIA terms used in this Indenture have the following meanings:</w:t>
      </w:r>
    </w:p>
    <w:p>
      <w:pPr>
        <w:spacing w:after="0" w:line="1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“Commission</w:t>
      </w:r>
      <w:r>
        <w:rPr>
          <w:rFonts w:ascii="Times New Roman" w:cs="Times New Roman" w:eastAsia="Times New Roman" w:hAnsi="Times New Roman"/>
          <w:sz w:val="15"/>
          <w:szCs w:val="15"/>
          <w:color w:val="auto"/>
        </w:rPr>
        <w:t>” means the SEC.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67" w:name="page68"/>
    <w:bookmarkEnd w:id="67"/>
    <w:p>
      <w:pPr>
        <w:ind w:left="1080"/>
        <w:spacing w:after="0"/>
        <w:rPr>
          <w:sz w:val="20"/>
          <w:szCs w:val="20"/>
          <w:color w:val="auto"/>
        </w:rPr>
      </w:pPr>
      <w:r>
        <w:rPr>
          <w:rFonts w:ascii="Times New Roman" w:cs="Times New Roman" w:eastAsia="Times New Roman" w:hAnsi="Times New Roman"/>
          <w:sz w:val="15"/>
          <w:szCs w:val="15"/>
          <w:i w:val="1"/>
          <w:iCs w:val="1"/>
          <w:color w:val="auto"/>
        </w:rPr>
        <w:t>“indenture securities</w:t>
      </w:r>
      <w:r>
        <w:rPr>
          <w:rFonts w:ascii="Times New Roman" w:cs="Times New Roman" w:eastAsia="Times New Roman" w:hAnsi="Times New Roman"/>
          <w:sz w:val="15"/>
          <w:szCs w:val="15"/>
          <w:color w:val="auto"/>
        </w:rPr>
        <w:t>” means the Securities.</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“indenture security holder</w:t>
      </w:r>
      <w:r>
        <w:rPr>
          <w:rFonts w:ascii="Times New Roman" w:cs="Times New Roman" w:eastAsia="Times New Roman" w:hAnsi="Times New Roman"/>
          <w:sz w:val="15"/>
          <w:szCs w:val="15"/>
          <w:color w:val="auto"/>
        </w:rPr>
        <w:t>” means a Holder.</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“indenture to be qualified</w:t>
      </w:r>
      <w:r>
        <w:rPr>
          <w:rFonts w:ascii="Times New Roman" w:cs="Times New Roman" w:eastAsia="Times New Roman" w:hAnsi="Times New Roman"/>
          <w:sz w:val="15"/>
          <w:szCs w:val="15"/>
          <w:color w:val="auto"/>
        </w:rPr>
        <w:t>” means this Indenture.</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“indenture trustee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i w:val="1"/>
          <w:iCs w:val="1"/>
          <w:color w:val="auto"/>
        </w:rPr>
        <w:t>institutional trustee</w:t>
      </w:r>
      <w:r>
        <w:rPr>
          <w:rFonts w:ascii="Times New Roman" w:cs="Times New Roman" w:eastAsia="Times New Roman" w:hAnsi="Times New Roman"/>
          <w:sz w:val="15"/>
          <w:szCs w:val="15"/>
          <w:color w:val="auto"/>
        </w:rPr>
        <w:t>” means the Trustee.</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“obligor</w:t>
      </w:r>
      <w:r>
        <w:rPr>
          <w:rFonts w:ascii="Times New Roman" w:cs="Times New Roman" w:eastAsia="Times New Roman" w:hAnsi="Times New Roman"/>
          <w:sz w:val="15"/>
          <w:szCs w:val="15"/>
          <w:color w:val="auto"/>
        </w:rPr>
        <w:t>” on the indenture securities means the Company and any successor obligor upon the Securities.</w:t>
      </w:r>
    </w:p>
    <w:p>
      <w:pPr>
        <w:spacing w:after="0" w:line="190" w:lineRule="exact"/>
        <w:rPr>
          <w:sz w:val="20"/>
          <w:szCs w:val="20"/>
          <w:color w:val="auto"/>
        </w:rPr>
      </w:pPr>
    </w:p>
    <w:p>
      <w:pPr>
        <w:ind w:right="20" w:firstLine="1083"/>
        <w:spacing w:after="0" w:line="283" w:lineRule="auto"/>
        <w:rPr>
          <w:sz w:val="20"/>
          <w:szCs w:val="20"/>
          <w:color w:val="auto"/>
        </w:rPr>
      </w:pPr>
      <w:r>
        <w:rPr>
          <w:rFonts w:ascii="Times New Roman" w:cs="Times New Roman" w:eastAsia="Times New Roman" w:hAnsi="Times New Roman"/>
          <w:sz w:val="15"/>
          <w:szCs w:val="15"/>
          <w:color w:val="auto"/>
        </w:rPr>
        <w:t>All other terms used in this Indenture that are defined by the TIA, defined by TIA reference to another statute or defined by SEC rule under the TIA and not otherwise defined herein are used herein as so defined.</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1.4.</w:t>
      </w:r>
      <w:r>
        <w:rPr>
          <w:sz w:val="20"/>
          <w:szCs w:val="20"/>
          <w:color w:val="auto"/>
        </w:rPr>
        <w:tab/>
      </w:r>
      <w:r>
        <w:rPr>
          <w:rFonts w:ascii="Times New Roman" w:cs="Times New Roman" w:eastAsia="Times New Roman" w:hAnsi="Times New Roman"/>
          <w:sz w:val="15"/>
          <w:szCs w:val="15"/>
          <w:u w:val="single" w:color="auto"/>
          <w:color w:val="auto"/>
        </w:rPr>
        <w:t>Rules of Construction</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Unless the context otherwise requires:</w:t>
      </w:r>
    </w:p>
    <w:p>
      <w:pPr>
        <w:spacing w:after="0" w:line="188" w:lineRule="exact"/>
        <w:rPr>
          <w:sz w:val="20"/>
          <w:szCs w:val="20"/>
          <w:color w:val="auto"/>
        </w:rPr>
      </w:pPr>
    </w:p>
    <w:p>
      <w:pPr>
        <w:ind w:left="1500" w:hanging="427"/>
        <w:spacing w:after="0"/>
        <w:tabs>
          <w:tab w:leader="none" w:pos="15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term has the meaning assigned to it;</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accounting term not otherwise defined has the meaning assigned to it in accordance with GAAP;</w:t>
      </w:r>
    </w:p>
    <w:p>
      <w:pPr>
        <w:spacing w:after="0" w:line="186"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"or</w:t>
      </w:r>
      <w:r>
        <w:rPr>
          <w:rFonts w:ascii="Times New Roman" w:cs="Times New Roman" w:eastAsia="Times New Roman" w:hAnsi="Times New Roman"/>
          <w:sz w:val="15"/>
          <w:szCs w:val="15"/>
          <w:color w:val="auto"/>
        </w:rPr>
        <w:t>” is not exclusive;</w:t>
      </w:r>
    </w:p>
    <w:p>
      <w:pPr>
        <w:spacing w:after="0" w:line="190"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words in the singular include the plural, and in the plural include the singular;</w:t>
      </w:r>
    </w:p>
    <w:p>
      <w:pPr>
        <w:spacing w:after="0" w:line="188"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apply to successive events and transactions;</w:t>
      </w:r>
    </w:p>
    <w:p>
      <w:pPr>
        <w:spacing w:after="0" w:line="188" w:lineRule="exact"/>
        <w:rPr>
          <w:rFonts w:ascii="Times New Roman" w:cs="Times New Roman" w:eastAsia="Times New Roman" w:hAnsi="Times New Roman"/>
          <w:sz w:val="15"/>
          <w:szCs w:val="15"/>
          <w:color w:val="auto"/>
        </w:rPr>
      </w:pPr>
    </w:p>
    <w:p>
      <w:pPr>
        <w:ind w:left="540" w:firstLine="533"/>
        <w:spacing w:after="0" w:line="283" w:lineRule="auto"/>
        <w:tabs>
          <w:tab w:leader="none" w:pos="15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computation of periods of time from a specified date to a later specified date, the word “from” means “from and including,” and the words “to” and “until” each mean “to but excluding”; and</w:t>
      </w:r>
    </w:p>
    <w:p>
      <w:pPr>
        <w:spacing w:after="0" w:line="134" w:lineRule="exact"/>
        <w:rPr>
          <w:rFonts w:ascii="Times New Roman" w:cs="Times New Roman" w:eastAsia="Times New Roman" w:hAnsi="Times New Roman"/>
          <w:sz w:val="15"/>
          <w:szCs w:val="15"/>
          <w:color w:val="auto"/>
        </w:rPr>
      </w:pPr>
    </w:p>
    <w:p>
      <w:pPr>
        <w:ind w:left="1580" w:hanging="507"/>
        <w:spacing w:after="0"/>
        <w:tabs>
          <w:tab w:leader="none" w:pos="158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phrase “in writing” as used herein shall be deemed to include PDFs, e-mails and other electronic means of transmission, unless otherwise indicated.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SECURITIES</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2.1.</w:t>
      </w:r>
      <w:r>
        <w:rPr>
          <w:sz w:val="20"/>
          <w:szCs w:val="20"/>
          <w:color w:val="auto"/>
        </w:rPr>
        <w:tab/>
      </w:r>
      <w:r>
        <w:rPr>
          <w:rFonts w:ascii="Times New Roman" w:cs="Times New Roman" w:eastAsia="Times New Roman" w:hAnsi="Times New Roman"/>
          <w:sz w:val="14"/>
          <w:szCs w:val="14"/>
          <w:u w:val="single" w:color="auto"/>
          <w:color w:val="auto"/>
        </w:rPr>
        <w:t>Issuable in Series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68" w:name="page69"/>
    <w:bookmarkEnd w:id="68"/>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2.2.</w:t>
      </w:r>
      <w:r>
        <w:rPr>
          <w:sz w:val="20"/>
          <w:szCs w:val="20"/>
          <w:color w:val="auto"/>
        </w:rPr>
        <w:tab/>
      </w:r>
      <w:r>
        <w:rPr>
          <w:rFonts w:ascii="Times New Roman" w:cs="Times New Roman" w:eastAsia="Times New Roman" w:hAnsi="Times New Roman"/>
          <w:sz w:val="14"/>
          <w:szCs w:val="14"/>
          <w:u w:val="single" w:color="auto"/>
          <w:color w:val="auto"/>
        </w:rPr>
        <w:t>Establishment of Terms of Series of Securities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6"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2.2.1. the title (which shall distinguish the Securities of that particular Series from the Securities of any other Series) and ranking (including the terms of any subordination provisions) of the Series;</w:t>
      </w:r>
    </w:p>
    <w:p>
      <w:pPr>
        <w:spacing w:after="0" w:line="135" w:lineRule="exact"/>
        <w:rPr>
          <w:sz w:val="20"/>
          <w:szCs w:val="20"/>
          <w:color w:val="auto"/>
        </w:rPr>
      </w:pPr>
    </w:p>
    <w:p>
      <w:pPr>
        <w:ind w:left="1080"/>
        <w:spacing w:after="0"/>
        <w:tabs>
          <w:tab w:leader="none" w:pos="1700" w:val="left"/>
        </w:tabs>
        <w:rPr>
          <w:sz w:val="20"/>
          <w:szCs w:val="20"/>
          <w:color w:val="auto"/>
        </w:rPr>
      </w:pPr>
      <w:r>
        <w:rPr>
          <w:rFonts w:ascii="Times New Roman" w:cs="Times New Roman" w:eastAsia="Times New Roman" w:hAnsi="Times New Roman"/>
          <w:sz w:val="15"/>
          <w:szCs w:val="15"/>
          <w:color w:val="auto"/>
        </w:rPr>
        <w:t>2.2.2.</w:t>
      </w:r>
      <w:r>
        <w:rPr>
          <w:sz w:val="20"/>
          <w:szCs w:val="20"/>
          <w:color w:val="auto"/>
        </w:rPr>
        <w:tab/>
      </w:r>
      <w:r>
        <w:rPr>
          <w:rFonts w:ascii="Times New Roman" w:cs="Times New Roman" w:eastAsia="Times New Roman" w:hAnsi="Times New Roman"/>
          <w:sz w:val="15"/>
          <w:szCs w:val="15"/>
          <w:color w:val="auto"/>
        </w:rPr>
        <w:t>the price or prices (expressed as a percentage of the principal amount thereof) at which the Securities of the Series will be issued;</w:t>
      </w:r>
    </w:p>
    <w:p>
      <w:pPr>
        <w:spacing w:after="0" w:line="188"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35" w:lineRule="exact"/>
        <w:rPr>
          <w:sz w:val="20"/>
          <w:szCs w:val="20"/>
          <w:color w:val="auto"/>
        </w:rPr>
      </w:pPr>
    </w:p>
    <w:p>
      <w:pPr>
        <w:ind w:left="1080"/>
        <w:spacing w:after="0"/>
        <w:tabs>
          <w:tab w:leader="none" w:pos="1700" w:val="left"/>
        </w:tabs>
        <w:rPr>
          <w:sz w:val="20"/>
          <w:szCs w:val="20"/>
          <w:color w:val="auto"/>
        </w:rPr>
      </w:pPr>
      <w:r>
        <w:rPr>
          <w:rFonts w:ascii="Times New Roman" w:cs="Times New Roman" w:eastAsia="Times New Roman" w:hAnsi="Times New Roman"/>
          <w:sz w:val="15"/>
          <w:szCs w:val="15"/>
          <w:color w:val="auto"/>
        </w:rPr>
        <w:t>2.2.4.</w:t>
      </w:r>
      <w:r>
        <w:rPr>
          <w:sz w:val="20"/>
          <w:szCs w:val="20"/>
          <w:color w:val="auto"/>
        </w:rPr>
        <w:tab/>
      </w:r>
      <w:r>
        <w:rPr>
          <w:rFonts w:ascii="Times New Roman" w:cs="Times New Roman" w:eastAsia="Times New Roman" w:hAnsi="Times New Roman"/>
          <w:sz w:val="14"/>
          <w:szCs w:val="14"/>
          <w:color w:val="auto"/>
        </w:rPr>
        <w:t>the date or dates on which the principal of the Securities of the Series is payable;</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46"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6"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2.2.7. if applicable, the period or periods within which, the price or prices at which and the terms and conditions upon which the Securities of the Series may be redeemed, in whole or in part, at the option of the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69" w:name="page70"/>
    <w:bookmarkEnd w:id="69"/>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46"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3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5"/>
          <w:szCs w:val="15"/>
          <w:color w:val="auto"/>
        </w:rPr>
        <w:t>2.2.10.</w:t>
      </w:r>
      <w:r>
        <w:rPr>
          <w:sz w:val="20"/>
          <w:szCs w:val="20"/>
          <w:color w:val="auto"/>
        </w:rPr>
        <w:tab/>
      </w:r>
      <w:r>
        <w:rPr>
          <w:rFonts w:ascii="Times New Roman" w:cs="Times New Roman" w:eastAsia="Times New Roman" w:hAnsi="Times New Roman"/>
          <w:sz w:val="15"/>
          <w:szCs w:val="15"/>
          <w:color w:val="auto"/>
        </w:rPr>
        <w:t>if other than denominations of $1,000 and any integral multiple thereof, the denominations in which the Securities of the Series shall be issuable;</w:t>
      </w:r>
    </w:p>
    <w:p>
      <w:pPr>
        <w:spacing w:after="0" w:line="188"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5"/>
          <w:szCs w:val="15"/>
          <w:color w:val="auto"/>
        </w:rPr>
        <w:t>2.2.11.</w:t>
      </w:r>
      <w:r>
        <w:rPr>
          <w:sz w:val="20"/>
          <w:szCs w:val="20"/>
          <w:color w:val="auto"/>
        </w:rPr>
        <w:tab/>
      </w:r>
      <w:r>
        <w:rPr>
          <w:rFonts w:ascii="Times New Roman" w:cs="Times New Roman" w:eastAsia="Times New Roman" w:hAnsi="Times New Roman"/>
          <w:sz w:val="15"/>
          <w:szCs w:val="15"/>
          <w:color w:val="auto"/>
        </w:rPr>
        <w:t>the forms of the Securities of the Series and whether the Securities will be issuable as Global Securities;</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3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35"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5"/>
          <w:szCs w:val="15"/>
          <w:color w:val="auto"/>
        </w:rPr>
        <w:t>2.2.14.</w:t>
      </w:r>
      <w:r>
        <w:rPr>
          <w:sz w:val="20"/>
          <w:szCs w:val="20"/>
          <w:color w:val="auto"/>
        </w:rPr>
        <w:tab/>
      </w:r>
      <w:r>
        <w:rPr>
          <w:rFonts w:ascii="Times New Roman" w:cs="Times New Roman" w:eastAsia="Times New Roman" w:hAnsi="Times New Roman"/>
          <w:sz w:val="15"/>
          <w:szCs w:val="15"/>
          <w:color w:val="auto"/>
        </w:rPr>
        <w:t>the designation of the currency, currencies or currency units in which payment of the principal of and interest, if any, on the Securities of the Series will be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made;</w:t>
      </w:r>
    </w:p>
    <w:p>
      <w:pPr>
        <w:spacing w:after="0" w:line="173"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3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3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5"/>
          <w:szCs w:val="15"/>
          <w:color w:val="auto"/>
        </w:rPr>
        <w:t>2.2.17.</w:t>
      </w:r>
      <w:r>
        <w:rPr>
          <w:sz w:val="20"/>
          <w:szCs w:val="20"/>
          <w:color w:val="auto"/>
        </w:rPr>
        <w:tab/>
      </w:r>
      <w:r>
        <w:rPr>
          <w:rFonts w:ascii="Times New Roman" w:cs="Times New Roman" w:eastAsia="Times New Roman" w:hAnsi="Times New Roman"/>
          <w:sz w:val="15"/>
          <w:szCs w:val="15"/>
          <w:color w:val="auto"/>
        </w:rPr>
        <w:t>the provisions, if any, relating to any security provided for the Securities of the Series;</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3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5"/>
          <w:szCs w:val="15"/>
          <w:color w:val="auto"/>
        </w:rPr>
        <w:t>2.2.19.</w:t>
      </w:r>
      <w:r>
        <w:rPr>
          <w:sz w:val="20"/>
          <w:szCs w:val="20"/>
          <w:color w:val="auto"/>
        </w:rPr>
        <w:tab/>
      </w:r>
      <w:r>
        <w:rPr>
          <w:rFonts w:ascii="Times New Roman" w:cs="Times New Roman" w:eastAsia="Times New Roman" w:hAnsi="Times New Roman"/>
          <w:sz w:val="15"/>
          <w:szCs w:val="15"/>
          <w:color w:val="auto"/>
        </w:rPr>
        <w:t>any addition to, deletion of or change in the covenants applicable to Securities of the Series;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0" w:name="page71"/>
    <w:bookmarkEnd w:id="70"/>
    <w:p>
      <w:pPr>
        <w:ind w:left="1080"/>
        <w:spacing w:after="0"/>
        <w:tabs>
          <w:tab w:leader="none" w:pos="1780" w:val="left"/>
        </w:tabs>
        <w:rPr>
          <w:sz w:val="20"/>
          <w:szCs w:val="20"/>
          <w:color w:val="auto"/>
        </w:rPr>
      </w:pPr>
      <w:r>
        <w:rPr>
          <w:rFonts w:ascii="Times New Roman" w:cs="Times New Roman" w:eastAsia="Times New Roman" w:hAnsi="Times New Roman"/>
          <w:sz w:val="15"/>
          <w:szCs w:val="15"/>
          <w:color w:val="auto"/>
        </w:rPr>
        <w:t>2.2.20.</w:t>
      </w:r>
      <w:r>
        <w:rPr>
          <w:sz w:val="20"/>
          <w:szCs w:val="20"/>
          <w:color w:val="auto"/>
        </w:rPr>
        <w:tab/>
      </w:r>
      <w:r>
        <w:rPr>
          <w:rFonts w:ascii="Times New Roman" w:cs="Times New Roman" w:eastAsia="Times New Roman" w:hAnsi="Times New Roman"/>
          <w:sz w:val="15"/>
          <w:szCs w:val="15"/>
          <w:color w:val="auto"/>
        </w:rPr>
        <w:t>any Depositaries, interest rate calculation agents, exchange rate calculation agents or other agents with respect to Securities of such Series if other than those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appointed herein;</w:t>
      </w:r>
    </w:p>
    <w:p>
      <w:pPr>
        <w:spacing w:after="0" w:line="173"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46"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35" w:lineRule="exact"/>
        <w:rPr>
          <w:sz w:val="20"/>
          <w:szCs w:val="20"/>
          <w:color w:val="auto"/>
        </w:rPr>
      </w:pPr>
    </w:p>
    <w:p>
      <w:pPr>
        <w:ind w:left="1080"/>
        <w:spacing w:after="0"/>
        <w:tabs>
          <w:tab w:leader="none" w:pos="1780" w:val="left"/>
        </w:tabs>
        <w:rPr>
          <w:sz w:val="20"/>
          <w:szCs w:val="20"/>
          <w:color w:val="auto"/>
        </w:rPr>
      </w:pPr>
      <w:r>
        <w:rPr>
          <w:rFonts w:ascii="Times New Roman" w:cs="Times New Roman" w:eastAsia="Times New Roman" w:hAnsi="Times New Roman"/>
          <w:sz w:val="15"/>
          <w:szCs w:val="15"/>
          <w:color w:val="auto"/>
        </w:rPr>
        <w:t>2.2.23.</w:t>
      </w:r>
      <w:r>
        <w:rPr>
          <w:sz w:val="20"/>
          <w:szCs w:val="20"/>
          <w:color w:val="auto"/>
        </w:rPr>
        <w:tab/>
      </w:r>
      <w:r>
        <w:rPr>
          <w:rFonts w:ascii="Times New Roman" w:cs="Times New Roman" w:eastAsia="Times New Roman" w:hAnsi="Times New Roman"/>
          <w:sz w:val="15"/>
          <w:szCs w:val="15"/>
          <w:color w:val="auto"/>
        </w:rPr>
        <w:t>whether any of the Company’s direct or indirect Subsidiaries will guarantee the Securities of that Series, including the terms of subordination, if any, of such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guarantees.</w:t>
      </w:r>
    </w:p>
    <w:p>
      <w:pPr>
        <w:spacing w:after="0" w:line="173"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2.3.</w:t>
      </w:r>
      <w:r>
        <w:rPr>
          <w:sz w:val="20"/>
          <w:szCs w:val="20"/>
          <w:color w:val="auto"/>
        </w:rPr>
        <w:tab/>
      </w:r>
      <w:r>
        <w:rPr>
          <w:rFonts w:ascii="Times New Roman" w:cs="Times New Roman" w:eastAsia="Times New Roman" w:hAnsi="Times New Roman"/>
          <w:sz w:val="14"/>
          <w:szCs w:val="14"/>
          <w:u w:val="single" w:color="auto"/>
          <w:color w:val="auto"/>
        </w:rPr>
        <w:t>Execution and Authentication</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An Officer shall sign the Securities for the Company by manual, facsimile or electronic signature.</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If an Officer whose signature is on a Security no longer holds that office at the time the Security is authenticated, the Security shall nevertheless be valid.</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35"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3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1" w:name="page72"/>
    <w:bookmarkEnd w:id="71"/>
    <w:p>
      <w:pPr>
        <w:jc w:val="both"/>
        <w:ind w:right="20" w:firstLine="1083"/>
        <w:spacing w:after="0" w:line="267" w:lineRule="auto"/>
        <w:rPr>
          <w:sz w:val="20"/>
          <w:szCs w:val="20"/>
          <w:color w:val="auto"/>
        </w:rPr>
      </w:pPr>
      <w:r>
        <w:rPr>
          <w:rFonts w:ascii="Times New Roman" w:cs="Times New Roman" w:eastAsia="Times New Roman" w:hAnsi="Times New Roman"/>
          <w:sz w:val="15"/>
          <w:szCs w:val="15"/>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w:t>
      </w:r>
    </w:p>
    <w:p>
      <w:pPr>
        <w:spacing w:after="0" w:line="146"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35"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46"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2.4.</w:t>
      </w:r>
      <w:r>
        <w:rPr>
          <w:sz w:val="20"/>
          <w:szCs w:val="20"/>
          <w:color w:val="auto"/>
        </w:rPr>
        <w:tab/>
      </w:r>
      <w:r>
        <w:rPr>
          <w:rFonts w:ascii="Times New Roman" w:cs="Times New Roman" w:eastAsia="Times New Roman" w:hAnsi="Times New Roman"/>
          <w:sz w:val="15"/>
          <w:szCs w:val="15"/>
          <w:u w:val="single" w:color="auto"/>
          <w:color w:val="auto"/>
        </w:rPr>
        <w:t>Registrar, Paying Agent and Notice Agent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5" w:lineRule="auto"/>
        <w:rPr>
          <w:sz w:val="20"/>
          <w:szCs w:val="20"/>
          <w:color w:val="auto"/>
        </w:rPr>
      </w:pPr>
      <w:r>
        <w:rPr>
          <w:rFonts w:ascii="Times New Roman" w:cs="Times New Roman" w:eastAsia="Times New Roman" w:hAnsi="Times New Roman"/>
          <w:sz w:val="15"/>
          <w:szCs w:val="15"/>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5"/>
          <w:szCs w:val="15"/>
          <w:i w:val="1"/>
          <w:iCs w:val="1"/>
          <w:color w:val="auto"/>
        </w:rPr>
        <w:t>Paying Agent</w:t>
      </w:r>
      <w:r>
        <w:rPr>
          <w:rFonts w:ascii="Times New Roman" w:cs="Times New Roman" w:eastAsia="Times New Roman" w:hAnsi="Times New Roman"/>
          <w:sz w:val="15"/>
          <w:szCs w:val="15"/>
          <w:color w:val="auto"/>
        </w:rPr>
        <w:t>”), where Securities of such Series may be surrendered for registration of transfer or exchange (“</w:t>
      </w:r>
      <w:r>
        <w:rPr>
          <w:rFonts w:ascii="Times New Roman" w:cs="Times New Roman" w:eastAsia="Times New Roman" w:hAnsi="Times New Roman"/>
          <w:sz w:val="15"/>
          <w:szCs w:val="15"/>
          <w:i w:val="1"/>
          <w:iCs w:val="1"/>
          <w:color w:val="auto"/>
        </w:rPr>
        <w:t>Registrar</w:t>
      </w:r>
      <w:r>
        <w:rPr>
          <w:rFonts w:ascii="Times New Roman" w:cs="Times New Roman" w:eastAsia="Times New Roman" w:hAnsi="Times New Roman"/>
          <w:sz w:val="15"/>
          <w:szCs w:val="15"/>
          <w:color w:val="auto"/>
        </w:rPr>
        <w:t>”) and where notices and demands to or upon the Company in respect of the Securities of such Series and this Indenture may be delivered (“</w:t>
      </w:r>
      <w:r>
        <w:rPr>
          <w:rFonts w:ascii="Times New Roman" w:cs="Times New Roman" w:eastAsia="Times New Roman" w:hAnsi="Times New Roman"/>
          <w:sz w:val="15"/>
          <w:szCs w:val="15"/>
          <w:i w:val="1"/>
          <w:iCs w:val="1"/>
          <w:color w:val="auto"/>
        </w:rPr>
        <w:t>Notice Agent</w:t>
      </w:r>
      <w:r>
        <w:rPr>
          <w:rFonts w:ascii="Times New Roman" w:cs="Times New Roman" w:eastAsia="Times New Roman" w:hAnsi="Times New Roman"/>
          <w:sz w:val="15"/>
          <w:szCs w:val="15"/>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any appointment of the Trustee as the Notice Agent shall exclude the appointment of the Trustee or any office of the Trustee as an agent to receive the service of legal process on the Company.</w:t>
      </w:r>
    </w:p>
    <w:p>
      <w:pPr>
        <w:spacing w:after="0" w:line="155"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5"/>
          <w:szCs w:val="15"/>
          <w:i w:val="1"/>
          <w:iCs w:val="1"/>
          <w:color w:val="auto"/>
        </w:rPr>
        <w:t>Registrar</w:t>
      </w:r>
      <w:r>
        <w:rPr>
          <w:rFonts w:ascii="Times New Roman" w:cs="Times New Roman" w:eastAsia="Times New Roman" w:hAnsi="Times New Roman"/>
          <w:sz w:val="15"/>
          <w:szCs w:val="15"/>
          <w:color w:val="auto"/>
        </w:rPr>
        <w:t>” includes any co-registrar; the term “</w:t>
      </w:r>
      <w:r>
        <w:rPr>
          <w:rFonts w:ascii="Times New Roman" w:cs="Times New Roman" w:eastAsia="Times New Roman" w:hAnsi="Times New Roman"/>
          <w:sz w:val="15"/>
          <w:szCs w:val="15"/>
          <w:i w:val="1"/>
          <w:iCs w:val="1"/>
          <w:color w:val="auto"/>
        </w:rPr>
        <w:t>Paying Agent</w:t>
      </w:r>
      <w:r>
        <w:rPr>
          <w:rFonts w:ascii="Times New Roman" w:cs="Times New Roman" w:eastAsia="Times New Roman" w:hAnsi="Times New Roman"/>
          <w:sz w:val="15"/>
          <w:szCs w:val="15"/>
          <w:color w:val="auto"/>
        </w:rPr>
        <w:t>” includes any additional paying agent; and the term “</w:t>
      </w:r>
      <w:r>
        <w:rPr>
          <w:rFonts w:ascii="Times New Roman" w:cs="Times New Roman" w:eastAsia="Times New Roman" w:hAnsi="Times New Roman"/>
          <w:sz w:val="15"/>
          <w:szCs w:val="15"/>
          <w:i w:val="1"/>
          <w:iCs w:val="1"/>
          <w:color w:val="auto"/>
        </w:rPr>
        <w:t>Notice Agent</w:t>
      </w:r>
      <w:r>
        <w:rPr>
          <w:rFonts w:ascii="Times New Roman" w:cs="Times New Roman" w:eastAsia="Times New Roman" w:hAnsi="Times New Roman"/>
          <w:sz w:val="15"/>
          <w:szCs w:val="15"/>
          <w:color w:val="auto"/>
        </w:rPr>
        <w:t>” includes any additional notice agent. The Company or any of its Affiliates may serve as Registrar or Paying Agent.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2" w:name="page73"/>
    <w:bookmarkEnd w:id="72"/>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146"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2.5.</w:t>
      </w:r>
      <w:r>
        <w:rPr>
          <w:sz w:val="20"/>
          <w:szCs w:val="20"/>
          <w:color w:val="auto"/>
        </w:rPr>
        <w:tab/>
      </w:r>
      <w:r>
        <w:rPr>
          <w:rFonts w:ascii="Times New Roman" w:cs="Times New Roman" w:eastAsia="Times New Roman" w:hAnsi="Times New Roman"/>
          <w:sz w:val="14"/>
          <w:szCs w:val="14"/>
          <w:u w:val="single" w:color="auto"/>
          <w:color w:val="auto"/>
        </w:rPr>
        <w:t>Paying Agent to Hold Money in Trust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5" w:lineRule="auto"/>
        <w:rPr>
          <w:sz w:val="20"/>
          <w:szCs w:val="20"/>
          <w:color w:val="auto"/>
        </w:rPr>
      </w:pPr>
      <w:r>
        <w:rPr>
          <w:rFonts w:ascii="Times New Roman" w:cs="Times New Roman" w:eastAsia="Times New Roman" w:hAnsi="Times New Roman"/>
          <w:sz w:val="15"/>
          <w:szCs w:val="15"/>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5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2.6.</w:t>
      </w:r>
      <w:r>
        <w:rPr>
          <w:sz w:val="20"/>
          <w:szCs w:val="20"/>
          <w:color w:val="auto"/>
        </w:rPr>
        <w:tab/>
      </w:r>
      <w:r>
        <w:rPr>
          <w:rFonts w:ascii="Times New Roman" w:cs="Times New Roman" w:eastAsia="Times New Roman" w:hAnsi="Times New Roman"/>
          <w:sz w:val="14"/>
          <w:szCs w:val="14"/>
          <w:u w:val="single" w:color="auto"/>
          <w:color w:val="auto"/>
        </w:rPr>
        <w:t>Holder Lists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52" w:lineRule="exact"/>
        <w:rPr>
          <w:sz w:val="20"/>
          <w:szCs w:val="20"/>
          <w:color w:val="auto"/>
        </w:rPr>
      </w:pPr>
    </w:p>
    <w:p>
      <w:pPr>
        <w:jc w:val="both"/>
        <w:ind w:right="20" w:firstLine="1083"/>
        <w:spacing w:after="0" w:line="267" w:lineRule="auto"/>
        <w:rPr>
          <w:sz w:val="20"/>
          <w:szCs w:val="20"/>
          <w:color w:val="auto"/>
        </w:rPr>
      </w:pPr>
      <w:r>
        <w:rPr>
          <w:rFonts w:ascii="Times New Roman" w:cs="Times New Roman" w:eastAsia="Times New Roman" w:hAnsi="Times New Roman"/>
          <w:sz w:val="15"/>
          <w:szCs w:val="15"/>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3" w:name="page74"/>
    <w:bookmarkEnd w:id="73"/>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2.7.</w:t>
      </w:r>
      <w:r>
        <w:rPr>
          <w:sz w:val="20"/>
          <w:szCs w:val="20"/>
          <w:color w:val="auto"/>
        </w:rPr>
        <w:tab/>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9" w:lineRule="auto"/>
        <w:rPr>
          <w:sz w:val="20"/>
          <w:szCs w:val="20"/>
          <w:color w:val="auto"/>
        </w:rPr>
      </w:pPr>
      <w:r>
        <w:rPr>
          <w:rFonts w:ascii="Times New Roman" w:cs="Times New Roman" w:eastAsia="Times New Roman" w:hAnsi="Times New Roman"/>
          <w:sz w:val="15"/>
          <w:szCs w:val="15"/>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52" w:lineRule="exact"/>
        <w:rPr>
          <w:sz w:val="20"/>
          <w:szCs w:val="20"/>
          <w:color w:val="auto"/>
        </w:rPr>
      </w:pPr>
    </w:p>
    <w:p>
      <w:pPr>
        <w:jc w:val="both"/>
        <w:ind w:firstLine="1083"/>
        <w:spacing w:after="0" w:line="259" w:lineRule="auto"/>
        <w:rPr>
          <w:sz w:val="20"/>
          <w:szCs w:val="20"/>
          <w:color w:val="auto"/>
        </w:rPr>
      </w:pPr>
      <w:r>
        <w:rPr>
          <w:rFonts w:ascii="Times New Roman" w:cs="Times New Roman" w:eastAsia="Times New Roman" w:hAnsi="Times New Roman"/>
          <w:sz w:val="15"/>
          <w:szCs w:val="15"/>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152"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2.8.</w:t>
      </w:r>
      <w:r>
        <w:rPr>
          <w:sz w:val="20"/>
          <w:szCs w:val="20"/>
          <w:color w:val="auto"/>
        </w:rPr>
        <w:tab/>
      </w:r>
      <w:r>
        <w:rPr>
          <w:rFonts w:ascii="Times New Roman" w:cs="Times New Roman" w:eastAsia="Times New Roman" w:hAnsi="Times New Roman"/>
          <w:sz w:val="15"/>
          <w:szCs w:val="15"/>
          <w:u w:val="single" w:color="auto"/>
          <w:color w:val="auto"/>
        </w:rPr>
        <w:t>Mutilated, Destroyed, Lost and Stolen Securities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35"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52"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In case any such mutilated, destroyed, lost or stolen Security has become or is about to become due and payable, the Company in its discretion may, instead of issuing a new Security, pay such Security.</w:t>
      </w:r>
    </w:p>
    <w:p>
      <w:pPr>
        <w:spacing w:after="0" w:line="135"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5"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4" w:name="page75"/>
    <w:bookmarkEnd w:id="74"/>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provisions of this Section are exclusive and shall preclude (to the extent lawful) all other rights and remedies with respect to the replacement or payment of mutilated, destroyed, lost or stolen Securities.</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2.9.</w:t>
      </w:r>
      <w:r>
        <w:rPr>
          <w:sz w:val="20"/>
          <w:szCs w:val="20"/>
          <w:color w:val="auto"/>
        </w:rPr>
        <w:tab/>
      </w:r>
      <w:r>
        <w:rPr>
          <w:rFonts w:ascii="Times New Roman" w:cs="Times New Roman" w:eastAsia="Times New Roman" w:hAnsi="Times New Roman"/>
          <w:sz w:val="14"/>
          <w:szCs w:val="14"/>
          <w:u w:val="single" w:color="auto"/>
          <w:color w:val="auto"/>
        </w:rPr>
        <w:t>Outstanding Securities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If a Security is replaced pursuant to Section 2.8, it ceases to be outstanding until the Trustee receives proof satisfactory to it that the replaced Security is held by a bona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fide purchaser.</w:t>
      </w:r>
    </w:p>
    <w:p>
      <w:pPr>
        <w:spacing w:after="0" w:line="173"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3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35"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6"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2.10.</w:t>
      </w:r>
      <w:r>
        <w:rPr>
          <w:sz w:val="20"/>
          <w:szCs w:val="20"/>
          <w:color w:val="auto"/>
        </w:rPr>
        <w:tab/>
      </w:r>
      <w:r>
        <w:rPr>
          <w:rFonts w:ascii="Times New Roman" w:cs="Times New Roman" w:eastAsia="Times New Roman" w:hAnsi="Times New Roman"/>
          <w:sz w:val="14"/>
          <w:szCs w:val="14"/>
          <w:u w:val="single" w:color="auto"/>
          <w:color w:val="auto"/>
        </w:rPr>
        <w:t>Treasury Securities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52"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2.11.</w:t>
      </w:r>
      <w:r>
        <w:rPr>
          <w:sz w:val="20"/>
          <w:szCs w:val="20"/>
          <w:color w:val="auto"/>
        </w:rPr>
        <w:tab/>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5" w:name="page76"/>
    <w:bookmarkEnd w:id="75"/>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2.12.</w:t>
      </w:r>
      <w:r>
        <w:rPr>
          <w:sz w:val="20"/>
          <w:szCs w:val="20"/>
          <w:color w:val="auto"/>
        </w:rPr>
        <w:tab/>
      </w:r>
      <w:r>
        <w:rPr>
          <w:rFonts w:ascii="Times New Roman" w:cs="Times New Roman" w:eastAsia="Times New Roman" w:hAnsi="Times New Roman"/>
          <w:sz w:val="15"/>
          <w:szCs w:val="15"/>
          <w:u w:val="single" w:color="auto"/>
          <w:color w:val="auto"/>
        </w:rPr>
        <w:t>Cancellation</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52"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2.13.</w:t>
      </w:r>
      <w:r>
        <w:rPr>
          <w:sz w:val="20"/>
          <w:szCs w:val="20"/>
          <w:color w:val="auto"/>
        </w:rPr>
        <w:tab/>
      </w:r>
      <w:r>
        <w:rPr>
          <w:rFonts w:ascii="Times New Roman" w:cs="Times New Roman" w:eastAsia="Times New Roman" w:hAnsi="Times New Roman"/>
          <w:sz w:val="15"/>
          <w:szCs w:val="15"/>
          <w:u w:val="single" w:color="auto"/>
          <w:color w:val="auto"/>
        </w:rPr>
        <w:t>Defaulted Interest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52"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2.14.</w:t>
      </w:r>
      <w:r>
        <w:rPr>
          <w:sz w:val="20"/>
          <w:szCs w:val="20"/>
          <w:color w:val="auto"/>
        </w:rPr>
        <w:tab/>
      </w:r>
      <w:r>
        <w:rPr>
          <w:rFonts w:ascii="Times New Roman" w:cs="Times New Roman" w:eastAsia="Times New Roman" w:hAnsi="Times New Roman"/>
          <w:sz w:val="15"/>
          <w:szCs w:val="15"/>
          <w:u w:val="single" w:color="auto"/>
          <w:color w:val="auto"/>
        </w:rPr>
        <w:t>Global Securities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 xml:space="preserve">2.14.1. </w:t>
      </w:r>
      <w:r>
        <w:rPr>
          <w:rFonts w:ascii="Times New Roman" w:cs="Times New Roman" w:eastAsia="Times New Roman" w:hAnsi="Times New Roman"/>
          <w:sz w:val="15"/>
          <w:szCs w:val="15"/>
          <w:u w:val="single" w:color="auto"/>
          <w:color w:val="auto"/>
        </w:rPr>
        <w:t>Terms of Securities</w:t>
      </w:r>
      <w:r>
        <w:rPr>
          <w:rFonts w:ascii="Times New Roman" w:cs="Times New Roman" w:eastAsia="Times New Roman" w:hAnsi="Times New Roman"/>
          <w:sz w:val="15"/>
          <w:szCs w:val="15"/>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35" w:lineRule="exact"/>
        <w:rPr>
          <w:sz w:val="20"/>
          <w:szCs w:val="20"/>
          <w:color w:val="auto"/>
        </w:rPr>
      </w:pPr>
    </w:p>
    <w:p>
      <w:pPr>
        <w:jc w:val="both"/>
        <w:ind w:firstLine="1083"/>
        <w:spacing w:after="0" w:line="256" w:lineRule="auto"/>
        <w:rPr>
          <w:sz w:val="20"/>
          <w:szCs w:val="20"/>
          <w:color w:val="auto"/>
        </w:rPr>
      </w:pPr>
      <w:r>
        <w:rPr>
          <w:rFonts w:ascii="Times New Roman" w:cs="Times New Roman" w:eastAsia="Times New Roman" w:hAnsi="Times New Roman"/>
          <w:sz w:val="15"/>
          <w:szCs w:val="15"/>
          <w:color w:val="auto"/>
        </w:rPr>
        <w:t xml:space="preserve">2.14.2. </w:t>
      </w:r>
      <w:r>
        <w:rPr>
          <w:rFonts w:ascii="Times New Roman" w:cs="Times New Roman" w:eastAsia="Times New Roman" w:hAnsi="Times New Roman"/>
          <w:sz w:val="15"/>
          <w:szCs w:val="15"/>
          <w:u w:val="single" w:color="auto"/>
          <w:color w:val="auto"/>
        </w:rPr>
        <w:t>Transfer and Exchange</w:t>
      </w:r>
      <w:r>
        <w:rPr>
          <w:rFonts w:ascii="Times New Roman" w:cs="Times New Roman" w:eastAsia="Times New Roman" w:hAnsi="Times New Roman"/>
          <w:sz w:val="15"/>
          <w:szCs w:val="15"/>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6" w:name="page77"/>
    <w:bookmarkEnd w:id="76"/>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46"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52"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52"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5"/>
          <w:szCs w:val="15"/>
          <w:color w:val="auto"/>
        </w:rPr>
        <w:t>2.14.3.</w:t>
      </w:r>
      <w:r>
        <w:rPr>
          <w:sz w:val="20"/>
          <w:szCs w:val="20"/>
          <w:color w:val="auto"/>
        </w:rPr>
        <w:tab/>
      </w:r>
      <w:r>
        <w:rPr>
          <w:rFonts w:ascii="Times New Roman" w:cs="Times New Roman" w:eastAsia="Times New Roman" w:hAnsi="Times New Roman"/>
          <w:sz w:val="15"/>
          <w:szCs w:val="15"/>
          <w:u w:val="single" w:color="auto"/>
          <w:color w:val="auto"/>
        </w:rPr>
        <w:t>Legends</w:t>
      </w:r>
      <w:r>
        <w:rPr>
          <w:rFonts w:ascii="Times New Roman" w:cs="Times New Roman" w:eastAsia="Times New Roman" w:hAnsi="Times New Roman"/>
          <w:sz w:val="15"/>
          <w:szCs w:val="15"/>
          <w:color w:val="auto"/>
        </w:rPr>
        <w:t>. Any Global Security issued hereunder shall bear a legend in substantially the following form:</w:t>
      </w:r>
    </w:p>
    <w:p>
      <w:pPr>
        <w:spacing w:after="0" w:line="188"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5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In addition, so long as the Depository Trust Company (“DTC”) is the Depositary, each Global Security registered in the name of DTC or its nominee shall bear a legend in substantially the following form:</w:t>
      </w:r>
    </w:p>
    <w:p>
      <w:pPr>
        <w:spacing w:after="0" w:line="135"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7" w:name="page78"/>
    <w:bookmarkEnd w:id="77"/>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 xml:space="preserve">2.14.4. </w:t>
      </w:r>
      <w:r>
        <w:rPr>
          <w:rFonts w:ascii="Times New Roman" w:cs="Times New Roman" w:eastAsia="Times New Roman" w:hAnsi="Times New Roman"/>
          <w:sz w:val="15"/>
          <w:szCs w:val="15"/>
          <w:u w:val="single" w:color="auto"/>
          <w:color w:val="auto"/>
        </w:rPr>
        <w:t>Acts of Holders</w:t>
      </w:r>
      <w:r>
        <w:rPr>
          <w:rFonts w:ascii="Times New Roman" w:cs="Times New Roman" w:eastAsia="Times New Roman" w:hAnsi="Times New Roman"/>
          <w:sz w:val="15"/>
          <w:szCs w:val="15"/>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3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 xml:space="preserve">2.14.5. </w:t>
      </w:r>
      <w:r>
        <w:rPr>
          <w:rFonts w:ascii="Times New Roman" w:cs="Times New Roman" w:eastAsia="Times New Roman" w:hAnsi="Times New Roman"/>
          <w:sz w:val="15"/>
          <w:szCs w:val="15"/>
          <w:u w:val="single" w:color="auto"/>
          <w:color w:val="auto"/>
        </w:rPr>
        <w:t>Payments</w:t>
      </w:r>
      <w:r>
        <w:rPr>
          <w:rFonts w:ascii="Times New Roman" w:cs="Times New Roman" w:eastAsia="Times New Roman" w:hAnsi="Times New Roman"/>
          <w:sz w:val="15"/>
          <w:szCs w:val="15"/>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35" w:lineRule="exact"/>
        <w:rPr>
          <w:sz w:val="20"/>
          <w:szCs w:val="20"/>
          <w:color w:val="auto"/>
        </w:rPr>
      </w:pPr>
    </w:p>
    <w:p>
      <w:pPr>
        <w:jc w:val="both"/>
        <w:ind w:firstLine="1083"/>
        <w:spacing w:after="0" w:line="256" w:lineRule="auto"/>
        <w:rPr>
          <w:sz w:val="20"/>
          <w:szCs w:val="20"/>
          <w:color w:val="auto"/>
        </w:rPr>
      </w:pPr>
      <w:r>
        <w:rPr>
          <w:rFonts w:ascii="Times New Roman" w:cs="Times New Roman" w:eastAsia="Times New Roman" w:hAnsi="Times New Roman"/>
          <w:sz w:val="15"/>
          <w:szCs w:val="15"/>
          <w:color w:val="auto"/>
        </w:rPr>
        <w:t xml:space="preserve">2.14.6. </w:t>
      </w:r>
      <w:r>
        <w:rPr>
          <w:rFonts w:ascii="Times New Roman" w:cs="Times New Roman" w:eastAsia="Times New Roman" w:hAnsi="Times New Roman"/>
          <w:sz w:val="15"/>
          <w:szCs w:val="15"/>
          <w:u w:val="single" w:color="auto"/>
          <w:color w:val="auto"/>
        </w:rPr>
        <w:t>Agent Members</w:t>
      </w:r>
      <w:r>
        <w:rPr>
          <w:rFonts w:ascii="Times New Roman" w:cs="Times New Roman" w:eastAsia="Times New Roman" w:hAnsi="Times New Roman"/>
          <w:sz w:val="15"/>
          <w:szCs w:val="15"/>
          <w:color w:val="auto"/>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cs="Times New Roman" w:eastAsia="Times New Roman" w:hAnsi="Times New Roman"/>
          <w:sz w:val="15"/>
          <w:szCs w:val="15"/>
          <w:i w:val="1"/>
          <w:iCs w:val="1"/>
          <w:color w:val="auto"/>
        </w:rPr>
        <w:t>Agent Members</w:t>
      </w:r>
      <w:r>
        <w:rPr>
          <w:rFonts w:ascii="Times New Roman" w:cs="Times New Roman" w:eastAsia="Times New Roman" w:hAnsi="Times New Roman"/>
          <w:sz w:val="15"/>
          <w:szCs w:val="15"/>
          <w:color w:val="auto"/>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56"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2.15.</w:t>
      </w:r>
      <w:r>
        <w:rPr>
          <w:sz w:val="20"/>
          <w:szCs w:val="20"/>
          <w:color w:val="auto"/>
        </w:rPr>
        <w:tab/>
      </w:r>
      <w:r>
        <w:rPr>
          <w:rFonts w:ascii="Times New Roman" w:cs="Times New Roman" w:eastAsia="Times New Roman" w:hAnsi="Times New Roman"/>
          <w:sz w:val="15"/>
          <w:szCs w:val="15"/>
          <w:u w:val="single" w:color="auto"/>
          <w:color w:val="auto"/>
        </w:rPr>
        <w:t>CUSIP Numbers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REDEMPTION</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3.1.</w:t>
      </w:r>
      <w:r>
        <w:rPr>
          <w:sz w:val="20"/>
          <w:szCs w:val="20"/>
          <w:color w:val="auto"/>
        </w:rPr>
        <w:tab/>
      </w:r>
      <w:r>
        <w:rPr>
          <w:rFonts w:ascii="Times New Roman" w:cs="Times New Roman" w:eastAsia="Times New Roman" w:hAnsi="Times New Roman"/>
          <w:sz w:val="14"/>
          <w:szCs w:val="14"/>
          <w:u w:val="single" w:color="auto"/>
          <w:color w:val="auto"/>
        </w:rPr>
        <w:t>Notice to Trustee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9" w:lineRule="auto"/>
        <w:rPr>
          <w:sz w:val="20"/>
          <w:szCs w:val="20"/>
          <w:color w:val="auto"/>
        </w:rPr>
      </w:pPr>
      <w:r>
        <w:rPr>
          <w:rFonts w:ascii="Times New Roman" w:cs="Times New Roman" w:eastAsia="Times New Roman" w:hAnsi="Times New Roman"/>
          <w:sz w:val="15"/>
          <w:szCs w:val="15"/>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8" w:name="page79"/>
    <w:bookmarkEnd w:id="78"/>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3.2.</w:t>
      </w:r>
      <w:r>
        <w:rPr>
          <w:sz w:val="20"/>
          <w:szCs w:val="20"/>
          <w:color w:val="auto"/>
        </w:rPr>
        <w:tab/>
      </w:r>
      <w:r>
        <w:rPr>
          <w:rFonts w:ascii="Times New Roman" w:cs="Times New Roman" w:eastAsia="Times New Roman" w:hAnsi="Times New Roman"/>
          <w:sz w:val="14"/>
          <w:szCs w:val="14"/>
          <w:u w:val="single" w:color="auto"/>
          <w:color w:val="auto"/>
        </w:rPr>
        <w:t>Selection of Securities to be Redeemed</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4" w:lineRule="auto"/>
        <w:rPr>
          <w:sz w:val="20"/>
          <w:szCs w:val="20"/>
          <w:color w:val="auto"/>
        </w:rPr>
      </w:pPr>
      <w:r>
        <w:rPr>
          <w:rFonts w:ascii="Times New Roman" w:cs="Times New Roman" w:eastAsia="Times New Roman" w:hAnsi="Times New Roman"/>
          <w:sz w:val="15"/>
          <w:szCs w:val="15"/>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160"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3.3.</w:t>
      </w:r>
      <w:r>
        <w:rPr>
          <w:sz w:val="20"/>
          <w:szCs w:val="20"/>
          <w:color w:val="auto"/>
        </w:rPr>
        <w:tab/>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4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The notice shall identify the Securities of the Series to be redeemed and shall state:</w:t>
      </w:r>
    </w:p>
    <w:p>
      <w:pPr>
        <w:spacing w:after="0" w:line="188" w:lineRule="exact"/>
        <w:rPr>
          <w:sz w:val="20"/>
          <w:szCs w:val="20"/>
          <w:color w:val="auto"/>
        </w:rPr>
      </w:pPr>
    </w:p>
    <w:p>
      <w:pPr>
        <w:ind w:left="1500" w:hanging="427"/>
        <w:spacing w:after="0"/>
        <w:tabs>
          <w:tab w:leader="none" w:pos="15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date;</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price;</w:t>
      </w:r>
    </w:p>
    <w:p>
      <w:pPr>
        <w:spacing w:after="0" w:line="188"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and address of the Paying Agent;</w:t>
      </w:r>
    </w:p>
    <w:p>
      <w:pPr>
        <w:spacing w:after="0" w:line="188" w:lineRule="exact"/>
        <w:rPr>
          <w:rFonts w:ascii="Times New Roman" w:cs="Times New Roman" w:eastAsia="Times New Roman" w:hAnsi="Times New Roman"/>
          <w:sz w:val="15"/>
          <w:szCs w:val="15"/>
          <w:color w:val="auto"/>
        </w:rPr>
      </w:pPr>
    </w:p>
    <w:p>
      <w:pPr>
        <w:jc w:val="both"/>
        <w:ind w:left="540" w:firstLine="533"/>
        <w:spacing w:after="0" w:line="267" w:lineRule="auto"/>
        <w:tabs>
          <w:tab w:leader="none" w:pos="155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79" w:name="page80"/>
    <w:bookmarkEnd w:id="79"/>
    <w:p>
      <w:pPr>
        <w:ind w:left="1500" w:hanging="427"/>
        <w:spacing w:after="0"/>
        <w:tabs>
          <w:tab w:leader="none" w:pos="15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Securities of the Series called for redemption must be surrendered to the Paying Agent to collect the redemption price;</w:t>
      </w:r>
    </w:p>
    <w:p>
      <w:pPr>
        <w:spacing w:after="0" w:line="188" w:lineRule="exact"/>
        <w:rPr>
          <w:rFonts w:ascii="Times New Roman" w:cs="Times New Roman" w:eastAsia="Times New Roman" w:hAnsi="Times New Roman"/>
          <w:sz w:val="15"/>
          <w:szCs w:val="15"/>
          <w:color w:val="auto"/>
        </w:rPr>
      </w:pPr>
    </w:p>
    <w:p>
      <w:pPr>
        <w:ind w:left="540" w:right="20" w:firstLine="533"/>
        <w:spacing w:after="0" w:line="283" w:lineRule="auto"/>
        <w:tabs>
          <w:tab w:leader="none" w:pos="15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interest on Securities of the Series called for redemption ceases to accrue on and after the redemption date unless the Company defaults in the deposit of the redemption price;</w:t>
      </w:r>
    </w:p>
    <w:p>
      <w:pPr>
        <w:spacing w:after="0" w:line="134"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“CUSIP” number, if any; and</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information as may be required by the terms of the particular Series or the Securities of a Series being redeemed.</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46"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3.4.</w:t>
      </w:r>
      <w:r>
        <w:rPr>
          <w:sz w:val="20"/>
          <w:szCs w:val="20"/>
          <w:color w:val="auto"/>
        </w:rPr>
        <w:tab/>
      </w:r>
      <w:r>
        <w:rPr>
          <w:rFonts w:ascii="Times New Roman" w:cs="Times New Roman" w:eastAsia="Times New Roman" w:hAnsi="Times New Roman"/>
          <w:sz w:val="15"/>
          <w:szCs w:val="15"/>
          <w:u w:val="single" w:color="auto"/>
          <w:color w:val="auto"/>
        </w:rPr>
        <w:t>Effect of Notice of Redemption</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46"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3.5.</w:t>
      </w:r>
      <w:r>
        <w:rPr>
          <w:sz w:val="20"/>
          <w:szCs w:val="20"/>
          <w:color w:val="auto"/>
        </w:rPr>
        <w:tab/>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3.6.</w:t>
      </w:r>
      <w:r>
        <w:rPr>
          <w:sz w:val="20"/>
          <w:szCs w:val="20"/>
          <w:color w:val="auto"/>
        </w:rPr>
        <w:tab/>
      </w:r>
      <w:r>
        <w:rPr>
          <w:rFonts w:ascii="Times New Roman" w:cs="Times New Roman" w:eastAsia="Times New Roman" w:hAnsi="Times New Roman"/>
          <w:sz w:val="14"/>
          <w:szCs w:val="14"/>
          <w:u w:val="single" w:color="auto"/>
          <w:color w:val="auto"/>
        </w:rPr>
        <w:t>Securities Redeemed in Part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ARTICLE IV.</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color w:val="auto"/>
        </w:rPr>
        <w:t>COVENANTS</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4.1.</w:t>
      </w:r>
      <w:r>
        <w:rPr>
          <w:sz w:val="20"/>
          <w:szCs w:val="20"/>
          <w:color w:val="auto"/>
        </w:rPr>
        <w:tab/>
      </w:r>
      <w:r>
        <w:rPr>
          <w:rFonts w:ascii="Times New Roman" w:cs="Times New Roman" w:eastAsia="Times New Roman" w:hAnsi="Times New Roman"/>
          <w:sz w:val="14"/>
          <w:szCs w:val="14"/>
          <w:u w:val="single" w:color="auto"/>
          <w:color w:val="auto"/>
        </w:rPr>
        <w:t>Payment of Principal and Interest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0" w:name="page81"/>
    <w:bookmarkEnd w:id="80"/>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4.2.</w:t>
      </w:r>
      <w:r>
        <w:rPr>
          <w:sz w:val="20"/>
          <w:szCs w:val="20"/>
          <w:color w:val="auto"/>
        </w:rPr>
        <w:tab/>
      </w:r>
      <w:r>
        <w:rPr>
          <w:rFonts w:ascii="Times New Roman" w:cs="Times New Roman" w:eastAsia="Times New Roman" w:hAnsi="Times New Roman"/>
          <w:sz w:val="15"/>
          <w:szCs w:val="15"/>
          <w:u w:val="single" w:color="auto"/>
          <w:color w:val="auto"/>
        </w:rPr>
        <w:t>SEC Reports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52" w:lineRule="exact"/>
        <w:rPr>
          <w:sz w:val="20"/>
          <w:szCs w:val="20"/>
          <w:color w:val="auto"/>
        </w:rPr>
      </w:pPr>
    </w:p>
    <w:p>
      <w:pPr>
        <w:jc w:val="both"/>
        <w:ind w:firstLine="1083"/>
        <w:spacing w:after="0" w:line="259" w:lineRule="auto"/>
        <w:rPr>
          <w:sz w:val="20"/>
          <w:szCs w:val="20"/>
          <w:color w:val="auto"/>
        </w:rPr>
      </w:pPr>
      <w:r>
        <w:rPr>
          <w:rFonts w:ascii="Times New Roman" w:cs="Times New Roman" w:eastAsia="Times New Roman" w:hAnsi="Times New Roman"/>
          <w:sz w:val="15"/>
          <w:szCs w:val="15"/>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52"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4.3.</w:t>
      </w:r>
      <w:r>
        <w:rPr>
          <w:sz w:val="20"/>
          <w:szCs w:val="20"/>
          <w:color w:val="auto"/>
        </w:rPr>
        <w:tab/>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5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4.4.</w:t>
      </w:r>
      <w:r>
        <w:rPr>
          <w:sz w:val="20"/>
          <w:szCs w:val="20"/>
          <w:color w:val="auto"/>
        </w:rPr>
        <w:tab/>
      </w:r>
      <w:r>
        <w:rPr>
          <w:rFonts w:ascii="Times New Roman" w:cs="Times New Roman" w:eastAsia="Times New Roman" w:hAnsi="Times New Roman"/>
          <w:sz w:val="14"/>
          <w:szCs w:val="14"/>
          <w:u w:val="single" w:color="auto"/>
          <w:color w:val="auto"/>
        </w:rPr>
        <w:t>Stay, Extension and Usury Laws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5"/>
          <w:szCs w:val="15"/>
          <w:color w:val="auto"/>
        </w:rPr>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SUCCESSORS</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5.1.</w:t>
      </w:r>
      <w:r>
        <w:rPr>
          <w:sz w:val="20"/>
          <w:szCs w:val="20"/>
          <w:color w:val="auto"/>
        </w:rPr>
        <w:tab/>
      </w:r>
      <w:r>
        <w:rPr>
          <w:rFonts w:ascii="Times New Roman" w:cs="Times New Roman" w:eastAsia="Times New Roman" w:hAnsi="Times New Roman"/>
          <w:sz w:val="14"/>
          <w:szCs w:val="14"/>
          <w:u w:val="single" w:color="auto"/>
          <w:color w:val="auto"/>
        </w:rPr>
        <w:t>When Company May Merge, Etc</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5"/>
          <w:szCs w:val="15"/>
          <w:i w:val="1"/>
          <w:iCs w:val="1"/>
          <w:color w:val="auto"/>
        </w:rPr>
        <w:t>successor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person</w:t>
      </w:r>
      <w:r>
        <w:rPr>
          <w:rFonts w:ascii="Times New Roman" w:cs="Times New Roman" w:eastAsia="Times New Roman" w:hAnsi="Times New Roman"/>
          <w:sz w:val="15"/>
          <w:szCs w:val="15"/>
          <w:color w:val="auto"/>
        </w:rPr>
        <w:t>”) unless:</w:t>
      </w:r>
    </w:p>
    <w:p>
      <w:pPr>
        <w:spacing w:after="0" w:line="173" w:lineRule="exact"/>
        <w:rPr>
          <w:sz w:val="20"/>
          <w:szCs w:val="20"/>
          <w:color w:val="auto"/>
        </w:rPr>
      </w:pPr>
    </w:p>
    <w:p>
      <w:pPr>
        <w:jc w:val="both"/>
        <w:ind w:left="540" w:firstLine="533"/>
        <w:spacing w:after="0" w:line="267" w:lineRule="auto"/>
        <w:tabs>
          <w:tab w:leader="none" w:pos="1546"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w:t>
      </w:r>
    </w:p>
    <w:p>
      <w:pPr>
        <w:spacing w:after="0" w:line="146"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the transaction, no Default or Event of Default, shall have occurred and be continuing.</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3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5.2.</w:t>
      </w:r>
      <w:r>
        <w:rPr>
          <w:sz w:val="20"/>
          <w:szCs w:val="20"/>
          <w:color w:val="auto"/>
        </w:rPr>
        <w:tab/>
      </w:r>
      <w:r>
        <w:rPr>
          <w:rFonts w:ascii="Times New Roman" w:cs="Times New Roman" w:eastAsia="Times New Roman" w:hAnsi="Times New Roman"/>
          <w:sz w:val="15"/>
          <w:szCs w:val="15"/>
          <w:u w:val="single" w:color="auto"/>
          <w:color w:val="auto"/>
        </w:rPr>
        <w:t>Successor Corporation Substituted</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9" w:lineRule="auto"/>
        <w:rPr>
          <w:sz w:val="20"/>
          <w:szCs w:val="20"/>
          <w:color w:val="auto"/>
        </w:rPr>
      </w:pPr>
      <w:r>
        <w:rPr>
          <w:rFonts w:ascii="Times New Roman" w:cs="Times New Roman" w:eastAsia="Times New Roman" w:hAnsi="Times New Roman"/>
          <w:sz w:val="15"/>
          <w:szCs w:val="15"/>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predecessor Company in the case of a sale, conveyance or other disposition (other than a lease) shall be released from all obligations and covenants under this Indenture and the Securities.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5"/>
          <w:szCs w:val="15"/>
          <w:color w:val="auto"/>
        </w:rPr>
        <w:t>ARTICLE VI.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DEFAULTS AND REMEDIES</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6.1.</w:t>
      </w:r>
      <w:r>
        <w:rPr>
          <w:sz w:val="20"/>
          <w:szCs w:val="20"/>
          <w:color w:val="auto"/>
        </w:rPr>
        <w:tab/>
      </w:r>
      <w:r>
        <w:rPr>
          <w:rFonts w:ascii="Times New Roman" w:cs="Times New Roman" w:eastAsia="Times New Roman" w:hAnsi="Times New Roman"/>
          <w:sz w:val="15"/>
          <w:szCs w:val="15"/>
          <w:u w:val="single" w:color="auto"/>
          <w:color w:val="auto"/>
        </w:rPr>
        <w:t>Events of Default</w:t>
      </w:r>
      <w:r>
        <w:rPr>
          <w:rFonts w:ascii="Times New Roman" w:cs="Times New Roman" w:eastAsia="Times New Roman" w:hAnsi="Times New Roman"/>
          <w:sz w:val="15"/>
          <w:szCs w:val="15"/>
          <w:color w:val="auto"/>
        </w:rPr>
        <w:t>.</w:t>
      </w:r>
    </w:p>
    <w:p>
      <w:pPr>
        <w:spacing w:after="0" w:line="186" w:lineRule="exact"/>
        <w:rPr>
          <w:sz w:val="20"/>
          <w:szCs w:val="20"/>
          <w:color w:val="auto"/>
        </w:rPr>
      </w:pPr>
    </w:p>
    <w:p>
      <w:pPr>
        <w:ind w:firstLine="1083"/>
        <w:spacing w:after="0" w:line="286" w:lineRule="auto"/>
        <w:rPr>
          <w:sz w:val="20"/>
          <w:szCs w:val="20"/>
          <w:color w:val="auto"/>
        </w:rPr>
      </w:pPr>
      <w:r>
        <w:rPr>
          <w:rFonts w:ascii="Times New Roman" w:cs="Times New Roman" w:eastAsia="Times New Roman" w:hAnsi="Times New Roman"/>
          <w:sz w:val="15"/>
          <w:szCs w:val="15"/>
          <w:i w:val="1"/>
          <w:iCs w:val="1"/>
          <w:color w:val="auto"/>
        </w:rPr>
        <w:t>“Event of Default</w:t>
      </w:r>
      <w:r>
        <w:rPr>
          <w:rFonts w:ascii="Times New Roman" w:cs="Times New Roman" w:eastAsia="Times New Roman" w:hAnsi="Times New Roman"/>
          <w:sz w:val="15"/>
          <w:szCs w:val="15"/>
          <w:color w:val="auto"/>
        </w:rPr>
        <w:t>,” wherever used herein with respect to Securities of any Series, means any one of the following events, unless in the establishing Board Resolution,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supplemental indenture or Officer’s Certificate it is provided that such Series shall not have the benefit of said Event of Default:</w:t>
      </w:r>
    </w:p>
    <w:p>
      <w:pPr>
        <w:spacing w:after="0" w:line="132" w:lineRule="exact"/>
        <w:rPr>
          <w:sz w:val="20"/>
          <w:szCs w:val="20"/>
          <w:color w:val="auto"/>
        </w:rPr>
      </w:pPr>
    </w:p>
    <w:p>
      <w:pPr>
        <w:jc w:val="both"/>
        <w:ind w:left="540" w:firstLine="533"/>
        <w:spacing w:after="0" w:line="211" w:lineRule="auto"/>
        <w:tabs>
          <w:tab w:leader="none" w:pos="1557"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day of such period);</w:t>
      </w:r>
    </w:p>
    <w:p>
      <w:pPr>
        <w:spacing w:after="0" w:line="165"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principal of any Security of that Series at its Maturity;</w:t>
      </w:r>
    </w:p>
    <w:p>
      <w:pPr>
        <w:spacing w:after="0" w:line="188" w:lineRule="exact"/>
        <w:rPr>
          <w:rFonts w:ascii="Times New Roman" w:cs="Times New Roman" w:eastAsia="Times New Roman" w:hAnsi="Times New Roman"/>
          <w:sz w:val="15"/>
          <w:szCs w:val="15"/>
          <w:color w:val="auto"/>
        </w:rPr>
      </w:pPr>
    </w:p>
    <w:p>
      <w:pPr>
        <w:jc w:val="both"/>
        <w:ind w:left="540" w:firstLine="533"/>
        <w:spacing w:after="0" w:line="259" w:lineRule="auto"/>
        <w:tabs>
          <w:tab w:leader="none" w:pos="1532"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52"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pursuant to or within the meaning of any Bankruptcy Law:</w:t>
      </w:r>
    </w:p>
    <w:p>
      <w:pPr>
        <w:spacing w:after="0" w:line="188" w:lineRule="exact"/>
        <w:rPr>
          <w:rFonts w:ascii="Times New Roman" w:cs="Times New Roman" w:eastAsia="Times New Roman" w:hAnsi="Times New Roman"/>
          <w:sz w:val="15"/>
          <w:szCs w:val="15"/>
          <w:color w:val="auto"/>
        </w:rPr>
      </w:pPr>
    </w:p>
    <w:p>
      <w:pPr>
        <w:ind w:left="1780" w:hanging="301"/>
        <w:spacing w:after="0"/>
        <w:tabs>
          <w:tab w:leader="none" w:pos="178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commences a voluntary case,</w:t>
      </w:r>
    </w:p>
    <w:p>
      <w:pPr>
        <w:spacing w:after="0" w:line="188" w:lineRule="exact"/>
        <w:rPr>
          <w:rFonts w:ascii="Times New Roman" w:cs="Times New Roman" w:eastAsia="Times New Roman" w:hAnsi="Times New Roman"/>
          <w:sz w:val="15"/>
          <w:szCs w:val="15"/>
          <w:color w:val="auto"/>
        </w:rPr>
      </w:pPr>
    </w:p>
    <w:p>
      <w:pPr>
        <w:ind w:left="1820" w:hanging="341"/>
        <w:spacing w:after="0"/>
        <w:tabs>
          <w:tab w:leader="none" w:pos="18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consents to the entry of an order for relief against it in an involuntary case,</w:t>
      </w:r>
    </w:p>
    <w:p>
      <w:pPr>
        <w:spacing w:after="0" w:line="188" w:lineRule="exact"/>
        <w:rPr>
          <w:rFonts w:ascii="Times New Roman" w:cs="Times New Roman" w:eastAsia="Times New Roman" w:hAnsi="Times New Roman"/>
          <w:sz w:val="15"/>
          <w:szCs w:val="15"/>
          <w:color w:val="auto"/>
        </w:rPr>
      </w:pPr>
    </w:p>
    <w:p>
      <w:pPr>
        <w:ind w:left="1860" w:hanging="381"/>
        <w:spacing w:after="0"/>
        <w:tabs>
          <w:tab w:leader="none" w:pos="186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consents to the appointment of a Custodian of it or for all or substantially all of its property,</w:t>
      </w:r>
    </w:p>
    <w:p>
      <w:pPr>
        <w:spacing w:after="0" w:line="188" w:lineRule="exact"/>
        <w:rPr>
          <w:rFonts w:ascii="Times New Roman" w:cs="Times New Roman" w:eastAsia="Times New Roman" w:hAnsi="Times New Roman"/>
          <w:sz w:val="15"/>
          <w:szCs w:val="15"/>
          <w:color w:val="auto"/>
        </w:rPr>
      </w:pPr>
    </w:p>
    <w:p>
      <w:pPr>
        <w:ind w:left="1840" w:hanging="361"/>
        <w:spacing w:after="0"/>
        <w:tabs>
          <w:tab w:leader="none" w:pos="184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makes a general assignment for the benefit of its creditors, or</w:t>
      </w:r>
    </w:p>
    <w:p>
      <w:pPr>
        <w:spacing w:after="0" w:line="188" w:lineRule="exact"/>
        <w:rPr>
          <w:rFonts w:ascii="Times New Roman" w:cs="Times New Roman" w:eastAsia="Times New Roman" w:hAnsi="Times New Roman"/>
          <w:sz w:val="15"/>
          <w:szCs w:val="15"/>
          <w:color w:val="auto"/>
        </w:rPr>
      </w:pPr>
    </w:p>
    <w:p>
      <w:pPr>
        <w:ind w:left="1800" w:hanging="321"/>
        <w:spacing w:after="0"/>
        <w:tabs>
          <w:tab w:leader="none" w:pos="180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generally is unable to pay its debts as the same become due;</w:t>
      </w:r>
    </w:p>
    <w:p>
      <w:pPr>
        <w:spacing w:after="0" w:line="188"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court of competent jurisdiction enters an order or decree under any Bankruptcy Law that:</w:t>
      </w:r>
    </w:p>
    <w:p>
      <w:pPr>
        <w:spacing w:after="0" w:line="188" w:lineRule="exact"/>
        <w:rPr>
          <w:rFonts w:ascii="Times New Roman" w:cs="Times New Roman" w:eastAsia="Times New Roman" w:hAnsi="Times New Roman"/>
          <w:sz w:val="15"/>
          <w:szCs w:val="15"/>
          <w:color w:val="auto"/>
        </w:rPr>
      </w:pPr>
    </w:p>
    <w:p>
      <w:pPr>
        <w:ind w:left="1780" w:hanging="301"/>
        <w:spacing w:after="0"/>
        <w:tabs>
          <w:tab w:leader="none" w:pos="178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for relief against the Company in an involuntary case,</w:t>
      </w:r>
    </w:p>
    <w:p>
      <w:pPr>
        <w:spacing w:after="0" w:line="188" w:lineRule="exact"/>
        <w:rPr>
          <w:rFonts w:ascii="Times New Roman" w:cs="Times New Roman" w:eastAsia="Times New Roman" w:hAnsi="Times New Roman"/>
          <w:sz w:val="15"/>
          <w:szCs w:val="15"/>
          <w:color w:val="auto"/>
        </w:rPr>
      </w:pPr>
    </w:p>
    <w:p>
      <w:pPr>
        <w:ind w:left="1820" w:hanging="341"/>
        <w:spacing w:after="0"/>
        <w:tabs>
          <w:tab w:leader="none" w:pos="18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appoints a Custodian of the Company or for all or substantially all of its property, or</w:t>
      </w:r>
    </w:p>
    <w:p>
      <w:pPr>
        <w:spacing w:after="0" w:line="188" w:lineRule="exact"/>
        <w:rPr>
          <w:rFonts w:ascii="Times New Roman" w:cs="Times New Roman" w:eastAsia="Times New Roman" w:hAnsi="Times New Roman"/>
          <w:sz w:val="15"/>
          <w:szCs w:val="15"/>
          <w:color w:val="auto"/>
        </w:rPr>
      </w:pPr>
    </w:p>
    <w:p>
      <w:pPr>
        <w:ind w:left="1860" w:hanging="381"/>
        <w:spacing w:after="0"/>
        <w:tabs>
          <w:tab w:leader="none" w:pos="186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orders the liquidation of the Company,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and the order or decree remains unstayed and in effect for 60 days;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3" w:name="page84"/>
    <w:bookmarkEnd w:id="83"/>
    <w:p>
      <w:pPr>
        <w:ind w:left="540" w:right="20" w:firstLine="533"/>
        <w:spacing w:after="0" w:line="283" w:lineRule="auto"/>
        <w:tabs>
          <w:tab w:leader="none" w:pos="1571"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with respect to Securities of that Series, which is specified in a Board Resolution, a supplemental indenture hereto or an Officer’s Certificate, in accordance with Section 2.2.18.</w:t>
      </w:r>
    </w:p>
    <w:p>
      <w:pPr>
        <w:spacing w:after="0" w:line="133"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i w:val="1"/>
          <w:iCs w:val="1"/>
          <w:color w:val="auto"/>
        </w:rPr>
        <w:t>Bankruptcy Law</w:t>
      </w:r>
      <w:r>
        <w:rPr>
          <w:rFonts w:ascii="Times New Roman" w:cs="Times New Roman" w:eastAsia="Times New Roman" w:hAnsi="Times New Roman"/>
          <w:sz w:val="15"/>
          <w:szCs w:val="15"/>
          <w:color w:val="auto"/>
        </w:rPr>
        <w:t>” means title 11, U.S. Code or any similar Federal or State law for the relief of debtors. The term “</w:t>
      </w:r>
      <w:r>
        <w:rPr>
          <w:rFonts w:ascii="Times New Roman" w:cs="Times New Roman" w:eastAsia="Times New Roman" w:hAnsi="Times New Roman"/>
          <w:sz w:val="15"/>
          <w:szCs w:val="15"/>
          <w:i w:val="1"/>
          <w:iCs w:val="1"/>
          <w:color w:val="auto"/>
        </w:rPr>
        <w:t>Custodian</w:t>
      </w:r>
      <w:r>
        <w:rPr>
          <w:rFonts w:ascii="Times New Roman" w:cs="Times New Roman" w:eastAsia="Times New Roman" w:hAnsi="Times New Roman"/>
          <w:sz w:val="15"/>
          <w:szCs w:val="15"/>
          <w:color w:val="auto"/>
        </w:rPr>
        <w:t>” means any receiver, trustee, assignee, liquidator or similar official under any Bankruptcy Law.</w:t>
      </w:r>
    </w:p>
    <w:p>
      <w:pPr>
        <w:spacing w:after="0" w:line="132"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6.2.</w:t>
      </w:r>
      <w:r>
        <w:rPr>
          <w:sz w:val="20"/>
          <w:szCs w:val="20"/>
          <w:color w:val="auto"/>
        </w:rPr>
        <w:tab/>
      </w:r>
      <w:r>
        <w:rPr>
          <w:rFonts w:ascii="Times New Roman" w:cs="Times New Roman" w:eastAsia="Times New Roman" w:hAnsi="Times New Roman"/>
          <w:sz w:val="15"/>
          <w:szCs w:val="15"/>
          <w:u w:val="single" w:color="auto"/>
          <w:color w:val="auto"/>
        </w:rPr>
        <w:t>Acceleration of Maturity; Rescission and Annulment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6" w:lineRule="auto"/>
        <w:rPr>
          <w:sz w:val="20"/>
          <w:szCs w:val="20"/>
          <w:color w:val="auto"/>
        </w:rPr>
      </w:pPr>
      <w:r>
        <w:rPr>
          <w:rFonts w:ascii="Times New Roman" w:cs="Times New Roman" w:eastAsia="Times New Roman" w:hAnsi="Times New Roman"/>
          <w:sz w:val="15"/>
          <w:szCs w:val="15"/>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5"/>
          <w:szCs w:val="15"/>
          <w:i w:val="1"/>
          <w:iCs w:val="1"/>
          <w:color w:val="auto"/>
        </w:rPr>
        <w:t>ipso facto</w:t>
      </w:r>
      <w:r>
        <w:rPr>
          <w:rFonts w:ascii="Times New Roman" w:cs="Times New Roman" w:eastAsia="Times New Roman" w:hAnsi="Times New Roman"/>
          <w:sz w:val="15"/>
          <w:szCs w:val="15"/>
          <w:color w:val="auto"/>
        </w:rPr>
        <w:t xml:space="preserve"> become and be immediately due and payable without any declaration or other act on the part of the Trustee or any Holder.</w:t>
      </w:r>
    </w:p>
    <w:p>
      <w:pPr>
        <w:spacing w:after="0" w:line="156"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No such rescission shall affect any subsequent Default or impair any right consequent thereon.</w:t>
      </w:r>
    </w:p>
    <w:p>
      <w:pPr>
        <w:spacing w:after="0" w:line="188"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6.3.</w:t>
      </w:r>
      <w:r>
        <w:rPr>
          <w:sz w:val="20"/>
          <w:szCs w:val="20"/>
          <w:color w:val="auto"/>
        </w:rPr>
        <w:tab/>
      </w:r>
      <w:r>
        <w:rPr>
          <w:rFonts w:ascii="Times New Roman" w:cs="Times New Roman" w:eastAsia="Times New Roman" w:hAnsi="Times New Roman"/>
          <w:sz w:val="15"/>
          <w:szCs w:val="15"/>
          <w:u w:val="single" w:color="auto"/>
          <w:color w:val="auto"/>
        </w:rPr>
        <w:t>Collection of Indebtedness and Suits for Enforcement by Trustee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The Company covenants that if:</w:t>
      </w:r>
    </w:p>
    <w:p>
      <w:pPr>
        <w:spacing w:after="0" w:line="188" w:lineRule="exact"/>
        <w:rPr>
          <w:sz w:val="20"/>
          <w:szCs w:val="20"/>
          <w:color w:val="auto"/>
        </w:rPr>
      </w:pPr>
    </w:p>
    <w:p>
      <w:pPr>
        <w:ind w:left="5540" w:right="220" w:hanging="4467"/>
        <w:spacing w:after="0" w:line="534" w:lineRule="auto"/>
        <w:tabs>
          <w:tab w:leader="none" w:pos="1494"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is made in the payment of any interest on any Security when such interest becomes due and payable and such default continues for a period of 30 days,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715518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4" w:name="page85"/>
    <w:bookmarkEnd w:id="84"/>
    <w:p>
      <w:pPr>
        <w:ind w:left="1520" w:hanging="447"/>
        <w:spacing w:after="0"/>
        <w:tabs>
          <w:tab w:leader="none" w:pos="15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is made in the payment of principal of any Security at the Maturity thereof, or</w:t>
      </w:r>
    </w:p>
    <w:p>
      <w:pPr>
        <w:spacing w:after="0" w:line="188"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is made in the deposit of any sinking fund payment, if any, when and as due by the terms of a Security,</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then, </w:t>
      </w:r>
      <w:r>
        <w:rPr>
          <w:rFonts w:ascii="Times New Roman" w:cs="Times New Roman" w:eastAsia="Times New Roman" w:hAnsi="Times New Roman"/>
          <w:sz w:val="15"/>
          <w:szCs w:val="15"/>
          <w:color w:val="auto"/>
        </w:rPr>
        <w:t>the Company will, upon demand of the Trustee, pay to it, for the benefit of the Holders of such Securities, the whole amount then due and payable on such Securities for principal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51"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52"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52"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6.4.</w:t>
      </w:r>
      <w:r>
        <w:rPr>
          <w:sz w:val="20"/>
          <w:szCs w:val="20"/>
          <w:color w:val="auto"/>
        </w:rPr>
        <w:tab/>
      </w:r>
      <w:r>
        <w:rPr>
          <w:rFonts w:ascii="Times New Roman" w:cs="Times New Roman" w:eastAsia="Times New Roman" w:hAnsi="Times New Roman"/>
          <w:sz w:val="14"/>
          <w:szCs w:val="14"/>
          <w:u w:val="single" w:color="auto"/>
          <w:color w:val="auto"/>
        </w:rPr>
        <w:t>Trustee May File Proofs of Claim</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52" w:lineRule="exact"/>
        <w:rPr>
          <w:sz w:val="20"/>
          <w:szCs w:val="20"/>
          <w:color w:val="auto"/>
        </w:rPr>
      </w:pPr>
    </w:p>
    <w:p>
      <w:pPr>
        <w:jc w:val="both"/>
        <w:ind w:left="540" w:firstLine="533"/>
        <w:spacing w:after="0" w:line="267" w:lineRule="auto"/>
        <w:tabs>
          <w:tab w:leader="none" w:pos="1542"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46"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collect and receive any moneys or other property payable or deliverable on any such claims and to distribute the same,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5" w:name="page86"/>
    <w:bookmarkEnd w:id="85"/>
    <w:p>
      <w:pPr>
        <w:jc w:val="both"/>
        <w:spacing w:after="0" w:line="267" w:lineRule="auto"/>
        <w:rPr>
          <w:sz w:val="20"/>
          <w:szCs w:val="20"/>
          <w:color w:val="auto"/>
        </w:rPr>
      </w:pPr>
      <w:r>
        <w:rPr>
          <w:rFonts w:ascii="Times New Roman" w:cs="Times New Roman" w:eastAsia="Times New Roman" w:hAnsi="Times New Roman"/>
          <w:sz w:val="15"/>
          <w:szCs w:val="15"/>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46"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46"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6.5.</w:t>
      </w:r>
      <w:r>
        <w:rPr>
          <w:sz w:val="20"/>
          <w:szCs w:val="20"/>
          <w:color w:val="auto"/>
        </w:rPr>
        <w:tab/>
      </w:r>
      <w:r>
        <w:rPr>
          <w:rFonts w:ascii="Times New Roman" w:cs="Times New Roman" w:eastAsia="Times New Roman" w:hAnsi="Times New Roman"/>
          <w:sz w:val="14"/>
          <w:szCs w:val="14"/>
          <w:u w:val="single" w:color="auto"/>
          <w:color w:val="auto"/>
        </w:rPr>
        <w:t>Trustee May Enforce Claims Without Possession of Securities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52"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6.6.</w:t>
      </w:r>
      <w:r>
        <w:rPr>
          <w:sz w:val="20"/>
          <w:szCs w:val="20"/>
          <w:color w:val="auto"/>
        </w:rPr>
        <w:tab/>
      </w:r>
      <w:r>
        <w:rPr>
          <w:rFonts w:ascii="Times New Roman" w:cs="Times New Roman" w:eastAsia="Times New Roman" w:hAnsi="Times New Roman"/>
          <w:sz w:val="14"/>
          <w:szCs w:val="14"/>
          <w:u w:val="single" w:color="auto"/>
          <w:color w:val="auto"/>
        </w:rPr>
        <w:t>Application of Money Collected.</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46" w:lineRule="exact"/>
        <w:rPr>
          <w:sz w:val="20"/>
          <w:szCs w:val="20"/>
          <w:color w:val="auto"/>
        </w:rPr>
      </w:pPr>
    </w:p>
    <w:p>
      <w:pPr>
        <w:ind w:left="1080"/>
        <w:spacing w:after="0"/>
        <w:tabs>
          <w:tab w:leader="none" w:pos="1700" w:val="left"/>
        </w:tabs>
        <w:rPr>
          <w:sz w:val="20"/>
          <w:szCs w:val="20"/>
          <w:color w:val="auto"/>
        </w:rPr>
      </w:pPr>
      <w:r>
        <w:rPr>
          <w:rFonts w:ascii="Times New Roman" w:cs="Times New Roman" w:eastAsia="Times New Roman" w:hAnsi="Times New Roman"/>
          <w:sz w:val="15"/>
          <w:szCs w:val="15"/>
          <w:color w:val="auto"/>
        </w:rPr>
        <w:t>First:</w:t>
      </w:r>
      <w:r>
        <w:rPr>
          <w:sz w:val="20"/>
          <w:szCs w:val="20"/>
          <w:color w:val="auto"/>
        </w:rPr>
        <w:tab/>
      </w:r>
      <w:r>
        <w:rPr>
          <w:rFonts w:ascii="Times New Roman" w:cs="Times New Roman" w:eastAsia="Times New Roman" w:hAnsi="Times New Roman"/>
          <w:sz w:val="15"/>
          <w:szCs w:val="15"/>
          <w:color w:val="auto"/>
        </w:rPr>
        <w:t>To the payment of all amounts due the Trustee under Section 7.7; and</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3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5"/>
          <w:szCs w:val="15"/>
          <w:color w:val="auto"/>
        </w:rPr>
        <w:t>Third:</w:t>
      </w:r>
      <w:r>
        <w:rPr>
          <w:sz w:val="20"/>
          <w:szCs w:val="20"/>
          <w:color w:val="auto"/>
        </w:rPr>
        <w:tab/>
      </w:r>
      <w:r>
        <w:rPr>
          <w:rFonts w:ascii="Times New Roman" w:cs="Times New Roman" w:eastAsia="Times New Roman" w:hAnsi="Times New Roman"/>
          <w:sz w:val="15"/>
          <w:szCs w:val="15"/>
          <w:color w:val="auto"/>
        </w:rPr>
        <w:t>To the Company.</w:t>
      </w:r>
    </w:p>
    <w:p>
      <w:pPr>
        <w:spacing w:after="0" w:line="188"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6.7.</w:t>
      </w:r>
      <w:r>
        <w:rPr>
          <w:sz w:val="20"/>
          <w:szCs w:val="20"/>
          <w:color w:val="auto"/>
        </w:rPr>
        <w:tab/>
      </w:r>
      <w:r>
        <w:rPr>
          <w:rFonts w:ascii="Times New Roman" w:cs="Times New Roman" w:eastAsia="Times New Roman" w:hAnsi="Times New Roman"/>
          <w:sz w:val="15"/>
          <w:szCs w:val="15"/>
          <w:u w:val="single" w:color="auto"/>
          <w:color w:val="auto"/>
        </w:rPr>
        <w:t>Limitation on Suits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35" w:lineRule="exact"/>
        <w:rPr>
          <w:sz w:val="20"/>
          <w:szCs w:val="20"/>
          <w:color w:val="auto"/>
        </w:rPr>
      </w:pPr>
    </w:p>
    <w:p>
      <w:pPr>
        <w:ind w:left="1500" w:hanging="427"/>
        <w:spacing w:after="0"/>
        <w:tabs>
          <w:tab w:leader="none" w:pos="15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has previously given written notice to the Trustee of a continuing Event of Default with respect to the Securities of that Series;</w:t>
      </w:r>
    </w:p>
    <w:p>
      <w:pPr>
        <w:spacing w:after="0" w:line="188"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6" w:name="page87"/>
    <w:bookmarkEnd w:id="86"/>
    <w:p>
      <w:pPr>
        <w:ind w:left="540" w:firstLine="533"/>
        <w:spacing w:after="0" w:line="283" w:lineRule="auto"/>
        <w:tabs>
          <w:tab w:leader="none" w:pos="1627"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34" w:lineRule="exact"/>
        <w:rPr>
          <w:rFonts w:ascii="Times New Roman" w:cs="Times New Roman" w:eastAsia="Times New Roman" w:hAnsi="Times New Roman"/>
          <w:sz w:val="15"/>
          <w:szCs w:val="15"/>
          <w:color w:val="auto"/>
        </w:rPr>
      </w:pPr>
    </w:p>
    <w:p>
      <w:pPr>
        <w:ind w:left="540" w:firstLine="533"/>
        <w:spacing w:after="0" w:line="283" w:lineRule="auto"/>
        <w:tabs>
          <w:tab w:leader="none" w:pos="1583"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or Holders have offered to the Trustee indemnity or security satisfactory to the Trustee against the costs, expenses and liabilities which might be incurred by the Trustee in compliance with such request;</w:t>
      </w:r>
    </w:p>
    <w:p>
      <w:pPr>
        <w:spacing w:after="0" w:line="134"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for 60 days after its receipt of such notice, request and offer of indemnity has failed to institute any such proceeding; and</w:t>
      </w:r>
    </w:p>
    <w:p>
      <w:pPr>
        <w:spacing w:after="0" w:line="188" w:lineRule="exact"/>
        <w:rPr>
          <w:rFonts w:ascii="Times New Roman" w:cs="Times New Roman" w:eastAsia="Times New Roman" w:hAnsi="Times New Roman"/>
          <w:sz w:val="15"/>
          <w:szCs w:val="15"/>
          <w:color w:val="auto"/>
        </w:rPr>
      </w:pPr>
    </w:p>
    <w:p>
      <w:pPr>
        <w:ind w:left="540" w:right="20" w:firstLine="533"/>
        <w:spacing w:after="0" w:line="283" w:lineRule="auto"/>
        <w:tabs>
          <w:tab w:leader="none" w:pos="1552"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direction inconsistent with such written request has been given to the Trustee during such 60-day period by the Holders of a majority in principal amount of the outstanding Securities of that Series;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52"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6.8.</w:t>
      </w:r>
      <w:r>
        <w:rPr>
          <w:sz w:val="20"/>
          <w:szCs w:val="20"/>
          <w:color w:val="auto"/>
        </w:rPr>
        <w:tab/>
      </w:r>
      <w:r>
        <w:rPr>
          <w:rFonts w:ascii="Times New Roman" w:cs="Times New Roman" w:eastAsia="Times New Roman" w:hAnsi="Times New Roman"/>
          <w:sz w:val="15"/>
          <w:szCs w:val="15"/>
          <w:u w:val="single" w:color="auto"/>
          <w:color w:val="auto"/>
        </w:rPr>
        <w:t>Unconditional Right of Holders to Receive Principal and Interest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46"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6.9.</w:t>
      </w:r>
      <w:r>
        <w:rPr>
          <w:sz w:val="20"/>
          <w:szCs w:val="20"/>
          <w:color w:val="auto"/>
        </w:rPr>
        <w:tab/>
      </w:r>
      <w:r>
        <w:rPr>
          <w:rFonts w:ascii="Times New Roman" w:cs="Times New Roman" w:eastAsia="Times New Roman" w:hAnsi="Times New Roman"/>
          <w:sz w:val="14"/>
          <w:szCs w:val="14"/>
          <w:u w:val="single" w:color="auto"/>
          <w:color w:val="auto"/>
        </w:rPr>
        <w:t>Restoration of Rights and Remedies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2"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6.10.</w:t>
      </w:r>
      <w:r>
        <w:rPr>
          <w:sz w:val="20"/>
          <w:szCs w:val="20"/>
          <w:color w:val="auto"/>
        </w:rPr>
        <w:tab/>
      </w:r>
      <w:r>
        <w:rPr>
          <w:rFonts w:ascii="Times New Roman" w:cs="Times New Roman" w:eastAsia="Times New Roman" w:hAnsi="Times New Roman"/>
          <w:sz w:val="15"/>
          <w:szCs w:val="15"/>
          <w:u w:val="single" w:color="auto"/>
          <w:color w:val="auto"/>
        </w:rPr>
        <w:t>Rights and Remedies Cumulative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7" w:name="page88"/>
    <w:bookmarkEnd w:id="87"/>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6.11.</w:t>
      </w:r>
      <w:r>
        <w:rPr>
          <w:sz w:val="20"/>
          <w:szCs w:val="20"/>
          <w:color w:val="auto"/>
        </w:rPr>
        <w:tab/>
      </w:r>
      <w:r>
        <w:rPr>
          <w:rFonts w:ascii="Times New Roman" w:cs="Times New Roman" w:eastAsia="Times New Roman" w:hAnsi="Times New Roman"/>
          <w:sz w:val="14"/>
          <w:szCs w:val="14"/>
          <w:u w:val="single" w:color="auto"/>
          <w:color w:val="auto"/>
        </w:rPr>
        <w:t>Delay or Omission Not Waiver</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right="20" w:firstLine="1083"/>
        <w:spacing w:after="0" w:line="267" w:lineRule="auto"/>
        <w:rPr>
          <w:sz w:val="20"/>
          <w:szCs w:val="20"/>
          <w:color w:val="auto"/>
        </w:rPr>
      </w:pPr>
      <w:r>
        <w:rPr>
          <w:rFonts w:ascii="Times New Roman" w:cs="Times New Roman" w:eastAsia="Times New Roman" w:hAnsi="Times New Roman"/>
          <w:sz w:val="15"/>
          <w:szCs w:val="15"/>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6"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6.12.</w:t>
      </w:r>
      <w:r>
        <w:rPr>
          <w:sz w:val="20"/>
          <w:szCs w:val="20"/>
          <w:color w:val="auto"/>
        </w:rPr>
        <w:tab/>
      </w:r>
      <w:r>
        <w:rPr>
          <w:rFonts w:ascii="Times New Roman" w:cs="Times New Roman" w:eastAsia="Times New Roman" w:hAnsi="Times New Roman"/>
          <w:sz w:val="15"/>
          <w:szCs w:val="15"/>
          <w:u w:val="single" w:color="auto"/>
          <w:color w:val="auto"/>
        </w:rPr>
        <w:t>Control by Holders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35" w:lineRule="exact"/>
        <w:rPr>
          <w:sz w:val="20"/>
          <w:szCs w:val="20"/>
          <w:color w:val="auto"/>
        </w:rPr>
      </w:pPr>
    </w:p>
    <w:p>
      <w:pPr>
        <w:ind w:left="1500" w:hanging="427"/>
        <w:spacing w:after="0"/>
        <w:tabs>
          <w:tab w:leader="none" w:pos="15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direction shall not be in conflict with any rule of law or with this Indenture,</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take any other action deemed proper by the Trustee which is not inconsistent with such direction,</w:t>
      </w:r>
    </w:p>
    <w:p>
      <w:pPr>
        <w:spacing w:after="0" w:line="188" w:lineRule="exact"/>
        <w:rPr>
          <w:rFonts w:ascii="Times New Roman" w:cs="Times New Roman" w:eastAsia="Times New Roman" w:hAnsi="Times New Roman"/>
          <w:sz w:val="15"/>
          <w:szCs w:val="15"/>
          <w:color w:val="auto"/>
        </w:rPr>
      </w:pPr>
    </w:p>
    <w:p>
      <w:pPr>
        <w:ind w:left="540" w:firstLine="533"/>
        <w:spacing w:after="0" w:line="283" w:lineRule="auto"/>
        <w:tabs>
          <w:tab w:leader="none" w:pos="1524"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34" w:lineRule="exact"/>
        <w:rPr>
          <w:rFonts w:ascii="Times New Roman" w:cs="Times New Roman" w:eastAsia="Times New Roman" w:hAnsi="Times New Roman"/>
          <w:sz w:val="15"/>
          <w:szCs w:val="15"/>
          <w:color w:val="auto"/>
        </w:rPr>
      </w:pPr>
    </w:p>
    <w:p>
      <w:pPr>
        <w:ind w:left="540" w:right="20" w:firstLine="533"/>
        <w:spacing w:after="0" w:line="283" w:lineRule="auto"/>
        <w:tabs>
          <w:tab w:leader="none" w:pos="153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35"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6.13.</w:t>
      </w:r>
      <w:r>
        <w:rPr>
          <w:sz w:val="20"/>
          <w:szCs w:val="20"/>
          <w:color w:val="auto"/>
        </w:rPr>
        <w:tab/>
      </w:r>
      <w:r>
        <w:rPr>
          <w:rFonts w:ascii="Times New Roman" w:cs="Times New Roman" w:eastAsia="Times New Roman" w:hAnsi="Times New Roman"/>
          <w:sz w:val="15"/>
          <w:szCs w:val="15"/>
          <w:u w:val="single" w:color="auto"/>
          <w:color w:val="auto"/>
        </w:rPr>
        <w:t>Waiver of Past Defaults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8" w:name="page89"/>
    <w:bookmarkEnd w:id="88"/>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6.14.</w:t>
      </w:r>
      <w:r>
        <w:rPr>
          <w:sz w:val="20"/>
          <w:szCs w:val="20"/>
          <w:color w:val="auto"/>
        </w:rPr>
        <w:tab/>
      </w:r>
      <w:r>
        <w:rPr>
          <w:rFonts w:ascii="Times New Roman" w:cs="Times New Roman" w:eastAsia="Times New Roman" w:hAnsi="Times New Roman"/>
          <w:sz w:val="15"/>
          <w:szCs w:val="15"/>
          <w:u w:val="single" w:color="auto"/>
          <w:color w:val="auto"/>
        </w:rPr>
        <w:t>Undertaking for Costs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6" w:lineRule="auto"/>
        <w:rPr>
          <w:sz w:val="20"/>
          <w:szCs w:val="20"/>
          <w:color w:val="auto"/>
        </w:rPr>
      </w:pPr>
      <w:r>
        <w:rPr>
          <w:rFonts w:ascii="Times New Roman" w:cs="Times New Roman" w:eastAsia="Times New Roman" w:hAnsi="Times New Roman"/>
          <w:sz w:val="15"/>
          <w:szCs w:val="15"/>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TRUSTEE</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7.1.</w:t>
      </w:r>
      <w:r>
        <w:rPr>
          <w:sz w:val="20"/>
          <w:szCs w:val="20"/>
          <w:color w:val="auto"/>
        </w:rPr>
        <w:tab/>
      </w:r>
      <w:r>
        <w:rPr>
          <w:rFonts w:ascii="Times New Roman" w:cs="Times New Roman" w:eastAsia="Times New Roman" w:hAnsi="Times New Roman"/>
          <w:sz w:val="14"/>
          <w:szCs w:val="14"/>
          <w:u w:val="single" w:color="auto"/>
          <w:color w:val="auto"/>
        </w:rPr>
        <w:t>Duties of Trustee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540" w:firstLine="533"/>
        <w:spacing w:after="0" w:line="283" w:lineRule="auto"/>
        <w:tabs>
          <w:tab w:leader="none" w:pos="1555"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34"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during the continuance of an Event of Default:</w:t>
      </w:r>
    </w:p>
    <w:p>
      <w:pPr>
        <w:spacing w:after="0" w:line="188" w:lineRule="exact"/>
        <w:rPr>
          <w:rFonts w:ascii="Times New Roman" w:cs="Times New Roman" w:eastAsia="Times New Roman" w:hAnsi="Times New Roman"/>
          <w:sz w:val="15"/>
          <w:szCs w:val="15"/>
          <w:color w:val="auto"/>
        </w:rPr>
      </w:pPr>
    </w:p>
    <w:p>
      <w:pPr>
        <w:ind w:left="1080" w:firstLine="399"/>
        <w:spacing w:after="0" w:line="283" w:lineRule="auto"/>
        <w:tabs>
          <w:tab w:leader="none" w:pos="1779"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need perform only those duties that are specifically set forth in this Indenture and no others, and no implied covenants or obligations will be read into this Indenture against the Trustee.</w:t>
      </w:r>
    </w:p>
    <w:p>
      <w:pPr>
        <w:spacing w:after="0" w:line="134" w:lineRule="exact"/>
        <w:rPr>
          <w:rFonts w:ascii="Times New Roman" w:cs="Times New Roman" w:eastAsia="Times New Roman" w:hAnsi="Times New Roman"/>
          <w:sz w:val="15"/>
          <w:szCs w:val="15"/>
          <w:color w:val="auto"/>
        </w:rPr>
      </w:pPr>
    </w:p>
    <w:p>
      <w:pPr>
        <w:jc w:val="both"/>
        <w:ind w:left="1080" w:firstLine="399"/>
        <w:spacing w:after="0" w:line="261" w:lineRule="auto"/>
        <w:tabs>
          <w:tab w:leader="none" w:pos="1871"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51"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not be relieved from liability for its own negligent action, its own negligent failure to act or its own willful misconduct, except that:</w:t>
      </w:r>
    </w:p>
    <w:p>
      <w:pPr>
        <w:spacing w:after="0" w:line="188" w:lineRule="exact"/>
        <w:rPr>
          <w:rFonts w:ascii="Times New Roman" w:cs="Times New Roman" w:eastAsia="Times New Roman" w:hAnsi="Times New Roman"/>
          <w:sz w:val="15"/>
          <w:szCs w:val="15"/>
          <w:color w:val="auto"/>
        </w:rPr>
      </w:pPr>
    </w:p>
    <w:p>
      <w:pPr>
        <w:ind w:left="1760" w:hanging="281"/>
        <w:spacing w:after="0"/>
        <w:tabs>
          <w:tab w:leader="none" w:pos="176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paragraph does not limit the effect of paragraph (b) of this Section.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89" w:name="page90"/>
    <w:bookmarkEnd w:id="89"/>
    <w:p>
      <w:pPr>
        <w:ind w:left="540" w:right="20" w:firstLine="399"/>
        <w:spacing w:after="0" w:line="283" w:lineRule="auto"/>
        <w:tabs>
          <w:tab w:leader="none" w:pos="1303"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error of judgment made in good faith by a Responsible Officer, unless it is proved that the Trustee was negligent in ascertaining the pertinent facts.</w:t>
      </w:r>
    </w:p>
    <w:p>
      <w:pPr>
        <w:spacing w:after="0" w:line="134" w:lineRule="exact"/>
        <w:rPr>
          <w:rFonts w:ascii="Times New Roman" w:cs="Times New Roman" w:eastAsia="Times New Roman" w:hAnsi="Times New Roman"/>
          <w:sz w:val="15"/>
          <w:szCs w:val="15"/>
          <w:color w:val="auto"/>
        </w:rPr>
      </w:pPr>
    </w:p>
    <w:p>
      <w:pPr>
        <w:jc w:val="both"/>
        <w:ind w:left="540" w:firstLine="399"/>
        <w:spacing w:after="0" w:line="261" w:lineRule="auto"/>
        <w:tabs>
          <w:tab w:leader="none" w:pos="1327"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51" w:lineRule="exact"/>
        <w:rPr>
          <w:rFonts w:ascii="Times New Roman" w:cs="Times New Roman" w:eastAsia="Times New Roman" w:hAnsi="Times New Roman"/>
          <w:sz w:val="15"/>
          <w:szCs w:val="15"/>
          <w:color w:val="auto"/>
        </w:rPr>
      </w:pPr>
    </w:p>
    <w:p>
      <w:pPr>
        <w:ind w:left="980" w:hanging="447"/>
        <w:spacing w:after="0"/>
        <w:tabs>
          <w:tab w:leader="none" w:pos="98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Every provision of this Indenture that in any way relates to the Trustee is subject to paragraph (a), (b) and (c) of this Section.</w:t>
      </w:r>
    </w:p>
    <w:p>
      <w:pPr>
        <w:spacing w:after="0" w:line="188" w:lineRule="exact"/>
        <w:rPr>
          <w:rFonts w:ascii="Times New Roman" w:cs="Times New Roman" w:eastAsia="Times New Roman" w:hAnsi="Times New Roman"/>
          <w:sz w:val="15"/>
          <w:szCs w:val="15"/>
          <w:color w:val="auto"/>
        </w:rPr>
      </w:pPr>
    </w:p>
    <w:p>
      <w:pPr>
        <w:ind w:firstLine="533"/>
        <w:spacing w:after="0" w:line="283" w:lineRule="auto"/>
        <w:tabs>
          <w:tab w:leader="none" w:pos="978"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34" w:lineRule="exact"/>
        <w:rPr>
          <w:rFonts w:ascii="Times New Roman" w:cs="Times New Roman" w:eastAsia="Times New Roman" w:hAnsi="Times New Roman"/>
          <w:sz w:val="15"/>
          <w:szCs w:val="15"/>
          <w:color w:val="auto"/>
        </w:rPr>
      </w:pPr>
    </w:p>
    <w:p>
      <w:pPr>
        <w:ind w:firstLine="533"/>
        <w:spacing w:after="0" w:line="283" w:lineRule="auto"/>
        <w:tabs>
          <w:tab w:leader="none" w:pos="975"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34" w:lineRule="exact"/>
        <w:rPr>
          <w:rFonts w:ascii="Times New Roman" w:cs="Times New Roman" w:eastAsia="Times New Roman" w:hAnsi="Times New Roman"/>
          <w:sz w:val="15"/>
          <w:szCs w:val="15"/>
          <w:color w:val="auto"/>
        </w:rPr>
      </w:pPr>
    </w:p>
    <w:p>
      <w:pPr>
        <w:ind w:firstLine="533"/>
        <w:spacing w:after="0" w:line="283" w:lineRule="auto"/>
        <w:tabs>
          <w:tab w:leader="none" w:pos="99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34" w:lineRule="exact"/>
        <w:rPr>
          <w:rFonts w:ascii="Times New Roman" w:cs="Times New Roman" w:eastAsia="Times New Roman" w:hAnsi="Times New Roman"/>
          <w:sz w:val="15"/>
          <w:szCs w:val="15"/>
          <w:color w:val="auto"/>
        </w:rPr>
      </w:pPr>
    </w:p>
    <w:p>
      <w:pPr>
        <w:ind w:firstLine="533"/>
        <w:spacing w:after="0" w:line="283" w:lineRule="auto"/>
        <w:tabs>
          <w:tab w:leader="none" w:pos="1007"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Paying Agent, the Notice Agent, the Registrar, any authenticating agent and the Trustee when acting in any other capacity hereunder shall be entitled to the protections and immunities as are set forth in this Article VII.</w:t>
      </w:r>
    </w:p>
    <w:p>
      <w:pPr>
        <w:spacing w:after="0" w:line="134" w:lineRule="exact"/>
        <w:rPr>
          <w:rFonts w:ascii="Times New Roman" w:cs="Times New Roman" w:eastAsia="Times New Roman" w:hAnsi="Times New Roman"/>
          <w:sz w:val="15"/>
          <w:szCs w:val="15"/>
          <w:color w:val="auto"/>
        </w:rPr>
      </w:pPr>
    </w:p>
    <w:p>
      <w:pPr>
        <w:ind w:firstLine="533"/>
        <w:spacing w:after="0" w:line="283" w:lineRule="auto"/>
        <w:tabs>
          <w:tab w:leader="none" w:pos="959"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1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5"/>
          <w:szCs w:val="15"/>
          <w:color w:val="auto"/>
        </w:rPr>
        <w:t>Section 7.2.</w:t>
      </w:r>
      <w:r>
        <w:rPr>
          <w:sz w:val="20"/>
          <w:szCs w:val="20"/>
          <w:color w:val="auto"/>
        </w:rPr>
        <w:tab/>
      </w:r>
      <w:r>
        <w:rPr>
          <w:rFonts w:ascii="Times New Roman" w:cs="Times New Roman" w:eastAsia="Times New Roman" w:hAnsi="Times New Roman"/>
          <w:sz w:val="14"/>
          <w:szCs w:val="14"/>
          <w:u w:val="single" w:color="auto"/>
          <w:color w:val="auto"/>
        </w:rPr>
        <w:t>Rights of Trustee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533"/>
        <w:spacing w:after="0" w:line="283" w:lineRule="auto"/>
        <w:tabs>
          <w:tab w:leader="none" w:pos="982"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34" w:lineRule="exact"/>
        <w:rPr>
          <w:rFonts w:ascii="Times New Roman" w:cs="Times New Roman" w:eastAsia="Times New Roman" w:hAnsi="Times New Roman"/>
          <w:sz w:val="15"/>
          <w:szCs w:val="15"/>
          <w:color w:val="auto"/>
        </w:rPr>
      </w:pPr>
    </w:p>
    <w:p>
      <w:pPr>
        <w:ind w:firstLine="533"/>
        <w:spacing w:after="0" w:line="283" w:lineRule="auto"/>
        <w:tabs>
          <w:tab w:leader="none" w:pos="1025"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3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71755</wp:posOffset>
            </wp:positionV>
            <wp:extent cx="715518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0"/>
          </w:cols>
          <w:pgMar w:left="860" w:top="508" w:right="319" w:bottom="1440" w:gutter="0" w:footer="0" w:header="0"/>
        </w:sectPr>
      </w:pPr>
    </w:p>
    <w:bookmarkStart w:id="90" w:name="page91"/>
    <w:bookmarkEnd w:id="90"/>
    <w:p>
      <w:pPr>
        <w:ind w:left="540" w:right="20" w:firstLine="533"/>
        <w:spacing w:after="0" w:line="283" w:lineRule="auto"/>
        <w:tabs>
          <w:tab w:leader="none" w:pos="1542"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34"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action it takes or omits to take in good faith which it believes to be authorized or within its rights or powers.</w:t>
      </w:r>
    </w:p>
    <w:p>
      <w:pPr>
        <w:spacing w:after="0" w:line="188" w:lineRule="exact"/>
        <w:rPr>
          <w:rFonts w:ascii="Times New Roman" w:cs="Times New Roman" w:eastAsia="Times New Roman" w:hAnsi="Times New Roman"/>
          <w:sz w:val="15"/>
          <w:szCs w:val="15"/>
          <w:color w:val="auto"/>
        </w:rPr>
      </w:pPr>
    </w:p>
    <w:p>
      <w:pPr>
        <w:ind w:left="540" w:firstLine="533"/>
        <w:spacing w:after="0" w:line="283" w:lineRule="auto"/>
        <w:tabs>
          <w:tab w:leader="none" w:pos="1511"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34" w:lineRule="exact"/>
        <w:rPr>
          <w:rFonts w:ascii="Times New Roman" w:cs="Times New Roman" w:eastAsia="Times New Roman" w:hAnsi="Times New Roman"/>
          <w:sz w:val="15"/>
          <w:szCs w:val="15"/>
          <w:color w:val="auto"/>
        </w:rPr>
      </w:pPr>
    </w:p>
    <w:p>
      <w:pPr>
        <w:jc w:val="both"/>
        <w:ind w:left="540" w:firstLine="533"/>
        <w:spacing w:after="0" w:line="267" w:lineRule="auto"/>
        <w:tabs>
          <w:tab w:leader="none" w:pos="1527"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46" w:lineRule="exact"/>
        <w:rPr>
          <w:rFonts w:ascii="Times New Roman" w:cs="Times New Roman" w:eastAsia="Times New Roman" w:hAnsi="Times New Roman"/>
          <w:sz w:val="15"/>
          <w:szCs w:val="15"/>
          <w:color w:val="auto"/>
        </w:rPr>
      </w:pPr>
    </w:p>
    <w:p>
      <w:pPr>
        <w:jc w:val="both"/>
        <w:ind w:left="540" w:firstLine="533"/>
        <w:spacing w:after="0" w:line="267" w:lineRule="auto"/>
        <w:tabs>
          <w:tab w:leader="none" w:pos="1599"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46" w:lineRule="exact"/>
        <w:rPr>
          <w:rFonts w:ascii="Times New Roman" w:cs="Times New Roman" w:eastAsia="Times New Roman" w:hAnsi="Times New Roman"/>
          <w:sz w:val="15"/>
          <w:szCs w:val="15"/>
          <w:color w:val="auto"/>
        </w:rPr>
      </w:pPr>
    </w:p>
    <w:p>
      <w:pPr>
        <w:jc w:val="both"/>
        <w:ind w:left="540" w:right="20" w:firstLine="533"/>
        <w:spacing w:after="0" w:line="267" w:lineRule="auto"/>
        <w:tabs>
          <w:tab w:leader="none" w:pos="1561"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146" w:lineRule="exact"/>
        <w:rPr>
          <w:rFonts w:ascii="Times New Roman" w:cs="Times New Roman" w:eastAsia="Times New Roman" w:hAnsi="Times New Roman"/>
          <w:sz w:val="15"/>
          <w:szCs w:val="15"/>
          <w:color w:val="auto"/>
        </w:rPr>
      </w:pPr>
    </w:p>
    <w:p>
      <w:pPr>
        <w:ind w:left="540" w:firstLine="533"/>
        <w:spacing w:after="0" w:line="283" w:lineRule="auto"/>
        <w:tabs>
          <w:tab w:leader="none" w:pos="1523"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34" w:lineRule="exact"/>
        <w:rPr>
          <w:rFonts w:ascii="Times New Roman" w:cs="Times New Roman" w:eastAsia="Times New Roman" w:hAnsi="Times New Roman"/>
          <w:sz w:val="15"/>
          <w:szCs w:val="15"/>
          <w:color w:val="auto"/>
        </w:rPr>
      </w:pPr>
    </w:p>
    <w:p>
      <w:pPr>
        <w:ind w:left="1480" w:hanging="407"/>
        <w:spacing w:after="0"/>
        <w:tabs>
          <w:tab w:leader="none" w:pos="148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permissive right of the Trustee to take the actions permitted by this Indenture shall not be construed as an obligation or duty to do so.</w:t>
      </w:r>
    </w:p>
    <w:p>
      <w:pPr>
        <w:spacing w:after="0" w:line="188"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will not be required to give any bond or surety in respect of the execution of this Indenture or otherwise.</w:t>
      </w:r>
    </w:p>
    <w:p>
      <w:pPr>
        <w:spacing w:after="0" w:line="188"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7.3.</w:t>
      </w:r>
      <w:r>
        <w:rPr>
          <w:sz w:val="20"/>
          <w:szCs w:val="20"/>
          <w:color w:val="auto"/>
        </w:rPr>
        <w:tab/>
      </w:r>
      <w:r>
        <w:rPr>
          <w:rFonts w:ascii="Times New Roman" w:cs="Times New Roman" w:eastAsia="Times New Roman" w:hAnsi="Times New Roman"/>
          <w:sz w:val="14"/>
          <w:szCs w:val="14"/>
          <w:u w:val="single" w:color="auto"/>
          <w:color w:val="auto"/>
        </w:rPr>
        <w:t>Individual Rights of Trustee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firstLine="1083"/>
        <w:spacing w:after="0" w:line="283" w:lineRule="auto"/>
        <w:rPr>
          <w:sz w:val="20"/>
          <w:szCs w:val="20"/>
          <w:color w:val="auto"/>
        </w:rPr>
      </w:pPr>
      <w:r>
        <w:rPr>
          <w:rFonts w:ascii="Times New Roman" w:cs="Times New Roman" w:eastAsia="Times New Roman" w:hAnsi="Times New Roman"/>
          <w:sz w:val="15"/>
          <w:szCs w:val="15"/>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91" w:name="page92"/>
    <w:bookmarkEnd w:id="91"/>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7.4.</w:t>
      </w:r>
      <w:r>
        <w:rPr>
          <w:sz w:val="20"/>
          <w:szCs w:val="20"/>
          <w:color w:val="auto"/>
        </w:rPr>
        <w:tab/>
      </w:r>
      <w:r>
        <w:rPr>
          <w:rFonts w:ascii="Times New Roman" w:cs="Times New Roman" w:eastAsia="Times New Roman" w:hAnsi="Times New Roman"/>
          <w:sz w:val="14"/>
          <w:szCs w:val="14"/>
          <w:u w:val="single" w:color="auto"/>
          <w:color w:val="auto"/>
        </w:rPr>
        <w:t>Trustee’s Disclaimer</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7.5.</w:t>
      </w:r>
      <w:r>
        <w:rPr>
          <w:sz w:val="20"/>
          <w:szCs w:val="20"/>
          <w:color w:val="auto"/>
        </w:rPr>
        <w:tab/>
      </w:r>
      <w:r>
        <w:rPr>
          <w:rFonts w:ascii="Times New Roman" w:cs="Times New Roman" w:eastAsia="Times New Roman" w:hAnsi="Times New Roman"/>
          <w:sz w:val="14"/>
          <w:szCs w:val="14"/>
          <w:u w:val="single" w:color="auto"/>
          <w:color w:val="auto"/>
        </w:rPr>
        <w:t>Notice of Defaults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5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7.6.</w:t>
      </w:r>
      <w:r>
        <w:rPr>
          <w:sz w:val="20"/>
          <w:szCs w:val="20"/>
          <w:color w:val="auto"/>
        </w:rPr>
        <w:tab/>
      </w:r>
      <w:r>
        <w:rPr>
          <w:rFonts w:ascii="Times New Roman" w:cs="Times New Roman" w:eastAsia="Times New Roman" w:hAnsi="Times New Roman"/>
          <w:sz w:val="14"/>
          <w:szCs w:val="14"/>
          <w:u w:val="single" w:color="auto"/>
          <w:color w:val="auto"/>
        </w:rPr>
        <w:t>Reports by Trustee to Holders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Within 60 days after each anniversary of this Indenture, the Trustee shall transmit by mail to all Holders, as their names and addresses appear on the register kept by the Registrar, a brief report dated as of such anniversary date, in accordance with, and to the extent required under, TIA § 313.</w:t>
      </w:r>
    </w:p>
    <w:p>
      <w:pPr>
        <w:spacing w:after="0" w:line="13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7.7.</w:t>
      </w:r>
      <w:r>
        <w:rPr>
          <w:sz w:val="20"/>
          <w:szCs w:val="20"/>
          <w:color w:val="auto"/>
        </w:rPr>
        <w:tab/>
      </w:r>
      <w:r>
        <w:rPr>
          <w:rFonts w:ascii="Times New Roman" w:cs="Times New Roman" w:eastAsia="Times New Roman" w:hAnsi="Times New Roman"/>
          <w:sz w:val="14"/>
          <w:szCs w:val="14"/>
          <w:u w:val="single" w:color="auto"/>
          <w:color w:val="auto"/>
        </w:rPr>
        <w:t>Compensation and Indemnity</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right="20" w:firstLine="1083"/>
        <w:spacing w:after="0" w:line="267" w:lineRule="auto"/>
        <w:rPr>
          <w:sz w:val="20"/>
          <w:szCs w:val="20"/>
          <w:color w:val="auto"/>
        </w:rPr>
      </w:pPr>
      <w:r>
        <w:rPr>
          <w:rFonts w:ascii="Times New Roman" w:cs="Times New Roman" w:eastAsia="Times New Roman" w:hAnsi="Times New Roman"/>
          <w:sz w:val="15"/>
          <w:szCs w:val="15"/>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92" w:name="page93"/>
    <w:bookmarkEnd w:id="92"/>
    <w:p>
      <w:pPr>
        <w:jc w:val="both"/>
        <w:ind w:firstLine="1083"/>
        <w:spacing w:after="0" w:line="256" w:lineRule="auto"/>
        <w:rPr>
          <w:sz w:val="20"/>
          <w:szCs w:val="20"/>
          <w:color w:val="auto"/>
        </w:rPr>
      </w:pPr>
      <w:r>
        <w:rPr>
          <w:rFonts w:ascii="Times New Roman" w:cs="Times New Roman" w:eastAsia="Times New Roman" w:hAnsi="Times New Roman"/>
          <w:sz w:val="15"/>
          <w:szCs w:val="15"/>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56"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3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35"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The provisions of this Section shall survive the termination of this Indenture and the resignation or removal of the Trustee.</w:t>
      </w:r>
    </w:p>
    <w:p>
      <w:pPr>
        <w:spacing w:after="0" w:line="188"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7.8.</w:t>
      </w:r>
      <w:r>
        <w:rPr>
          <w:sz w:val="20"/>
          <w:szCs w:val="20"/>
          <w:color w:val="auto"/>
        </w:rPr>
        <w:tab/>
      </w:r>
      <w:r>
        <w:rPr>
          <w:rFonts w:ascii="Times New Roman" w:cs="Times New Roman" w:eastAsia="Times New Roman" w:hAnsi="Times New Roman"/>
          <w:sz w:val="14"/>
          <w:szCs w:val="14"/>
          <w:u w:val="single" w:color="auto"/>
          <w:color w:val="auto"/>
        </w:rPr>
        <w:t>Replacement of Trustee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right="20" w:firstLine="1083"/>
        <w:spacing w:after="0" w:line="283" w:lineRule="auto"/>
        <w:rPr>
          <w:sz w:val="20"/>
          <w:szCs w:val="20"/>
          <w:color w:val="auto"/>
        </w:rPr>
      </w:pPr>
      <w:r>
        <w:rPr>
          <w:rFonts w:ascii="Times New Roman" w:cs="Times New Roman" w:eastAsia="Times New Roman" w:hAnsi="Times New Roman"/>
          <w:sz w:val="15"/>
          <w:szCs w:val="15"/>
          <w:color w:val="auto"/>
        </w:rPr>
        <w:t>A resignation or removal of the Trustee and appointment of a successor Trustee shall become effective only upon the successor Trustee’s acceptance of appointment as provided in this Section.</w:t>
      </w:r>
    </w:p>
    <w:p>
      <w:pPr>
        <w:spacing w:after="0" w:line="135"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46" w:lineRule="exact"/>
        <w:rPr>
          <w:sz w:val="20"/>
          <w:szCs w:val="20"/>
          <w:color w:val="auto"/>
        </w:rPr>
      </w:pPr>
    </w:p>
    <w:p>
      <w:pPr>
        <w:ind w:left="1500" w:hanging="427"/>
        <w:spacing w:after="0"/>
        <w:tabs>
          <w:tab w:leader="none" w:pos="15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fails to comply with Section 7.10;</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is adjudged a bankrupt or an insolvent or an order for relief is entered with respect to the Trustee under any Bankruptcy Law;</w:t>
      </w:r>
    </w:p>
    <w:p>
      <w:pPr>
        <w:spacing w:after="0" w:line="188"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Custodian or public officer takes charge of the Trustee or its property; or</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becomes incapable of acting.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93" w:name="page94"/>
    <w:bookmarkEnd w:id="93"/>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46"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46"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5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7.9.</w:t>
      </w:r>
      <w:r>
        <w:rPr>
          <w:sz w:val="20"/>
          <w:szCs w:val="20"/>
          <w:color w:val="auto"/>
        </w:rPr>
        <w:tab/>
      </w:r>
      <w:r>
        <w:rPr>
          <w:rFonts w:ascii="Times New Roman" w:cs="Times New Roman" w:eastAsia="Times New Roman" w:hAnsi="Times New Roman"/>
          <w:sz w:val="14"/>
          <w:szCs w:val="14"/>
          <w:u w:val="single" w:color="auto"/>
          <w:color w:val="auto"/>
        </w:rPr>
        <w:t>Successor Trustee by Merger, Etc</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52"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7.10.</w:t>
      </w:r>
      <w:r>
        <w:rPr>
          <w:sz w:val="20"/>
          <w:szCs w:val="20"/>
          <w:color w:val="auto"/>
        </w:rPr>
        <w:tab/>
      </w:r>
      <w:r>
        <w:rPr>
          <w:rFonts w:ascii="Times New Roman" w:cs="Times New Roman" w:eastAsia="Times New Roman" w:hAnsi="Times New Roman"/>
          <w:sz w:val="15"/>
          <w:szCs w:val="15"/>
          <w:u w:val="single" w:color="auto"/>
          <w:color w:val="auto"/>
        </w:rPr>
        <w:t>Eligibility; Disqualification</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35"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7.11.</w:t>
      </w:r>
      <w:r>
        <w:rPr>
          <w:sz w:val="20"/>
          <w:szCs w:val="20"/>
          <w:color w:val="auto"/>
        </w:rPr>
        <w:tab/>
      </w:r>
      <w:r>
        <w:rPr>
          <w:rFonts w:ascii="Times New Roman" w:cs="Times New Roman" w:eastAsia="Times New Roman" w:hAnsi="Times New Roman"/>
          <w:sz w:val="15"/>
          <w:szCs w:val="15"/>
          <w:u w:val="single" w:color="auto"/>
          <w:color w:val="auto"/>
        </w:rPr>
        <w:t>Preferential Collection of Claims Against Company</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Trustee is subject to TIA § 311(a), excluding any creditor relationship listed in TIA § 311(b). A Trustee who has resigned or been removed shall be subject to TIA § 311(a) to the extent indicated.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5"/>
          <w:szCs w:val="15"/>
          <w:color w:val="auto"/>
        </w:rPr>
        <w:t>ARTICLE VIII.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SATISFACTION AND DISCHARGE; DEFEASANCE</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8.1.</w:t>
      </w:r>
      <w:r>
        <w:rPr>
          <w:sz w:val="20"/>
          <w:szCs w:val="20"/>
          <w:color w:val="auto"/>
        </w:rPr>
        <w:tab/>
      </w:r>
      <w:r>
        <w:rPr>
          <w:rFonts w:ascii="Times New Roman" w:cs="Times New Roman" w:eastAsia="Times New Roman" w:hAnsi="Times New Roman"/>
          <w:sz w:val="14"/>
          <w:szCs w:val="14"/>
          <w:u w:val="single" w:color="auto"/>
          <w:color w:val="auto"/>
        </w:rPr>
        <w:t>Satisfaction and Discharge of Indenture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46" w:lineRule="exact"/>
        <w:rPr>
          <w:sz w:val="20"/>
          <w:szCs w:val="20"/>
          <w:color w:val="auto"/>
        </w:rPr>
      </w:pPr>
    </w:p>
    <w:p>
      <w:pPr>
        <w:ind w:left="1500" w:hanging="427"/>
        <w:spacing w:after="0"/>
        <w:tabs>
          <w:tab w:leader="none" w:pos="15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w:t>
      </w:r>
    </w:p>
    <w:p>
      <w:pPr>
        <w:spacing w:after="0" w:line="188" w:lineRule="exact"/>
        <w:rPr>
          <w:rFonts w:ascii="Times New Roman" w:cs="Times New Roman" w:eastAsia="Times New Roman" w:hAnsi="Times New Roman"/>
          <w:sz w:val="15"/>
          <w:szCs w:val="15"/>
          <w:color w:val="auto"/>
        </w:rPr>
      </w:pPr>
    </w:p>
    <w:p>
      <w:pPr>
        <w:ind w:left="1080" w:firstLine="399"/>
        <w:spacing w:after="0" w:line="283" w:lineRule="auto"/>
        <w:tabs>
          <w:tab w:leader="none" w:pos="1782"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34" w:lineRule="exact"/>
        <w:rPr>
          <w:rFonts w:ascii="Times New Roman" w:cs="Times New Roman" w:eastAsia="Times New Roman" w:hAnsi="Times New Roman"/>
          <w:sz w:val="15"/>
          <w:szCs w:val="15"/>
          <w:color w:val="auto"/>
        </w:rPr>
      </w:pPr>
    </w:p>
    <w:p>
      <w:pPr>
        <w:ind w:left="1820" w:hanging="341"/>
        <w:spacing w:after="0"/>
        <w:tabs>
          <w:tab w:leader="none" w:pos="1820"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Securities of such Series not theretofore delivered to the Trustee for cancellation:</w:t>
      </w:r>
    </w:p>
    <w:p>
      <w:pPr>
        <w:spacing w:after="0" w:line="188" w:lineRule="exact"/>
        <w:rPr>
          <w:rFonts w:ascii="Times New Roman" w:cs="Times New Roman" w:eastAsia="Times New Roman" w:hAnsi="Times New Roman"/>
          <w:sz w:val="15"/>
          <w:szCs w:val="15"/>
          <w:color w:val="auto"/>
        </w:rPr>
      </w:pPr>
    </w:p>
    <w:p>
      <w:pPr>
        <w:ind w:left="2260" w:hanging="510"/>
        <w:spacing w:after="0"/>
        <w:tabs>
          <w:tab w:leader="none" w:pos="2260" w:val="left"/>
        </w:tabs>
        <w:numPr>
          <w:ilvl w:val="2"/>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become due and payable by reason of sending a notice of redemption or otherwise,</w:t>
      </w:r>
    </w:p>
    <w:p>
      <w:pPr>
        <w:spacing w:after="0" w:line="188" w:lineRule="exact"/>
        <w:rPr>
          <w:rFonts w:ascii="Times New Roman" w:cs="Times New Roman" w:eastAsia="Times New Roman" w:hAnsi="Times New Roman"/>
          <w:sz w:val="15"/>
          <w:szCs w:val="15"/>
          <w:color w:val="auto"/>
        </w:rPr>
      </w:pPr>
    </w:p>
    <w:p>
      <w:pPr>
        <w:ind w:left="2260" w:hanging="510"/>
        <w:spacing w:after="0"/>
        <w:tabs>
          <w:tab w:leader="none" w:pos="2260" w:val="left"/>
        </w:tabs>
        <w:numPr>
          <w:ilvl w:val="2"/>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will become due and payable at their Stated Maturity within one year,</w:t>
      </w:r>
    </w:p>
    <w:p>
      <w:pPr>
        <w:spacing w:after="0" w:line="188" w:lineRule="exact"/>
        <w:rPr>
          <w:rFonts w:ascii="Times New Roman" w:cs="Times New Roman" w:eastAsia="Times New Roman" w:hAnsi="Times New Roman"/>
          <w:sz w:val="15"/>
          <w:szCs w:val="15"/>
          <w:color w:val="auto"/>
        </w:rPr>
      </w:pPr>
    </w:p>
    <w:p>
      <w:pPr>
        <w:ind w:left="1480" w:right="20" w:firstLine="270"/>
        <w:spacing w:after="0" w:line="283" w:lineRule="auto"/>
        <w:tabs>
          <w:tab w:leader="none" w:pos="2317" w:val="left"/>
        </w:tabs>
        <w:numPr>
          <w:ilvl w:val="2"/>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34" w:lineRule="exact"/>
        <w:rPr>
          <w:rFonts w:ascii="Times New Roman" w:cs="Times New Roman" w:eastAsia="Times New Roman" w:hAnsi="Times New Roman"/>
          <w:sz w:val="15"/>
          <w:szCs w:val="15"/>
          <w:color w:val="auto"/>
        </w:rPr>
      </w:pPr>
    </w:p>
    <w:p>
      <w:pPr>
        <w:ind w:left="2260" w:hanging="510"/>
        <w:spacing w:after="0"/>
        <w:tabs>
          <w:tab w:leader="none" w:pos="2260" w:val="left"/>
        </w:tabs>
        <w:numPr>
          <w:ilvl w:val="2"/>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deemed paid and discharged pursuant to Section 8.3, as applicable;</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146" w:lineRule="exact"/>
        <w:rPr>
          <w:sz w:val="20"/>
          <w:szCs w:val="20"/>
          <w:color w:val="auto"/>
        </w:rPr>
      </w:pPr>
    </w:p>
    <w:p>
      <w:pPr>
        <w:ind w:left="1520" w:hanging="447"/>
        <w:spacing w:after="0"/>
        <w:tabs>
          <w:tab w:leader="none" w:pos="152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paid or caused to be paid all other sums payable hereunder by the Company; and</w:t>
      </w:r>
    </w:p>
    <w:p>
      <w:pPr>
        <w:spacing w:after="0" w:line="188" w:lineRule="exact"/>
        <w:rPr>
          <w:rFonts w:ascii="Times New Roman" w:cs="Times New Roman" w:eastAsia="Times New Roman" w:hAnsi="Times New Roman"/>
          <w:sz w:val="15"/>
          <w:szCs w:val="15"/>
          <w:color w:val="auto"/>
        </w:rPr>
      </w:pPr>
    </w:p>
    <w:p>
      <w:pPr>
        <w:ind w:left="540" w:firstLine="533"/>
        <w:spacing w:after="0" w:line="283" w:lineRule="auto"/>
        <w:tabs>
          <w:tab w:leader="none" w:pos="1557"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95" w:name="page96"/>
    <w:bookmarkEnd w:id="95"/>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146"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8.2.</w:t>
      </w:r>
      <w:r>
        <w:rPr>
          <w:sz w:val="20"/>
          <w:szCs w:val="20"/>
          <w:color w:val="auto"/>
        </w:rPr>
        <w:tab/>
      </w:r>
      <w:r>
        <w:rPr>
          <w:rFonts w:ascii="Times New Roman" w:cs="Times New Roman" w:eastAsia="Times New Roman" w:hAnsi="Times New Roman"/>
          <w:sz w:val="14"/>
          <w:szCs w:val="14"/>
          <w:u w:val="single" w:color="auto"/>
          <w:color w:val="auto"/>
        </w:rPr>
        <w:t>Application of Trust Funds; Indemnification</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left="540" w:firstLine="533"/>
        <w:spacing w:after="0" w:line="257" w:lineRule="auto"/>
        <w:tabs>
          <w:tab w:leader="none" w:pos="1533"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54" w:lineRule="exact"/>
        <w:rPr>
          <w:rFonts w:ascii="Times New Roman" w:cs="Times New Roman" w:eastAsia="Times New Roman" w:hAnsi="Times New Roman"/>
          <w:sz w:val="15"/>
          <w:szCs w:val="15"/>
          <w:color w:val="auto"/>
        </w:rPr>
      </w:pPr>
    </w:p>
    <w:p>
      <w:pPr>
        <w:jc w:val="both"/>
        <w:ind w:left="540" w:firstLine="533"/>
        <w:spacing w:after="0" w:line="267" w:lineRule="auto"/>
        <w:tabs>
          <w:tab w:leader="none" w:pos="1638"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46" w:lineRule="exact"/>
        <w:rPr>
          <w:rFonts w:ascii="Times New Roman" w:cs="Times New Roman" w:eastAsia="Times New Roman" w:hAnsi="Times New Roman"/>
          <w:sz w:val="15"/>
          <w:szCs w:val="15"/>
          <w:color w:val="auto"/>
        </w:rPr>
      </w:pPr>
    </w:p>
    <w:p>
      <w:pPr>
        <w:jc w:val="both"/>
        <w:ind w:left="540" w:firstLine="533"/>
        <w:spacing w:after="0" w:line="259" w:lineRule="auto"/>
        <w:tabs>
          <w:tab w:leader="none" w:pos="1535"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52"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8.3.</w:t>
      </w:r>
      <w:r>
        <w:rPr>
          <w:sz w:val="20"/>
          <w:szCs w:val="20"/>
          <w:color w:val="auto"/>
        </w:rPr>
        <w:tab/>
      </w:r>
      <w:r>
        <w:rPr>
          <w:rFonts w:ascii="Times New Roman" w:cs="Times New Roman" w:eastAsia="Times New Roman" w:hAnsi="Times New Roman"/>
          <w:sz w:val="14"/>
          <w:szCs w:val="14"/>
          <w:u w:val="single" w:color="auto"/>
          <w:color w:val="auto"/>
        </w:rPr>
        <w:t>Legal Defeasance of Securities of any Series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52" w:lineRule="exact"/>
        <w:rPr>
          <w:sz w:val="20"/>
          <w:szCs w:val="20"/>
          <w:color w:val="auto"/>
        </w:rPr>
      </w:pPr>
    </w:p>
    <w:p>
      <w:pPr>
        <w:jc w:val="both"/>
        <w:ind w:left="540" w:firstLine="533"/>
        <w:spacing w:after="0" w:line="261" w:lineRule="auto"/>
        <w:tabs>
          <w:tab w:leader="none" w:pos="15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96" w:name="page97"/>
    <w:bookmarkEnd w:id="96"/>
    <w:p>
      <w:pPr>
        <w:ind w:left="1520" w:hanging="447"/>
        <w:spacing w:after="0"/>
        <w:tabs>
          <w:tab w:leader="none" w:pos="1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Sections 2.4, 2.5, 2.7, 2.8, 7.7, 8.2, 8.3, 8.5 and 8.6; and</w:t>
      </w:r>
    </w:p>
    <w:p>
      <w:pPr>
        <w:spacing w:after="0" w:line="188" w:lineRule="exact"/>
        <w:rPr>
          <w:rFonts w:ascii="Times New Roman" w:cs="Times New Roman" w:eastAsia="Times New Roman" w:hAnsi="Times New Roman"/>
          <w:sz w:val="15"/>
          <w:szCs w:val="15"/>
          <w:color w:val="auto"/>
        </w:rPr>
      </w:pPr>
    </w:p>
    <w:p>
      <w:pPr>
        <w:ind w:right="2400" w:firstLine="1073"/>
        <w:spacing w:after="0" w:line="502" w:lineRule="auto"/>
        <w:tabs>
          <w:tab w:leader="none" w:pos="1513"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powers, trusts and immunities of the Trustee hereunder and the Company’s obligations in connection therewith; provided that, the following conditions shall have been satisfied:</w:t>
      </w:r>
    </w:p>
    <w:p>
      <w:pPr>
        <w:jc w:val="both"/>
        <w:ind w:left="540" w:firstLine="533"/>
        <w:spacing w:after="0" w:line="255" w:lineRule="auto"/>
        <w:tabs>
          <w:tab w:leader="none" w:pos="1522"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57" w:lineRule="exact"/>
        <w:rPr>
          <w:rFonts w:ascii="Times New Roman" w:cs="Times New Roman" w:eastAsia="Times New Roman" w:hAnsi="Times New Roman"/>
          <w:sz w:val="15"/>
          <w:szCs w:val="15"/>
          <w:color w:val="auto"/>
        </w:rPr>
      </w:pPr>
    </w:p>
    <w:p>
      <w:pPr>
        <w:ind w:left="540" w:right="20" w:firstLine="533"/>
        <w:spacing w:after="0" w:line="283" w:lineRule="auto"/>
        <w:tabs>
          <w:tab w:leader="none" w:pos="1523"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this Indenture or any other agreement or instrument to which the Company is a party or by which it is bound;</w:t>
      </w:r>
    </w:p>
    <w:p>
      <w:pPr>
        <w:spacing w:after="0" w:line="134" w:lineRule="exact"/>
        <w:rPr>
          <w:rFonts w:ascii="Times New Roman" w:cs="Times New Roman" w:eastAsia="Times New Roman" w:hAnsi="Times New Roman"/>
          <w:sz w:val="15"/>
          <w:szCs w:val="15"/>
          <w:color w:val="auto"/>
        </w:rPr>
      </w:pPr>
    </w:p>
    <w:p>
      <w:pPr>
        <w:ind w:left="540" w:firstLine="533"/>
        <w:spacing w:after="0" w:line="283" w:lineRule="auto"/>
        <w:tabs>
          <w:tab w:leader="none" w:pos="1508"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Securities of such Series shall have occurred and be continuing on the date of such deposit or during the period ending on the 91st day after such date;</w:t>
      </w:r>
    </w:p>
    <w:p>
      <w:pPr>
        <w:spacing w:after="0" w:line="134" w:lineRule="exact"/>
        <w:rPr>
          <w:rFonts w:ascii="Times New Roman" w:cs="Times New Roman" w:eastAsia="Times New Roman" w:hAnsi="Times New Roman"/>
          <w:sz w:val="15"/>
          <w:szCs w:val="15"/>
          <w:color w:val="auto"/>
        </w:rPr>
      </w:pPr>
    </w:p>
    <w:p>
      <w:pPr>
        <w:jc w:val="both"/>
        <w:ind w:left="540" w:firstLine="533"/>
        <w:spacing w:after="0" w:line="259" w:lineRule="auto"/>
        <w:tabs>
          <w:tab w:leader="none" w:pos="1531"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97" w:name="page98"/>
    <w:bookmarkEnd w:id="97"/>
    <w:p>
      <w:pPr>
        <w:ind w:left="540" w:firstLine="533"/>
        <w:spacing w:after="0" w:line="283" w:lineRule="auto"/>
        <w:tabs>
          <w:tab w:leader="none" w:pos="1611"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34" w:lineRule="exact"/>
        <w:rPr>
          <w:rFonts w:ascii="Times New Roman" w:cs="Times New Roman" w:eastAsia="Times New Roman" w:hAnsi="Times New Roman"/>
          <w:sz w:val="15"/>
          <w:szCs w:val="15"/>
          <w:color w:val="auto"/>
        </w:rPr>
      </w:pPr>
    </w:p>
    <w:p>
      <w:pPr>
        <w:ind w:left="540" w:right="20" w:firstLine="533"/>
        <w:spacing w:after="0" w:line="283" w:lineRule="auto"/>
        <w:tabs>
          <w:tab w:leader="none" w:pos="1597"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8.4.</w:t>
      </w:r>
      <w:r>
        <w:rPr>
          <w:sz w:val="20"/>
          <w:szCs w:val="20"/>
          <w:color w:val="auto"/>
        </w:rPr>
        <w:tab/>
      </w:r>
      <w:r>
        <w:rPr>
          <w:rFonts w:ascii="Times New Roman" w:cs="Times New Roman" w:eastAsia="Times New Roman" w:hAnsi="Times New Roman"/>
          <w:sz w:val="14"/>
          <w:szCs w:val="14"/>
          <w:u w:val="single" w:color="auto"/>
          <w:color w:val="auto"/>
        </w:rPr>
        <w:t>Covenant Defeasance</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6" w:lineRule="auto"/>
        <w:rPr>
          <w:sz w:val="20"/>
          <w:szCs w:val="20"/>
          <w:color w:val="auto"/>
        </w:rPr>
      </w:pPr>
      <w:r>
        <w:rPr>
          <w:rFonts w:ascii="Times New Roman" w:cs="Times New Roman" w:eastAsia="Times New Roman" w:hAnsi="Times New Roman"/>
          <w:sz w:val="15"/>
          <w:szCs w:val="15"/>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56" w:lineRule="exact"/>
        <w:rPr>
          <w:sz w:val="20"/>
          <w:szCs w:val="20"/>
          <w:color w:val="auto"/>
        </w:rPr>
      </w:pPr>
    </w:p>
    <w:p>
      <w:pPr>
        <w:jc w:val="both"/>
        <w:ind w:left="540" w:firstLine="533"/>
        <w:spacing w:after="0" w:line="255" w:lineRule="auto"/>
        <w:tabs>
          <w:tab w:leader="none" w:pos="1557"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157" w:lineRule="exact"/>
        <w:rPr>
          <w:rFonts w:ascii="Times New Roman" w:cs="Times New Roman" w:eastAsia="Times New Roman" w:hAnsi="Times New Roman"/>
          <w:sz w:val="15"/>
          <w:szCs w:val="15"/>
          <w:color w:val="auto"/>
        </w:rPr>
      </w:pPr>
    </w:p>
    <w:p>
      <w:pPr>
        <w:ind w:left="540" w:firstLine="533"/>
        <w:spacing w:after="0" w:line="283" w:lineRule="auto"/>
        <w:tabs>
          <w:tab w:leader="none" w:pos="1531"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this Indenture or any other agreement or instrument to which the Company is a party or by which it is bound;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98" w:name="page99"/>
    <w:bookmarkEnd w:id="98"/>
    <w:p>
      <w:pPr>
        <w:ind w:left="1500" w:hanging="427"/>
        <w:spacing w:after="0"/>
        <w:tabs>
          <w:tab w:leader="none" w:pos="15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Securities of such Series shall have occurred and be continuing on the date of such deposit;</w:t>
      </w:r>
    </w:p>
    <w:p>
      <w:pPr>
        <w:spacing w:after="0" w:line="188" w:lineRule="exact"/>
        <w:rPr>
          <w:rFonts w:ascii="Times New Roman" w:cs="Times New Roman" w:eastAsia="Times New Roman" w:hAnsi="Times New Roman"/>
          <w:sz w:val="15"/>
          <w:szCs w:val="15"/>
          <w:color w:val="auto"/>
        </w:rPr>
      </w:pPr>
    </w:p>
    <w:p>
      <w:pPr>
        <w:jc w:val="both"/>
        <w:ind w:left="540" w:right="20" w:firstLine="533"/>
        <w:spacing w:after="0" w:line="267" w:lineRule="auto"/>
        <w:tabs>
          <w:tab w:leader="none" w:pos="1541"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46" w:lineRule="exact"/>
        <w:rPr>
          <w:rFonts w:ascii="Times New Roman" w:cs="Times New Roman" w:eastAsia="Times New Roman" w:hAnsi="Times New Roman"/>
          <w:sz w:val="15"/>
          <w:szCs w:val="15"/>
          <w:color w:val="auto"/>
        </w:rPr>
      </w:pPr>
    </w:p>
    <w:p>
      <w:pPr>
        <w:ind w:left="540" w:firstLine="533"/>
        <w:spacing w:after="0" w:line="283" w:lineRule="auto"/>
        <w:tabs>
          <w:tab w:leader="none" w:pos="1654"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34" w:lineRule="exact"/>
        <w:rPr>
          <w:rFonts w:ascii="Times New Roman" w:cs="Times New Roman" w:eastAsia="Times New Roman" w:hAnsi="Times New Roman"/>
          <w:sz w:val="15"/>
          <w:szCs w:val="15"/>
          <w:color w:val="auto"/>
        </w:rPr>
      </w:pPr>
    </w:p>
    <w:p>
      <w:pPr>
        <w:ind w:left="540" w:firstLine="533"/>
        <w:spacing w:after="0" w:line="283" w:lineRule="auto"/>
        <w:tabs>
          <w:tab w:leader="none" w:pos="1494"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35"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8.5.</w:t>
      </w:r>
      <w:r>
        <w:rPr>
          <w:sz w:val="20"/>
          <w:szCs w:val="20"/>
          <w:color w:val="auto"/>
        </w:rPr>
        <w:tab/>
      </w:r>
      <w:r>
        <w:rPr>
          <w:rFonts w:ascii="Times New Roman" w:cs="Times New Roman" w:eastAsia="Times New Roman" w:hAnsi="Times New Roman"/>
          <w:sz w:val="15"/>
          <w:szCs w:val="15"/>
          <w:u w:val="single" w:color="auto"/>
          <w:color w:val="auto"/>
        </w:rPr>
        <w:t>Repayment to Company</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46"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8.6.</w:t>
      </w:r>
      <w:r>
        <w:rPr>
          <w:sz w:val="20"/>
          <w:szCs w:val="20"/>
          <w:color w:val="auto"/>
        </w:rPr>
        <w:tab/>
      </w:r>
      <w:r>
        <w:rPr>
          <w:rFonts w:ascii="Times New Roman" w:cs="Times New Roman" w:eastAsia="Times New Roman" w:hAnsi="Times New Roman"/>
          <w:sz w:val="15"/>
          <w:szCs w:val="15"/>
          <w:u w:val="single" w:color="auto"/>
          <w:color w:val="auto"/>
        </w:rPr>
        <w:t>Reinstatement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AMENDMENTS AND WAIVERS</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9.1.</w:t>
      </w:r>
      <w:r>
        <w:rPr>
          <w:sz w:val="20"/>
          <w:szCs w:val="20"/>
          <w:color w:val="auto"/>
        </w:rPr>
        <w:tab/>
      </w:r>
      <w:r>
        <w:rPr>
          <w:rFonts w:ascii="Times New Roman" w:cs="Times New Roman" w:eastAsia="Times New Roman" w:hAnsi="Times New Roman"/>
          <w:sz w:val="14"/>
          <w:szCs w:val="14"/>
          <w:u w:val="single" w:color="auto"/>
          <w:color w:val="auto"/>
        </w:rPr>
        <w:t>Without Consent of Holders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The Company and the Trustee may amend or supplement this Indenture or the Securities of one or more Series without the consent of any Holder:</w:t>
      </w:r>
    </w:p>
    <w:p>
      <w:pPr>
        <w:spacing w:after="0" w:line="188" w:lineRule="exact"/>
        <w:rPr>
          <w:sz w:val="20"/>
          <w:szCs w:val="20"/>
          <w:color w:val="auto"/>
        </w:rPr>
      </w:pPr>
    </w:p>
    <w:p>
      <w:pPr>
        <w:ind w:left="1500" w:hanging="427"/>
        <w:spacing w:after="0"/>
        <w:tabs>
          <w:tab w:leader="none" w:pos="15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99" w:name="page100"/>
    <w:bookmarkEnd w:id="99"/>
    <w:p>
      <w:pPr>
        <w:ind w:left="1520" w:hanging="447"/>
        <w:spacing w:after="0"/>
        <w:tabs>
          <w:tab w:leader="none" w:pos="15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Article V;</w:t>
      </w:r>
    </w:p>
    <w:p>
      <w:pPr>
        <w:spacing w:after="0" w:line="188"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Securities in addition to or in place of certificated Securities;</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guarantees with respect to Securities of any Series or secure Securities of any Series;</w:t>
      </w:r>
    </w:p>
    <w:p>
      <w:pPr>
        <w:spacing w:after="0" w:line="188" w:lineRule="exact"/>
        <w:rPr>
          <w:rFonts w:ascii="Times New Roman" w:cs="Times New Roman" w:eastAsia="Times New Roman" w:hAnsi="Times New Roman"/>
          <w:sz w:val="15"/>
          <w:szCs w:val="15"/>
          <w:color w:val="auto"/>
        </w:rPr>
      </w:pPr>
    </w:p>
    <w:p>
      <w:pPr>
        <w:ind w:left="1500" w:hanging="427"/>
        <w:spacing w:after="0"/>
        <w:tabs>
          <w:tab w:leader="none" w:pos="15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surrender any of the Company’s rights or powers under this Indenture;</w:t>
      </w:r>
    </w:p>
    <w:p>
      <w:pPr>
        <w:spacing w:after="0" w:line="188" w:lineRule="exact"/>
        <w:rPr>
          <w:rFonts w:ascii="Times New Roman" w:cs="Times New Roman" w:eastAsia="Times New Roman" w:hAnsi="Times New Roman"/>
          <w:sz w:val="15"/>
          <w:szCs w:val="15"/>
          <w:color w:val="auto"/>
        </w:rPr>
      </w:pPr>
    </w:p>
    <w:p>
      <w:pPr>
        <w:ind w:left="1480" w:hanging="407"/>
        <w:spacing w:after="0"/>
        <w:tabs>
          <w:tab w:leader="none" w:pos="1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covenants or events of default for the benefit of the holders of Securities of any Series;</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the applicable procedures of the applicable depositary;</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Holder;</w:t>
      </w:r>
    </w:p>
    <w:p>
      <w:pPr>
        <w:spacing w:after="0" w:line="188" w:lineRule="exact"/>
        <w:rPr>
          <w:rFonts w:ascii="Times New Roman" w:cs="Times New Roman" w:eastAsia="Times New Roman" w:hAnsi="Times New Roman"/>
          <w:sz w:val="15"/>
          <w:szCs w:val="15"/>
          <w:color w:val="auto"/>
        </w:rPr>
      </w:pPr>
    </w:p>
    <w:p>
      <w:pPr>
        <w:ind w:left="1480" w:hanging="407"/>
        <w:spacing w:after="0"/>
        <w:tabs>
          <w:tab w:leader="none" w:pos="1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Securities of any Series as permitted by this Indenture;</w:t>
      </w:r>
    </w:p>
    <w:p>
      <w:pPr>
        <w:spacing w:after="0" w:line="188" w:lineRule="exact"/>
        <w:rPr>
          <w:rFonts w:ascii="Times New Roman" w:cs="Times New Roman" w:eastAsia="Times New Roman" w:hAnsi="Times New Roman"/>
          <w:sz w:val="15"/>
          <w:szCs w:val="15"/>
          <w:color w:val="auto"/>
        </w:rPr>
      </w:pPr>
    </w:p>
    <w:p>
      <w:pPr>
        <w:ind w:left="540" w:firstLine="533"/>
        <w:spacing w:after="0" w:line="283" w:lineRule="auto"/>
        <w:tabs>
          <w:tab w:leader="none" w:pos="1513"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34"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requirements of the SEC in order to effect or maintain the qualification of this Indenture under the TIA.</w:t>
      </w:r>
    </w:p>
    <w:p>
      <w:pPr>
        <w:spacing w:after="0" w:line="188"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9.2.</w:t>
      </w:r>
      <w:r>
        <w:rPr>
          <w:sz w:val="20"/>
          <w:szCs w:val="20"/>
          <w:color w:val="auto"/>
        </w:rPr>
        <w:tab/>
      </w:r>
      <w:r>
        <w:rPr>
          <w:rFonts w:ascii="Times New Roman" w:cs="Times New Roman" w:eastAsia="Times New Roman" w:hAnsi="Times New Roman"/>
          <w:sz w:val="14"/>
          <w:szCs w:val="14"/>
          <w:u w:val="single" w:color="auto"/>
          <w:color w:val="auto"/>
        </w:rPr>
        <w:t>With Consent of Holders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55"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0" w:name="page101"/>
    <w:bookmarkEnd w:id="100"/>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9.3.</w:t>
      </w:r>
      <w:r>
        <w:rPr>
          <w:sz w:val="20"/>
          <w:szCs w:val="20"/>
          <w:color w:val="auto"/>
        </w:rPr>
        <w:tab/>
      </w:r>
      <w:r>
        <w:rPr>
          <w:rFonts w:ascii="Times New Roman" w:cs="Times New Roman" w:eastAsia="Times New Roman" w:hAnsi="Times New Roman"/>
          <w:sz w:val="14"/>
          <w:szCs w:val="14"/>
          <w:u w:val="single" w:color="auto"/>
          <w:color w:val="auto"/>
        </w:rPr>
        <w:t>Limitations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Without the consent of each Holder affected, an amendment or waiver may not:</w:t>
      </w:r>
    </w:p>
    <w:p>
      <w:pPr>
        <w:spacing w:after="0" w:line="188" w:lineRule="exact"/>
        <w:rPr>
          <w:sz w:val="20"/>
          <w:szCs w:val="20"/>
          <w:color w:val="auto"/>
        </w:rPr>
      </w:pPr>
    </w:p>
    <w:p>
      <w:pPr>
        <w:ind w:left="1500" w:hanging="427"/>
        <w:spacing w:after="0"/>
        <w:tabs>
          <w:tab w:leader="none" w:pos="15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Securities whose Holders must consent to an amendment, supplement or waiver;</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rate of or extend the time for payment of interest (including default interest) on any Security;</w:t>
      </w:r>
    </w:p>
    <w:p>
      <w:pPr>
        <w:spacing w:after="0" w:line="188" w:lineRule="exact"/>
        <w:rPr>
          <w:rFonts w:ascii="Times New Roman" w:cs="Times New Roman" w:eastAsia="Times New Roman" w:hAnsi="Times New Roman"/>
          <w:sz w:val="15"/>
          <w:szCs w:val="15"/>
          <w:color w:val="auto"/>
        </w:rPr>
      </w:pPr>
    </w:p>
    <w:p>
      <w:pPr>
        <w:ind w:left="540" w:firstLine="533"/>
        <w:spacing w:after="0" w:line="283" w:lineRule="auto"/>
        <w:tabs>
          <w:tab w:leader="none" w:pos="1565"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or change the Stated Maturity of any Security or reduce the amount of, or postpone the date fixed for, the payment of any sinking fund or analogous obligation;</w:t>
      </w:r>
    </w:p>
    <w:p>
      <w:pPr>
        <w:spacing w:after="0" w:line="134"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Discount Securities payable upon acceleration of the maturity thereof;</w:t>
      </w:r>
    </w:p>
    <w:p>
      <w:pPr>
        <w:spacing w:after="0" w:line="188" w:lineRule="exact"/>
        <w:rPr>
          <w:rFonts w:ascii="Times New Roman" w:cs="Times New Roman" w:eastAsia="Times New Roman" w:hAnsi="Times New Roman"/>
          <w:sz w:val="15"/>
          <w:szCs w:val="15"/>
          <w:color w:val="auto"/>
        </w:rPr>
      </w:pPr>
    </w:p>
    <w:p>
      <w:pPr>
        <w:jc w:val="both"/>
        <w:ind w:left="540" w:firstLine="533"/>
        <w:spacing w:after="0" w:line="267" w:lineRule="auto"/>
        <w:tabs>
          <w:tab w:leader="none" w:pos="1542"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46" w:lineRule="exact"/>
        <w:rPr>
          <w:rFonts w:ascii="Times New Roman" w:cs="Times New Roman" w:eastAsia="Times New Roman" w:hAnsi="Times New Roman"/>
          <w:sz w:val="15"/>
          <w:szCs w:val="15"/>
          <w:color w:val="auto"/>
        </w:rPr>
      </w:pPr>
    </w:p>
    <w:p>
      <w:pPr>
        <w:ind w:left="1480" w:hanging="407"/>
        <w:spacing w:after="0"/>
        <w:tabs>
          <w:tab w:leader="none" w:pos="14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the principal of or interest, if any, on any Security payable in any currency other than that stated in the Security;</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in Sections 6.8, 6.13 or 9.3 (this sentence); or</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redemption payment with respect to any Security, provided that such redemption is made at the Company’s option.</w:t>
      </w:r>
    </w:p>
    <w:p>
      <w:pPr>
        <w:spacing w:after="0" w:line="188"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9.4.</w:t>
      </w:r>
      <w:r>
        <w:rPr>
          <w:sz w:val="20"/>
          <w:szCs w:val="20"/>
          <w:color w:val="auto"/>
        </w:rPr>
        <w:tab/>
      </w:r>
      <w:r>
        <w:rPr>
          <w:rFonts w:ascii="Times New Roman" w:cs="Times New Roman" w:eastAsia="Times New Roman" w:hAnsi="Times New Roman"/>
          <w:sz w:val="14"/>
          <w:szCs w:val="14"/>
          <w:u w:val="single" w:color="auto"/>
          <w:color w:val="auto"/>
        </w:rPr>
        <w:t>Compliance with Trust Indenture Act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Every amendment to this Indenture or the Securities of one or more Series shall be set forth in a supplemental indenture hereto that complies with the TIA as then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effect.</w:t>
      </w:r>
    </w:p>
    <w:p>
      <w:pPr>
        <w:spacing w:after="0" w:line="173"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9.5.</w:t>
      </w:r>
      <w:r>
        <w:rPr>
          <w:sz w:val="20"/>
          <w:szCs w:val="20"/>
          <w:color w:val="auto"/>
        </w:rPr>
        <w:tab/>
      </w:r>
      <w:r>
        <w:rPr>
          <w:rFonts w:ascii="Times New Roman" w:cs="Times New Roman" w:eastAsia="Times New Roman" w:hAnsi="Times New Roman"/>
          <w:sz w:val="14"/>
          <w:szCs w:val="14"/>
          <w:u w:val="single" w:color="auto"/>
          <w:color w:val="auto"/>
        </w:rPr>
        <w:t>Revocation and Effect of Consents</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1" w:name="page102"/>
    <w:bookmarkEnd w:id="101"/>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6"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52"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9.6.</w:t>
      </w:r>
      <w:r>
        <w:rPr>
          <w:sz w:val="20"/>
          <w:szCs w:val="20"/>
          <w:color w:val="auto"/>
        </w:rPr>
        <w:tab/>
      </w:r>
      <w:r>
        <w:rPr>
          <w:rFonts w:ascii="Times New Roman" w:cs="Times New Roman" w:eastAsia="Times New Roman" w:hAnsi="Times New Roman"/>
          <w:sz w:val="15"/>
          <w:szCs w:val="15"/>
          <w:u w:val="single" w:color="auto"/>
          <w:color w:val="auto"/>
        </w:rPr>
        <w:t>Notation on or Exchange of Securities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46" w:lineRule="exact"/>
        <w:rPr>
          <w:sz w:val="20"/>
          <w:szCs w:val="20"/>
          <w:color w:val="auto"/>
        </w:rPr>
      </w:pPr>
    </w:p>
    <w:p>
      <w:pPr>
        <w:ind w:left="540"/>
        <w:spacing w:after="0"/>
        <w:tabs>
          <w:tab w:leader="none" w:pos="1420" w:val="left"/>
        </w:tabs>
        <w:rPr>
          <w:sz w:val="20"/>
          <w:szCs w:val="20"/>
          <w:color w:val="auto"/>
        </w:rPr>
      </w:pPr>
      <w:r>
        <w:rPr>
          <w:rFonts w:ascii="Times New Roman" w:cs="Times New Roman" w:eastAsia="Times New Roman" w:hAnsi="Times New Roman"/>
          <w:sz w:val="15"/>
          <w:szCs w:val="15"/>
          <w:color w:val="auto"/>
        </w:rPr>
        <w:t>Section 9.7.</w:t>
      </w:r>
      <w:r>
        <w:rPr>
          <w:sz w:val="20"/>
          <w:szCs w:val="20"/>
          <w:color w:val="auto"/>
        </w:rPr>
        <w:tab/>
      </w:r>
      <w:r>
        <w:rPr>
          <w:rFonts w:ascii="Times New Roman" w:cs="Times New Roman" w:eastAsia="Times New Roman" w:hAnsi="Times New Roman"/>
          <w:sz w:val="14"/>
          <w:szCs w:val="14"/>
          <w:u w:val="single" w:color="auto"/>
          <w:color w:val="auto"/>
        </w:rPr>
        <w:t>Trustee Protected</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59" w:lineRule="auto"/>
        <w:rPr>
          <w:sz w:val="20"/>
          <w:szCs w:val="20"/>
          <w:color w:val="auto"/>
        </w:rPr>
      </w:pPr>
      <w:r>
        <w:rPr>
          <w:rFonts w:ascii="Times New Roman" w:cs="Times New Roman" w:eastAsia="Times New Roman" w:hAnsi="Times New Roman"/>
          <w:sz w:val="15"/>
          <w:szCs w:val="15"/>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MISCELLANEOUS</w:t>
      </w:r>
    </w:p>
    <w:p>
      <w:pPr>
        <w:spacing w:after="0" w:line="173"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10.1.</w:t>
      </w:r>
      <w:r>
        <w:rPr>
          <w:sz w:val="20"/>
          <w:szCs w:val="20"/>
          <w:color w:val="auto"/>
        </w:rPr>
        <w:tab/>
      </w:r>
      <w:r>
        <w:rPr>
          <w:rFonts w:ascii="Times New Roman" w:cs="Times New Roman" w:eastAsia="Times New Roman" w:hAnsi="Times New Roman"/>
          <w:sz w:val="15"/>
          <w:szCs w:val="15"/>
          <w:u w:val="single" w:color="auto"/>
          <w:color w:val="auto"/>
        </w:rPr>
        <w:t>Trust Indenture Act Controls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If any provision of this Indenture limits, qualifies or conflicts with another provision which is required or deemed to be included in this Indenture by the TIA, such required or deemed provision shall control.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2" w:name="page103"/>
    <w:bookmarkEnd w:id="102"/>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10.2.</w:t>
      </w:r>
      <w:r>
        <w:rPr>
          <w:sz w:val="20"/>
          <w:szCs w:val="20"/>
          <w:color w:val="auto"/>
        </w:rPr>
        <w:tab/>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00" w:lineRule="exact"/>
        <w:rPr>
          <w:sz w:val="20"/>
          <w:szCs w:val="20"/>
          <w:color w:val="auto"/>
        </w:rPr>
      </w:pPr>
      <w:r>
        <w:rPr>
          <w:rFonts w:ascii="Times New Roman" w:cs="Times New Roman" w:eastAsia="Times New Roman" w:hAnsi="Times New Roman"/>
          <w:sz w:val="15"/>
          <w:szCs w:val="15"/>
          <w:color w:val="auto"/>
        </w:rPr>
        <w:t>Any notice or communication by the Company or the Trustee to the other, or by a Holder to the Company or the Trustee, is duly given if in writing and delivered in person or mailed by first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class mail (registered or certified, return receipt requested), email or overnight air courier guaranteeing next day delivery, to the others’ address: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to the Company:</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343 Allerton Avenue</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South San Francisco, California 94080</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Attention: Chief Executive Officer</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Telephone: (650) 577-3600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a copy to:</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Latham &amp; Watkins LLP</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300 North Wabash Avenue, Suite 2800</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Chicago, Illinois 60611</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Attention: Christopher D. Lueking and Scott W. Westhoff</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Telephone: (312) 876-7700</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to the Trustee:</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[TRUSTEE]</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[_____]</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Attention: [____]</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Telephone: [____]</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a copy to:</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[_____]</w:t>
      </w: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Attention: [____]</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Telephone: [____]</w:t>
      </w:r>
    </w:p>
    <w:p>
      <w:pPr>
        <w:spacing w:after="0" w:line="17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The Company or the Trustee by notice to the other may designate additional or different addresses for subsequent notices or communications.</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4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If a notice or communication is sent or published in the manner provided above, within the time prescribed, it is duly given, whether or not the Holder receives it.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If the Company sends a notice or communication to Holders, it shall send a copy to the Trustee and each Agent at the same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3" w:name="page104"/>
    <w:bookmarkEnd w:id="103"/>
    <w:p>
      <w:pPr>
        <w:jc w:val="both"/>
        <w:ind w:firstLine="1083"/>
        <w:spacing w:after="0" w:line="259" w:lineRule="auto"/>
        <w:rPr>
          <w:sz w:val="20"/>
          <w:szCs w:val="20"/>
          <w:color w:val="auto"/>
        </w:rPr>
      </w:pPr>
      <w:r>
        <w:rPr>
          <w:rFonts w:ascii="Times New Roman" w:cs="Times New Roman" w:eastAsia="Times New Roman" w:hAnsi="Times New Roman"/>
          <w:sz w:val="15"/>
          <w:szCs w:val="15"/>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152"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46"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10.3.</w:t>
      </w:r>
      <w:r>
        <w:rPr>
          <w:sz w:val="20"/>
          <w:szCs w:val="20"/>
          <w:color w:val="auto"/>
        </w:rPr>
        <w:tab/>
      </w:r>
      <w:r>
        <w:rPr>
          <w:rFonts w:ascii="Times New Roman" w:cs="Times New Roman" w:eastAsia="Times New Roman" w:hAnsi="Times New Roman"/>
          <w:sz w:val="15"/>
          <w:szCs w:val="15"/>
          <w:u w:val="single" w:color="auto"/>
          <w:color w:val="auto"/>
        </w:rPr>
        <w:t>Communication by Holders with Other Holders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35"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10.4.</w:t>
      </w:r>
      <w:r>
        <w:rPr>
          <w:sz w:val="20"/>
          <w:szCs w:val="20"/>
          <w:color w:val="auto"/>
        </w:rPr>
        <w:tab/>
      </w:r>
      <w:r>
        <w:rPr>
          <w:rFonts w:ascii="Times New Roman" w:cs="Times New Roman" w:eastAsia="Times New Roman" w:hAnsi="Times New Roman"/>
          <w:sz w:val="15"/>
          <w:szCs w:val="15"/>
          <w:u w:val="single" w:color="auto"/>
          <w:color w:val="auto"/>
        </w:rPr>
        <w:t>Certificate and Opinion as to Conditions Precedent</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Upon any request or application by the Company to the Trustee to take any action under this Indenture, the Company shall furnish to the Trustee:</w:t>
      </w:r>
    </w:p>
    <w:p>
      <w:pPr>
        <w:spacing w:after="0" w:line="188" w:lineRule="exact"/>
        <w:rPr>
          <w:sz w:val="20"/>
          <w:szCs w:val="20"/>
          <w:color w:val="auto"/>
        </w:rPr>
      </w:pPr>
    </w:p>
    <w:p>
      <w:pPr>
        <w:ind w:left="540" w:firstLine="533"/>
        <w:spacing w:after="0" w:line="283" w:lineRule="auto"/>
        <w:tabs>
          <w:tab w:leader="none" w:pos="1571"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Officer’s Certificate stating that, in the opinion of the signers, all conditions precedent, if any, provided for in this Indenture relating to the proposed action have been complied with; and</w:t>
      </w:r>
    </w:p>
    <w:p>
      <w:pPr>
        <w:spacing w:after="0" w:line="134"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Opinion of Counsel stating that, in the opinion of such counsel, all such conditions precedent have been complied with.</w:t>
      </w:r>
    </w:p>
    <w:p>
      <w:pPr>
        <w:spacing w:after="0" w:line="188"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10.5.</w:t>
      </w:r>
      <w:r>
        <w:rPr>
          <w:sz w:val="20"/>
          <w:szCs w:val="20"/>
          <w:color w:val="auto"/>
        </w:rPr>
        <w:tab/>
      </w:r>
      <w:r>
        <w:rPr>
          <w:rFonts w:ascii="Times New Roman" w:cs="Times New Roman" w:eastAsia="Times New Roman" w:hAnsi="Times New Roman"/>
          <w:sz w:val="15"/>
          <w:szCs w:val="15"/>
          <w:u w:val="single" w:color="auto"/>
          <w:color w:val="auto"/>
        </w:rPr>
        <w:t>Statements Required in Certificate or Opinion</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firstLine="1083"/>
        <w:spacing w:after="0" w:line="283" w:lineRule="auto"/>
        <w:rPr>
          <w:sz w:val="20"/>
          <w:szCs w:val="20"/>
          <w:color w:val="auto"/>
        </w:rPr>
      </w:pPr>
      <w:r>
        <w:rPr>
          <w:rFonts w:ascii="Times New Roman" w:cs="Times New Roman" w:eastAsia="Times New Roman" w:hAnsi="Times New Roman"/>
          <w:sz w:val="15"/>
          <w:szCs w:val="15"/>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35" w:lineRule="exact"/>
        <w:rPr>
          <w:sz w:val="20"/>
          <w:szCs w:val="20"/>
          <w:color w:val="auto"/>
        </w:rPr>
      </w:pPr>
    </w:p>
    <w:p>
      <w:pPr>
        <w:ind w:left="1500" w:hanging="427"/>
        <w:spacing w:after="0"/>
        <w:tabs>
          <w:tab w:leader="none" w:pos="15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the person making such certificate or opinion has read such covenant or condition;</w:t>
      </w:r>
    </w:p>
    <w:p>
      <w:pPr>
        <w:spacing w:after="0" w:line="188"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brief statement as to the nature and scope of the examination or investigation upon which the statements or opinions contained in such certificate or opinion are</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based;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4" w:name="page105"/>
    <w:bookmarkEnd w:id="104"/>
    <w:p>
      <w:pPr>
        <w:ind w:left="540" w:firstLine="533"/>
        <w:spacing w:after="0" w:line="283" w:lineRule="auto"/>
        <w:tabs>
          <w:tab w:leader="none" w:pos="1605"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34" w:lineRule="exact"/>
        <w:rPr>
          <w:rFonts w:ascii="Times New Roman" w:cs="Times New Roman" w:eastAsia="Times New Roman" w:hAnsi="Times New Roman"/>
          <w:sz w:val="15"/>
          <w:szCs w:val="15"/>
          <w:color w:val="auto"/>
        </w:rPr>
      </w:pPr>
    </w:p>
    <w:p>
      <w:pPr>
        <w:ind w:left="1520" w:hanging="447"/>
        <w:spacing w:after="0"/>
        <w:tabs>
          <w:tab w:leader="none" w:pos="152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as to whether or not, in the opinion of such person, such condition or covenant has been complied with.</w:t>
      </w:r>
    </w:p>
    <w:p>
      <w:pPr>
        <w:spacing w:after="0" w:line="188"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10.6.</w:t>
      </w:r>
      <w:r>
        <w:rPr>
          <w:sz w:val="20"/>
          <w:szCs w:val="20"/>
          <w:color w:val="auto"/>
        </w:rPr>
        <w:tab/>
      </w:r>
      <w:r>
        <w:rPr>
          <w:rFonts w:ascii="Times New Roman" w:cs="Times New Roman" w:eastAsia="Times New Roman" w:hAnsi="Times New Roman"/>
          <w:sz w:val="15"/>
          <w:szCs w:val="15"/>
          <w:u w:val="single" w:color="auto"/>
          <w:color w:val="auto"/>
        </w:rPr>
        <w:t>Rules by Trustee and Agents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Trustee may make reasonable rules for action by or a meeting of Holders of one or more Series. Any Agent may make reasonable rules and set reasonable requirements for its functions.</w:t>
      </w:r>
    </w:p>
    <w:p>
      <w:pPr>
        <w:spacing w:after="0" w:line="135"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10.7.</w:t>
      </w:r>
      <w:r>
        <w:rPr>
          <w:sz w:val="20"/>
          <w:szCs w:val="20"/>
          <w:color w:val="auto"/>
        </w:rPr>
        <w:tab/>
      </w:r>
      <w:r>
        <w:rPr>
          <w:rFonts w:ascii="Times New Roman" w:cs="Times New Roman" w:eastAsia="Times New Roman" w:hAnsi="Times New Roman"/>
          <w:sz w:val="15"/>
          <w:szCs w:val="15"/>
          <w:u w:val="single" w:color="auto"/>
          <w:color w:val="auto"/>
        </w:rPr>
        <w:t>Legal Holidays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If a payment date for any payment made under this Indenture is not a Business Day, payment may be made on the next succeeding Business Day, and no interest shall accrue for the intervening period.</w:t>
      </w:r>
    </w:p>
    <w:p>
      <w:pPr>
        <w:spacing w:after="0" w:line="135"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10.8.</w:t>
      </w:r>
      <w:r>
        <w:rPr>
          <w:sz w:val="20"/>
          <w:szCs w:val="20"/>
          <w:color w:val="auto"/>
        </w:rPr>
        <w:tab/>
      </w:r>
      <w:r>
        <w:rPr>
          <w:rFonts w:ascii="Times New Roman" w:cs="Times New Roman" w:eastAsia="Times New Roman" w:hAnsi="Times New Roman"/>
          <w:sz w:val="15"/>
          <w:szCs w:val="15"/>
          <w:u w:val="single" w:color="auto"/>
          <w:color w:val="auto"/>
        </w:rPr>
        <w:t>No Recourse Against Others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46"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10.9.</w:t>
      </w:r>
      <w:r>
        <w:rPr>
          <w:sz w:val="20"/>
          <w:szCs w:val="20"/>
          <w:color w:val="auto"/>
        </w:rPr>
        <w:tab/>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61" w:lineRule="auto"/>
        <w:rPr>
          <w:sz w:val="20"/>
          <w:szCs w:val="20"/>
          <w:color w:val="auto"/>
        </w:rPr>
      </w:pPr>
      <w:r>
        <w:rPr>
          <w:rFonts w:ascii="Times New Roman" w:cs="Times New Roman" w:eastAsia="Times New Roman" w:hAnsi="Times New Roman"/>
          <w:sz w:val="15"/>
          <w:szCs w:val="15"/>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52" w:lineRule="exact"/>
        <w:rPr>
          <w:sz w:val="20"/>
          <w:szCs w:val="20"/>
          <w:color w:val="auto"/>
        </w:rPr>
      </w:pPr>
    </w:p>
    <w:p>
      <w:pPr>
        <w:jc w:val="both"/>
        <w:ind w:firstLine="1083"/>
        <w:spacing w:after="0" w:line="257" w:lineRule="auto"/>
        <w:rPr>
          <w:sz w:val="20"/>
          <w:szCs w:val="20"/>
          <w:color w:val="auto"/>
        </w:rPr>
      </w:pPr>
      <w:r>
        <w:rPr>
          <w:rFonts w:ascii="Times New Roman" w:cs="Times New Roman" w:eastAsia="Times New Roman" w:hAnsi="Times New Roman"/>
          <w:sz w:val="15"/>
          <w:szCs w:val="15"/>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5" w:name="page106"/>
    <w:bookmarkEnd w:id="105"/>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10.10.</w:t>
      </w:r>
      <w:r>
        <w:rPr>
          <w:sz w:val="20"/>
          <w:szCs w:val="20"/>
          <w:color w:val="auto"/>
        </w:rPr>
        <w:tab/>
      </w:r>
      <w:r>
        <w:rPr>
          <w:rFonts w:ascii="Times New Roman" w:cs="Times New Roman" w:eastAsia="Times New Roman" w:hAnsi="Times New Roman"/>
          <w:sz w:val="14"/>
          <w:szCs w:val="14"/>
          <w:u w:val="single" w:color="auto"/>
          <w:color w:val="auto"/>
        </w:rPr>
        <w:t>Governing Law; Waiver of Jury Trial; Consent to Jurisdiction</w:t>
      </w:r>
      <w:r>
        <w:rPr>
          <w:rFonts w:ascii="Times New Roman" w:cs="Times New Roman" w:eastAsia="Times New Roman" w:hAnsi="Times New Roman"/>
          <w:sz w:val="14"/>
          <w:szCs w:val="14"/>
          <w:color w:val="auto"/>
        </w:rPr>
        <w:t>.</w:t>
      </w:r>
    </w:p>
    <w:p>
      <w:pPr>
        <w:spacing w:after="0" w:line="184" w:lineRule="exact"/>
        <w:rPr>
          <w:sz w:val="20"/>
          <w:szCs w:val="20"/>
          <w:color w:val="auto"/>
        </w:rPr>
      </w:pPr>
    </w:p>
    <w:p>
      <w:pPr>
        <w:jc w:val="both"/>
        <w:ind w:right="20" w:firstLine="1083"/>
        <w:spacing w:after="0" w:line="289" w:lineRule="auto"/>
        <w:rPr>
          <w:sz w:val="20"/>
          <w:szCs w:val="20"/>
          <w:color w:val="auto"/>
        </w:rPr>
      </w:pPr>
      <w:r>
        <w:rPr>
          <w:rFonts w:ascii="Times New Roman" w:cs="Times New Roman" w:eastAsia="Times New Roman" w:hAnsi="Times New Roman"/>
          <w:sz w:val="15"/>
          <w:szCs w:val="15"/>
          <w:b w:val="1"/>
          <w:bCs w:val="1"/>
          <w:color w:val="auto"/>
        </w:rPr>
        <w:t>THIS INDENTURE AND THE SECURITIES, INCLUDING ANY CLAIM OR CONTROVERSY ARISING OUT OF OR RELATING TO THE INDENTURE OR THE SECURITIES, SHALL BE GOVERNED BY THE LAWS OF THE STATE OF NEW YORK.</w:t>
      </w:r>
    </w:p>
    <w:p>
      <w:pPr>
        <w:spacing w:after="0" w:line="126" w:lineRule="exact"/>
        <w:rPr>
          <w:sz w:val="20"/>
          <w:szCs w:val="20"/>
          <w:color w:val="auto"/>
        </w:rPr>
      </w:pPr>
    </w:p>
    <w:p>
      <w:pPr>
        <w:jc w:val="both"/>
        <w:ind w:firstLine="1083"/>
        <w:spacing w:after="0" w:line="270" w:lineRule="auto"/>
        <w:rPr>
          <w:sz w:val="20"/>
          <w:szCs w:val="20"/>
          <w:color w:val="auto"/>
        </w:rPr>
      </w:pPr>
      <w:r>
        <w:rPr>
          <w:rFonts w:ascii="Times New Roman" w:cs="Times New Roman" w:eastAsia="Times New Roman" w:hAnsi="Times New Roman"/>
          <w:sz w:val="15"/>
          <w:szCs w:val="15"/>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44" w:lineRule="exact"/>
        <w:rPr>
          <w:sz w:val="20"/>
          <w:szCs w:val="20"/>
          <w:color w:val="auto"/>
        </w:rPr>
      </w:pPr>
    </w:p>
    <w:p>
      <w:pPr>
        <w:jc w:val="both"/>
        <w:ind w:firstLine="1083"/>
        <w:spacing w:after="0" w:line="256" w:lineRule="auto"/>
        <w:rPr>
          <w:sz w:val="20"/>
          <w:szCs w:val="20"/>
          <w:color w:val="auto"/>
        </w:rPr>
      </w:pPr>
      <w:r>
        <w:rPr>
          <w:rFonts w:ascii="Times New Roman" w:cs="Times New Roman" w:eastAsia="Times New Roman" w:hAnsi="Times New Roman"/>
          <w:sz w:val="15"/>
          <w:szCs w:val="15"/>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5"/>
          <w:szCs w:val="15"/>
          <w:i w:val="1"/>
          <w:iCs w:val="1"/>
          <w:color w:val="auto"/>
        </w:rPr>
        <w:t>Specified Courts</w:t>
      </w:r>
      <w:r>
        <w:rPr>
          <w:rFonts w:ascii="Times New Roman" w:cs="Times New Roman" w:eastAsia="Times New Roman" w:hAnsi="Times New Roman"/>
          <w:sz w:val="15"/>
          <w:szCs w:val="15"/>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56"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10.11.</w:t>
      </w:r>
      <w:r>
        <w:rPr>
          <w:sz w:val="20"/>
          <w:szCs w:val="20"/>
          <w:color w:val="auto"/>
        </w:rPr>
        <w:tab/>
      </w:r>
      <w:r>
        <w:rPr>
          <w:rFonts w:ascii="Times New Roman" w:cs="Times New Roman" w:eastAsia="Times New Roman" w:hAnsi="Times New Roman"/>
          <w:sz w:val="15"/>
          <w:szCs w:val="15"/>
          <w:u w:val="single" w:color="auto"/>
          <w:color w:val="auto"/>
        </w:rPr>
        <w:t>No Adverse Interpretation of Other Agreements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35"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10.12.</w:t>
      </w:r>
      <w:r>
        <w:rPr>
          <w:sz w:val="20"/>
          <w:szCs w:val="20"/>
          <w:color w:val="auto"/>
        </w:rPr>
        <w:tab/>
      </w: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All agreements of the Company in this Indenture and the Securities shall bind its successor. All agreements of the Trustee in this Indenture shall bind its successor.</w:t>
      </w:r>
    </w:p>
    <w:p>
      <w:pPr>
        <w:spacing w:after="0" w:line="188"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10.13.</w:t>
      </w:r>
      <w:r>
        <w:rPr>
          <w:sz w:val="20"/>
          <w:szCs w:val="20"/>
          <w:color w:val="auto"/>
        </w:rPr>
        <w:tab/>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5"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10.14.</w:t>
      </w:r>
      <w:r>
        <w:rPr>
          <w:sz w:val="20"/>
          <w:szCs w:val="20"/>
          <w:color w:val="auto"/>
        </w:rPr>
        <w:tab/>
      </w:r>
      <w:r>
        <w:rPr>
          <w:rFonts w:ascii="Times New Roman" w:cs="Times New Roman" w:eastAsia="Times New Roman" w:hAnsi="Times New Roman"/>
          <w:sz w:val="14"/>
          <w:szCs w:val="14"/>
          <w:u w:val="single" w:color="auto"/>
          <w:color w:val="auto"/>
        </w:rPr>
        <w:t>Table of Contents, Headings, Etc</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6" w:name="page107"/>
    <w:bookmarkEnd w:id="106"/>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10.15.</w:t>
      </w:r>
      <w:r>
        <w:rPr>
          <w:sz w:val="20"/>
          <w:szCs w:val="20"/>
          <w:color w:val="auto"/>
        </w:rPr>
        <w:tab/>
      </w:r>
      <w:r>
        <w:rPr>
          <w:rFonts w:ascii="Times New Roman" w:cs="Times New Roman" w:eastAsia="Times New Roman" w:hAnsi="Times New Roman"/>
          <w:sz w:val="15"/>
          <w:szCs w:val="15"/>
          <w:u w:val="single" w:color="auto"/>
          <w:color w:val="auto"/>
        </w:rPr>
        <w:t>Securities in a Foreign Currency</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4" w:lineRule="auto"/>
        <w:rPr>
          <w:sz w:val="20"/>
          <w:szCs w:val="20"/>
          <w:color w:val="auto"/>
        </w:rPr>
      </w:pPr>
      <w:r>
        <w:rPr>
          <w:rFonts w:ascii="Times New Roman" w:cs="Times New Roman" w:eastAsia="Times New Roman" w:hAnsi="Times New Roman"/>
          <w:sz w:val="15"/>
          <w:szCs w:val="15"/>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0"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35"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10.16.</w:t>
      </w:r>
      <w:r>
        <w:rPr>
          <w:sz w:val="20"/>
          <w:szCs w:val="20"/>
          <w:color w:val="auto"/>
        </w:rPr>
        <w:tab/>
      </w:r>
      <w:r>
        <w:rPr>
          <w:rFonts w:ascii="Times New Roman" w:cs="Times New Roman" w:eastAsia="Times New Roman" w:hAnsi="Times New Roman"/>
          <w:sz w:val="15"/>
          <w:szCs w:val="15"/>
          <w:u w:val="single" w:color="auto"/>
          <w:color w:val="auto"/>
        </w:rPr>
        <w:t>Judgment Currency</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4" w:lineRule="auto"/>
        <w:rPr>
          <w:sz w:val="20"/>
          <w:szCs w:val="20"/>
          <w:color w:val="auto"/>
        </w:rPr>
      </w:pPr>
      <w:r>
        <w:rPr>
          <w:rFonts w:ascii="Times New Roman" w:cs="Times New Roman" w:eastAsia="Times New Roman" w:hAnsi="Times New Roman"/>
          <w:sz w:val="15"/>
          <w:szCs w:val="15"/>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5"/>
          <w:szCs w:val="15"/>
          <w:i w:val="1"/>
          <w:iCs w:val="1"/>
          <w:color w:val="auto"/>
        </w:rPr>
        <w:t>Required Currency</w:t>
      </w:r>
      <w:r>
        <w:rPr>
          <w:rFonts w:ascii="Times New Roman" w:cs="Times New Roman" w:eastAsia="Times New Roman" w:hAnsi="Times New Roman"/>
          <w:sz w:val="15"/>
          <w:szCs w:val="15"/>
          <w:color w:val="auto"/>
        </w:rPr>
        <w:t>”) into a currency in which a judgment will be rendered (the “</w:t>
      </w:r>
      <w:r>
        <w:rPr>
          <w:rFonts w:ascii="Times New Roman" w:cs="Times New Roman" w:eastAsia="Times New Roman" w:hAnsi="Times New Roman"/>
          <w:sz w:val="15"/>
          <w:szCs w:val="15"/>
          <w:i w:val="1"/>
          <w:iCs w:val="1"/>
          <w:color w:val="auto"/>
        </w:rPr>
        <w:t>Judgment Currency</w:t>
      </w:r>
      <w:r>
        <w:rPr>
          <w:rFonts w:ascii="Times New Roman" w:cs="Times New Roman" w:eastAsia="Times New Roman" w:hAnsi="Times New Roman"/>
          <w:sz w:val="15"/>
          <w:szCs w:val="15"/>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5"/>
          <w:szCs w:val="15"/>
          <w:i w:val="1"/>
          <w:iCs w:val="1"/>
          <w:color w:val="auto"/>
        </w:rPr>
        <w:t>New York Banking Day</w:t>
      </w:r>
      <w:r>
        <w:rPr>
          <w:rFonts w:ascii="Times New Roman" w:cs="Times New Roman" w:eastAsia="Times New Roman" w:hAnsi="Times New Roman"/>
          <w:sz w:val="15"/>
          <w:szCs w:val="15"/>
          <w:color w:val="auto"/>
        </w:rPr>
        <w:t>” means any day except a Saturday, Sunday or a legal holiday in the City of New York on which banking institutions are authorized or required by law, regulation or executive order to close.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7" w:name="page108"/>
    <w:bookmarkEnd w:id="107"/>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10.17.</w:t>
      </w:r>
      <w:r>
        <w:rPr>
          <w:sz w:val="20"/>
          <w:szCs w:val="20"/>
          <w:color w:val="auto"/>
        </w:rPr>
        <w:tab/>
      </w:r>
      <w:r>
        <w:rPr>
          <w:rFonts w:ascii="Times New Roman" w:cs="Times New Roman" w:eastAsia="Times New Roman" w:hAnsi="Times New Roman"/>
          <w:sz w:val="15"/>
          <w:szCs w:val="15"/>
          <w:u w:val="single" w:color="auto"/>
          <w:color w:val="auto"/>
        </w:rPr>
        <w:t>Force Majeure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9" w:lineRule="auto"/>
        <w:rPr>
          <w:sz w:val="20"/>
          <w:szCs w:val="20"/>
          <w:color w:val="auto"/>
        </w:rPr>
      </w:pPr>
      <w:r>
        <w:rPr>
          <w:rFonts w:ascii="Times New Roman" w:cs="Times New Roman" w:eastAsia="Times New Roman" w:hAnsi="Times New Roman"/>
          <w:sz w:val="15"/>
          <w:szCs w:val="15"/>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52"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10.18.</w:t>
      </w:r>
      <w:r>
        <w:rPr>
          <w:sz w:val="20"/>
          <w:szCs w:val="20"/>
          <w:color w:val="auto"/>
        </w:rPr>
        <w:tab/>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w:t>
      </w:r>
    </w:p>
    <w:p>
      <w:pPr>
        <w:spacing w:after="0" w:line="188" w:lineRule="exact"/>
        <w:rPr>
          <w:sz w:val="20"/>
          <w:szCs w:val="20"/>
          <w:color w:val="auto"/>
        </w:rPr>
      </w:pPr>
    </w:p>
    <w:p>
      <w:pPr>
        <w:jc w:val="both"/>
        <w:ind w:firstLine="1083"/>
        <w:spacing w:after="0" w:line="267" w:lineRule="auto"/>
        <w:rPr>
          <w:sz w:val="20"/>
          <w:szCs w:val="20"/>
          <w:color w:val="auto"/>
        </w:rPr>
      </w:pPr>
      <w:r>
        <w:rPr>
          <w:rFonts w:ascii="Times New Roman" w:cs="Times New Roman" w:eastAsia="Times New Roman" w:hAnsi="Times New Roman"/>
          <w:sz w:val="15"/>
          <w:szCs w:val="15"/>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SINKING FUNDS</w:t>
      </w:r>
    </w:p>
    <w:p>
      <w:pPr>
        <w:spacing w:after="0" w:line="173"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11.1.</w:t>
      </w:r>
      <w:r>
        <w:rPr>
          <w:sz w:val="20"/>
          <w:szCs w:val="20"/>
          <w:color w:val="auto"/>
        </w:rPr>
        <w:tab/>
      </w:r>
      <w:r>
        <w:rPr>
          <w:rFonts w:ascii="Times New Roman" w:cs="Times New Roman" w:eastAsia="Times New Roman" w:hAnsi="Times New Roman"/>
          <w:sz w:val="15"/>
          <w:szCs w:val="15"/>
          <w:u w:val="single" w:color="auto"/>
          <w:color w:val="auto"/>
        </w:rPr>
        <w:t>Applicability of Article</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83" w:lineRule="auto"/>
        <w:rPr>
          <w:sz w:val="20"/>
          <w:szCs w:val="20"/>
          <w:color w:val="auto"/>
        </w:rPr>
      </w:pPr>
      <w:r>
        <w:rPr>
          <w:rFonts w:ascii="Times New Roman" w:cs="Times New Roman" w:eastAsia="Times New Roman" w:hAnsi="Times New Roman"/>
          <w:sz w:val="15"/>
          <w:szCs w:val="15"/>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33" w:lineRule="exact"/>
        <w:rPr>
          <w:sz w:val="20"/>
          <w:szCs w:val="20"/>
          <w:color w:val="auto"/>
        </w:rPr>
      </w:pPr>
    </w:p>
    <w:p>
      <w:pPr>
        <w:jc w:val="both"/>
        <w:ind w:firstLine="1083"/>
        <w:spacing w:after="0" w:line="262" w:lineRule="auto"/>
        <w:rPr>
          <w:sz w:val="20"/>
          <w:szCs w:val="20"/>
          <w:color w:val="auto"/>
        </w:rPr>
      </w:pPr>
      <w:r>
        <w:rPr>
          <w:rFonts w:ascii="Times New Roman" w:cs="Times New Roman" w:eastAsia="Times New Roman" w:hAnsi="Times New Roman"/>
          <w:sz w:val="15"/>
          <w:szCs w:val="15"/>
          <w:color w:val="auto"/>
        </w:rPr>
        <w:t>The minimum amount of any sinking fund payment provided for by the terms of the Securities of any Series is herein referred to as a “</w:t>
      </w:r>
      <w:r>
        <w:rPr>
          <w:rFonts w:ascii="Times New Roman" w:cs="Times New Roman" w:eastAsia="Times New Roman" w:hAnsi="Times New Roman"/>
          <w:sz w:val="15"/>
          <w:szCs w:val="15"/>
          <w:i w:val="1"/>
          <w:iCs w:val="1"/>
          <w:color w:val="auto"/>
        </w:rPr>
        <w:t>mandatory sinking fund payment</w:t>
      </w:r>
      <w:r>
        <w:rPr>
          <w:rFonts w:ascii="Times New Roman" w:cs="Times New Roman" w:eastAsia="Times New Roman" w:hAnsi="Times New Roman"/>
          <w:sz w:val="15"/>
          <w:szCs w:val="15"/>
          <w:color w:val="auto"/>
        </w:rPr>
        <w:t>” and any other amount provided for by the terms of Securities of such Series is herein referred to as an “</w:t>
      </w:r>
      <w:r>
        <w:rPr>
          <w:rFonts w:ascii="Times New Roman" w:cs="Times New Roman" w:eastAsia="Times New Roman" w:hAnsi="Times New Roman"/>
          <w:sz w:val="15"/>
          <w:szCs w:val="15"/>
          <w:i w:val="1"/>
          <w:iCs w:val="1"/>
          <w:color w:val="auto"/>
        </w:rPr>
        <w:t>optional sinking fund payment</w:t>
      </w:r>
      <w:r>
        <w:rPr>
          <w:rFonts w:ascii="Times New Roman" w:cs="Times New Roman" w:eastAsia="Times New Roman" w:hAnsi="Times New Roman"/>
          <w:sz w:val="15"/>
          <w:szCs w:val="15"/>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8" w:name="page109"/>
    <w:bookmarkEnd w:id="108"/>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11.2.</w:t>
      </w:r>
      <w:r>
        <w:rPr>
          <w:sz w:val="20"/>
          <w:szCs w:val="20"/>
          <w:color w:val="auto"/>
        </w:rPr>
        <w:tab/>
      </w:r>
      <w:r>
        <w:rPr>
          <w:rFonts w:ascii="Times New Roman" w:cs="Times New Roman" w:eastAsia="Times New Roman" w:hAnsi="Times New Roman"/>
          <w:sz w:val="15"/>
          <w:szCs w:val="15"/>
          <w:u w:val="single" w:color="auto"/>
          <w:color w:val="auto"/>
        </w:rPr>
        <w:t>Satisfaction of Sinking Fund Payments with Securities</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3" w:lineRule="auto"/>
        <w:rPr>
          <w:sz w:val="20"/>
          <w:szCs w:val="20"/>
          <w:color w:val="auto"/>
        </w:rPr>
      </w:pPr>
      <w:r>
        <w:rPr>
          <w:rFonts w:ascii="Times New Roman" w:cs="Times New Roman" w:eastAsia="Times New Roman" w:hAnsi="Times New Roman"/>
          <w:sz w:val="15"/>
          <w:szCs w:val="15"/>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3" w:lineRule="exact"/>
        <w:rPr>
          <w:sz w:val="20"/>
          <w:szCs w:val="20"/>
          <w:color w:val="auto"/>
        </w:rPr>
      </w:pPr>
    </w:p>
    <w:p>
      <w:pPr>
        <w:ind w:left="540"/>
        <w:spacing w:after="0"/>
        <w:tabs>
          <w:tab w:leader="none" w:pos="1480" w:val="left"/>
        </w:tabs>
        <w:rPr>
          <w:sz w:val="20"/>
          <w:szCs w:val="20"/>
          <w:color w:val="auto"/>
        </w:rPr>
      </w:pPr>
      <w:r>
        <w:rPr>
          <w:rFonts w:ascii="Times New Roman" w:cs="Times New Roman" w:eastAsia="Times New Roman" w:hAnsi="Times New Roman"/>
          <w:sz w:val="15"/>
          <w:szCs w:val="15"/>
          <w:color w:val="auto"/>
        </w:rPr>
        <w:t>Section 11.3.</w:t>
      </w:r>
      <w:r>
        <w:rPr>
          <w:sz w:val="20"/>
          <w:szCs w:val="20"/>
          <w:color w:val="auto"/>
        </w:rPr>
        <w:tab/>
      </w:r>
      <w:r>
        <w:rPr>
          <w:rFonts w:ascii="Times New Roman" w:cs="Times New Roman" w:eastAsia="Times New Roman" w:hAnsi="Times New Roman"/>
          <w:sz w:val="15"/>
          <w:szCs w:val="15"/>
          <w:u w:val="single" w:color="auto"/>
          <w:color w:val="auto"/>
        </w:rPr>
        <w:t>Redemption of Securities for Sinking Fund</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both"/>
        <w:ind w:firstLine="1083"/>
        <w:spacing w:after="0" w:line="255" w:lineRule="auto"/>
        <w:rPr>
          <w:sz w:val="20"/>
          <w:szCs w:val="20"/>
          <w:color w:val="auto"/>
        </w:rPr>
      </w:pPr>
      <w:r>
        <w:rPr>
          <w:rFonts w:ascii="Times New Roman" w:cs="Times New Roman" w:eastAsia="Times New Roman" w:hAnsi="Times New Roman"/>
          <w:sz w:val="15"/>
          <w:szCs w:val="15"/>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715518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Indenture to be duly executed as of the day and year first above written.</w:t>
      </w:r>
    </w:p>
    <w:p>
      <w:pPr>
        <w:spacing w:after="0" w:line="20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36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14605</wp:posOffset>
            </wp:positionV>
            <wp:extent cx="250698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2506980" cy="698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5"/>
          <w:szCs w:val="15"/>
          <w:color w:val="auto"/>
        </w:rPr>
        <w:t>Name:</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5"/>
          <w:szCs w:val="15"/>
          <w:color w:val="auto"/>
        </w:rPr>
        <w:t>Its:</w:t>
      </w: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[TRUSTEE], as Trustee</w:t>
      </w:r>
    </w:p>
    <w:p>
      <w:pPr>
        <w:spacing w:after="0" w:line="36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14605</wp:posOffset>
            </wp:positionV>
            <wp:extent cx="250698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2506980" cy="698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5"/>
          <w:szCs w:val="15"/>
          <w:color w:val="auto"/>
        </w:rPr>
        <w:t>Name:</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5"/>
          <w:szCs w:val="15"/>
          <w:color w:val="auto"/>
        </w:rPr>
        <w:t>Its:</w:t>
      </w:r>
    </w:p>
    <w:p>
      <w:pPr>
        <w:sectPr>
          <w:pgSz w:w="11900" w:h="16838" w:orient="portrait"/>
          <w:cols w:equalWidth="0" w:num="1">
            <w:col w:w="9059"/>
          </w:cols>
          <w:pgMar w:left="1400" w:top="711"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207250" cy="816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207250" cy="81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February 13, 2024</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343 Allerton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South San Francisco, California 94090</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88" w:lineRule="exact"/>
        <w:rPr>
          <w:sz w:val="20"/>
          <w:szCs w:val="20"/>
          <w:color w:val="auto"/>
        </w:rPr>
      </w:pPr>
    </w:p>
    <w:p>
      <w:pPr>
        <w:jc w:val="both"/>
        <w:ind w:firstLine="541"/>
        <w:spacing w:after="0" w:line="254" w:lineRule="auto"/>
        <w:rPr>
          <w:sz w:val="20"/>
          <w:szCs w:val="20"/>
          <w:color w:val="auto"/>
        </w:rPr>
      </w:pPr>
      <w:r>
        <w:rPr>
          <w:rFonts w:ascii="Times New Roman" w:cs="Times New Roman" w:eastAsia="Times New Roman" w:hAnsi="Times New Roman"/>
          <w:sz w:val="15"/>
          <w:szCs w:val="15"/>
          <w:color w:val="auto"/>
        </w:rPr>
        <w:t>We have acted as special Nevada counsel to Vistagen Therapeutics, Inc., a Nevada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in connection with the preparation of the Registration Statement on Form S-3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including a base prospectus (the “</w:t>
      </w:r>
      <w:r>
        <w:rPr>
          <w:rFonts w:ascii="Times New Roman" w:cs="Times New Roman" w:eastAsia="Times New Roman" w:hAnsi="Times New Roman"/>
          <w:sz w:val="15"/>
          <w:szCs w:val="15"/>
          <w:u w:val="single" w:color="auto"/>
          <w:color w:val="auto"/>
        </w:rPr>
        <w:t>Base Prospectus</w:t>
      </w:r>
      <w:r>
        <w:rPr>
          <w:rFonts w:ascii="Times New Roman" w:cs="Times New Roman" w:eastAsia="Times New Roman" w:hAnsi="Times New Roman"/>
          <w:sz w:val="15"/>
          <w:szCs w:val="15"/>
          <w:color w:val="auto"/>
        </w:rPr>
        <w:t>”), to be filed on the date hereof by the Company and the Company with the Securities and Exchange Commission (the “</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The Registration Statement relates to, among other things, the issuance and sale from time to time by the Company, pursuant to Rule 415 of the General Rules and Regulations promulgated under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of up to $350,000,000.00 of the following securities: (i) shares of common stock of the Company, $0.001 par value per share (the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(ii) shares of preferred stock of the Company, $0.001 par value per share (the “</w:t>
      </w:r>
      <w:r>
        <w:rPr>
          <w:rFonts w:ascii="Times New Roman" w:cs="Times New Roman" w:eastAsia="Times New Roman" w:hAnsi="Times New Roman"/>
          <w:sz w:val="15"/>
          <w:szCs w:val="15"/>
          <w:u w:val="single" w:color="auto"/>
          <w:color w:val="auto"/>
        </w:rPr>
        <w:t>Preferred Stock</w:t>
      </w:r>
      <w:r>
        <w:rPr>
          <w:rFonts w:ascii="Times New Roman" w:cs="Times New Roman" w:eastAsia="Times New Roman" w:hAnsi="Times New Roman"/>
          <w:sz w:val="15"/>
          <w:szCs w:val="15"/>
          <w:color w:val="auto"/>
        </w:rPr>
        <w:t>”), in one or more series; (iii) senior debt securities of the Company, in one or more series, consisting of notes, debentures or other evidences of indebtedness (the “</w:t>
      </w:r>
      <w:r>
        <w:rPr>
          <w:rFonts w:ascii="Times New Roman" w:cs="Times New Roman" w:eastAsia="Times New Roman" w:hAnsi="Times New Roman"/>
          <w:sz w:val="15"/>
          <w:szCs w:val="15"/>
          <w:u w:val="single" w:color="auto"/>
          <w:color w:val="auto"/>
        </w:rPr>
        <w:t>Senior Debt Securities</w:t>
      </w:r>
      <w:r>
        <w:rPr>
          <w:rFonts w:ascii="Times New Roman" w:cs="Times New Roman" w:eastAsia="Times New Roman" w:hAnsi="Times New Roman"/>
          <w:sz w:val="15"/>
          <w:szCs w:val="15"/>
          <w:color w:val="auto"/>
        </w:rPr>
        <w:t>”) pursuant to a senior indenture (the “</w:t>
      </w:r>
      <w:r>
        <w:rPr>
          <w:rFonts w:ascii="Times New Roman" w:cs="Times New Roman" w:eastAsia="Times New Roman" w:hAnsi="Times New Roman"/>
          <w:sz w:val="15"/>
          <w:szCs w:val="15"/>
          <w:u w:val="single" w:color="auto"/>
          <w:color w:val="auto"/>
        </w:rPr>
        <w:t>Senior Indenture</w:t>
      </w:r>
      <w:r>
        <w:rPr>
          <w:rFonts w:ascii="Times New Roman" w:cs="Times New Roman" w:eastAsia="Times New Roman" w:hAnsi="Times New Roman"/>
          <w:sz w:val="15"/>
          <w:szCs w:val="15"/>
          <w:color w:val="auto"/>
        </w:rPr>
        <w:t>”), to be entered into between the Company and a senior trustee to be named in a prospectus supplement; (iv) subordinated debt securities of the Company, in one or more series, consisting of notes, debentures or other evidences of indebtedness (the “</w:t>
      </w:r>
      <w:r>
        <w:rPr>
          <w:rFonts w:ascii="Times New Roman" w:cs="Times New Roman" w:eastAsia="Times New Roman" w:hAnsi="Times New Roman"/>
          <w:sz w:val="15"/>
          <w:szCs w:val="15"/>
          <w:u w:val="single" w:color="auto"/>
          <w:color w:val="auto"/>
        </w:rPr>
        <w:t>Subordinated Debt Securities</w:t>
      </w:r>
      <w:r>
        <w:rPr>
          <w:rFonts w:ascii="Times New Roman" w:cs="Times New Roman" w:eastAsia="Times New Roman" w:hAnsi="Times New Roman"/>
          <w:sz w:val="15"/>
          <w:szCs w:val="15"/>
          <w:color w:val="auto"/>
        </w:rPr>
        <w:t>,” and together with the Senior Debt Securities, the “</w:t>
      </w:r>
      <w:r>
        <w:rPr>
          <w:rFonts w:ascii="Times New Roman" w:cs="Times New Roman" w:eastAsia="Times New Roman" w:hAnsi="Times New Roman"/>
          <w:sz w:val="15"/>
          <w:szCs w:val="15"/>
          <w:u w:val="single" w:color="auto"/>
          <w:color w:val="auto"/>
        </w:rPr>
        <w:t>Debt Securities</w:t>
      </w:r>
      <w:r>
        <w:rPr>
          <w:rFonts w:ascii="Times New Roman" w:cs="Times New Roman" w:eastAsia="Times New Roman" w:hAnsi="Times New Roman"/>
          <w:sz w:val="15"/>
          <w:szCs w:val="15"/>
          <w:color w:val="auto"/>
        </w:rPr>
        <w:t>”) pursuant to an subordinated indenture (the “</w:t>
      </w:r>
      <w:r>
        <w:rPr>
          <w:rFonts w:ascii="Times New Roman" w:cs="Times New Roman" w:eastAsia="Times New Roman" w:hAnsi="Times New Roman"/>
          <w:sz w:val="15"/>
          <w:szCs w:val="15"/>
          <w:u w:val="single" w:color="auto"/>
          <w:color w:val="auto"/>
        </w:rPr>
        <w:t>Subordinated Indenture</w:t>
      </w:r>
      <w:r>
        <w:rPr>
          <w:rFonts w:ascii="Times New Roman" w:cs="Times New Roman" w:eastAsia="Times New Roman" w:hAnsi="Times New Roman"/>
          <w:sz w:val="15"/>
          <w:szCs w:val="15"/>
          <w:color w:val="auto"/>
        </w:rPr>
        <w:t>,” and together with the Senior Indenture, the “</w:t>
      </w:r>
      <w:r>
        <w:rPr>
          <w:rFonts w:ascii="Times New Roman" w:cs="Times New Roman" w:eastAsia="Times New Roman" w:hAnsi="Times New Roman"/>
          <w:sz w:val="15"/>
          <w:szCs w:val="15"/>
          <w:u w:val="single" w:color="auto"/>
          <w:color w:val="auto"/>
        </w:rPr>
        <w:t>Indentures</w:t>
      </w:r>
      <w:r>
        <w:rPr>
          <w:rFonts w:ascii="Times New Roman" w:cs="Times New Roman" w:eastAsia="Times New Roman" w:hAnsi="Times New Roman"/>
          <w:sz w:val="15"/>
          <w:szCs w:val="15"/>
          <w:color w:val="auto"/>
        </w:rPr>
        <w:t>”), to be entered into between the Company and a subordinated trustee to be named in a prospectus supplement (v) warrants to purchase equity securities of the Company (“</w:t>
      </w:r>
      <w:r>
        <w:rPr>
          <w:rFonts w:ascii="Times New Roman" w:cs="Times New Roman" w:eastAsia="Times New Roman" w:hAnsi="Times New Roman"/>
          <w:sz w:val="15"/>
          <w:szCs w:val="15"/>
          <w:u w:val="single" w:color="auto"/>
          <w:color w:val="auto"/>
        </w:rPr>
        <w:t>Warrants</w:t>
      </w:r>
      <w:r>
        <w:rPr>
          <w:rFonts w:ascii="Times New Roman" w:cs="Times New Roman" w:eastAsia="Times New Roman" w:hAnsi="Times New Roman"/>
          <w:sz w:val="15"/>
          <w:szCs w:val="15"/>
          <w:color w:val="auto"/>
        </w:rPr>
        <w:t>”); and (vi) units consisting of one or more Warrants, Debt Securities, Preferred Stock, Common Stock or any combination of such securities (“</w:t>
      </w:r>
      <w:r>
        <w:rPr>
          <w:rFonts w:ascii="Times New Roman" w:cs="Times New Roman" w:eastAsia="Times New Roman" w:hAnsi="Times New Roman"/>
          <w:sz w:val="15"/>
          <w:szCs w:val="15"/>
          <w:u w:val="single" w:color="auto"/>
          <w:color w:val="auto"/>
        </w:rPr>
        <w:t>Units</w:t>
      </w:r>
      <w:r>
        <w:rPr>
          <w:rFonts w:ascii="Times New Roman" w:cs="Times New Roman" w:eastAsia="Times New Roman" w:hAnsi="Times New Roman"/>
          <w:sz w:val="15"/>
          <w:szCs w:val="15"/>
          <w:color w:val="auto"/>
        </w:rPr>
        <w:t>”) (items (i) through (vi) above are collectively referred to herein as the “</w:t>
      </w:r>
      <w:r>
        <w:rPr>
          <w:rFonts w:ascii="Times New Roman" w:cs="Times New Roman" w:eastAsia="Times New Roman" w:hAnsi="Times New Roman"/>
          <w:sz w:val="15"/>
          <w:szCs w:val="15"/>
          <w:u w:val="single" w:color="auto"/>
          <w:color w:val="auto"/>
        </w:rPr>
        <w:t>Securities</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jc w:val="both"/>
        <w:ind w:firstLine="541"/>
        <w:spacing w:after="0" w:line="266" w:lineRule="auto"/>
        <w:rPr>
          <w:sz w:val="20"/>
          <w:szCs w:val="20"/>
          <w:color w:val="auto"/>
        </w:rPr>
      </w:pPr>
      <w:r>
        <w:rPr>
          <w:rFonts w:ascii="Times New Roman" w:cs="Times New Roman" w:eastAsia="Times New Roman" w:hAnsi="Times New Roman"/>
          <w:sz w:val="15"/>
          <w:szCs w:val="15"/>
          <w:color w:val="auto"/>
        </w:rPr>
        <w:t>We have also acted as special counsel to the Company in connection with the sale through Jefferies LLC as the sales agent (the “</w:t>
      </w:r>
      <w:r>
        <w:rPr>
          <w:rFonts w:ascii="Times New Roman" w:cs="Times New Roman" w:eastAsia="Times New Roman" w:hAnsi="Times New Roman"/>
          <w:sz w:val="15"/>
          <w:szCs w:val="15"/>
          <w:u w:val="single" w:color="auto"/>
          <w:color w:val="auto"/>
        </w:rPr>
        <w:t>Sales Agent</w:t>
      </w:r>
      <w:r>
        <w:rPr>
          <w:rFonts w:ascii="Times New Roman" w:cs="Times New Roman" w:eastAsia="Times New Roman" w:hAnsi="Times New Roman"/>
          <w:sz w:val="15"/>
          <w:szCs w:val="15"/>
          <w:color w:val="auto"/>
        </w:rPr>
        <w:t>”) from time to time by the Company of shares of Common Stock (the “</w:t>
      </w:r>
      <w:r>
        <w:rPr>
          <w:rFonts w:ascii="Times New Roman" w:cs="Times New Roman" w:eastAsia="Times New Roman" w:hAnsi="Times New Roman"/>
          <w:sz w:val="15"/>
          <w:szCs w:val="15"/>
          <w:u w:val="single" w:color="auto"/>
          <w:color w:val="auto"/>
        </w:rPr>
        <w:t>ATM Shares</w:t>
      </w:r>
      <w:r>
        <w:rPr>
          <w:rFonts w:ascii="Times New Roman" w:cs="Times New Roman" w:eastAsia="Times New Roman" w:hAnsi="Times New Roman"/>
          <w:sz w:val="15"/>
          <w:szCs w:val="15"/>
          <w:color w:val="auto"/>
        </w:rPr>
        <w:t>”) having an aggregate offering price of up to $100,000,000 pursuant to the Registration Statement, the Base Prospectus and the related prospectus supplement for the sale of the ATM Shares included in the Registration Statement (the Base Prospectus and such prospectus supplement, collectively, the “</w:t>
      </w:r>
      <w:r>
        <w:rPr>
          <w:rFonts w:ascii="Times New Roman" w:cs="Times New Roman" w:eastAsia="Times New Roman" w:hAnsi="Times New Roman"/>
          <w:sz w:val="15"/>
          <w:szCs w:val="15"/>
          <w:u w:val="single" w:color="auto"/>
          <w:color w:val="auto"/>
        </w:rPr>
        <w:t>Sales Agreement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and an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5"/>
          <w:szCs w:val="15"/>
          <w:color w:val="auto"/>
        </w:rPr>
        <w:t>, dated as of May 14, 2021 (the “</w:t>
      </w:r>
      <w:r>
        <w:rPr>
          <w:rFonts w:ascii="Times New Roman" w:cs="Times New Roman" w:eastAsia="Times New Roman" w:hAnsi="Times New Roman"/>
          <w:sz w:val="15"/>
          <w:szCs w:val="15"/>
          <w:u w:val="single" w:color="auto"/>
          <w:color w:val="auto"/>
        </w:rPr>
        <w:t>Sales Agreement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518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1" w:name="page112"/>
    <w:bookmarkEnd w:id="111"/>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332105</wp:posOffset>
            </wp:positionV>
            <wp:extent cx="7207250" cy="7518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207250" cy="751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13,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2</w:t>
      </w:r>
    </w:p>
    <w:p>
      <w:pPr>
        <w:spacing w:after="0" w:line="3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connection with this opinion, we have examined originals or copies, certified, or otherwise identified to our satisfaction, of:</w:t>
      </w:r>
    </w:p>
    <w:p>
      <w:pPr>
        <w:spacing w:after="0" w:line="188" w:lineRule="exact"/>
        <w:rPr>
          <w:sz w:val="20"/>
          <w:szCs w:val="20"/>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Restated Articles of Incorporation of the Company, as filed with the Nevada Secretary of State on August 11, 2016;</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 of Amendment to Articles of Incorporation of the Company, as filed with the Nevada Secretary of State on September 15, 2017;</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 of Amendment to Articles of Incorporation of the Company, as filed with the Nevada Secretary of State on September 6, 2019;</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 of Amendment to Articles of Incorporation of the Company, as filed with the Nevada Secretary of State on March 5, 2021;</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 of Amendment to Articles of Incorporation of the Company, as filed with the Nevada Secretary of State on June 5, 2023;</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Second Amended and Restated Bylaws of the Company, adopted August 16, 2016, as amended through the date hereof, and certified to us to be currently in effect;</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Certificate of Good Standing for the Company issued by the Nevada Secretary of State on February 13, 2024;</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Sales Agreement;</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Statement;</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Base Prospectus;</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Sales Agreement Prospectus;</w:t>
      </w:r>
    </w:p>
    <w:p>
      <w:pPr>
        <w:spacing w:after="0" w:line="30"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Resolutions adopted by the Board of Directors of the Company (the “</w:t>
      </w:r>
      <w:r>
        <w:rPr>
          <w:rFonts w:ascii="Times New Roman" w:cs="Times New Roman" w:eastAsia="Times New Roman" w:hAnsi="Times New Roman"/>
          <w:sz w:val="15"/>
          <w:szCs w:val="15"/>
          <w:u w:val="single" w:color="auto"/>
          <w:color w:val="auto"/>
        </w:rPr>
        <w:t>Board of Directors</w:t>
      </w:r>
      <w:r>
        <w:rPr>
          <w:rFonts w:ascii="Times New Roman" w:cs="Times New Roman" w:eastAsia="Times New Roman" w:hAnsi="Times New Roman"/>
          <w:sz w:val="15"/>
          <w:szCs w:val="15"/>
          <w:color w:val="auto"/>
        </w:rPr>
        <w:t>”) dated May 11, 2021, authorizing and approving the Sales Agreement;</w:t>
      </w:r>
    </w:p>
    <w:p>
      <w:pPr>
        <w:spacing w:after="0" w:line="30" w:lineRule="exact"/>
        <w:rPr>
          <w:rFonts w:ascii="Times New Roman" w:cs="Times New Roman" w:eastAsia="Times New Roman" w:hAnsi="Times New Roman"/>
          <w:sz w:val="15"/>
          <w:szCs w:val="15"/>
          <w:color w:val="auto"/>
        </w:rPr>
      </w:pPr>
    </w:p>
    <w:p>
      <w:pPr>
        <w:jc w:val="both"/>
        <w:ind w:left="1080" w:hanging="548"/>
        <w:spacing w:after="0" w:line="256" w:lineRule="auto"/>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Resolutions adopted by the Board of Directors dated February 13, 2024, authorizing and approving the Registration Statement, the issuance and sale of the Securities, including the issuance of the ATM Shares described in the Registration Statement and the Sales Agreement Prospectus, authorizing and approving the Sales Agreement Prospectus, constituting the ATM Pricing Committee, authorizing the Company to reserve an additional 20,400,000 shares of Common Stock for issuance as ATM Shares, and authorizing the ATM Pricing Committee to act with respect to the ATM Shares described in the Sales Agreement Prospectus; and</w:t>
      </w:r>
    </w:p>
    <w:p>
      <w:pPr>
        <w:spacing w:after="0" w:line="1" w:lineRule="exact"/>
        <w:rPr>
          <w:rFonts w:ascii="Times New Roman" w:cs="Times New Roman" w:eastAsia="Times New Roman" w:hAnsi="Times New Roman"/>
          <w:sz w:val="15"/>
          <w:szCs w:val="15"/>
          <w:color w:val="auto"/>
        </w:rPr>
      </w:pPr>
    </w:p>
    <w:p>
      <w:pPr>
        <w:ind w:left="1080" w:right="20" w:hanging="548"/>
        <w:spacing w:after="0" w:line="262" w:lineRule="auto"/>
        <w:tabs>
          <w:tab w:leader="none" w:pos="10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certificate, dated February 13, 2024, from an Officer of the Company as to certain factual matters, including, the incumbency of the officers of the Company (the “</w:t>
      </w:r>
      <w:r>
        <w:rPr>
          <w:rFonts w:ascii="Times New Roman" w:cs="Times New Roman" w:eastAsia="Times New Roman" w:hAnsi="Times New Roman"/>
          <w:sz w:val="15"/>
          <w:szCs w:val="15"/>
          <w:u w:val="single" w:color="auto"/>
          <w:color w:val="auto"/>
        </w:rPr>
        <w:t>Officer's Certificate</w:t>
      </w:r>
      <w:r>
        <w:rPr>
          <w:rFonts w:ascii="Times New Roman" w:cs="Times New Roman" w:eastAsia="Times New Roman" w:hAnsi="Times New Roman"/>
          <w:sz w:val="15"/>
          <w:szCs w:val="15"/>
          <w:color w:val="auto"/>
        </w:rPr>
        <w:t>”).</w:t>
      </w:r>
    </w:p>
    <w:p>
      <w:pPr>
        <w:spacing w:after="0" w:line="149"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In addition to the foregoing, we have examined such other instruments, documents and records that we deemed relevant and necessary for the basis of our opinion hereinafter expressed. We have assumed the authenticity of all records, documents and instruments submitted to us as originals, the genuineness of all signatures, the legal capacity of natural persons and the conformity to the originals of all records, documents and instruments submitted to us as copies.</w:t>
      </w:r>
    </w:p>
    <w:p>
      <w:pPr>
        <w:spacing w:after="0" w:line="146" w:lineRule="exact"/>
        <w:rPr>
          <w:sz w:val="20"/>
          <w:szCs w:val="20"/>
          <w:color w:val="auto"/>
        </w:rPr>
      </w:pPr>
    </w:p>
    <w:p>
      <w:pPr>
        <w:jc w:val="both"/>
        <w:ind w:firstLine="541"/>
        <w:spacing w:after="0" w:line="257" w:lineRule="auto"/>
        <w:rPr>
          <w:sz w:val="20"/>
          <w:szCs w:val="20"/>
          <w:color w:val="auto"/>
        </w:rPr>
      </w:pPr>
      <w:r>
        <w:rPr>
          <w:rFonts w:ascii="Times New Roman" w:cs="Times New Roman" w:eastAsia="Times New Roman" w:hAnsi="Times New Roman"/>
          <w:sz w:val="15"/>
          <w:szCs w:val="15"/>
          <w:color w:val="auto"/>
        </w:rPr>
        <w:t>In rendering the opinions contained herein, we have, with your permission, made the following assumptions: (i) all documents submitted to or reviewed by us, including all amendments and supplements thereto, are accurate and complete and, if not originals, are true, correct, and complete copies of the originals; (ii) the signatures on each of such documents by the parties thereto are genuine; (iii) each individual who signed such documents had the legal capacity to do so; (iv) all persons who signed such documents on behalf of a business entity were duly authorized to do so; (v) all statements in certificates of public officials and officers of the Company that we reviewed were and are accurate, and (vi) all representations made by the Company as to matters of fact in the documents that we reviewed were and are accurate. We have assumed that there are no amendments, modifications, or supplements to such documents other than those amendments, modifications, and supplements that are known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294005</wp:posOffset>
            </wp:positionV>
            <wp:extent cx="7155180"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2" w:name="page113"/>
    <w:bookmarkEnd w:id="112"/>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332105</wp:posOffset>
            </wp:positionV>
            <wp:extent cx="7207250" cy="7518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7207250" cy="751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13,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3</w:t>
      </w:r>
    </w:p>
    <w:p>
      <w:pPr>
        <w:spacing w:after="0" w:line="353"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This opinion is limited to the Nevada Revised Statutes, and we disclaim any opinion as to the laws of any other jurisdiction. We further disclaim any opinion as to any other statute, rule, regulation, ordinance, order or other promulgation of any other jurisdiction or any regional or local governmental body or as to any related judicial or administrative opinion.</w:t>
      </w:r>
    </w:p>
    <w:p>
      <w:pPr>
        <w:spacing w:after="0" w:line="135" w:lineRule="exact"/>
        <w:rPr>
          <w:sz w:val="20"/>
          <w:szCs w:val="20"/>
          <w:color w:val="auto"/>
        </w:rPr>
      </w:pPr>
    </w:p>
    <w:p>
      <w:pPr>
        <w:jc w:val="both"/>
        <w:ind w:firstLine="541"/>
        <w:spacing w:after="0" w:line="253" w:lineRule="auto"/>
        <w:rPr>
          <w:sz w:val="20"/>
          <w:szCs w:val="20"/>
          <w:color w:val="auto"/>
        </w:rPr>
      </w:pPr>
      <w:r>
        <w:rPr>
          <w:rFonts w:ascii="Times New Roman" w:cs="Times New Roman" w:eastAsia="Times New Roman" w:hAnsi="Times New Roman"/>
          <w:sz w:val="15"/>
          <w:szCs w:val="15"/>
          <w:color w:val="auto"/>
        </w:rPr>
        <w:t>In rendering the opinions set forth below, we have assumed (i) that at the time of offer, issuance and sale of any Securities, the Registration Statement, and any other required post-effective amendments thereto, will be effective under the Securities Act, (ii) any required prospectus supplement with respect to such Securities will have been delivered and filed with the Commission and no stop order suspending its effectiveness will have been issued and remain in effect; (iii) that the Board of Directors of the Company duly authorizes by proper corporate action the terms and issuance of the Securities, (iv) the qualification of the Indentures under the Trust Indenture Act of 1939, as amended (the “</w:t>
      </w:r>
      <w:r>
        <w:rPr>
          <w:rFonts w:ascii="Times New Roman" w:cs="Times New Roman" w:eastAsia="Times New Roman" w:hAnsi="Times New Roman"/>
          <w:sz w:val="15"/>
          <w:szCs w:val="15"/>
          <w:u w:val="single" w:color="auto"/>
          <w:color w:val="auto"/>
        </w:rPr>
        <w:t>TIA</w:t>
      </w:r>
      <w:r>
        <w:rPr>
          <w:rFonts w:ascii="Times New Roman" w:cs="Times New Roman" w:eastAsia="Times New Roman" w:hAnsi="Times New Roman"/>
          <w:sz w:val="15"/>
          <w:szCs w:val="15"/>
          <w:color w:val="auto"/>
        </w:rPr>
        <w:t>”), with respect to the Debt Securities (v) the due execution, authentication, issuance and delivery of the Debt Securities by the Company upon payment of the consideration therefor as provided in the applicable purchase, underwriting or similar agreements duly approved by the requisite corporate action by the Company and otherwise, if applicable, in accordance with the provisions of the Indenture governing the Debt Securities (vi) upon the issuance of Common Stock, including Common Stock that may be issued upon conversion or exercise of any other Securities convertible into or exercisable for Common Stock, the total number of shares of Common Stock issued and outstanding will not exceed the total number of shares of Common Stock that the Company is then authorized to issue under the Restated Articles of Incorporation, as amended; and (vii) upon the issuance of Preferred Stock, including Preferred Stock that may be issued upon conversion or exercise of any other Securities convertible into or exercisable for Preferred Stock, the total number of shares of Preferred Stock issued and outstanding, and the total number of issued and outstanding shares of the applicable class or series of Preferred Stock designated pursuant to the Restated Articles of Incorporation, will not exceed the total number of shares of Preferred Stock or the number of shares of such class or series of Preferred Stock that the Company is then authorized to issue under the Restated Articles of Incorporation, as amended.</w:t>
      </w:r>
    </w:p>
    <w:p>
      <w:pPr>
        <w:spacing w:after="0" w:line="163" w:lineRule="exact"/>
        <w:rPr>
          <w:sz w:val="20"/>
          <w:szCs w:val="20"/>
          <w:color w:val="auto"/>
        </w:rPr>
      </w:pPr>
    </w:p>
    <w:p>
      <w:pPr>
        <w:jc w:val="both"/>
        <w:ind w:firstLine="541"/>
        <w:spacing w:after="0" w:line="254" w:lineRule="auto"/>
        <w:rPr>
          <w:sz w:val="20"/>
          <w:szCs w:val="20"/>
          <w:color w:val="auto"/>
        </w:rPr>
      </w:pPr>
      <w:r>
        <w:rPr>
          <w:rFonts w:ascii="Times New Roman" w:cs="Times New Roman" w:eastAsia="Times New Roman" w:hAnsi="Times New Roman"/>
          <w:sz w:val="15"/>
          <w:szCs w:val="15"/>
          <w:color w:val="auto"/>
        </w:rPr>
        <w:t>In rendering the opinions expressed in paragraphs 4 through 6 below with respect to the Securities referred to therein, we have additionally assumed that: (i) the Trustee identified in the Indenture will have all requisite power and authority to execute, deliver, and perform its obligations under the Indenture in question; (ii) at the time of execution of the Indenture in question, the execution and delivery thereof and the performance of such obligations will have been duly authorized by all necessary action on the Trustee’s part, and the Indenture in question will have been duly delivered by it; (iii) at the time of execution of the Indenture, the Indenture in question will be enforceable in accordance with the terms thereof; (iv) any supplemental indenture to an Indenture and any Board Resolution (as defined in the Indenture in question) and/or Officer’s Certificate (as defined in the Indenture in question) executed and delivered pursuant to the Indenture in question, in any such case, pursuant to which any Debt Securities are issued, will comply with the Indenture in question as theretofore supplemented, and the form and terms of such Debt Securities will comply with the Indenture in question as then supplemented (including by such supplemental indenture) and any such Board Resolution and/or Officer’s Certificate; (v) The Company is and at all times material hereto will be a corporation duly organized and validly existing under the laws of the State of Nevada; and (vi) the Indenture in question actually entered into by the Company and Trustee will not deviate in any material or substantial respect from the Indenture terms described in the Registration Statement, such that any deviation would alter our opinions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296545</wp:posOffset>
            </wp:positionV>
            <wp:extent cx="715518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3" w:name="page114"/>
    <w:bookmarkEnd w:id="113"/>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332105</wp:posOffset>
            </wp:positionV>
            <wp:extent cx="7207250" cy="7518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207250" cy="751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13,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4</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Based upon the foregoing and our examination of such questions of law as we have deemed necessary or appropriate for the purpose of this opinion, it is our opinion that</w:t>
      </w:r>
    </w:p>
    <w:p>
      <w:pPr>
        <w:spacing w:after="0" w:line="188" w:lineRule="exact"/>
        <w:rPr>
          <w:sz w:val="20"/>
          <w:szCs w:val="20"/>
          <w:color w:val="auto"/>
        </w:rPr>
      </w:pPr>
    </w:p>
    <w:p>
      <w:pPr>
        <w:ind w:left="800" w:hanging="268"/>
        <w:spacing w:after="0"/>
        <w:tabs>
          <w:tab w:leader="none" w:pos="8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validly existing as a corporation in good standing under the laws of the State of Nevada.</w:t>
      </w:r>
    </w:p>
    <w:p>
      <w:pPr>
        <w:spacing w:after="0" w:line="188" w:lineRule="exact"/>
        <w:rPr>
          <w:rFonts w:ascii="Times New Roman" w:cs="Times New Roman" w:eastAsia="Times New Roman" w:hAnsi="Times New Roman"/>
          <w:sz w:val="15"/>
          <w:szCs w:val="15"/>
          <w:color w:val="auto"/>
        </w:rPr>
      </w:pPr>
    </w:p>
    <w:p>
      <w:pPr>
        <w:jc w:val="both"/>
        <w:ind w:left="800" w:hanging="268"/>
        <w:spacing w:after="0" w:line="253" w:lineRule="auto"/>
        <w:tabs>
          <w:tab w:leader="none" w:pos="8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offering of Common Stock (the “</w:t>
      </w:r>
      <w:r>
        <w:rPr>
          <w:rFonts w:ascii="Times New Roman" w:cs="Times New Roman" w:eastAsia="Times New Roman" w:hAnsi="Times New Roman"/>
          <w:sz w:val="15"/>
          <w:szCs w:val="15"/>
          <w:u w:val="single" w:color="auto"/>
          <w:color w:val="auto"/>
        </w:rPr>
        <w:t>Offered Common Stock</w:t>
      </w:r>
      <w:r>
        <w:rPr>
          <w:rFonts w:ascii="Times New Roman" w:cs="Times New Roman" w:eastAsia="Times New Roman" w:hAnsi="Times New Roman"/>
          <w:sz w:val="15"/>
          <w:szCs w:val="15"/>
          <w:color w:val="auto"/>
        </w:rPr>
        <w:t>”), when (i) the Registration Statement, as finally amended (including all necessary post-effective amendments), has become effective under the Securities Act; (ii) an appropriate prospectus supplement (or term sheet) with respect to the Offered Common Stock has been prepared, delivered, and filed in compliance with the Securities Act and the applicable rules and regulations thereunder; (iii) if the Offered Common Stock is to be sold pursuant to a firm commitment underwritten offering, an underwriting agreement with respect to the Offered Common Stock will have been duly authorized, executed, and delivered by the Company and the other parties thereto; (iv) the Board of Directors, including any appropriate committee appointed thereby, and appropriate officers of the Company have taken all necessary corporate action to approve the issuance of the Offered Common Stock and related matters; (v) the terms of the issuance and sale of the Offered Common Stock have been duly established in conformity with the Restated Articles of Incorporation and the Bylaws of the Company, each as amended and then in effect, so as not to (A) violate any applicable law, (B) violate the Restated Articles of Incorporation or the Bylaws of the Company, each as amended and then in effect, or</w:t>
      </w:r>
    </w:p>
    <w:p>
      <w:pPr>
        <w:spacing w:after="0" w:line="4" w:lineRule="exact"/>
        <w:rPr>
          <w:rFonts w:ascii="Times New Roman" w:cs="Times New Roman" w:eastAsia="Times New Roman" w:hAnsi="Times New Roman"/>
          <w:sz w:val="15"/>
          <w:szCs w:val="15"/>
          <w:color w:val="auto"/>
        </w:rPr>
      </w:pPr>
    </w:p>
    <w:p>
      <w:pPr>
        <w:jc w:val="both"/>
        <w:ind w:left="800" w:firstLine="2"/>
        <w:spacing w:after="0" w:line="253" w:lineRule="auto"/>
        <w:tabs>
          <w:tab w:leader="none" w:pos="1046"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 in a default under or breach of any agreement or instrument binding upon the Company and so as to comply with any requirement or restriction imposed by any court or governmental body having jurisdiction over the Company; and (vi) a certificate or certificates representing the Offered Common Stock are duly executed, countersigned, registered and delivered upon payment of the agreed upon consideration therefor, the Offered Common Stock (including any Common Stock duly issued upon conversion, exchange, or exercise of any Preferred Stock), when issued and sold in accordance with the applicable underwriting agreement, with respect to the Offered Common Stock, or any other duly authorized, executed and delivered valid and binding purchase or agency agreement, will be duly authorized, validly issued, fully paid and nonassessable, provided that the consideration therefor is not less than the par value thereof.</w:t>
      </w:r>
    </w:p>
    <w:p>
      <w:pPr>
        <w:spacing w:after="0" w:line="156" w:lineRule="exact"/>
        <w:rPr>
          <w:rFonts w:ascii="Times New Roman" w:cs="Times New Roman" w:eastAsia="Times New Roman" w:hAnsi="Times New Roman"/>
          <w:sz w:val="15"/>
          <w:szCs w:val="15"/>
          <w:color w:val="auto"/>
        </w:rPr>
      </w:pPr>
    </w:p>
    <w:p>
      <w:pPr>
        <w:jc w:val="both"/>
        <w:ind w:left="800" w:hanging="268"/>
        <w:spacing w:after="0" w:line="254" w:lineRule="auto"/>
        <w:tabs>
          <w:tab w:leader="none" w:pos="8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offering of a series of Preferred Stock (the “</w:t>
      </w:r>
      <w:r>
        <w:rPr>
          <w:rFonts w:ascii="Times New Roman" w:cs="Times New Roman" w:eastAsia="Times New Roman" w:hAnsi="Times New Roman"/>
          <w:sz w:val="15"/>
          <w:szCs w:val="15"/>
          <w:u w:val="single" w:color="auto"/>
          <w:color w:val="auto"/>
        </w:rPr>
        <w:t>Offered Preferred Stock</w:t>
      </w:r>
      <w:r>
        <w:rPr>
          <w:rFonts w:ascii="Times New Roman" w:cs="Times New Roman" w:eastAsia="Times New Roman" w:hAnsi="Times New Roman"/>
          <w:sz w:val="15"/>
          <w:szCs w:val="15"/>
          <w:color w:val="auto"/>
        </w:rPr>
        <w:t>”), when (i) the Registration Statement, as finally amended (including all necessary post-effective amendments), has become effective under the Securities Act; (ii) an appropriate prospectus supplement (or term sheet) with respect to the Offered Preferred Stock has been prepared, delivered, and filed in compliance with the Securities Act and the applicable rules and regulations thereunder; (iii) if the Offered Preferred Stock is to be sold pursuant to a firm commitment underwritten offering, an underwriting agreement with respect to the Offered Preferred Stock will have been duly authorized, executed, and delivered by the Company and the other parties thereto; (iv) the Board of Directors, including any appropriate committee appointed thereby, and appropriate officers of the Company have taken all necessary corporate action to approve the issuance and terms of the Offered Preferred Stock and related matters, including the adoption of a Certificate of Designation for the Offered Preferred Stock in accordance with the applicable provisions of Nevada law (the “</w:t>
      </w:r>
      <w:r>
        <w:rPr>
          <w:rFonts w:ascii="Times New Roman" w:cs="Times New Roman" w:eastAsia="Times New Roman" w:hAnsi="Times New Roman"/>
          <w:sz w:val="15"/>
          <w:szCs w:val="15"/>
          <w:u w:val="single" w:color="auto"/>
          <w:color w:val="auto"/>
        </w:rPr>
        <w:t>Certificate of Designation</w:t>
      </w:r>
      <w:r>
        <w:rPr>
          <w:rFonts w:ascii="Times New Roman" w:cs="Times New Roman" w:eastAsia="Times New Roman" w:hAnsi="Times New Roman"/>
          <w:sz w:val="15"/>
          <w:szCs w:val="15"/>
          <w:color w:val="auto"/>
        </w:rPr>
        <w:t>”);</w:t>
      </w:r>
    </w:p>
    <w:p>
      <w:pPr>
        <w:jc w:val="both"/>
        <w:ind w:left="80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 the filing of the Certificate of Designation with the Secretary of State of the State of Nevada has duly occurred; (vi) the terms, as well as the terms of the issuance and sale, of the Offered Preferred Stock have been duly established in conformity with the Company’s Restated Articles of Incorporation, including the Certificate of Designation relating to the Offered Preferred Stock, and the Bylaws of the Company, each as amended and then in effect, so as not to (A) violate any applicable law, (B) violate the Restated Articles of Incorporation or the Bylaws of the Company, each as amended and then in effect, or (C) result in a default under or breach of any agreement or instrument binding upon the Company and so as to comply with any requirement or restriction imposed by any court or governmental body having jurisdiction over the Company; and (vii) a certificate or certificates representing the Offered Preferred Stock are duly executed, countersigned, registered and delivered upon payment of the agreed upon consideration therefor, the Offered Preferred Stock, when issued and sold in accordance with the applicable underwriting agreement, with respect to the Offered Preferred Stock, or any other duly authorized, executed, and delivered valid and binding purchase or agency agreement, will be duly authorized, validly issued, fully paid, and nonassessable, provided that the consideration therefor is not less than the par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296545</wp:posOffset>
            </wp:positionV>
            <wp:extent cx="715518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4" w:name="page115"/>
    <w:bookmarkEnd w:id="114"/>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332105</wp:posOffset>
            </wp:positionV>
            <wp:extent cx="7207250" cy="7518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207250" cy="751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13,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5</w:t>
      </w:r>
    </w:p>
    <w:p>
      <w:pPr>
        <w:spacing w:after="0" w:line="353" w:lineRule="exact"/>
        <w:rPr>
          <w:sz w:val="20"/>
          <w:szCs w:val="20"/>
          <w:color w:val="auto"/>
        </w:rPr>
      </w:pPr>
    </w:p>
    <w:p>
      <w:pPr>
        <w:jc w:val="both"/>
        <w:ind w:left="800" w:hanging="268"/>
        <w:spacing w:after="0" w:line="261" w:lineRule="auto"/>
        <w:tabs>
          <w:tab w:leader="none" w:pos="80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offering of any series of Debt Securities (the “</w:t>
      </w:r>
      <w:r>
        <w:rPr>
          <w:rFonts w:ascii="Times New Roman" w:cs="Times New Roman" w:eastAsia="Times New Roman" w:hAnsi="Times New Roman"/>
          <w:sz w:val="15"/>
          <w:szCs w:val="15"/>
          <w:u w:val="single" w:color="auto"/>
          <w:color w:val="auto"/>
        </w:rPr>
        <w:t>Offered Debt Securities</w:t>
      </w:r>
      <w:r>
        <w:rPr>
          <w:rFonts w:ascii="Times New Roman" w:cs="Times New Roman" w:eastAsia="Times New Roman" w:hAnsi="Times New Roman"/>
          <w:sz w:val="15"/>
          <w:szCs w:val="15"/>
          <w:color w:val="auto"/>
        </w:rPr>
        <w:t>”), when (i) the Registration Statement, as finally amended (including all necessary post-effective amendments), has become effective under the Securities Act and the applicable Indenture (as supplemented) has been qualified under the Trust Indenture Act;</w:t>
      </w:r>
    </w:p>
    <w:p>
      <w:pPr>
        <w:spacing w:after="0" w:line="1" w:lineRule="exact"/>
        <w:rPr>
          <w:rFonts w:ascii="Times New Roman" w:cs="Times New Roman" w:eastAsia="Times New Roman" w:hAnsi="Times New Roman"/>
          <w:sz w:val="15"/>
          <w:szCs w:val="15"/>
          <w:color w:val="auto"/>
        </w:rPr>
      </w:pPr>
    </w:p>
    <w:p>
      <w:pPr>
        <w:jc w:val="both"/>
        <w:ind w:left="800" w:firstLine="2"/>
        <w:spacing w:after="0" w:line="251" w:lineRule="auto"/>
        <w:tabs>
          <w:tab w:leader="none" w:pos="1022"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appropriate prospectus supplement (or term sheet) with respect to the Offered Debt Securities has been prepared, delivered, and filed in compliance with the Securities Act and the applicable rules and regulations thereunder; (iii) if the Offered Debt Securities are to be sold pursuant to a firm commitment underwritten offering, an underwriting agreement with respect to the Offered Debt Securities will have been duly authorized, executed, and delivered by the Company and the other parties thereto;</w:t>
      </w:r>
    </w:p>
    <w:p>
      <w:pPr>
        <w:jc w:val="both"/>
        <w:ind w:left="800" w:firstLine="2"/>
        <w:spacing w:after="0" w:line="252" w:lineRule="auto"/>
        <w:tabs>
          <w:tab w:leader="none" w:pos="1066"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including any appropriate committee appointed thereby, and appropriate officers of the Company have taken all necessary corporate action to approve the issuance and terms of the Offered Debt Securities and related matters; (v) the terms, as well as the terms of the issuance and sale, of the Offered Debt Securities have been duly established in conformity with the applicable Indenture (as supplemented) so as not to (A) violate any applicable law, (B) violate the Restated Articles of Incorporation or the Bylaws of the Company, each as amended and then in effect, or (C) result in a default under or breach of any agreement or instrument binding upon the Company and so as to comply with any requirement or restriction imposed by any court or governmental body having jurisdiction over the Company; and (vi) the Offered Debt Securities are duly executed and authenticated in accordance with the provisions of the applicable Indenture (as supplemented) and duly delivered to the purchasers thereof upon payment of the agreed upon consideration therefor, the Offered Debt Securities (including any Debt Securities duly issued upon conversion, exchange, or exercise of any Debt Securities or Preferred Stock), when issued and sold in accordance with the applicable Indenture (as supplemented) and the applicable underwriting agreement, if any, or any other duly authorized, executed, and delivered valid and binding purchase or agency agreement, will be valid and binding obligations of the Company, to the extent Nevada law governs such issues.</w:t>
      </w:r>
    </w:p>
    <w:p>
      <w:pPr>
        <w:spacing w:after="0" w:line="158" w:lineRule="exact"/>
        <w:rPr>
          <w:rFonts w:ascii="Times New Roman" w:cs="Times New Roman" w:eastAsia="Times New Roman" w:hAnsi="Times New Roman"/>
          <w:sz w:val="15"/>
          <w:szCs w:val="15"/>
          <w:color w:val="auto"/>
        </w:rPr>
      </w:pPr>
    </w:p>
    <w:p>
      <w:pPr>
        <w:jc w:val="both"/>
        <w:ind w:left="800" w:hanging="268"/>
        <w:spacing w:after="0" w:line="254" w:lineRule="auto"/>
        <w:tabs>
          <w:tab w:leader="none" w:pos="8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offering of Warrants to be issued under a Warrant Agreement (the “</w:t>
      </w:r>
      <w:r>
        <w:rPr>
          <w:rFonts w:ascii="Times New Roman" w:cs="Times New Roman" w:eastAsia="Times New Roman" w:hAnsi="Times New Roman"/>
          <w:sz w:val="15"/>
          <w:szCs w:val="15"/>
          <w:u w:val="single" w:color="auto"/>
          <w:color w:val="auto"/>
        </w:rPr>
        <w:t>Offered Warrants</w:t>
      </w:r>
      <w:r>
        <w:rPr>
          <w:rFonts w:ascii="Times New Roman" w:cs="Times New Roman" w:eastAsia="Times New Roman" w:hAnsi="Times New Roman"/>
          <w:sz w:val="15"/>
          <w:szCs w:val="15"/>
          <w:color w:val="auto"/>
        </w:rPr>
        <w:t>”), when (i) the Registration Statement, as finally amended (including all necessary post-effective amendments), has become effective under the Securities Act; (ii) an appropriate prospectus supplement (or term sheet) with respect to the Offered Warrants has been prepared, delivered, and filed in compliance with the Securities Act and the applicable rules and regulations thereunder; (iii) the Board of Directors, including any appropriate committee appointed thereby, and appropriate officers of the Company have taken all necessary corporate action to approve the issuance and terms of the Offered Warrants and related matters, (iv) the Warrant Agreement has been duly authorized and validly executed and delivered by the Company and the warrant agent under the Warrant Agreement; (v) the terms of the issuance and sale of the Offered Warrants have been duly established in conformity with the Restated Articles of Incorporation and the Bylaws of the Company, each as amended and then in effect, so as not to (A) violate any applicable law, (B) violate the Restated Articles of Incorporation or the Bylaws of the Company, each as amended and then in effect, or (C) result in a default under or breach of any agreement or instrument binding upon the Company and so as to comply with any requirement or restriction imposed by any court or governmental body having jurisdiction over the Company; and (vi) the Offered Warrants are duly executed, issued, and delivered in accordance with the terms of the Warrant Agreement and the applicable definitive purchase, underwriting, or similar agreement approved by the Board of Directors of the Company, upon payment (or delivery) of the consideration therefor provided for therein, the Offered Warrants will be valid and binding obligations of the Company, to the extent that Nevada law governs such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294005</wp:posOffset>
            </wp:positionV>
            <wp:extent cx="715518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5" w:name="page116"/>
    <w:bookmarkEnd w:id="115"/>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332105</wp:posOffset>
            </wp:positionV>
            <wp:extent cx="7207250" cy="7518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207250" cy="751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13,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6</w:t>
      </w:r>
    </w:p>
    <w:p>
      <w:pPr>
        <w:spacing w:after="0" w:line="353" w:lineRule="exact"/>
        <w:rPr>
          <w:sz w:val="20"/>
          <w:szCs w:val="20"/>
          <w:color w:val="auto"/>
        </w:rPr>
      </w:pPr>
    </w:p>
    <w:p>
      <w:pPr>
        <w:jc w:val="both"/>
        <w:ind w:left="800" w:hanging="268"/>
        <w:spacing w:after="0" w:line="253" w:lineRule="auto"/>
        <w:tabs>
          <w:tab w:leader="none" w:pos="8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offering of Units (the “</w:t>
      </w:r>
      <w:r>
        <w:rPr>
          <w:rFonts w:ascii="Times New Roman" w:cs="Times New Roman" w:eastAsia="Times New Roman" w:hAnsi="Times New Roman"/>
          <w:sz w:val="15"/>
          <w:szCs w:val="15"/>
          <w:u w:val="single" w:color="auto"/>
          <w:color w:val="auto"/>
        </w:rPr>
        <w:t>Offered Units</w:t>
      </w:r>
      <w:r>
        <w:rPr>
          <w:rFonts w:ascii="Times New Roman" w:cs="Times New Roman" w:eastAsia="Times New Roman" w:hAnsi="Times New Roman"/>
          <w:sz w:val="15"/>
          <w:szCs w:val="15"/>
          <w:color w:val="auto"/>
        </w:rPr>
        <w:t>”), when (i) the Registration Statement, as finally amended (including all necessary post-effective amendments), has become effective under the Securities Act; (ii) an appropriate prospectus supplement (or term sheet) with respect to the Offered Units has been prepared, delivered, and filed in compliance with the Securities Act and the applicable rules and regulations thereunder; (iii) the Board of Directors, including any appropriate committee appointed thereby, and appropriate officers of the Company have taken all necessary corporate action to authorize and approve (A) the issuance and terms of the Offered Units, (B) the issuance and terms of any Warrants which are a component of the Units, the terms of the offering thereof and related matters, and the execution and delivery of any related Warrant Agreement, and (C) the issuance and terms of any Preferred Stock or Common Stock which are a component of the Units, the terms of the offering thereof and related matters, (iv) the terms of the issuance and sale of the Offered Units have been duly established in conformity with the Restated Articles of Incorporation and the Bylaws of the Company, each as amended and then in effect, so as not to (A) violate any applicable law, (B) violate the Restated Articles of Incorporation or the Bylaws of the Company, each as amended and then in effect, or (C) result in a default under or breach of any agreement or instrument binding upon the Company and so as to comply with any requirement or restriction imposed by any court or governmental body having jurisdiction over the Company; and (v) all of the parties duly execute and deliver</w:t>
      </w:r>
    </w:p>
    <w:p>
      <w:pPr>
        <w:spacing w:after="0" w:line="1" w:lineRule="exact"/>
        <w:rPr>
          <w:rFonts w:ascii="Times New Roman" w:cs="Times New Roman" w:eastAsia="Times New Roman" w:hAnsi="Times New Roman"/>
          <w:sz w:val="15"/>
          <w:szCs w:val="15"/>
          <w:color w:val="auto"/>
        </w:rPr>
      </w:pPr>
    </w:p>
    <w:p>
      <w:pPr>
        <w:jc w:val="both"/>
        <w:ind w:left="800"/>
        <w:spacing w:after="0" w:line="25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the applicable Offered Units, (B) such Warrants and Warrant Agreement, and (C) such Preferred Stock and Common Stock, and each such Security is issued, in each case upon payment of the consideration therefor provided for in the applicable definitive purchase, underwriting, or similar agreement approved by the Board of Directors of the Company and otherwise in accordance with the provisions of the applicable Warrant Agreement, in the case of the Warrants, or the Company’s Restated Articles of Incorporation and Bylaws (as amended to such date and then in effect), in the case of such Preferred Stock and Common Stock, such Offered Units will be valid and binding obligations of the Company, to the extent Nevada law governs such issues.</w:t>
      </w:r>
    </w:p>
    <w:p>
      <w:pPr>
        <w:spacing w:after="0" w:line="158" w:lineRule="exact"/>
        <w:rPr>
          <w:rFonts w:ascii="Times New Roman" w:cs="Times New Roman" w:eastAsia="Times New Roman" w:hAnsi="Times New Roman"/>
          <w:sz w:val="15"/>
          <w:szCs w:val="15"/>
          <w:color w:val="auto"/>
        </w:rPr>
      </w:pPr>
    </w:p>
    <w:p>
      <w:pPr>
        <w:jc w:val="both"/>
        <w:ind w:left="800" w:hanging="268"/>
        <w:spacing w:after="0" w:line="257" w:lineRule="auto"/>
        <w:tabs>
          <w:tab w:leader="none" w:pos="8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(a) the Registration Statement and the Sales Agreement Prospectus, as finally amended (including all necessary post-effective amendments) have become effective under the Securities Act, (b) if the ATM Shares are to be certificated, certificates in the form required under the NRS representing the ATM Shares are duly executed and countersigned, (c) the Pricing Committee of the Board of Directors has taken all necessary corporate action to approve the issuance of the ATM Shares and related matters, and (d) the ATM Shares are registered in the Company’s share registry and delivered upon payment of the agreed upon consideration therefor, the ATM Shares will be duly authorized by all necessary corporate action of the Company, and when issued and sold in accordance with the provisions of the Sales Agreement, will be validly issued, fully paid and nonassessable, provided that the consideration therefor is not less than $0.001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294005</wp:posOffset>
            </wp:positionV>
            <wp:extent cx="715518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6" w:name="page117"/>
    <w:bookmarkEnd w:id="116"/>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332105</wp:posOffset>
            </wp:positionV>
            <wp:extent cx="7207250" cy="7518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207250" cy="751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Vistagen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13,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7</w:t>
      </w:r>
    </w:p>
    <w:p>
      <w:pPr>
        <w:spacing w:after="0" w:line="353"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In rendering the opinions expressed above, we have assumed that, at or prior to the time of the delivery of any such Security, there shall not have occurred any change in law affecting the validity or enforceability of such Security.</w:t>
      </w:r>
    </w:p>
    <w:p>
      <w:pPr>
        <w:spacing w:after="0" w:line="135" w:lineRule="exact"/>
        <w:rPr>
          <w:sz w:val="20"/>
          <w:szCs w:val="20"/>
          <w:color w:val="auto"/>
        </w:rPr>
      </w:pPr>
    </w:p>
    <w:p>
      <w:pPr>
        <w:jc w:val="both"/>
        <w:ind w:firstLine="541"/>
        <w:spacing w:after="0" w:line="259" w:lineRule="auto"/>
        <w:rPr>
          <w:sz w:val="20"/>
          <w:szCs w:val="20"/>
          <w:color w:val="auto"/>
        </w:rPr>
      </w:pPr>
      <w:r>
        <w:rPr>
          <w:rFonts w:ascii="Times New Roman" w:cs="Times New Roman" w:eastAsia="Times New Roman" w:hAnsi="Times New Roman"/>
          <w:sz w:val="15"/>
          <w:szCs w:val="15"/>
          <w:color w:val="auto"/>
        </w:rPr>
        <w:t>With respect to any agreement or instrument reviewed by us, that by its terms or otherwise is governed by the law of any jurisdiction other than the laws of the State of Nevada, our opinion herein is based solely on our understanding of the plain language of such agreement or instrument and we do not express our opinion with respect to the interpretation, validity, binding nature, or enforceability of any such agreement or instrument, and we do not assume any responsibility with respect to the effect on the opinions or statements set forth herein of any interpretation thereof inconsistent with such understanding. We note that the Registration Statement provides that any Indenture shall be governed by the laws of the State of New York. We therefore assume that each Indenture will be enforceable under the laws of the State of New York.</w:t>
      </w:r>
    </w:p>
    <w:p>
      <w:pPr>
        <w:spacing w:after="0" w:line="152"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This opinion is rendered to you in connection with the Registration Statement and is not to be relied upon for any other purpose. We disclaim any obligation to advise you of any change of law that occurs, or any facts of which we may become aware, after the date of this opinion.</w:t>
      </w:r>
    </w:p>
    <w:p>
      <w:pPr>
        <w:spacing w:after="0" w:line="135"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This opinion is based upon our knowledge of the law and facts relevant to the transactions herein referenced as of the date hereof. We assume no duty to update or supplement this opinion to reflect any facts or circumstances that may hereafter come to our attention or to reflect any changes in any law that may hereafter occur or become effective.</w:t>
      </w:r>
    </w:p>
    <w:p>
      <w:pPr>
        <w:spacing w:after="0" w:line="135"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We hereby consent to the filing of this opinion as an exhibit to the Registration Statement. In giving this consent, we do not thereby admit that we are included in the category of persons whose consent is required under Section 7 of the Securities Act or the rules and regulations of the Securities and Exchange Commission.</w:t>
      </w:r>
    </w:p>
    <w:p>
      <w:pPr>
        <w:spacing w:after="0" w:line="3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WOODBURN AND WEDGE</w:t>
      </w:r>
    </w:p>
    <w:p>
      <w:pPr>
        <w:spacing w:after="0" w:line="200" w:lineRule="exact"/>
        <w:rPr>
          <w:sz w:val="20"/>
          <w:szCs w:val="20"/>
          <w:color w:val="auto"/>
        </w:rPr>
      </w:pPr>
    </w:p>
    <w:p>
      <w:pPr>
        <w:spacing w:after="0" w:line="334" w:lineRule="exact"/>
        <w:rPr>
          <w:sz w:val="20"/>
          <w:szCs w:val="20"/>
          <w:color w:val="auto"/>
        </w:rPr>
      </w:pPr>
    </w:p>
    <w:p>
      <w:pPr>
        <w:ind w:left="5620"/>
        <w:spacing w:after="0"/>
        <w:tabs>
          <w:tab w:leader="none" w:pos="5940" w:val="left"/>
        </w:tabs>
        <w:rPr>
          <w:sz w:val="20"/>
          <w:szCs w:val="20"/>
          <w:color w:val="auto"/>
        </w:rPr>
      </w:pPr>
      <w:r>
        <w:rPr>
          <w:rFonts w:ascii="Times New Roman" w:cs="Times New Roman" w:eastAsia="Times New Roman" w:hAnsi="Times New Roman"/>
          <w:sz w:val="15"/>
          <w:szCs w:val="15"/>
          <w:color w:val="auto"/>
        </w:rPr>
        <w:t>By:</w:t>
        <w:tab/>
        <w:t>/s/ Shawn G.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250698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2506980" cy="698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Shawn G. Pearson</w:t>
      </w:r>
    </w:p>
    <w:p>
      <w:pPr>
        <w:sectPr>
          <w:pgSz w:w="11900" w:h="16838" w:orient="portrait"/>
          <w:cols w:equalWidth="0" w:num="1">
            <w:col w:w="11260"/>
          </w:cols>
          <w:pgMar w:left="320" w:top="1440"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5"/>
          <w:szCs w:val="15"/>
          <w:b w:val="1"/>
          <w:bCs w:val="1"/>
          <w:color w:val="auto"/>
        </w:rPr>
        <w:t>Exhibit 23.2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CONSENT OF INDEPENDENT REGISTERED PUBLIC ACCOUNTING FIRM</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hereby consent to the incorporation by reference in the Prospectus constituting a part of this Registration Statement on Form S-3 of our report dated June 28, 2023, which includes an explanatory paragraph regarding Vistagen Therapeutics, Inc.’s ability to continue as a going concern, relating to the consolidated financial statements of Vistagen Therapeutics, Inc. as of and for the years ended March 31, 2023 and 2022, which is incorporated by reference in that Prospectus.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consent to the reference to us under the caption “Experts” in the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WithumSmith+Brown, PC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13, 2024</w:t>
      </w:r>
    </w:p>
    <w:p>
      <w:pPr>
        <w:sectPr>
          <w:pgSz w:w="11900" w:h="16838" w:orient="portrait"/>
          <w:cols w:equalWidth="0" w:num="1">
            <w:col w:w="11260"/>
          </w:cols>
          <w:pgMar w:left="320" w:top="121"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5"/>
          <w:szCs w:val="15"/>
          <w:b w:val="1"/>
          <w:bCs w:val="1"/>
          <w:color w:val="auto"/>
        </w:rPr>
        <w:t>Exhibit 107</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7"/>
          </w:tcPr>
          <w:p>
            <w:pPr>
              <w:jc w:val="center"/>
              <w:ind w:left="266"/>
              <w:spacing w:after="0"/>
              <w:rPr>
                <w:sz w:val="20"/>
                <w:szCs w:val="20"/>
                <w:color w:val="auto"/>
              </w:rPr>
            </w:pPr>
            <w:r>
              <w:rPr>
                <w:rFonts w:ascii="Times New Roman" w:cs="Times New Roman" w:eastAsia="Times New Roman" w:hAnsi="Times New Roman"/>
                <w:sz w:val="15"/>
                <w:szCs w:val="15"/>
                <w:b w:val="1"/>
                <w:bCs w:val="1"/>
                <w:color w:val="auto"/>
                <w:w w:val="99"/>
              </w:rPr>
              <w:t>Calculation of Filing Fee Tables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left="326"/>
              <w:spacing w:after="0"/>
              <w:rPr>
                <w:sz w:val="20"/>
                <w:szCs w:val="20"/>
                <w:color w:val="auto"/>
              </w:rPr>
            </w:pPr>
            <w:r>
              <w:rPr>
                <w:rFonts w:ascii="Times New Roman" w:cs="Times New Roman" w:eastAsia="Times New Roman" w:hAnsi="Times New Roman"/>
                <w:sz w:val="15"/>
                <w:szCs w:val="15"/>
                <w:b w:val="1"/>
                <w:bCs w:val="1"/>
                <w:color w:val="auto"/>
                <w:w w:val="99"/>
              </w:rPr>
              <w:t>Form S-3</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left="326"/>
              <w:spacing w:after="0"/>
              <w:rPr>
                <w:sz w:val="20"/>
                <w:szCs w:val="20"/>
                <w:color w:val="auto"/>
              </w:rPr>
            </w:pPr>
            <w:r>
              <w:rPr>
                <w:rFonts w:ascii="Times New Roman" w:cs="Times New Roman" w:eastAsia="Times New Roman" w:hAnsi="Times New Roman"/>
                <w:sz w:val="15"/>
                <w:szCs w:val="15"/>
                <w:color w:val="auto"/>
                <w:w w:val="98"/>
              </w:rPr>
              <w:t>(Form Type)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gridSpan w:val="6"/>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Vistagen Therapeutics, Inc.</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10"/>
          </w:tcPr>
          <w:p>
            <w:pPr>
              <w:jc w:val="center"/>
              <w:ind w:right="620"/>
              <w:spacing w:after="0"/>
              <w:rPr>
                <w:sz w:val="20"/>
                <w:szCs w:val="20"/>
                <w:color w:val="auto"/>
              </w:rPr>
            </w:pPr>
            <w:r>
              <w:rPr>
                <w:rFonts w:ascii="Times New Roman" w:cs="Times New Roman" w:eastAsia="Times New Roman" w:hAnsi="Times New Roman"/>
                <w:sz w:val="15"/>
                <w:szCs w:val="15"/>
                <w:color w:val="auto"/>
                <w:w w:val="99"/>
              </w:rPr>
              <w:t>(Exact Name of Registrant as Specified in its Charter)</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12"/>
          </w:tcPr>
          <w:p>
            <w:pPr>
              <w:jc w:val="center"/>
              <w:ind w:left="91"/>
              <w:spacing w:after="0"/>
              <w:rPr>
                <w:sz w:val="20"/>
                <w:szCs w:val="20"/>
                <w:color w:val="auto"/>
              </w:rPr>
            </w:pPr>
            <w:r>
              <w:rPr>
                <w:rFonts w:ascii="Times New Roman" w:cs="Times New Roman" w:eastAsia="Times New Roman" w:hAnsi="Times New Roman"/>
                <w:sz w:val="15"/>
                <w:szCs w:val="15"/>
                <w:b w:val="1"/>
                <w:bCs w:val="1"/>
                <w:color w:val="auto"/>
                <w:w w:val="99"/>
              </w:rPr>
              <w:t>Table 1: Newly Registered and Carry Forward Securities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Filing Fee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Previously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Paid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In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Connection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Proposed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with</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Fee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Carry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Unsold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Calculation</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160" w:type="dxa"/>
            <w:vAlign w:val="bottom"/>
          </w:tcPr>
          <w:p>
            <w:pPr>
              <w:spacing w:after="0"/>
              <w:rPr>
                <w:sz w:val="15"/>
                <w:szCs w:val="15"/>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Carry</w:t>
            </w: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Carry</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Securities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Security</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or Carry</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Price</w:t>
            </w:r>
          </w:p>
        </w:tc>
        <w:tc>
          <w:tcPr>
            <w:tcW w:w="16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Amount of</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Forward</w:t>
            </w:r>
          </w:p>
        </w:tc>
        <w:tc>
          <w:tcPr>
            <w:tcW w:w="10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Forward</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Initial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to be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Security</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Registered</w:t>
            </w:r>
          </w:p>
        </w:tc>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Per</w:t>
            </w:r>
          </w:p>
        </w:tc>
        <w:tc>
          <w:tcPr>
            <w:tcW w:w="160" w:type="dxa"/>
            <w:vAlign w:val="bottom"/>
          </w:tcPr>
          <w:p>
            <w:pPr>
              <w:spacing w:after="0"/>
              <w:rPr>
                <w:sz w:val="15"/>
                <w:szCs w:val="15"/>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7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Fee Rate</w:t>
            </w:r>
          </w:p>
        </w:tc>
        <w:tc>
          <w:tcPr>
            <w:tcW w:w="160" w:type="dxa"/>
            <w:vAlign w:val="bottom"/>
            <w:vMerge w:val="restart"/>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Registration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0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File</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effective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Carried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Rule</w:t>
            </w:r>
          </w:p>
        </w:tc>
        <w:tc>
          <w:tcPr>
            <w:tcW w:w="8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8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Unit</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Price</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5"/>
                <w:szCs w:val="15"/>
                <w:b w:val="1"/>
                <w:bCs w:val="1"/>
                <w:color w:val="auto"/>
              </w:rPr>
              <w:t>Fee</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5"/>
                <w:szCs w:val="15"/>
                <w:b w:val="1"/>
                <w:bCs w:val="1"/>
                <w:color w:val="auto"/>
              </w:rPr>
              <w:t>Forward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Newly Registered Securities</w:t>
            </w: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Fees to Be</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5"/>
                <w:szCs w:val="15"/>
                <w:color w:val="auto"/>
              </w:rPr>
              <w:t>Common</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Paid</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w w:val="99"/>
              </w:rPr>
              <w:t>Equity</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Stock</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66" w:lineRule="exact"/>
              <w:rPr>
                <w:sz w:val="20"/>
                <w:szCs w:val="20"/>
                <w:color w:val="auto"/>
              </w:rPr>
            </w:pPr>
            <w:r>
              <w:rPr>
                <w:rFonts w:ascii="Times New Roman" w:cs="Times New Roman" w:eastAsia="Times New Roman" w:hAnsi="Times New Roman"/>
                <w:sz w:val="15"/>
                <w:szCs w:val="15"/>
                <w:color w:val="auto"/>
              </w:rPr>
              <w:t>Preferred</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9"/>
              </w:rPr>
              <w:t>Equity</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Stock</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rPr>
              <w:t>Debt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Other</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Securities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Other</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Warrants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Other</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Units</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60"/>
              <w:spacing w:after="0" w:line="166" w:lineRule="exact"/>
              <w:rPr>
                <w:sz w:val="20"/>
                <w:szCs w:val="20"/>
                <w:color w:val="auto"/>
              </w:rPr>
            </w:pPr>
            <w:r>
              <w:rPr>
                <w:rFonts w:ascii="Times New Roman" w:cs="Times New Roman" w:eastAsia="Times New Roman" w:hAnsi="Times New Roman"/>
                <w:sz w:val="15"/>
                <w:szCs w:val="15"/>
                <w:color w:val="auto"/>
                <w:w w:val="99"/>
              </w:rPr>
              <w:t>Unallocated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9"/>
              </w:rPr>
              <w:t>(Universal)</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Shelf</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Rule 457(o)</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160" w:type="dxa"/>
            <w:vAlign w:val="bottom"/>
          </w:tcPr>
          <w:p>
            <w:pPr>
              <w:spacing w:after="0"/>
              <w:rPr>
                <w:sz w:val="16"/>
                <w:szCs w:val="16"/>
                <w:color w:val="auto"/>
              </w:rPr>
            </w:pPr>
          </w:p>
        </w:tc>
        <w:tc>
          <w:tcPr>
            <w:tcW w:w="1200" w:type="dxa"/>
            <w:vAlign w:val="bottom"/>
            <w:gridSpan w:val="3"/>
          </w:tcPr>
          <w:p>
            <w:pPr>
              <w:jc w:val="center"/>
              <w:ind w:right="240"/>
              <w:spacing w:after="0" w:line="196" w:lineRule="exact"/>
              <w:rPr>
                <w:sz w:val="20"/>
                <w:szCs w:val="20"/>
                <w:color w:val="auto"/>
              </w:rPr>
            </w:pPr>
            <w:r>
              <w:rPr>
                <w:rFonts w:ascii="Times New Roman" w:cs="Times New Roman" w:eastAsia="Times New Roman" w:hAnsi="Times New Roman"/>
                <w:sz w:val="14"/>
                <w:szCs w:val="14"/>
                <w:color w:val="auto"/>
              </w:rPr>
              <w:t>$350,000,000</w:t>
            </w:r>
            <w:r>
              <w:rPr>
                <w:rFonts w:ascii="Times New Roman" w:cs="Times New Roman" w:eastAsia="Times New Roman" w:hAnsi="Times New Roman"/>
                <w:sz w:val="22"/>
                <w:szCs w:val="22"/>
                <w:color w:val="auto"/>
                <w:vertAlign w:val="superscript"/>
              </w:rPr>
              <w:t>(c)</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0.00014760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51,660.00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Fees</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Previously</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Paid</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260" w:type="dxa"/>
            <w:vAlign w:val="bottom"/>
            <w:tcBorders>
              <w:bottom w:val="single" w:sz="8" w:color="auto"/>
            </w:tcBorders>
            <w:gridSpan w:val="6"/>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Carry Forward Securities</w:t>
            </w: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line="157" w:lineRule="exact"/>
              <w:rPr>
                <w:sz w:val="20"/>
                <w:szCs w:val="20"/>
                <w:color w:val="auto"/>
              </w:rPr>
            </w:pPr>
            <w:r>
              <w:rPr>
                <w:rFonts w:ascii="Times New Roman" w:cs="Times New Roman" w:eastAsia="Times New Roman" w:hAnsi="Times New Roman"/>
                <w:sz w:val="15"/>
                <w:szCs w:val="15"/>
                <w:color w:val="auto"/>
              </w:rPr>
              <w:t>Carry</w:t>
            </w:r>
          </w:p>
        </w:tc>
        <w:tc>
          <w:tcPr>
            <w:tcW w:w="60" w:type="dxa"/>
            <w:vAlign w:val="bottom"/>
          </w:tcPr>
          <w:p>
            <w:pPr>
              <w:spacing w:after="0"/>
              <w:rPr>
                <w:sz w:val="13"/>
                <w:szCs w:val="13"/>
                <w:color w:val="auto"/>
              </w:rPr>
            </w:pPr>
          </w:p>
        </w:tc>
        <w:tc>
          <w:tcPr>
            <w:tcW w:w="82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5"/>
                <w:szCs w:val="15"/>
                <w:color w:val="auto"/>
                <w:w w:val="99"/>
              </w:rPr>
              <w:t>Unallocated</w:t>
            </w:r>
          </w:p>
        </w:tc>
        <w:tc>
          <w:tcPr>
            <w:tcW w:w="74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color w:val="auto"/>
              </w:rPr>
              <w:t>Unallocated</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Forward</w:t>
            </w:r>
          </w:p>
        </w:tc>
        <w:tc>
          <w:tcPr>
            <w:tcW w:w="60" w:type="dxa"/>
            <w:vAlign w:val="bottom"/>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9"/>
              </w:rPr>
              <w:t>(Universal)</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(Universal)</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Rule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60" w:type="dxa"/>
            <w:vAlign w:val="bottom"/>
          </w:tcPr>
          <w:p>
            <w:pPr>
              <w:spacing w:after="0"/>
              <w:rPr>
                <w:sz w:val="16"/>
                <w:szCs w:val="16"/>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Shelf</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Shelf</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415(a)(6)</w:t>
            </w:r>
          </w:p>
        </w:tc>
        <w:tc>
          <w:tcPr>
            <w:tcW w:w="80" w:type="dxa"/>
            <w:vAlign w:val="bottom"/>
          </w:tcPr>
          <w:p>
            <w:pPr>
              <w:spacing w:after="0"/>
              <w:rPr>
                <w:sz w:val="16"/>
                <w:szCs w:val="16"/>
                <w:color w:val="auto"/>
              </w:rPr>
            </w:pP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3"/>
                <w:szCs w:val="13"/>
                <w:color w:val="auto"/>
              </w:rPr>
              <w:t>(d)</w:t>
            </w:r>
          </w:p>
        </w:tc>
        <w:tc>
          <w:tcPr>
            <w:tcW w:w="1120" w:type="dxa"/>
            <w:vAlign w:val="bottom"/>
            <w:gridSpan w:val="2"/>
          </w:tcPr>
          <w:p>
            <w:pPr>
              <w:jc w:val="center"/>
              <w:ind w:left="85"/>
              <w:spacing w:after="0"/>
              <w:rPr>
                <w:sz w:val="20"/>
                <w:szCs w:val="20"/>
                <w:color w:val="auto"/>
              </w:rPr>
            </w:pPr>
            <w:r>
              <w:rPr>
                <w:rFonts w:ascii="Times New Roman" w:cs="Times New Roman" w:eastAsia="Times New Roman" w:hAnsi="Times New Roman"/>
                <w:sz w:val="15"/>
                <w:szCs w:val="15"/>
                <w:color w:val="auto"/>
              </w:rPr>
              <w:t>$  250,000,000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0.0001091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27,275.00</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S-3</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333-254299</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03/26/2021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11,803.07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w w:val="99"/>
              </w:rPr>
              <w:t>Total Offering Amounts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51,660.00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Total Fees Previously Paid</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11,803.07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Total Fee Offsets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Net Fee Due</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39,856.93</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10" w:right="20" w:hanging="610"/>
        <w:spacing w:after="0" w:line="283" w:lineRule="auto"/>
        <w:tabs>
          <w:tab w:leader="none" w:pos="61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Rule 416 under the Securities Act of 1933, as amended (the “Securities Act”), this registration statement shall be deemed to cover an indeterminate number of additional shares of Common Stock to be offered or issued from stock splits, stock dividends or similar transaction.</w:t>
      </w:r>
    </w:p>
    <w:p>
      <w:pPr>
        <w:spacing w:after="0" w:line="134" w:lineRule="exact"/>
        <w:rPr>
          <w:rFonts w:ascii="Times New Roman" w:cs="Times New Roman" w:eastAsia="Times New Roman" w:hAnsi="Times New Roman"/>
          <w:sz w:val="15"/>
          <w:szCs w:val="15"/>
          <w:color w:val="auto"/>
        </w:rPr>
      </w:pPr>
    </w:p>
    <w:p>
      <w:pPr>
        <w:jc w:val="both"/>
        <w:ind w:left="610" w:right="20" w:hanging="610"/>
        <w:spacing w:after="0" w:line="267" w:lineRule="auto"/>
        <w:tabs>
          <w:tab w:leader="none" w:pos="61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Instruction 2.A.iii.b. of Item 16(b) of Form S-3, this information is not specified as to each class of securities to be registered. There is being registered hereby such indeterminate number of the securities of each identified class as may from time to time be issued at indeterminate prices. Securities registered hereunder may be sold separately, together or in units with other securities registered hereunder.</w:t>
      </w:r>
    </w:p>
    <w:p>
      <w:pPr>
        <w:spacing w:after="0" w:line="146" w:lineRule="exact"/>
        <w:rPr>
          <w:rFonts w:ascii="Times New Roman" w:cs="Times New Roman" w:eastAsia="Times New Roman" w:hAnsi="Times New Roman"/>
          <w:sz w:val="15"/>
          <w:szCs w:val="15"/>
          <w:color w:val="auto"/>
        </w:rPr>
      </w:pPr>
    </w:p>
    <w:p>
      <w:pPr>
        <w:ind w:left="610" w:hanging="610"/>
        <w:spacing w:after="0"/>
        <w:tabs>
          <w:tab w:leader="none" w:pos="61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has been estimated solely to calculate the registration fee in accordance with Rule 457(o) under the Securities Act.</w:t>
      </w:r>
    </w:p>
    <w:p>
      <w:pPr>
        <w:spacing w:after="0" w:line="188" w:lineRule="exact"/>
        <w:rPr>
          <w:rFonts w:ascii="Times New Roman" w:cs="Times New Roman" w:eastAsia="Times New Roman" w:hAnsi="Times New Roman"/>
          <w:sz w:val="15"/>
          <w:szCs w:val="15"/>
          <w:color w:val="auto"/>
        </w:rPr>
      </w:pPr>
    </w:p>
    <w:p>
      <w:pPr>
        <w:jc w:val="both"/>
        <w:ind w:left="610" w:hanging="610"/>
        <w:spacing w:after="0" w:line="259" w:lineRule="auto"/>
        <w:tabs>
          <w:tab w:leader="none" w:pos="61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15, 2021, the Registrant filed a registration statement on Form S-3 (File No. 333-254299), or the Prior Registration Statement, to register securities with an aggregate maximum offering price of $250,000,000, and paid a registration fee of $27,257.00 in connection therewith. As of the date of this registration statement, an aggregate of $108,185,806.37 of securities registered on the Prior Registration Statement are unsold. Pursuant to Rule 415(a)(6), the Registrant is allowed to apply $11,803.07 toward the registration fee for this registration statement because the unsold securities are being moved from the Prior Registration Statement to this registration statement, and the registration fee previously paid by the Registrant relating to the unsold securities included on this registration statement will continue to be applied to such unsold securities.</w:t>
      </w:r>
    </w:p>
    <w:sectPr>
      <w:pgSz w:w="11900" w:h="16838" w:orient="portrait"/>
      <w:cols w:equalWidth="0" w:num="1">
        <w:col w:w="11270"/>
      </w:cols>
      <w:pgMar w:left="31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lvl w:ilvl="1">
      <w:lvlJc w:val="left"/>
      <w:lvlText w:val="%2."/>
      <w:numFmt w:val="lowerRoman"/>
      <w:start w:val="1"/>
    </w:lvl>
  </w:abstractNum>
  <w:abstractNum w:abstractNumId="23">
    <w:nsid w:val="649BB77C"/>
    <w:multiLevelType w:val="hybridMultilevel"/>
    <w:lvl w:ilvl="0">
      <w:lvlJc w:val="left"/>
      <w:lvlText w:val="●"/>
      <w:numFmt w:val="bullet"/>
      <w:start w:val="1"/>
    </w:lvl>
    <w:lvl w:ilvl="1">
      <w:lvlJc w:val="left"/>
      <w:lvlText w:val="%2."/>
      <w:numFmt w:val="lowerRoman"/>
      <w:start w:val="1"/>
    </w:lvl>
  </w:abstractNum>
  <w:abstractNum w:abstractNumId="24">
    <w:nsid w:val="275AC794"/>
    <w:multiLevelType w:val="hybridMultilevel"/>
    <w:lvl w:ilvl="0">
      <w:lvlJc w:val="left"/>
      <w:lvlText w:val="%1."/>
      <w:numFmt w:val="lowerRoman"/>
      <w:start w:val="4"/>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1"/>
      <w:numFmt w:val="decimal"/>
      <w:start w:val="24"/>
    </w:lvl>
  </w:abstractNum>
  <w:abstractNum w:abstractNumId="39">
    <w:nsid w:val="579BE4F1"/>
    <w:multiLevelType w:val="hybridMultilevel"/>
    <w:lvl w:ilvl="0">
      <w:lvlJc w:val="left"/>
      <w:lvlText w:val="%1"/>
      <w:numFmt w:val="decimal"/>
      <w:start w:val="107"/>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3">
    <w:nsid w:val="25A70BF7"/>
    <w:multiLevelType w:val="hybridMultilevel"/>
    <w:lvl w:ilvl="0">
      <w:lvlJc w:val="left"/>
      <w:lvlText w:val="(%1)"/>
      <w:numFmt w:val="decimal"/>
      <w:start w:val="2"/>
    </w:lvl>
  </w:abstractNum>
  <w:abstractNum w:abstractNumId="44">
    <w:nsid w:val="1DBABF00"/>
    <w:multiLevelType w:val="hybridMultilevel"/>
    <w:lvl w:ilvl="0">
      <w:lvlJc w:val="left"/>
      <w:lvlText w:val="(%1)"/>
      <w:numFmt w:val="decimal"/>
      <w:start w:val="5"/>
    </w:lvl>
    <w:lvl w:ilvl="1">
      <w:lvlJc w:val="left"/>
      <w:lvlText w:val="(%2)"/>
      <w:numFmt w:val="lowerRoman"/>
      <w:start w:val="1"/>
    </w:lvl>
  </w:abstractNum>
  <w:abstractNum w:abstractNumId="45">
    <w:nsid w:val="4AD084E9"/>
    <w:multiLevelType w:val="hybridMultilevel"/>
    <w:lvl w:ilvl="0">
      <w:lvlJc w:val="left"/>
      <w:lvlText w:val="(%1)"/>
      <w:numFmt w:val="lowerLetter"/>
      <w:start w:val="2"/>
    </w:lvl>
  </w:abstractNum>
  <w:abstractNum w:abstractNumId="46">
    <w:nsid w:val="1F48EAA1"/>
    <w:multiLevelType w:val="hybridMultilevel"/>
    <w:lvl w:ilvl="0">
      <w:lvlJc w:val="left"/>
      <w:lvlText w:val="(%1)"/>
      <w:numFmt w:val="lowerLetter"/>
      <w:start w:val="8"/>
    </w:lvl>
  </w:abstractNum>
  <w:abstractNum w:abstractNumId="47">
    <w:nsid w:val="1381823A"/>
    <w:multiLevelType w:val="hybridMultilevel"/>
    <w:lvl w:ilvl="0">
      <w:lvlJc w:val="left"/>
      <w:lvlText w:val="(%1)"/>
      <w:numFmt w:val="lowerLetter"/>
      <w:start w:val="10"/>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lowerLetter"/>
      <w:start w:val="5"/>
    </w:lvl>
  </w:abstractNum>
  <w:abstractNum w:abstractNumId="51">
    <w:nsid w:val="15014ACB"/>
    <w:multiLevelType w:val="hybridMultilevel"/>
    <w:lvl w:ilvl="0">
      <w:lvlJc w:val="left"/>
      <w:lvlText w:val="(%1)"/>
      <w:numFmt w:val="lowerLetter"/>
      <w:start w:val="1"/>
    </w:lvl>
  </w:abstractNum>
  <w:abstractNum w:abstractNumId="52">
    <w:nsid w:val="5F5E7FD0"/>
    <w:multiLevelType w:val="hybridMultilevel"/>
    <w:lvl w:ilvl="0">
      <w:lvlJc w:val="left"/>
      <w:lvlText w:val="(%1)"/>
      <w:numFmt w:val="lowerLetter"/>
      <w:start w:val="1"/>
    </w:lvl>
    <w:lvl w:ilvl="1">
      <w:lvlJc w:val="left"/>
      <w:lvlText w:val="(%2)"/>
      <w:numFmt w:val="lowerRoman"/>
      <w:start w:val="1"/>
    </w:lvl>
  </w:abstractNum>
  <w:abstractNum w:abstractNumId="53">
    <w:nsid w:val="98A3148"/>
    <w:multiLevelType w:val="hybridMultilevel"/>
    <w:lvl w:ilvl="0">
      <w:lvlJc w:val="left"/>
      <w:lvlText w:val="(%1)"/>
      <w:numFmt w:val="lowerLetter"/>
      <w:start w:val="6"/>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Letter"/>
      <w:start w:val="2"/>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2"/>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Letter"/>
      <w:start w:val="1"/>
    </w:lvl>
    <w:lvl w:ilvl="1">
      <w:lvlJc w:val="left"/>
      <w:lvlText w:val="(%2)"/>
      <w:numFmt w:val="lowerRoman"/>
      <w:start w:val="1"/>
    </w:lvl>
  </w:abstractNum>
  <w:abstractNum w:abstractNumId="61">
    <w:nsid w:val="540A471C"/>
    <w:multiLevelType w:val="hybridMultilevel"/>
    <w:lvl w:ilvl="0">
      <w:lvlJc w:val="left"/>
      <w:lvlText w:val="%1"/>
      <w:numFmt w:val="lowerLetter"/>
      <w:start w:val="1"/>
    </w:lvl>
    <w:lvl w:ilvl="1">
      <w:lvlJc w:val="left"/>
      <w:lvlText w:val="(%2)"/>
      <w:numFmt w:val="lowerRoman"/>
      <w:start w:val="2"/>
    </w:lvl>
  </w:abstractNum>
  <w:abstractNum w:abstractNumId="62">
    <w:nsid w:val="7BD3EE7B"/>
    <w:multiLevelType w:val="hybridMultilevel"/>
    <w:lvl w:ilvl="0">
      <w:lvlJc w:val="left"/>
      <w:lvlText w:val="(%1)"/>
      <w:numFmt w:val="lowerLetter"/>
      <w:start w:val="4"/>
    </w:lvl>
    <w:lvl w:ilvl="1">
      <w:lvlJc w:val="left"/>
      <w:lvlText w:val="%2"/>
      <w:numFmt w:val="lowerRoman"/>
      <w:start w:val="1"/>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3"/>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7">
    <w:nsid w:val="42963E5A"/>
    <w:multiLevelType w:val="hybridMultilevel"/>
    <w:lvl w:ilvl="0">
      <w:lvlJc w:val="left"/>
      <w:lvlText w:val="(%1)"/>
      <w:numFmt w:val="lowerLetter"/>
      <w:start w:val="2"/>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2"/>
    </w:lvl>
  </w:abstractNum>
  <w:abstractNum w:abstractNumId="71">
    <w:nsid w:val="3B0FD379"/>
    <w:multiLevelType w:val="hybridMultilevel"/>
    <w:lvl w:ilvl="0">
      <w:lvlJc w:val="left"/>
      <w:lvlText w:val="(%1)"/>
      <w:numFmt w:val="lowerLetter"/>
      <w:start w:val="8"/>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3"/>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2"/>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3"/>
    </w:lvl>
  </w:abstractNum>
  <w:abstractNum w:abstractNumId="80">
    <w:nsid w:val="100F59DC"/>
    <w:multiLevelType w:val="hybridMultilevel"/>
    <w:lvl w:ilvl="0">
      <w:lvlJc w:val="left"/>
      <w:lvlText w:val="(%1)"/>
      <w:numFmt w:val="lowerRoman"/>
      <w:start w:val="1"/>
    </w:lvl>
  </w:abstractNum>
  <w:abstractNum w:abstractNumId="81">
    <w:nsid w:val="7FB7E0AA"/>
    <w:multiLevelType w:val="hybridMultilevel"/>
    <w:lvl w:ilvl="0">
      <w:lvlJc w:val="left"/>
      <w:lvlText w:val="%1."/>
      <w:numFmt w:val="decimal"/>
      <w:start w:val="1"/>
    </w:lvl>
    <w:lvl w:ilvl="1">
      <w:lvlJc w:val="left"/>
      <w:lvlText w:val="(%2)"/>
      <w:numFmt w:val="upperLetter"/>
      <w:start w:val="3"/>
    </w:lvl>
  </w:abstractNum>
  <w:abstractNum w:abstractNumId="82">
    <w:nsid w:val="6EB5BD4"/>
    <w:multiLevelType w:val="hybridMultilevel"/>
    <w:lvl w:ilvl="0">
      <w:lvlJc w:val="left"/>
      <w:lvlText w:val="%1."/>
      <w:numFmt w:val="decimal"/>
      <w:start w:val="4"/>
    </w:lvl>
    <w:lvl w:ilvl="1">
      <w:lvlJc w:val="left"/>
      <w:lvlText w:val="(%2)"/>
      <w:numFmt w:val="lowerRoman"/>
      <w:start w:val="2"/>
    </w:lvl>
  </w:abstractNum>
  <w:abstractNum w:abstractNumId="83">
    <w:nsid w:val="6F6DD9AC"/>
    <w:multiLevelType w:val="hybridMultilevel"/>
    <w:lvl w:ilvl="0">
      <w:lvlJc w:val="left"/>
      <w:lvlText w:val="%1"/>
      <w:numFmt w:val="decimal"/>
      <w:start w:val="1"/>
    </w:lvl>
    <w:lvl w:ilvl="1">
      <w:lvlJc w:val="left"/>
      <w:lvlText w:val="(%2)"/>
      <w:numFmt w:val="lowerRoman"/>
      <w:start w:val="4"/>
    </w:lvl>
  </w:abstractNum>
  <w:abstractNum w:abstractNumId="84">
    <w:nsid w:val="94211F2"/>
    <w:multiLevelType w:val="hybridMultilevel"/>
    <w:lvl w:ilvl="0">
      <w:lvlJc w:val="left"/>
      <w:lvlText w:val="%1."/>
      <w:numFmt w:val="decimal"/>
      <w:start w:val="5"/>
    </w:lvl>
    <w:lvl w:ilvl="1">
      <w:lvlJc w:val="left"/>
      <w:lvlText w:val="%2"/>
      <w:numFmt w:val="lowerRoman"/>
      <w:start w:val="1"/>
    </w:lvl>
  </w:abstractNum>
  <w:abstractNum w:abstractNumId="85">
    <w:nsid w:val="885E1B"/>
    <w:multiLevelType w:val="hybridMultilevel"/>
    <w:lvl w:ilvl="0">
      <w:lvlJc w:val="left"/>
      <w:lvlText w:val="%1."/>
      <w:numFmt w:val="decimal"/>
      <w:start w:val="6"/>
    </w:lvl>
  </w:abstractNum>
  <w:abstractNum w:abstractNumId="86">
    <w:nsid w:val="7627211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43" Type="http://schemas.openxmlformats.org/officeDocument/2006/relationships/image" Target="media/image9.png"/><Relationship Id="rId44" Type="http://schemas.openxmlformats.org/officeDocument/2006/relationships/image" Target="media/image10.png"/><Relationship Id="rId45" Type="http://schemas.openxmlformats.org/officeDocument/2006/relationships/image" Target="media/image11.png"/><Relationship Id="rId46" Type="http://schemas.openxmlformats.org/officeDocument/2006/relationships/image" Target="media/image12.png"/><Relationship Id="rId47" Type="http://schemas.openxmlformats.org/officeDocument/2006/relationships/image" Target="media/image13.png"/><Relationship Id="rId48" Type="http://schemas.openxmlformats.org/officeDocument/2006/relationships/image" Target="media/image14.png"/><Relationship Id="rId49" Type="http://schemas.openxmlformats.org/officeDocument/2006/relationships/image" Target="media/image15.png"/><Relationship Id="rId50"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png"/><Relationship Id="rId53"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5.png"/><Relationship Id="rId70"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jpeg"/><Relationship Id="rId75"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pn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87" Type="http://schemas.openxmlformats.org/officeDocument/2006/relationships/image" Target="media/image53.png"/><Relationship Id="rId88"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jpe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jpeg"/><Relationship Id="rId167" Type="http://schemas.openxmlformats.org/officeDocument/2006/relationships/image" Target="media/image130.png"/><Relationship Id="rId168" Type="http://schemas.openxmlformats.org/officeDocument/2006/relationships/image" Target="media/image131.jpeg"/><Relationship Id="rId169" Type="http://schemas.openxmlformats.org/officeDocument/2006/relationships/image" Target="media/image132.png"/><Relationship Id="rId170" Type="http://schemas.openxmlformats.org/officeDocument/2006/relationships/image" Target="media/image133.jpeg"/><Relationship Id="rId171" Type="http://schemas.openxmlformats.org/officeDocument/2006/relationships/image" Target="media/image134.png"/><Relationship Id="rId172" Type="http://schemas.openxmlformats.org/officeDocument/2006/relationships/image" Target="media/image135.jpeg"/><Relationship Id="rId173" Type="http://schemas.openxmlformats.org/officeDocument/2006/relationships/image" Target="media/image136.png"/><Relationship Id="rId174" Type="http://schemas.openxmlformats.org/officeDocument/2006/relationships/image" Target="media/image137.jpeg"/><Relationship Id="rId175" Type="http://schemas.openxmlformats.org/officeDocument/2006/relationships/image" Target="media/image138.png"/><Relationship Id="rId176" Type="http://schemas.openxmlformats.org/officeDocument/2006/relationships/image" Target="media/image139.jpeg"/><Relationship Id="rId177" Type="http://schemas.openxmlformats.org/officeDocument/2006/relationships/image" Target="media/image140.png"/><Relationship Id="rId178" Type="http://schemas.openxmlformats.org/officeDocument/2006/relationships/image" Target="media/image141.jpeg"/><Relationship Id="rId179" Type="http://schemas.openxmlformats.org/officeDocument/2006/relationships/image" Target="media/image142.png"/><Relationship Id="rId16" Type="http://schemas.openxmlformats.org/officeDocument/2006/relationships/hyperlink" Target="http://www.sec.gov/ix?doc=/Archives/edgar/data/1411685/000143774923018793/vtgn20230331_10k.htm" TargetMode="External"/><Relationship Id="rId17" Type="http://schemas.openxmlformats.org/officeDocument/2006/relationships/hyperlink" Target="http://www.sec.gov/ix?doc=/Archives/edgar/data/1411685/000143774923023127/vtgn20230630_10q.htm" TargetMode="External"/><Relationship Id="rId18" Type="http://schemas.openxmlformats.org/officeDocument/2006/relationships/hyperlink" Target="http://www.sec.gov/ix?doc=/Archives/edgar/data/1411685/000143774923031293/vtgn20230930_10q.htm" TargetMode="External"/><Relationship Id="rId19" Type="http://schemas.openxmlformats.org/officeDocument/2006/relationships/hyperlink" Target="http://www.sec.gov/Archives/edgar/data/1411685/000143774924003916/vtgn20231231_10q.htm" TargetMode="External"/><Relationship Id="rId20" Type="http://schemas.openxmlformats.org/officeDocument/2006/relationships/hyperlink" Target="http://www.sec.gov/Archives/edgar/data/1411685/000143774923021049/vtgn20230727_def14a.htm" TargetMode="External"/><Relationship Id="rId21" Type="http://schemas.openxmlformats.org/officeDocument/2006/relationships/hyperlink" Target="http://www.sec.gov/ix?doc=/Archives/edgar/data/1411685/000143774923009679/vtgn20230406_8k.htm" TargetMode="External"/><Relationship Id="rId22" Type="http://schemas.openxmlformats.org/officeDocument/2006/relationships/hyperlink" Target="http://www.sec.gov/ix?doc=/Archives/edgar/data/1411685/000143774923010647/vtgn20230419_8k.htm" TargetMode="External"/><Relationship Id="rId23" Type="http://schemas.openxmlformats.org/officeDocument/2006/relationships/hyperlink" Target="http://www.sec.gov/ix?doc=/Archives/edgar/data/1411685/000143774923016377/vtgn20230601_8k.htm" TargetMode="External"/><Relationship Id="rId24" Type="http://schemas.openxmlformats.org/officeDocument/2006/relationships/hyperlink" Target="http://www.sec.gov/ix?doc=/Archives/edgar/data/1411685/000143774923016689/vtgn20230605_8k.htm" TargetMode="External"/><Relationship Id="rId25" Type="http://schemas.openxmlformats.org/officeDocument/2006/relationships/hyperlink" Target="http://www.sec.gov/ix?doc=/Archives/edgar/data/1411685/000143774923016888/vtgn20230607_8k.htm" TargetMode="External"/><Relationship Id="rId26" Type="http://schemas.openxmlformats.org/officeDocument/2006/relationships/hyperlink" Target="http://www.sec.gov/ix?doc=/Archives/edgar/data/1411685/000143774923017300/vtgn20230613_8k.htm" TargetMode="External"/><Relationship Id="rId27" Type="http://schemas.openxmlformats.org/officeDocument/2006/relationships/hyperlink" Target="http://www.sec.gov/ix?doc=/Archives/edgar/data/1411685/000143774923018003/vtgn20230621_8k.htm" TargetMode="External"/><Relationship Id="rId28" Type="http://schemas.openxmlformats.org/officeDocument/2006/relationships/hyperlink" Target="http://www.sec.gov/ix?doc=/Archives/edgar/data/1411685/000143774923018171/vtgn20230622_8k.htm" TargetMode="External"/><Relationship Id="rId29" Type="http://schemas.openxmlformats.org/officeDocument/2006/relationships/hyperlink" Target="http://www.sec.gov/ix?doc=/Archives/edgar/data/1411685/000143774923019610/vtgn20230706_8k.htm" TargetMode="External"/><Relationship Id="rId30" Type="http://schemas.openxmlformats.org/officeDocument/2006/relationships/hyperlink" Target="http://www.sec.gov/ix?doc=/Archives/edgar/data/1411685/000143774923019883/vtgn20230713_8k.htm" TargetMode="External"/><Relationship Id="rId31" Type="http://schemas.openxmlformats.org/officeDocument/2006/relationships/hyperlink" Target="http://www.sec.gov/ix?doc=/Archives/edgar/data/1411685/000143774923020080/vtgn20230717_8k.htm" TargetMode="External"/><Relationship Id="rId32" Type="http://schemas.openxmlformats.org/officeDocument/2006/relationships/hyperlink" Target="http://www.sec.gov/ix?doc=/Archives/edgar/data/1411685/000143774923024370/vtgn20230821_8k.htm" TargetMode="External"/><Relationship Id="rId33" Type="http://schemas.openxmlformats.org/officeDocument/2006/relationships/hyperlink" Target="http://www.sec.gov/ix?doc=/Archives/edgar/data/1411685/000143774923025509/vtgn20230908_8k.htm" TargetMode="External"/><Relationship Id="rId34" Type="http://schemas.openxmlformats.org/officeDocument/2006/relationships/hyperlink" Target="http://www.sec.gov/ix?doc=/Archives/edgar/data/1411685/000143774923025721/vtgn20230912_8k.htm" TargetMode="External"/><Relationship Id="rId35" Type="http://schemas.openxmlformats.org/officeDocument/2006/relationships/hyperlink" Target="http://www.sec.gov/ix?doc=/Archives/edgar/data/0001411685/000143774923027180/vtgn20230921_8k.htm" TargetMode="External"/><Relationship Id="rId36" Type="http://schemas.openxmlformats.org/officeDocument/2006/relationships/hyperlink" Target="http://www.sec.gov/ix?doc=/Archives/edgar/data/1411685/000143774923027327/vtgn20230929_8k.htm" TargetMode="External"/><Relationship Id="rId37" Type="http://schemas.openxmlformats.org/officeDocument/2006/relationships/hyperlink" Target="http://www.sec.gov/ix?doc=/Archives/edgar/data/1411685/000143774923027662/vtgn20231003_8k.htm" TargetMode="External"/><Relationship Id="rId38" Type="http://schemas.openxmlformats.org/officeDocument/2006/relationships/hyperlink" Target="http://www.sec.gov/ix?doc=/Archives/edgar/data/1411685/000143774923029096/vtgn20231026_8k.htm" TargetMode="External"/><Relationship Id="rId39" Type="http://schemas.openxmlformats.org/officeDocument/2006/relationships/hyperlink" Target="http://www.sec.gov/ix?doc=/Archives/edgar/data/1411685/000143774923030402/vtgn20231106_8k.htm" TargetMode="External"/><Relationship Id="rId40" Type="http://schemas.openxmlformats.org/officeDocument/2006/relationships/hyperlink" Target="http://www.sec.gov/ix?doc=/Archives/edgar/data/1411685/000143774923030460/vtgn20231106_8ka.htm" TargetMode="External"/><Relationship Id="rId41" Type="http://schemas.openxmlformats.org/officeDocument/2006/relationships/hyperlink" Target="http://www.sec.gov/Archives/edgar/data/1411685/000143774924000419/vtgn20240103_8k.htm" TargetMode="External"/><Relationship Id="rId42" Type="http://schemas.openxmlformats.org/officeDocument/2006/relationships/hyperlink" Target="http://www.sec.gov/Archives/edgar/data/0001411685/000141588916005714/vsta8a12b_may2016.htm" TargetMode="External"/><Relationship Id="rId103" Type="http://schemas.openxmlformats.org/officeDocument/2006/relationships/hyperlink" Target="http://www.sec.gov/Archives/edgar/data/1411685/000165495421005701/vtgn8k_may2021.htm" TargetMode="External"/><Relationship Id="rId104" Type="http://schemas.openxmlformats.org/officeDocument/2006/relationships/hyperlink" Target="http://www.sec.gov/Archives/edgar/data/1411685/000141588916006879/ex3-1.htm" TargetMode="External"/><Relationship Id="rId105" Type="http://schemas.openxmlformats.org/officeDocument/2006/relationships/hyperlink" Target="http://www.sec.gov/Archives/edgar/data/1411685/000141588916006879/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2024-02-13T16:34:29Z</dcterms:created>
  <dcterms:modified xsi:type="dcterms:W3CDTF">2024-02-13T16:34:29Z</dcterms:modified>
</cp:coreProperties>
</file>