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As filed with the Securities and Exchange Commission on April 10,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333-237514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Nevada</w:t>
            </w: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2834</w:t>
            </w:r>
          </w:p>
        </w:tc>
        <w:tc>
          <w:tcPr>
            <w:tcW w:w="198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380" w:type="dxa"/>
            <w:vAlign w:val="bottom"/>
          </w:tcPr>
          <w:p>
            <w:pPr>
              <w:jc w:val="center"/>
              <w:ind w:right="132"/>
              <w:spacing w:after="0"/>
              <w:rPr>
                <w:sz w:val="20"/>
                <w:szCs w:val="20"/>
                <w:color w:val="auto"/>
              </w:rPr>
            </w:pPr>
            <w:r>
              <w:rPr>
                <w:rFonts w:ascii="Arial" w:cs="Arial" w:eastAsia="Arial" w:hAnsi="Arial"/>
                <w:sz w:val="18"/>
                <w:szCs w:val="18"/>
                <w:color w:val="auto"/>
                <w:w w:val="88"/>
              </w:rPr>
              <w:t>(State or Other Jurisdiction of</w:t>
            </w: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9"/>
              </w:rPr>
              <w:t>(Primary Standard Industrial</w:t>
            </w:r>
          </w:p>
        </w:tc>
        <w:tc>
          <w:tcPr>
            <w:tcW w:w="1980" w:type="dxa"/>
            <w:vAlign w:val="bottom"/>
          </w:tcPr>
          <w:p>
            <w:pPr>
              <w:jc w:val="center"/>
              <w:ind w:left="272"/>
              <w:spacing w:after="0"/>
              <w:rPr>
                <w:sz w:val="20"/>
                <w:szCs w:val="20"/>
                <w:color w:val="auto"/>
              </w:rPr>
            </w:pPr>
            <w:r>
              <w:rPr>
                <w:rFonts w:ascii="Arial" w:cs="Arial" w:eastAsia="Arial" w:hAnsi="Arial"/>
                <w:sz w:val="18"/>
                <w:szCs w:val="18"/>
                <w:color w:val="auto"/>
                <w:w w:val="89"/>
              </w:rPr>
              <w:t>(I.R.S. Employer</w:t>
            </w:r>
          </w:p>
        </w:tc>
      </w:tr>
      <w:tr>
        <w:trPr>
          <w:trHeight w:val="222"/>
        </w:trPr>
        <w:tc>
          <w:tcPr>
            <w:tcW w:w="2380" w:type="dxa"/>
            <w:vAlign w:val="bottom"/>
          </w:tcPr>
          <w:p>
            <w:pPr>
              <w:jc w:val="center"/>
              <w:ind w:right="132"/>
              <w:spacing w:after="0"/>
              <w:rPr>
                <w:sz w:val="20"/>
                <w:szCs w:val="20"/>
                <w:color w:val="auto"/>
              </w:rPr>
            </w:pPr>
            <w:r>
              <w:rPr>
                <w:rFonts w:ascii="Arial" w:cs="Arial" w:eastAsia="Arial" w:hAnsi="Arial"/>
                <w:sz w:val="18"/>
                <w:szCs w:val="18"/>
                <w:color w:val="auto"/>
                <w:w w:val="90"/>
              </w:rPr>
              <w:t>Incorporation or Organization)</w:t>
            </w:r>
          </w:p>
        </w:tc>
        <w:tc>
          <w:tcPr>
            <w:tcW w:w="4940" w:type="dxa"/>
            <w:vAlign w:val="bottom"/>
          </w:tcPr>
          <w:p>
            <w:pPr>
              <w:jc w:val="center"/>
              <w:ind w:right="32"/>
              <w:spacing w:after="0"/>
              <w:rPr>
                <w:sz w:val="20"/>
                <w:szCs w:val="20"/>
                <w:color w:val="auto"/>
              </w:rPr>
            </w:pPr>
            <w:r>
              <w:rPr>
                <w:rFonts w:ascii="Arial" w:cs="Arial" w:eastAsia="Arial" w:hAnsi="Arial"/>
                <w:sz w:val="18"/>
                <w:szCs w:val="18"/>
                <w:color w:val="auto"/>
                <w:w w:val="89"/>
              </w:rPr>
              <w:t>Classification Code Number)</w:t>
            </w:r>
          </w:p>
        </w:tc>
        <w:tc>
          <w:tcPr>
            <w:tcW w:w="1980" w:type="dxa"/>
            <w:vAlign w:val="bottom"/>
          </w:tcPr>
          <w:p>
            <w:pPr>
              <w:jc w:val="center"/>
              <w:ind w:left="27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2380" w:type="dxa"/>
            <w:vAlign w:val="bottom"/>
          </w:tcPr>
          <w:p>
            <w:pPr>
              <w:spacing w:after="0"/>
              <w:rPr>
                <w:sz w:val="24"/>
                <w:szCs w:val="24"/>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343 Allerton Ave.</w:t>
            </w:r>
          </w:p>
        </w:tc>
        <w:tc>
          <w:tcPr>
            <w:tcW w:w="198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South San Francisco, California 94090</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(650) 577-3600</w:t>
            </w:r>
          </w:p>
        </w:tc>
        <w:tc>
          <w:tcPr>
            <w:tcW w:w="198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color w:val="auto"/>
                <w:w w:val="88"/>
              </w:rPr>
              <w:t>(Address, including zip code, and telephone number,</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9"/>
              </w:rPr>
              <w:t>including area code, of registrant’s principal executive offices)</w:t>
            </w:r>
          </w:p>
        </w:tc>
        <w:tc>
          <w:tcPr>
            <w:tcW w:w="1980" w:type="dxa"/>
            <w:vAlign w:val="bottom"/>
          </w:tcPr>
          <w:p>
            <w:pPr>
              <w:spacing w:after="0"/>
              <w:rPr>
                <w:sz w:val="19"/>
                <w:szCs w:val="19"/>
                <w:color w:val="auto"/>
              </w:rPr>
            </w:pPr>
          </w:p>
        </w:tc>
      </w:tr>
      <w:tr>
        <w:trPr>
          <w:trHeight w:val="420"/>
        </w:trPr>
        <w:tc>
          <w:tcPr>
            <w:tcW w:w="2380" w:type="dxa"/>
            <w:vAlign w:val="bottom"/>
          </w:tcPr>
          <w:p>
            <w:pPr>
              <w:spacing w:after="0"/>
              <w:rPr>
                <w:sz w:val="24"/>
                <w:szCs w:val="24"/>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Shawn K. Singh</w:t>
            </w:r>
          </w:p>
        </w:tc>
        <w:tc>
          <w:tcPr>
            <w:tcW w:w="198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Chief Executive Officer</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VistaGen Therapeutics, Inc.</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343 Allerton Avenue</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(650) 577-3600</w:t>
            </w:r>
          </w:p>
        </w:tc>
        <w:tc>
          <w:tcPr>
            <w:tcW w:w="198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7"/>
              </w:rPr>
              <w:t>(Name, address, including zip code, and telephone number,</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8"/>
              </w:rPr>
              <w:t>including area code, of agent for service)</w:t>
            </w:r>
          </w:p>
        </w:tc>
        <w:tc>
          <w:tcPr>
            <w:tcW w:w="1980" w:type="dxa"/>
            <w:vAlign w:val="bottom"/>
          </w:tcPr>
          <w:p>
            <w:pPr>
              <w:spacing w:after="0"/>
              <w:rPr>
                <w:sz w:val="19"/>
                <w:szCs w:val="19"/>
                <w:color w:val="auto"/>
              </w:rPr>
            </w:pP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W. Rumsey,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West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(619) 272-7050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(619) 330-2101</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54"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86"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[X]</w:t>
            </w:r>
          </w:p>
        </w:tc>
      </w:tr>
      <w:tr>
        <w:trPr>
          <w:trHeight w:val="222"/>
        </w:trPr>
        <w:tc>
          <w:tcPr>
            <w:tcW w:w="2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5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40" w:orient="portrait"/>
          <w:cols w:equalWidth="0" w:num="1">
            <w:col w:w="11240"/>
          </w:cols>
          <w:pgMar w:left="320" w:top="671" w:right="339" w:bottom="0" w:gutter="0" w:footer="0" w:header="0"/>
        </w:sectPr>
      </w:pPr>
    </w:p>
    <w:bookmarkStart w:id="1" w:name="page2"/>
    <w:bookmarkEnd w:id="1"/>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440690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612140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342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CALCULATION OF REGISTRATION FEE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3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maximum</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w:t>
            </w: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 of</w:t>
            </w:r>
          </w:p>
        </w:tc>
      </w:tr>
      <w:tr>
        <w:trPr>
          <w:trHeight w:val="215"/>
        </w:trPr>
        <w:tc>
          <w:tcPr>
            <w:tcW w:w="3900" w:type="dxa"/>
            <w:vAlign w:val="bottom"/>
          </w:tcPr>
          <w:p>
            <w:pPr>
              <w:jc w:val="center"/>
              <w:ind w:left="1872"/>
              <w:spacing w:after="0"/>
              <w:rPr>
                <w:sz w:val="20"/>
                <w:szCs w:val="20"/>
                <w:color w:val="auto"/>
              </w:rPr>
            </w:pPr>
            <w:r>
              <w:rPr>
                <w:rFonts w:ascii="Arial" w:cs="Arial" w:eastAsia="Arial" w:hAnsi="Arial"/>
                <w:sz w:val="18"/>
                <w:szCs w:val="18"/>
                <w:b w:val="1"/>
                <w:bCs w:val="1"/>
                <w:color w:val="auto"/>
                <w:w w:val="84"/>
              </w:rPr>
              <w:t>Title of each class of</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per</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registration</w:t>
            </w:r>
          </w:p>
        </w:tc>
      </w:tr>
      <w:tr>
        <w:trPr>
          <w:trHeight w:val="238"/>
        </w:trPr>
        <w:tc>
          <w:tcPr>
            <w:tcW w:w="3900" w:type="dxa"/>
            <w:vAlign w:val="bottom"/>
            <w:tcBorders>
              <w:bottom w:val="single" w:sz="8" w:color="auto"/>
            </w:tcBorders>
          </w:tcPr>
          <w:p>
            <w:pPr>
              <w:jc w:val="center"/>
              <w:ind w:left="1872"/>
              <w:spacing w:after="0"/>
              <w:rPr>
                <w:sz w:val="20"/>
                <w:szCs w:val="20"/>
                <w:color w:val="auto"/>
              </w:rPr>
            </w:pPr>
            <w:r>
              <w:rPr>
                <w:rFonts w:ascii="Arial" w:cs="Arial" w:eastAsia="Arial" w:hAnsi="Arial"/>
                <w:sz w:val="18"/>
                <w:szCs w:val="18"/>
                <w:b w:val="1"/>
                <w:bCs w:val="1"/>
                <w:color w:val="auto"/>
                <w:w w:val="84"/>
              </w:rPr>
              <w:t>securities to be registered</w:t>
            </w:r>
          </w:p>
        </w:tc>
        <w:tc>
          <w:tcPr>
            <w:tcW w:w="1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line="232"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24"/>
                <w:szCs w:val="24"/>
                <w:b w:val="1"/>
                <w:bCs w:val="1"/>
                <w:color w:val="auto"/>
                <w:w w:val="84"/>
                <w:vertAlign w:val="superscript"/>
              </w:rPr>
              <w:t>(1)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2"/>
              <w:spacing w:after="0" w:line="232" w:lineRule="exact"/>
              <w:rPr>
                <w:sz w:val="20"/>
                <w:szCs w:val="20"/>
                <w:color w:val="auto"/>
              </w:rPr>
            </w:pPr>
            <w:r>
              <w:rPr>
                <w:rFonts w:ascii="Arial" w:cs="Arial" w:eastAsia="Arial" w:hAnsi="Arial"/>
                <w:sz w:val="18"/>
                <w:szCs w:val="18"/>
                <w:b w:val="1"/>
                <w:bCs w:val="1"/>
                <w:color w:val="auto"/>
                <w:w w:val="82"/>
              </w:rPr>
              <w:t xml:space="preserve">share </w:t>
            </w:r>
            <w:r>
              <w:rPr>
                <w:rFonts w:ascii="Arial" w:cs="Arial" w:eastAsia="Arial" w:hAnsi="Arial"/>
                <w:sz w:val="24"/>
                <w:szCs w:val="24"/>
                <w:b w:val="1"/>
                <w:bCs w:val="1"/>
                <w:color w:val="auto"/>
                <w:w w:val="82"/>
                <w:vertAlign w:val="superscript"/>
              </w:rPr>
              <w:t>(2)</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fee</w:t>
            </w:r>
          </w:p>
        </w:tc>
        <w:tc>
          <w:tcPr>
            <w:tcW w:w="14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9,592,607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3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$ 4,412,599.22</w:t>
            </w:r>
          </w:p>
        </w:tc>
        <w:tc>
          <w:tcPr>
            <w:tcW w:w="1480" w:type="dxa"/>
            <w:vAlign w:val="bottom"/>
            <w:gridSpan w:val="3"/>
            <w:shd w:val="clear" w:color="auto" w:fill="CCEEFF"/>
          </w:tcPr>
          <w:p>
            <w:pPr>
              <w:jc w:val="center"/>
              <w:ind w:left="52"/>
              <w:spacing w:after="0" w:line="216" w:lineRule="exact"/>
              <w:rPr>
                <w:sz w:val="20"/>
                <w:szCs w:val="20"/>
                <w:color w:val="auto"/>
              </w:rPr>
            </w:pPr>
            <w:r>
              <w:rPr>
                <w:rFonts w:ascii="Arial" w:cs="Arial" w:eastAsia="Arial" w:hAnsi="Arial"/>
                <w:sz w:val="18"/>
                <w:szCs w:val="18"/>
                <w:color w:val="auto"/>
                <w:w w:val="96"/>
              </w:rPr>
              <w:t xml:space="preserve">$    572.76 </w:t>
            </w:r>
            <w:r>
              <w:rPr>
                <w:rFonts w:ascii="Arial" w:cs="Arial" w:eastAsia="Arial" w:hAnsi="Arial"/>
                <w:sz w:val="24"/>
                <w:szCs w:val="24"/>
                <w:color w:val="auto"/>
                <w:w w:val="96"/>
                <w:vertAlign w:val="superscript"/>
              </w:rPr>
              <w:t>(3)</w:t>
            </w:r>
          </w:p>
        </w:tc>
      </w:tr>
    </w:tbl>
    <w:p>
      <w:pPr>
        <w:spacing w:after="0" w:line="208" w:lineRule="exact"/>
        <w:rPr>
          <w:sz w:val="20"/>
          <w:szCs w:val="20"/>
          <w:color w:val="auto"/>
        </w:rPr>
      </w:pPr>
    </w:p>
    <w:p>
      <w:pPr>
        <w:jc w:val="both"/>
        <w:ind w:left="500" w:hanging="492"/>
        <w:spacing w:after="0" w:line="306"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this registration statement shall be deemed to cover the additional securities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160"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of the Securities Act of 1933, as amended, calculated on the basis of the average of the high and low prices per share of the registrant’s common stock as reported by The Nasdaq Capital Market on March 25, 2020.</w:t>
      </w:r>
    </w:p>
    <w:p>
      <w:pPr>
        <w:spacing w:after="0" w:line="18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1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88" w:lineRule="exact"/>
        <w:rPr>
          <w:sz w:val="20"/>
          <w:szCs w:val="20"/>
          <w:color w:val="auto"/>
        </w:rPr>
      </w:pPr>
    </w:p>
    <w:p>
      <w:pPr>
        <w:spacing w:after="0"/>
        <w:tabs>
          <w:tab w:leader="none" w:pos="4260" w:val="left"/>
          <w:tab w:leader="none" w:pos="938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6"/>
          <w:szCs w:val="16"/>
          <w:b w:val="1"/>
          <w:bCs w:val="1"/>
          <w:color w:val="FF0000"/>
        </w:rPr>
        <w:t>DATED APRIL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151765</wp:posOffset>
            </wp:positionV>
            <wp:extent cx="136271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9,592,607 Shares of Common Stock</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prospectus relates to the offer and sale of up to 9,592,607 shares of common stock, par value $0.001, of VistaGen Therapeutics, Inc., a Nevada corporation, by Lincoln Park Capital Fund, LLC (</w:t>
      </w:r>
      <w:r>
        <w:rPr>
          <w:rFonts w:ascii="Arial" w:cs="Arial" w:eastAsia="Arial" w:hAnsi="Arial"/>
          <w:sz w:val="18"/>
          <w:szCs w:val="18"/>
          <w:i w:val="1"/>
          <w:iCs w:val="1"/>
          <w:color w:val="auto"/>
        </w:rPr>
        <w:t>Lincoln Park</w:t>
      </w:r>
      <w:r>
        <w:rPr>
          <w:rFonts w:ascii="Arial" w:cs="Arial" w:eastAsia="Arial" w:hAnsi="Arial"/>
          <w:sz w:val="18"/>
          <w:szCs w:val="18"/>
          <w:color w:val="auto"/>
        </w:rPr>
        <w:t>) or the selling stockholder.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shares of common stock being offered by the selling stockholder have been or may be issued pursuant to a purchase agreement that we entered into with Lincoln Park on March 24, 2020. See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xml:space="preserve"> for a description of that agreement and </w:t>
      </w:r>
      <w:r>
        <w:rPr>
          <w:rFonts w:ascii="Arial" w:cs="Arial" w:eastAsia="Arial" w:hAnsi="Arial"/>
          <w:sz w:val="18"/>
          <w:szCs w:val="18"/>
          <w:i w:val="1"/>
          <w:iCs w:val="1"/>
          <w:color w:val="auto"/>
        </w:rPr>
        <w:t>Selling Stockholder</w:t>
      </w:r>
      <w:r>
        <w:rPr>
          <w:rFonts w:ascii="Arial" w:cs="Arial" w:eastAsia="Arial" w:hAnsi="Arial"/>
          <w:sz w:val="18"/>
          <w:szCs w:val="18"/>
          <w:color w:val="auto"/>
        </w:rPr>
        <w:t xml:space="preserve"> for additional information regarding Lincoln Park. The prices at which Lincoln Park may sell the shares will be determined by the prevailing market price for the shares or in negotiated transactions.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selling stockholder may sell the shares of common stock described in this prospectus in a number of different ways and at varying prices. See </w:t>
      </w:r>
      <w:r>
        <w:rPr>
          <w:rFonts w:ascii="Arial" w:cs="Arial" w:eastAsia="Arial" w:hAnsi="Arial"/>
          <w:sz w:val="16"/>
          <w:szCs w:val="16"/>
          <w:i w:val="1"/>
          <w:iCs w:val="1"/>
          <w:color w:val="auto"/>
        </w:rPr>
        <w:t xml:space="preserve">Plan of Distribution </w:t>
      </w:r>
      <w:r>
        <w:rPr>
          <w:rFonts w:ascii="Arial" w:cs="Arial" w:eastAsia="Arial" w:hAnsi="Arial"/>
          <w:sz w:val="16"/>
          <w:szCs w:val="16"/>
          <w:color w:val="auto"/>
        </w:rPr>
        <w:t>for more information about how the selling stockholder may sell the shares of common stock being registered pursuant to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selling stockholder is an “underwriter” within the meaning of Section 2(a)(11)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t>
      </w:r>
    </w:p>
    <w:p>
      <w:pPr>
        <w:spacing w:after="0" w:line="160"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 xml:space="preserve">The selling stockholder will pay all brokerage fees and commissions and similar expenses. We will pay the expenses (except brokerage fees and commissions and similar expenses) incurred in registering the shares, including legal and accounting fees.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4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April 9, 2020, the last reported sale price of our common stock on The Nasdaq Capital Market was $0.4501 per share.</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4040"/>
              <w:spacing w:after="0"/>
              <w:rPr>
                <w:sz w:val="20"/>
                <w:szCs w:val="20"/>
                <w:color w:val="auto"/>
              </w:rPr>
            </w:pPr>
            <w:r>
              <w:rPr>
                <w:rFonts w:ascii="Arial" w:cs="Arial" w:eastAsia="Arial" w:hAnsi="Arial"/>
                <w:sz w:val="18"/>
                <w:szCs w:val="18"/>
                <w:color w:val="auto"/>
                <w:w w:val="99"/>
              </w:rPr>
              <w:t>The date of this prospectus is</w:t>
            </w:r>
          </w:p>
        </w:tc>
        <w:tc>
          <w:tcPr>
            <w:tcW w:w="4840" w:type="dxa"/>
            <w:vAlign w:val="bottom"/>
          </w:tcPr>
          <w:p>
            <w:pPr>
              <w:jc w:val="right"/>
              <w:ind w:right="3952"/>
              <w:spacing w:after="0"/>
              <w:rPr>
                <w:sz w:val="20"/>
                <w:szCs w:val="20"/>
                <w:color w:val="auto"/>
              </w:rPr>
            </w:pPr>
            <w:r>
              <w:rPr>
                <w:rFonts w:ascii="Arial" w:cs="Arial" w:eastAsia="Arial" w:hAnsi="Arial"/>
                <w:sz w:val="18"/>
                <w:szCs w:val="18"/>
                <w:color w:val="auto"/>
              </w:rPr>
              <w:t>, 2020.</w:t>
            </w:r>
          </w:p>
        </w:tc>
      </w:tr>
      <w:tr>
        <w:trPr>
          <w:trHeight w:val="657"/>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19"/>
                <w:szCs w:val="19"/>
                <w:color w:val="auto"/>
              </w:rPr>
            </w:pPr>
          </w:p>
        </w:tc>
      </w:tr>
      <w:tr>
        <w:trPr>
          <w:trHeight w:val="218"/>
        </w:trPr>
        <w:tc>
          <w:tcPr>
            <w:tcW w:w="85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1</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6</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INCORPORATION BY REFERENCE</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9</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CAUTIONARY NOTE REGARDING FORWARD-LOOKING STATEMENTS</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10</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11</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DIVIDEND POLICY</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12</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SELLING STOCKHOLDER</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13</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LINCOLN PARK TRANSACTION</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14</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PLAN OF DISTRIBUTION</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18</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CAPITAL STOCK</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19</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EXECUTIVE COMPENSATION</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21</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BOARD OF DIRECTORS</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31</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21</w:t>
            </w:r>
          </w:p>
        </w:tc>
      </w:tr>
      <w:tr>
        <w:trPr>
          <w:trHeight w:val="216"/>
        </w:trPr>
        <w:tc>
          <w:tcPr>
            <w:tcW w:w="85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2680" w:type="dxa"/>
            <w:vAlign w:val="bottom"/>
          </w:tcPr>
          <w:p>
            <w:pPr>
              <w:jc w:val="center"/>
              <w:ind w:left="1472"/>
              <w:spacing w:after="0"/>
              <w:rPr>
                <w:sz w:val="20"/>
                <w:szCs w:val="20"/>
                <w:color w:val="auto"/>
              </w:rPr>
            </w:pPr>
            <w:r>
              <w:rPr>
                <w:rFonts w:ascii="Arial" w:cs="Arial" w:eastAsia="Arial" w:hAnsi="Arial"/>
                <w:sz w:val="18"/>
                <w:szCs w:val="18"/>
                <w:color w:val="auto"/>
                <w:w w:val="79"/>
              </w:rPr>
              <w:t>21</w:t>
            </w:r>
          </w:p>
        </w:tc>
      </w:tr>
      <w:tr>
        <w:trPr>
          <w:trHeight w:val="216"/>
        </w:trPr>
        <w:tc>
          <w:tcPr>
            <w:tcW w:w="856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2680" w:type="dxa"/>
            <w:vAlign w:val="bottom"/>
            <w:shd w:val="clear" w:color="auto" w:fill="CCEEFF"/>
          </w:tcPr>
          <w:p>
            <w:pPr>
              <w:jc w:val="center"/>
              <w:ind w:left="1472"/>
              <w:spacing w:after="0"/>
              <w:rPr>
                <w:sz w:val="20"/>
                <w:szCs w:val="20"/>
                <w:color w:val="auto"/>
              </w:rPr>
            </w:pPr>
            <w:r>
              <w:rPr>
                <w:rFonts w:ascii="Arial" w:cs="Arial" w:eastAsia="Arial" w:hAnsi="Arial"/>
                <w:sz w:val="18"/>
                <w:szCs w:val="18"/>
                <w:color w:val="auto"/>
                <w:w w:val="79"/>
              </w:rPr>
              <w:t>21</w:t>
            </w:r>
          </w:p>
        </w:tc>
      </w:tr>
      <w:tr>
        <w:trPr>
          <w:trHeight w:val="222"/>
        </w:trPr>
        <w:tc>
          <w:tcPr>
            <w:tcW w:w="856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 INDEX</w:t>
              </w:r>
            </w:hyperlink>
          </w:p>
        </w:tc>
        <w:tc>
          <w:tcPr>
            <w:tcW w:w="2680" w:type="dxa"/>
            <w:vAlign w:val="bottom"/>
          </w:tcPr>
          <w:p>
            <w:pPr>
              <w:ind w:left="1980"/>
              <w:spacing w:after="0"/>
              <w:rPr>
                <w:sz w:val="20"/>
                <w:szCs w:val="20"/>
                <w:color w:val="auto"/>
              </w:rPr>
            </w:pPr>
            <w:r>
              <w:rPr>
                <w:rFonts w:ascii="Arial" w:cs="Arial" w:eastAsia="Arial" w:hAnsi="Arial"/>
                <w:sz w:val="18"/>
                <w:szCs w:val="18"/>
                <w:color w:val="auto"/>
              </w:rPr>
              <w:t>II-2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7980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 SPECTUS SUMMARY</w:t>
      </w:r>
    </w:p>
    <w:p>
      <w:pPr>
        <w:spacing w:after="0" w:line="231"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176"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7037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6746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4"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(RM)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666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January 2020 Registered Direct Offering and Concurrent Offering of Warrants</w:t>
      </w:r>
    </w:p>
    <w:p>
      <w:pPr>
        <w:spacing w:after="0" w:line="225" w:lineRule="exact"/>
        <w:rPr>
          <w:sz w:val="20"/>
          <w:szCs w:val="20"/>
          <w:color w:val="auto"/>
        </w:rPr>
      </w:pPr>
    </w:p>
    <w:p>
      <w:pPr>
        <w:jc w:val="both"/>
        <w:ind w:left="120" w:firstLine="648"/>
        <w:spacing w:after="0" w:line="323" w:lineRule="auto"/>
        <w:rPr>
          <w:sz w:val="20"/>
          <w:szCs w:val="20"/>
          <w:color w:val="auto"/>
        </w:rPr>
      </w:pPr>
      <w:r>
        <w:rPr>
          <w:rFonts w:ascii="Arial" w:cs="Arial" w:eastAsia="Arial" w:hAnsi="Arial"/>
          <w:sz w:val="15"/>
          <w:szCs w:val="15"/>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5"/>
          <w:szCs w:val="15"/>
          <w:i w:val="1"/>
          <w:iCs w:val="1"/>
          <w:color w:val="auto"/>
        </w:rPr>
        <w:t>January</w:t>
      </w:r>
      <w:r>
        <w:rPr>
          <w:rFonts w:ascii="Arial" w:cs="Arial" w:eastAsia="Arial" w:hAnsi="Arial"/>
          <w:sz w:val="15"/>
          <w:szCs w:val="15"/>
          <w:color w:val="auto"/>
        </w:rPr>
        <w:t xml:space="preserve"> </w:t>
      </w:r>
      <w:r>
        <w:rPr>
          <w:rFonts w:ascii="Arial" w:cs="Arial" w:eastAsia="Arial" w:hAnsi="Arial"/>
          <w:sz w:val="15"/>
          <w:szCs w:val="15"/>
          <w:i w:val="1"/>
          <w:iCs w:val="1"/>
          <w:color w:val="auto"/>
        </w:rPr>
        <w:t>2020 Offering</w:t>
      </w:r>
      <w:r>
        <w:rPr>
          <w:rFonts w:ascii="Arial" w:cs="Arial" w:eastAsia="Arial" w:hAnsi="Arial"/>
          <w:sz w:val="15"/>
          <w:szCs w:val="15"/>
          <w:color w:val="auto"/>
        </w:rPr>
        <w:t>). Concurrently with the January 2020 Offering, we also commenced a private placement in which we issued and sold warrants exercisable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an aggregate of 3,870,077 unregistered shares of our common stock (the </w:t>
      </w:r>
      <w:r>
        <w:rPr>
          <w:rFonts w:ascii="Arial" w:cs="Arial" w:eastAsia="Arial" w:hAnsi="Arial"/>
          <w:sz w:val="15"/>
          <w:szCs w:val="15"/>
          <w:i w:val="1"/>
          <w:iCs w:val="1"/>
          <w:color w:val="auto"/>
        </w:rPr>
        <w:t>Warrant Shares</w:t>
      </w:r>
      <w:r>
        <w:rPr>
          <w:rFonts w:ascii="Arial" w:cs="Arial" w:eastAsia="Arial" w:hAnsi="Arial"/>
          <w:sz w:val="15"/>
          <w:szCs w:val="15"/>
          <w:color w:val="auto"/>
        </w:rPr>
        <w:t>), having an exercise price of $0.73 per Warrant Share.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Lincoln Park Purchase Agreement</w:t>
      </w:r>
    </w:p>
    <w:p>
      <w:pPr>
        <w:spacing w:after="0" w:line="231" w:lineRule="exact"/>
        <w:rPr>
          <w:sz w:val="20"/>
          <w:szCs w:val="20"/>
          <w:color w:val="auto"/>
        </w:rPr>
      </w:pPr>
    </w:p>
    <w:p>
      <w:pPr>
        <w:jc w:val="both"/>
        <w:ind w:left="120" w:firstLine="648"/>
        <w:spacing w:after="0" w:line="331" w:lineRule="auto"/>
        <w:rPr>
          <w:sz w:val="20"/>
          <w:szCs w:val="20"/>
          <w:color w:val="auto"/>
        </w:rPr>
      </w:pPr>
      <w:r>
        <w:rPr>
          <w:rFonts w:ascii="Arial" w:cs="Arial" w:eastAsia="Arial" w:hAnsi="Arial"/>
          <w:sz w:val="16"/>
          <w:szCs w:val="16"/>
          <w:color w:val="auto"/>
        </w:rPr>
        <w:t xml:space="preserve">On March 24, 2020, we entered into a purchase agreement (the </w:t>
      </w:r>
      <w:r>
        <w:rPr>
          <w:rFonts w:ascii="Arial" w:cs="Arial" w:eastAsia="Arial" w:hAnsi="Arial"/>
          <w:sz w:val="16"/>
          <w:szCs w:val="16"/>
          <w:i w:val="1"/>
          <w:iCs w:val="1"/>
          <w:color w:val="auto"/>
        </w:rPr>
        <w:t>Purchase Agreement</w:t>
      </w:r>
      <w:r>
        <w:rPr>
          <w:rFonts w:ascii="Arial" w:cs="Arial" w:eastAsia="Arial" w:hAnsi="Arial"/>
          <w:sz w:val="16"/>
          <w:szCs w:val="16"/>
          <w:color w:val="auto"/>
        </w:rPr>
        <w:t xml:space="preserve">) and a registration rights agreement (the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Lincoln Park pursuant to which Lincoln Park committed to purchase up to $10,250,000 of our common stock.</w:t>
      </w:r>
    </w:p>
    <w:p>
      <w:pPr>
        <w:spacing w:after="0" w:line="14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we have the right, but not the obligation, to sell to Lincoln Park, and Lincoln Park is obligated to purchase up to $10,250,000 of shares of our common stock. On March 24, 2020, we sold 500,000 shares of common stock to Lincoln Park under the Purchase Agreement at a price of $0.50 per share for proceeds of $250,000. Future sales of common stock under the Purchase Agreement, if any, will be subject to certain limitations, and may occur from time to time, at our sole discretion, over the 24-month period commencing on the date that a registration statement of which this prospectus forms a part, which we agreed to file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pursuant to the Registration Rights Agreement, is declared effective by the SEC and a final prospectus in connection therewith is filed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set forth in the Purchase Agreement are satisfied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After the Commencement Date, on any business day over the term of the Purchase Agreement, we have the right, in our sole discretion, to direct Lincoln Park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increases under certain circumstances as provided in the Purchase Agreement. The purchase price per share for each such Regular Purchase will be based on prevailing market prices of the Company’s common stock immediately preceding the time of sale as computed under the Purchase Agreement. In each case, Lincoln Park’s maximum commitment in any single Regular Purchase may not exceed $1,000,000. In addition to Regular Purchases, provided that we present Lincoln Park with a purchase notice for the full amount allowed for a Regular Purchase, we may also direct Lincoln Park to make </w:t>
      </w:r>
      <w:r>
        <w:rPr>
          <w:rFonts w:ascii="Arial" w:cs="Arial" w:eastAsia="Arial" w:hAnsi="Arial"/>
          <w:sz w:val="16"/>
          <w:szCs w:val="16"/>
          <w:color w:val="212529"/>
        </w:rPr>
        <w:t>accelerated purchases and additional accelerated purchases</w:t>
      </w:r>
      <w:r>
        <w:rPr>
          <w:rFonts w:ascii="Arial" w:cs="Arial" w:eastAsia="Arial" w:hAnsi="Arial"/>
          <w:sz w:val="16"/>
          <w:szCs w:val="16"/>
          <w:color w:val="auto"/>
        </w:rPr>
        <w:t xml:space="preserve"> </w:t>
      </w:r>
      <w:r>
        <w:rPr>
          <w:rFonts w:ascii="Arial" w:cs="Arial" w:eastAsia="Arial" w:hAnsi="Arial"/>
          <w:sz w:val="16"/>
          <w:szCs w:val="16"/>
          <w:color w:val="212529"/>
        </w:rPr>
        <w:t>as described in the Purchase Agreement</w:t>
      </w:r>
      <w:r>
        <w:rPr>
          <w:rFonts w:ascii="Arial" w:cs="Arial" w:eastAsia="Arial" w:hAnsi="Arial"/>
          <w:sz w:val="16"/>
          <w:szCs w:val="16"/>
          <w:color w:val="000000"/>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applicable rules of the Nasdaq Capital Market, the aggregate number of shares that we can sell to Lincoln Park under the Purchase Agreement may in no case exceed 19.99% of our common stock outstanding immediately prior to the execution of the Purchase Agreement (which is 9,592,607 shares of common stock) (the </w:t>
      </w:r>
      <w:r>
        <w:rPr>
          <w:rFonts w:ascii="Arial" w:cs="Arial" w:eastAsia="Arial" w:hAnsi="Arial"/>
          <w:sz w:val="16"/>
          <w:szCs w:val="16"/>
          <w:i w:val="1"/>
          <w:iCs w:val="1"/>
          <w:color w:val="auto"/>
        </w:rPr>
        <w:t>Exchange Cap</w:t>
      </w:r>
      <w:r>
        <w:rPr>
          <w:rFonts w:ascii="Arial" w:cs="Arial" w:eastAsia="Arial" w:hAnsi="Arial"/>
          <w:sz w:val="16"/>
          <w:szCs w:val="16"/>
          <w:color w:val="auto"/>
        </w:rPr>
        <w:t>), unless (i) stockholder approval is obtained to issue more, in which case the Exchange Cap will not apply, or (ii) the average price of all applicable sales of our common stock to Lincoln Park under the Purchase Agreement equals or exceeds the closing price of our common stock on the Nasdaq Capital Market immediately preceding the signing of the Purchase Agreement, plus an incremental amount such that issuances and sales of our common stock to Lincoln Park under the Purchase Agreement would be exempt from the Exchange Cap limitation under applicable rules of the Nasdaq Capital Market.</w:t>
      </w:r>
    </w:p>
    <w:p>
      <w:pPr>
        <w:spacing w:after="0" w:line="172"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Lincoln Park has no right to require us to sell any shares of common stock to Lincoln Park, but Lincoln Park is obligated to make purchases as we direct, subject to certain conditions. In all instances, we may not sell shares of our common stock to Lincoln Park under the Purchase Agreement if it would result in Lincoln Park beneficially owning more than 9.99% of our common stock. There are no upper limits on the price per share that Lincoln Park must pay for shares of our common stock pursuant 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The Purchase Agreement and the Registration Rights Agreement contain customary representations, warranties, agreements and conditions and indemnification obligations of the parties. We have the right to terminate the Purchase Agreement at any time, at no cost or penalty. We issued to Lincoln Park 750,000 shares of common stock, or approximately 2.7% of the value of the shares of common stock issuable under the Purchase Agreement, in consideration for entering into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Lincoln Park.</w:t>
      </w:r>
    </w:p>
    <w:p>
      <w:pPr>
        <w:sectPr>
          <w:pgSz w:w="11900" w:h="16838" w:orient="portrait"/>
          <w:cols w:equalWidth="0" w:num="1">
            <w:col w:w="11020"/>
          </w:cols>
          <w:pgMar w:left="320" w:top="131" w:right="55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771"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9232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23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0" w:gutter="0" w:footer="0" w:header="0"/>
        </w:sectPr>
      </w:pPr>
    </w:p>
    <w:p>
      <w:pPr>
        <w:spacing w:after="0" w:line="248" w:lineRule="exact"/>
        <w:rPr>
          <w:sz w:val="20"/>
          <w:szCs w:val="20"/>
          <w:color w:val="auto"/>
        </w:rPr>
      </w:pPr>
    </w:p>
    <w:p>
      <w:pPr>
        <w:ind w:left="120" w:right="38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right="120"/>
        <w:spacing w:after="0" w:line="326" w:lineRule="auto"/>
        <w:rPr>
          <w:sz w:val="20"/>
          <w:szCs w:val="20"/>
          <w:color w:val="auto"/>
        </w:rPr>
      </w:pPr>
      <w:r>
        <w:rPr>
          <w:rFonts w:ascii="Arial" w:cs="Arial" w:eastAsia="Arial" w:hAnsi="Arial"/>
          <w:sz w:val="15"/>
          <w:szCs w:val="15"/>
          <w:b w:val="1"/>
          <w:bCs w:val="1"/>
          <w:color w:val="auto"/>
        </w:rPr>
        <w:t>Shares of common stock to be outstanding after giving effect to the issuance of 9,592,607 shares under the Purchase Agreement registered hereunder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9,592,607 shares consisting of:</w:t>
      </w:r>
    </w:p>
    <w:p>
      <w:pPr>
        <w:spacing w:after="0" w:line="225" w:lineRule="exact"/>
        <w:rPr>
          <w:sz w:val="20"/>
          <w:szCs w:val="20"/>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500,000 shares sold to Lincoln Park at $0.50 per share on the Execution Date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Shares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8,342,607 shares we may sell to Lincoln Park under the Purchase Agreement from time to time after the date of this prospectus; and</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750,000 commitment shares issued to Lincoln Park on the Execution Date (the </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47,963,042 shares of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57,555,649 shares of common stock.</w:t>
      </w:r>
    </w:p>
    <w:p>
      <w:pPr>
        <w:spacing w:after="0" w:line="867" w:lineRule="exact"/>
        <w:rPr>
          <w:sz w:val="20"/>
          <w:szCs w:val="20"/>
          <w:color w:val="auto"/>
        </w:rPr>
      </w:pPr>
    </w:p>
    <w:p>
      <w:pPr>
        <w:sectPr>
          <w:pgSz w:w="11900" w:h="16838" w:orient="portrait"/>
          <w:cols w:equalWidth="0" w:num="2">
            <w:col w:w="3400" w:space="340"/>
            <w:col w:w="7280"/>
          </w:cols>
          <w:pgMar w:left="320" w:top="131" w:right="559" w:bottom="0" w:gutter="0" w:footer="0" w:header="0"/>
          <w:type w:val="continuous"/>
        </w:sect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no proceeds from the sale of shares of common stock by Lincoln Park in this offering.</w:t>
      </w:r>
    </w:p>
    <w:p>
      <w:pPr>
        <w:spacing w:after="0" w:line="21" w:lineRule="exact"/>
        <w:rPr>
          <w:sz w:val="20"/>
          <w:szCs w:val="20"/>
          <w:color w:val="auto"/>
        </w:rPr>
      </w:pPr>
    </w:p>
    <w:p>
      <w:pPr>
        <w:ind w:left="3740"/>
        <w:spacing w:after="0" w:line="361" w:lineRule="auto"/>
        <w:rPr>
          <w:sz w:val="20"/>
          <w:szCs w:val="20"/>
          <w:color w:val="auto"/>
        </w:rPr>
      </w:pPr>
      <w:r>
        <w:rPr>
          <w:rFonts w:ascii="Arial" w:cs="Arial" w:eastAsia="Arial" w:hAnsi="Arial"/>
          <w:sz w:val="15"/>
          <w:szCs w:val="15"/>
          <w:color w:val="auto"/>
        </w:rPr>
        <w:t>We may receive up to $10,000,000 aggregate gross proceeds under the Purchase Agreement from any sales we make to Lincoln Park pursuant to the Purchase Agreement after the date of this prospectus.</w:t>
      </w:r>
    </w:p>
    <w:p>
      <w:pPr>
        <w:spacing w:after="0" w:line="123" w:lineRule="exact"/>
        <w:rPr>
          <w:sz w:val="20"/>
          <w:szCs w:val="20"/>
          <w:color w:val="auto"/>
        </w:rPr>
      </w:pPr>
    </w:p>
    <w:p>
      <w:pPr>
        <w:ind w:left="3740"/>
        <w:spacing w:after="0" w:line="268" w:lineRule="auto"/>
        <w:rPr>
          <w:sz w:val="20"/>
          <w:szCs w:val="20"/>
          <w:color w:val="auto"/>
        </w:rPr>
      </w:pPr>
      <w:r>
        <w:rPr>
          <w:rFonts w:ascii="Arial" w:cs="Arial" w:eastAsia="Arial" w:hAnsi="Arial"/>
          <w:sz w:val="18"/>
          <w:szCs w:val="18"/>
          <w:color w:val="auto"/>
        </w:rPr>
        <w:t xml:space="preserve">Any proceeds that we receive from sales to Lincoln Park under the Purchase Agreement will be used for working capital and general corporate purposes. See </w:t>
      </w:r>
      <w:r>
        <w:rPr>
          <w:rFonts w:ascii="Arial" w:cs="Arial" w:eastAsia="Arial" w:hAnsi="Arial"/>
          <w:sz w:val="18"/>
          <w:szCs w:val="18"/>
          <w:i w:val="1"/>
          <w:iCs w:val="1"/>
          <w:color w:val="auto"/>
        </w:rPr>
        <w:t>Use of Proceeds.</w:t>
      </w:r>
    </w:p>
    <w:p>
      <w:pPr>
        <w:spacing w:after="0" w:line="180"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Terms of this offering</w:t>
      </w:r>
      <w:r>
        <w:rPr>
          <w:sz w:val="20"/>
          <w:szCs w:val="20"/>
          <w:color w:val="auto"/>
        </w:rPr>
        <w:tab/>
      </w:r>
      <w:r>
        <w:rPr>
          <w:rFonts w:ascii="Arial" w:cs="Arial" w:eastAsia="Arial" w:hAnsi="Arial"/>
          <w:sz w:val="16"/>
          <w:szCs w:val="16"/>
          <w:color w:val="auto"/>
        </w:rPr>
        <w:t>The selling stockholder, including its transferees, donees, pledgees, assignees and successors-in-</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interest, may sell, transfer or otherwise dispose of any or all of the shares of common stock offered by</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this prospectus from time to time on The Nasdaq Capital Market or any other stock exchange, market</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or trading facility on which the shares are traded or in private transactions. The shares of common</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stock may be sold at fixed prices, at market prices prevailing at the time of sale, at prices related to</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prevailing market price or at negotiated prices.</w:t>
      </w:r>
    </w:p>
    <w:p>
      <w:pPr>
        <w:spacing w:after="0" w:line="213"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 risks</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and uncertainties described in or incorporated by reference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prospectus, the documents we have incorporated by reference herein, and under similar headings in</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other documents filed after the date hereof and incorporated by reference into this prospectus. See</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i w:val="1"/>
          <w:iCs w:val="1"/>
          <w:color w:val="auto"/>
        </w:rPr>
        <w:t xml:space="preserve">Incorporation of Certain Information by Reference </w:t>
      </w:r>
      <w:r>
        <w:rPr>
          <w:rFonts w:ascii="Arial" w:cs="Arial" w:eastAsia="Arial" w:hAnsi="Arial"/>
          <w:sz w:val="16"/>
          <w:szCs w:val="16"/>
          <w:color w:val="auto"/>
        </w:rPr>
        <w:t>and</w:t>
      </w:r>
      <w:r>
        <w:rPr>
          <w:rFonts w:ascii="Arial" w:cs="Arial" w:eastAsia="Arial" w:hAnsi="Arial"/>
          <w:sz w:val="16"/>
          <w:szCs w:val="16"/>
          <w:i w:val="1"/>
          <w:iCs w:val="1"/>
          <w:color w:val="auto"/>
        </w:rPr>
        <w:t xml:space="preserve"> Where You Can Find More Information</w:t>
      </w:r>
      <w:r>
        <w:rPr>
          <w:rFonts w:ascii="Arial" w:cs="Arial" w:eastAsia="Arial" w:hAnsi="Arial"/>
          <w:sz w:val="16"/>
          <w:szCs w:val="16"/>
          <w:color w:val="auto"/>
        </w:rPr>
        <w:t>.</w:t>
      </w:r>
    </w:p>
    <w:p>
      <w:pPr>
        <w:spacing w:after="0" w:line="242"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49,213,042 shares outstanding as of March 30, 2020 and excludes:</w:t>
      </w:r>
    </w:p>
    <w:p>
      <w:pPr>
        <w:spacing w:after="0" w:line="213" w:lineRule="exact"/>
        <w:rPr>
          <w:sz w:val="20"/>
          <w:szCs w:val="20"/>
          <w:color w:val="auto"/>
        </w:rPr>
      </w:pPr>
    </w:p>
    <w:p>
      <w:pPr>
        <w:ind w:left="780" w:right="6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 ;</w:t>
      </w:r>
    </w:p>
    <w:p>
      <w:pPr>
        <w:spacing w:after="0" w:line="239" w:lineRule="exact"/>
        <w:rPr>
          <w:rFonts w:ascii="Arial" w:cs="Arial" w:eastAsia="Arial" w:hAnsi="Arial"/>
          <w:sz w:val="18"/>
          <w:szCs w:val="18"/>
          <w:color w:val="auto"/>
        </w:rPr>
      </w:pPr>
    </w:p>
    <w:p>
      <w:pPr>
        <w:ind w:left="780" w:right="16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212" w:lineRule="exact"/>
        <w:rPr>
          <w:rFonts w:ascii="Arial" w:cs="Arial" w:eastAsia="Arial" w:hAnsi="Arial"/>
          <w:sz w:val="18"/>
          <w:szCs w:val="18"/>
          <w:color w:val="auto"/>
        </w:rPr>
      </w:pPr>
    </w:p>
    <w:p>
      <w:pPr>
        <w:ind w:left="780" w:right="18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212" w:lineRule="exact"/>
        <w:rPr>
          <w:rFonts w:ascii="Arial" w:cs="Arial" w:eastAsia="Arial" w:hAnsi="Arial"/>
          <w:sz w:val="18"/>
          <w:szCs w:val="18"/>
          <w:color w:val="auto"/>
        </w:rPr>
      </w:pPr>
    </w:p>
    <w:p>
      <w:pPr>
        <w:ind w:left="780" w:right="62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22,555,281 shares of common stock that have been reserved for issuance upon exercise of outstanding warrants, with a weighted average exercise price of $1.64 per share;</w:t>
      </w:r>
    </w:p>
    <w:p>
      <w:pPr>
        <w:spacing w:after="0" w:line="212" w:lineRule="exact"/>
        <w:rPr>
          <w:rFonts w:ascii="Arial" w:cs="Arial" w:eastAsia="Arial" w:hAnsi="Arial"/>
          <w:sz w:val="18"/>
          <w:szCs w:val="18"/>
          <w:color w:val="auto"/>
        </w:rPr>
      </w:pPr>
    </w:p>
    <w:p>
      <w:pPr>
        <w:ind w:left="780" w:right="22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7,768,088 shares of common stock reserved for issuance upon exercise of outstanding stock options under our 2019 Omnibus Equity Incentive Plan, with a weighted average exercise price of $1.41 per share; and</w:t>
      </w:r>
    </w:p>
    <w:p>
      <w:pPr>
        <w:spacing w:after="0" w:line="212" w:lineRule="exact"/>
        <w:rPr>
          <w:rFonts w:ascii="Arial" w:cs="Arial" w:eastAsia="Arial" w:hAnsi="Arial"/>
          <w:sz w:val="18"/>
          <w:szCs w:val="18"/>
          <w:color w:val="auto"/>
        </w:rPr>
      </w:pPr>
    </w:p>
    <w:p>
      <w:pPr>
        <w:ind w:left="780" w:hanging="327"/>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275" w:lineRule="exact"/>
        <w:rPr>
          <w:rFonts w:ascii="Arial" w:cs="Arial" w:eastAsia="Arial" w:hAnsi="Arial"/>
          <w:sz w:val="16"/>
          <w:szCs w:val="16"/>
          <w:color w:val="auto"/>
        </w:rPr>
      </w:pPr>
    </w:p>
    <w:p>
      <w:pPr>
        <w:ind w:left="840" w:hanging="387"/>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24, 2020, we entered into the Purchase Agreement with Lincoln Park, pursuant to which Lincoln Park has committed to purchase up to $10,250,000 of our common stock, including the Initial Purchase Shares. Upon the execution of the Purchase Agreement, we issued 750,000 Commitment Shares to Lincoln Park as a fee for its commitment to enter into the Purchase Agreement and purchase shares of our common stock thereunder. The remaining shares of our common stock that may be issued under the Purchase Agreement may be sold by us to Lincoln Park, at our sole discretion, from time to time over a 24-month period commencing after the satisfaction of certain conditions set forth in the Purchase Agreement, including that the SEC has declared effective the registration statement that includes this prospectus. The purchase price for the shares that we may sell to Lincoln Park under the Purchase Agreement will fluctuate based on the prevailing price of our common stock on the date(s) of purchase. Depending on market liquidity at the time, sales of such shares may cause the trading price of our common stock to fall.</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have the right to control the timing and amount of any future sales of our shares to Lincoln Park. Additional sales of our common stock, if any, to Lincoln Park will depend upon market conditions and other factors to be determined solely by us. We may ultimately decide to sell to Lincoln Park all, some or none of the 8,342,607 additional shares of our common stock that may be available for us to sell pursuant to the Purchase Agreement. If and when we do sell any additional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48"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2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require additional financing to sustain our operations and without it we may not be able to continue operations.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direct Lincoln Park to purchase up to $10,250,000 worth of shares of our common stock under our agreement over a 24-month period generally in amounts up to 100,000 shares of our common stock, which share amount may be increased to include additional shares of our common stock depending on the market price of our common stock at the time of sale, and subject to a maximum limit of $1,000,000 per purchase, on any such business day.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date of the Commencement. Depending on the price per share at which we sell our common stock to Lincoln Park pursuant to the Purchase Agreement, we may need to sell to Lincoln Park more shares of our common stock than are offered under this prospectus in order to receive aggregate gross proceeds equal to $10,250,000. The number of shares ultimately offered for resale by Lincoln Park is dependent upon the number of shares we sell to Lincoln Park under the Purchase Agreement.</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extent we rely on Lincoln Park as a source of funding will depend on a number of factors including the prevailing market price of our common stock and the extent to which we are able to secure working capital from other sources. If obtaining sufficient funding from Lincoln Park were to prove unavailable or prohibitively dilutive, we will need to secure another source of funding in order to satisfy our working capital needs. Even if we sell all $10,250,000 under the Purchase Agreement to Lincoln Park, we may still need additional capital to fully implement our business, operating and development plans.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To raise capital, we may sell common stock, convertible securities or other equity securities in one or more transactions at prices and in a manner we determine from time to time, including pursuant to the Purchase Agreement with Lincoln Park.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sales of a substantial number of shares of our outstanding common stock in the public market could occur at any time. Certain of our stockholders, including Lincoln Park, hold a substantial number of our common stock that many of them are now able to sell in the public market. Sales of stock by these stockholders could have a material adverse effect on the trading price of our common stock.</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warrants or options, or the perception that such sales may occur, could adversely affect the market price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our sale of shares of common stock to Lincoln Park, you may not agree with how we use the proceeds and the proceeds may not be invested successfully.</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will have broad discretion as to the use of the net proceeds from our sale of shares of common stock to Lincoln Park, and we could use them for purposes other than those contemplated at the time of commencement of this offering.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to use such funds effectively could have a material adverse effect on our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pacing w:after="0" w:line="221"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2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ectPr>
          <w:pgSz w:w="11900" w:h="16838" w:orient="portrait"/>
          <w:cols w:equalWidth="0" w:num="1">
            <w:col w:w="11240"/>
          </w:cols>
          <w:pgMar w:left="320" w:top="131" w:right="339" w:bottom="0" w:gutter="0" w:footer="0" w:header="0"/>
        </w:sectPr>
      </w:pPr>
    </w:p>
    <w:bookmarkStart w:id="14" w:name="page15"/>
    <w:bookmarkEnd w:id="14"/>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shares of our common stock that may be offered and sold from time to time by Lincoln Park. We may receive up to $10,000,000 aggregate gross proceeds under the Purchase Agreement from any sales we make to Lincoln Park pursuant to the Purchase Agreement after the date of this prospectus. However, we may not be registering for sale or offering for resale under the registration statement of which this prospectus is a part all of the shares issuable pursuant to the Purchase Agreement. In any evert, we will receive no proceeds from the sale of any shares of common stock by Lincoln Park pursuant to this prospectus. As we are unable to predict the timing or amount of potential issuances of all of the shares offered hereby (other than the Commitment Shares or the Initial Purchase Shares), we have not allocated any proceeds of such issuances to any particular purpose. Accordingly, all such proceeds are expected to be used for working capital and general corporate purposes.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other uses, we intend to invest any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relates to only the resale by the selling stockholder, Lincoln Park, of shares of common stock that have been or may be issued and sold to Lincoln Park pursuant to the Purchase Agreement. We are filing the registration statement of which this prospectus forms a part pursuant to the provisions of the Registration Rights Agreement, which we entered into with Lincoln Park on March 24, 2020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Lincoln Park, as the selling stockholder, may, from time to time, offer and sell pursuant to this prospectus any or all of the shares that we have sold and may sell to Lincoln Park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following table presents information regarding the selling stockholder and the shares that it may offer and sell from time to time under this prospectus. The table is prepared based on information supplied to us by the selling stockholder, and reflects its holdings as of March 24, 2020.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 to be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Sold in this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Assuming The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Percentage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Company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issues the</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Outstanding</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Maximum</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Beneficially</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Beneficially</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Beneficially</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 Before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Under</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this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Before this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the Purchase</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After this</w:t>
            </w: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Stockholder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Agreement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gridSpan w:val="2"/>
          </w:tcPr>
          <w:p>
            <w:pPr>
              <w:spacing w:after="0"/>
              <w:rPr>
                <w:sz w:val="20"/>
                <w:szCs w:val="20"/>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w:t>
            </w:r>
          </w:p>
        </w:tc>
        <w:tc>
          <w:tcPr>
            <w:tcW w:w="13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3,904,966</w:t>
            </w:r>
            <w:r>
              <w:rPr>
                <w:rFonts w:ascii="Arial" w:cs="Arial" w:eastAsia="Arial" w:hAnsi="Arial"/>
                <w:sz w:val="24"/>
                <w:szCs w:val="24"/>
                <w:color w:val="auto"/>
                <w:vertAlign w:val="superscript"/>
              </w:rPr>
              <w:t>(2)</w:t>
            </w:r>
          </w:p>
        </w:tc>
        <w:tc>
          <w:tcPr>
            <w:tcW w:w="134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7.78%</w:t>
            </w:r>
            <w:r>
              <w:rPr>
                <w:rFonts w:ascii="Arial" w:cs="Arial" w:eastAsia="Arial" w:hAnsi="Arial"/>
                <w:sz w:val="24"/>
                <w:szCs w:val="24"/>
                <w:color w:val="auto"/>
                <w:vertAlign w:val="superscript"/>
              </w:rPr>
              <w:t>(3)</w:t>
            </w:r>
          </w:p>
        </w:tc>
        <w:tc>
          <w:tcPr>
            <w:tcW w:w="13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9,592,607</w:t>
            </w:r>
            <w:r>
              <w:rPr>
                <w:rFonts w:ascii="Arial" w:cs="Arial" w:eastAsia="Arial" w:hAnsi="Arial"/>
                <w:sz w:val="24"/>
                <w:szCs w:val="24"/>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left="680" w:hanging="672"/>
        <w:spacing w:after="0" w:line="298"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Josh Scheinfeld and Jonathan Cope, the Managing Members of Lincoln Park Capital,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spacing w:after="0" w:line="166" w:lineRule="exact"/>
        <w:rPr>
          <w:rFonts w:ascii="Arial" w:cs="Arial" w:eastAsia="Arial" w:hAnsi="Arial"/>
          <w:sz w:val="16"/>
          <w:szCs w:val="16"/>
          <w:color w:val="auto"/>
        </w:rPr>
      </w:pPr>
    </w:p>
    <w:p>
      <w:pPr>
        <w:jc w:val="both"/>
        <w:ind w:left="680" w:hanging="672"/>
        <w:spacing w:after="0" w:line="25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Includes (i) the 500,000 shares sold to Lincoln Park as Initial Purchase Shares under the Purchase Agreement and the 750,000 shares issued to Lincoln Park as Commitment Shares which are being registered under the registration statement of which this prospectus is a part. Includes a currently exercisable warrant to purchase 1,000,000 shares of our common stock. Excludes a warrant to purchase 2,814,602 shares of our common stock not exercisable within 60 days. See the description under the heading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xml:space="preserve"> below for more information about the Purchase Agreement.</w:t>
      </w:r>
    </w:p>
    <w:p>
      <w:pPr>
        <w:spacing w:after="0" w:line="200"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49,213,042 outstanding shares of our common stock as of March 30, 2020.</w:t>
      </w:r>
    </w:p>
    <w:p>
      <w:pPr>
        <w:spacing w:after="0" w:line="225" w:lineRule="exact"/>
        <w:rPr>
          <w:rFonts w:ascii="Arial" w:cs="Arial" w:eastAsia="Arial" w:hAnsi="Arial"/>
          <w:sz w:val="18"/>
          <w:szCs w:val="18"/>
          <w:color w:val="auto"/>
        </w:rPr>
      </w:pPr>
    </w:p>
    <w:p>
      <w:pPr>
        <w:jc w:val="both"/>
        <w:ind w:left="680" w:hanging="672"/>
        <w:spacing w:after="0" w:line="288"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the Purchase Agreement provides that we may sell up to $10,250,000 of our common stock to Lincoln Park,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$10,250,000 total commitment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 See “</w:t>
      </w:r>
      <w:r>
        <w:rPr>
          <w:rFonts w:ascii="Arial" w:cs="Arial" w:eastAsia="Arial" w:hAnsi="Arial"/>
          <w:sz w:val="16"/>
          <w:szCs w:val="16"/>
          <w:i w:val="1"/>
          <w:iCs w:val="1"/>
          <w:color w:val="auto"/>
        </w:rPr>
        <w:t>The Lincoln Park Transaction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PARK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March 24, 2020 (the </w:t>
      </w:r>
      <w:r>
        <w:rPr>
          <w:rFonts w:ascii="Arial" w:cs="Arial" w:eastAsia="Arial" w:hAnsi="Arial"/>
          <w:sz w:val="18"/>
          <w:szCs w:val="18"/>
          <w:i w:val="1"/>
          <w:iCs w:val="1"/>
          <w:color w:val="auto"/>
        </w:rPr>
        <w:t>Execution Date</w:t>
      </w:r>
      <w:r>
        <w:rPr>
          <w:rFonts w:ascii="Arial" w:cs="Arial" w:eastAsia="Arial" w:hAnsi="Arial"/>
          <w:sz w:val="18"/>
          <w:szCs w:val="18"/>
          <w:color w:val="auto"/>
        </w:rPr>
        <w:t>), we entered into a Purchase Agreement and a Registration Rights Agreement with Lincoln Park. Pursuant to the terms of the Purchase Agreement, Lincoln Park has agreed to purchase from us up to $10,250,000 of our common stock from time to time during the term of the Purchase Agreement, subject to certain limitations.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Other than the Initial Purchase Shares, which we sold to Lincoln Park on the Execution Date, we do not have the right to commence any sales to Lincoln Park under the Purchase Agreement until the Commencement Date (defined below) has occurred. Thereafter, we may, from time to time, and at our sole discretion, on any single business day, direct Lincoln Park to purchase shares of our common stock in amounts up to 100,000 shares, which amounts may be increased depending on the market price of our common stock at the time of sale and subject to a maximum commitment by Lincoln Park of $1,000,000 per single purchase (</w:t>
      </w:r>
      <w:r>
        <w:rPr>
          <w:rFonts w:ascii="Arial" w:cs="Arial" w:eastAsia="Arial" w:hAnsi="Arial"/>
          <w:sz w:val="15"/>
          <w:szCs w:val="15"/>
          <w:i w:val="1"/>
          <w:iCs w:val="1"/>
          <w:color w:val="auto"/>
        </w:rPr>
        <w:t>Regular Purchases</w:t>
      </w:r>
      <w:r>
        <w:rPr>
          <w:rFonts w:ascii="Arial" w:cs="Arial" w:eastAsia="Arial" w:hAnsi="Arial"/>
          <w:sz w:val="15"/>
          <w:szCs w:val="15"/>
          <w:color w:val="auto"/>
        </w:rPr>
        <w:t>). In addition, at our discretion, Lincoln Park has committed to purchase other amounts under an Accelerated Purchase (as defined below) under certain circumstances. The purchase price per share sold will be based on the market price of our common stock immediately preceding the time of sale as computed under the Purchase Agreement. Lincoln Park may not assign or transfer its rights and obligations under the Purchase Agreement.</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applicable rules of The Nasdaq Capital Market, in no event may we issue or sell to Lincoln Park under the Purchase Agreement shares of our common stock in excess of the Exchange Cap (which is 9,592,607 shares, or 19.99% of the shares of our common stock outstanding immediately prior to the execution of the Purchase Agreement), unless (i) we obtain stockholder approval to issue shares of common stock in excess of the Exchange Cap or (ii)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issuances and sales of our common stock to Lincoln Park under the Purchase Agreement would be exempt from the Exchange Cap limitation under applicable Nasdaq rules. In any event, the Purchase Agreement specifically provides that we may not issue or sell any shares of our common stock under the Purchase Agreement if such issuance or sale would breach any applicable Nasdaq rules.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Agreement also prohibits us from directing Lincoln Park to purchase any shares of common stock if those shares, when aggregated with all other shares of our common stock then beneficially owned by Lincoln Park and its affiliates, would result in Lincoln Park exceeding the Beneficial Ownership Cap.</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the Registration Rights Agreement, the Company is required to register the shares of common stock that have been and may be issued to Lincoln Park under the Purchase Agreement. We have filed the registration statement with the SEC that includes this prospectus to register for resale under the Securities Act, up to 9,592,607 shares of common stock, representing 19.99% of our issued and outstanding shares of common stock on March 24,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the Company has the right, but not the obligation, to sell to Lincoln Park, and Lincoln Park is obligated to purchase up to $10,250,000 of shares of common stock, including the Initial Purchase Shares purchased by Lincoln Park on the Execution Date. Such sales of common stock by the Company, if any, will be subject to certain limitations, and may occur from time to time, at the Company’s sole discretion, over the 24-month period commencing on the date that a registration statement covering the resale of shares of common stock that have been and may be issued under the Purchase Agreement, which the Company agreed to file with the SEC pursuant to the Registration Rights Agreement, is declared effective by the SEC and a final prospectus in connection therewith is filed and the other conditions set forth in the Purchase Agreement are satisfied, all of which are outside the control of Lincoln Park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Thereafter, under the Purchase Agreement, on any business day over the term of the Purchase Agreement, the Company has the right, in its sole discretion, to present Lincoln Park with a purchase notice (each, a </w:t>
      </w:r>
      <w:r>
        <w:rPr>
          <w:rFonts w:ascii="Arial" w:cs="Arial" w:eastAsia="Arial" w:hAnsi="Arial"/>
          <w:sz w:val="18"/>
          <w:szCs w:val="18"/>
          <w:i w:val="1"/>
          <w:iCs w:val="1"/>
          <w:color w:val="auto"/>
        </w:rPr>
        <w:t>Purchase Notice</w:t>
      </w:r>
      <w:r>
        <w:rPr>
          <w:rFonts w:ascii="Arial" w:cs="Arial" w:eastAsia="Arial" w:hAnsi="Arial"/>
          <w:sz w:val="18"/>
          <w:szCs w:val="18"/>
          <w:color w:val="auto"/>
        </w:rPr>
        <w:t xml:space="preserve">) directing Lincoln Park to purchase up to 100,000 shares per business day (the </w:t>
      </w:r>
      <w:r>
        <w:rPr>
          <w:rFonts w:ascii="Arial" w:cs="Arial" w:eastAsia="Arial" w:hAnsi="Arial"/>
          <w:sz w:val="18"/>
          <w:szCs w:val="18"/>
          <w:i w:val="1"/>
          <w:iCs w:val="1"/>
          <w:color w:val="auto"/>
        </w:rPr>
        <w:t>Regular Purchase</w:t>
      </w:r>
      <w:r>
        <w:rPr>
          <w:rFonts w:ascii="Arial" w:cs="Arial" w:eastAsia="Arial" w:hAnsi="Arial"/>
          <w:sz w:val="18"/>
          <w:szCs w:val="18"/>
          <w:color w:val="auto"/>
        </w:rPr>
        <w:t>), (subject to adjustment for any reorganization, recapitalization, non-cash dividend, stock split, reverse stock split or other similar transaction as provided in the Purchase Agreement). The Regular Purchase Amount may be increased up to 150,000 shares if the closing price is not below $0.80 per share, may be increased up to 200,000 shares if the closing price is not below $1.00 per share, and may be increased up to 250,000 shares if the closing price is not below $1.50 per share.</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In each case, Lincoln Park’s maximum commitment in any single Regular Purchase may not exceed $1,000,000. The Purchase Agreement provides for a purchase price per Purchase Share (the </w:t>
      </w:r>
      <w:r>
        <w:rPr>
          <w:rFonts w:ascii="Arial" w:cs="Arial" w:eastAsia="Arial" w:hAnsi="Arial"/>
          <w:sz w:val="18"/>
          <w:szCs w:val="18"/>
          <w:i w:val="1"/>
          <w:iCs w:val="1"/>
          <w:color w:val="auto"/>
        </w:rPr>
        <w:t>Purchase Price</w:t>
      </w:r>
      <w:r>
        <w:rPr>
          <w:rFonts w:ascii="Arial" w:cs="Arial" w:eastAsia="Arial" w:hAnsi="Arial"/>
          <w:sz w:val="18"/>
          <w:szCs w:val="18"/>
          <w:color w:val="auto"/>
        </w:rPr>
        <w:t>) equal to the lesser of:</w:t>
      </w:r>
    </w:p>
    <w:p>
      <w:pPr>
        <w:spacing w:after="0" w:line="186"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and</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the Company’s common stock during the ten consecutive business days ending on the business day immediately preceding the purchase date of such shares.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addition, on any date on which the Company submits a Purchase Notice to Lincoln Park and on which date the Company has directed a Regular Purchase in full, the Company also has the right, in its sole discretion, to present Lincoln with an accelerated purchase notice (each, an </w:t>
      </w:r>
      <w:r>
        <w:rPr>
          <w:rFonts w:ascii="Arial" w:cs="Arial" w:eastAsia="Arial" w:hAnsi="Arial"/>
          <w:sz w:val="16"/>
          <w:szCs w:val="16"/>
          <w:i w:val="1"/>
          <w:iCs w:val="1"/>
          <w:color w:val="auto"/>
        </w:rPr>
        <w:t>Accelerated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directing Lincoln Park to purchase an amount of stock (the</w:t>
      </w:r>
      <w:r>
        <w:rPr>
          <w:rFonts w:ascii="Arial" w:cs="Arial" w:eastAsia="Arial" w:hAnsi="Arial"/>
          <w:sz w:val="16"/>
          <w:szCs w:val="16"/>
          <w:i w:val="1"/>
          <w:iCs w:val="1"/>
          <w:color w:val="auto"/>
        </w:rPr>
        <w:t xml:space="preserve"> Accelerated Purchase</w:t>
      </w:r>
      <w:r>
        <w:rPr>
          <w:rFonts w:ascii="Arial" w:cs="Arial" w:eastAsia="Arial" w:hAnsi="Arial"/>
          <w:sz w:val="16"/>
          <w:szCs w:val="16"/>
          <w:color w:val="auto"/>
        </w:rPr>
        <w:t>) equal to up to the lesser of (i) three times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purchased pursuant to such Regular Purchase; or (ii) 30% of the aggregate shares of the Company’s common stock traded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(such period of time on the applicable Accelerated Purchase Date, the </w:t>
      </w:r>
      <w:r>
        <w:rPr>
          <w:rFonts w:ascii="Arial" w:cs="Arial" w:eastAsia="Arial" w:hAnsi="Arial"/>
          <w:sz w:val="16"/>
          <w:szCs w:val="16"/>
          <w:i w:val="1"/>
          <w:iCs w:val="1"/>
          <w:color w:val="auto"/>
        </w:rPr>
        <w:t>Accelerated Purchase Measurement Period</w:t>
      </w:r>
      <w:r>
        <w:rPr>
          <w:rFonts w:ascii="Arial" w:cs="Arial" w:eastAsia="Arial" w:hAnsi="Arial"/>
          <w:sz w:val="16"/>
          <w:szCs w:val="16"/>
          <w:color w:val="auto"/>
        </w:rPr>
        <w:t>). The purchase price per share for each such Accelerated Purchase will be equal to the lesser of:</w:t>
      </w:r>
    </w:p>
    <w:p>
      <w:pPr>
        <w:spacing w:after="0" w:line="178" w:lineRule="exact"/>
        <w:rPr>
          <w:sz w:val="20"/>
          <w:szCs w:val="20"/>
          <w:color w:val="auto"/>
        </w:rPr>
      </w:pPr>
    </w:p>
    <w:p>
      <w:pPr>
        <w:ind w:left="1140" w:hanging="484"/>
        <w:spacing w:after="0" w:line="26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95% of the volume weighted average price of the Company’s common stock during the applicable Accelerated Purchase Measurement Period on the applicable Accelerated Purchase date;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closing sale price of the Company’s common stock on the applicable Accelerated Purchase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case of the regular purchases and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Events of default under the Purchase Agreement include the following:</w:t>
      </w:r>
    </w:p>
    <w:p>
      <w:pPr>
        <w:spacing w:after="0" w:line="225" w:lineRule="exact"/>
        <w:rPr>
          <w:sz w:val="20"/>
          <w:szCs w:val="20"/>
          <w:color w:val="auto"/>
        </w:rPr>
      </w:pPr>
    </w:p>
    <w:p>
      <w:pPr>
        <w:jc w:val="both"/>
        <w:ind w:left="1140" w:hanging="484"/>
        <w:spacing w:after="0" w:line="288"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a registration statement registering the resale of the Securities lapses for any reason (including, without limitation, the issuance of a stop order or similar order) or such registration statement (or the prospectus forming a part thereof) is unavailable to the Investor for resale of any or all of the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w:t>
      </w:r>
    </w:p>
    <w:p>
      <w:pPr>
        <w:spacing w:after="0" w:line="172" w:lineRule="exact"/>
        <w:rPr>
          <w:rFonts w:ascii="Arial" w:cs="Arial" w:eastAsia="Arial" w:hAnsi="Arial"/>
          <w:sz w:val="16"/>
          <w:szCs w:val="16"/>
          <w:color w:val="auto"/>
        </w:rPr>
      </w:pPr>
    </w:p>
    <w:p>
      <w:pPr>
        <w:ind w:left="1140" w:right="20" w:hanging="484"/>
        <w:spacing w:after="0" w:line="26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suspension of the common stock from trading on the Principal Market for a period of one (1) Business Day, provided that the Company may not direct the Investor to purchase any shares of common stock during any such suspension;</w:t>
      </w:r>
    </w:p>
    <w:p>
      <w:pPr>
        <w:spacing w:after="0" w:line="18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delisting of the common stock from The Nasdaq Capital Market, provided, however, that the common stock is not immediately thereafter trading on the New York Stock Exchange, The Nasdaq Global Market, The Nasdaq Global Select Market, the NYSE American, the NYSE Arca, the OTC Bulletin Board, the OTCQX operated by the OTC Markets Group, Inc. or the OTCQB operated by the OTC Markets Group, Inc. (or nationally recognized successor to any of the foregoing);</w:t>
      </w:r>
    </w:p>
    <w:p>
      <w:pPr>
        <w:spacing w:after="0" w:line="196" w:lineRule="exact"/>
        <w:rPr>
          <w:rFonts w:ascii="Arial" w:cs="Arial" w:eastAsia="Arial" w:hAnsi="Arial"/>
          <w:sz w:val="18"/>
          <w:szCs w:val="18"/>
          <w:color w:val="auto"/>
        </w:rPr>
      </w:pPr>
    </w:p>
    <w:p>
      <w:pPr>
        <w:jc w:val="both"/>
        <w:ind w:left="1140" w:hanging="484"/>
        <w:spacing w:after="0" w:line="25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any time after the Commencement Date, the Exchange Cap is exceeded unless and until stockholder approval is obtained pursuant to the Purchase Agreement. The Exchange Cap shall be deemed to be exceeded at such time if, upon submission of a Regular Purchase Notice or Accelerated Purchase Notice under this Agreement, the issuance of such shares of common stock would exceed that number of shares of common stock which the Company may issue under this Agreement without breaching the Company’s obligations under the rules or regulations of the Principal Market;</w:t>
      </w:r>
    </w:p>
    <w:p>
      <w:pPr>
        <w:spacing w:after="0" w:line="200"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Investor within three (3) Business Days after the applicable Purchase Date, Accelerated Purchase Date or Additional Accelerated Purchase Date (as applicable) on which the Investor is entitled to receive such Purchase Shares;</w:t>
      </w:r>
    </w:p>
    <w:p>
      <w:pPr>
        <w:spacing w:after="0" w:line="193"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breaches any representation, warranty, covenant or other term or condition under any Transaction Document if such breach has or could have a Material Adverse Effect and except, in the case of a breach of a covenant which is reasonably curable, only if such breach continues for a period of at least five (5) Business Days;</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196"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or</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any time the Company is not eligible to transfer its common stock electronically as DWAC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Lincoln Park does not have the right to terminate the Purchase Agreement upon any of the events of default set forth above. During an event of default, all of which are outside of Lincoln Park’s control, we may not direct Lincoln Park to purchase any shares of our common stock under the Purchase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Rights of the Company</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have the unconditional right, at any time, for any reason and without any payment or liability to Lincoln Park, to give notice to Lincoln Park to terminate the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231"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Variable Rate Transactions</w:t>
      </w:r>
    </w:p>
    <w:p>
      <w:pPr>
        <w:spacing w:after="0" w:line="23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There are no restrictions on future financings, rights of first refusal, participation rights, penalties or liquidated damages in the Purchase Agreement or Registration Rights Agreement, other than a prohibition on entering into a “Variable Rate Transaction,” as defined in the Purchase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9,592,607 shares registered in this offering which have been and may be issued or sold by us to Lincoln Park under the Purchase Agreement are expected to be freely tradable. It is anticipated that shares registered in this offering may be sold over a period of up to 24-months commencing on the date that the registration statement including this prospectus becomes effective. The sale by Lincoln Park of a significant number of shares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Purchase Agreement prohibits us from issuing or selling to Lincoln Park under the Purchase Agreement (i) shares of our common stock in excess of the Exchange Cap, unless we obtain stockholder approval to issue shares in excess of the Exchange Cap or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the transactions contemplated by the Purchase Agreement are exempt from the Exchange Cap limitation under applicable Nasdaq rules, and (ii) any shares of our common stock if those shares, when aggregated with all other shares of our common stock then beneficially owned by Lincoln Park and its affiliates, would exceed the Beneficial Ownership Cap.</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amount of gross proceeds we would receive from Lincoln Park from our sale of shares to Lincoln Park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at varying purchase prices:</w:t>
      </w:r>
    </w:p>
    <w:p>
      <w:pPr>
        <w:sectPr>
          <w:pgSz w:w="11900" w:h="16838" w:orient="portrait"/>
          <w:cols w:equalWidth="0" w:num="1">
            <w:col w:w="11240"/>
          </w:cols>
          <w:pgMar w:left="320" w:top="131" w:right="339" w:bottom="1440" w:gutter="0" w:footer="0" w:header="0"/>
        </w:sectPr>
      </w:pP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 of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vMerge w:val="restart"/>
          </w:tcPr>
          <w:p>
            <w:pPr>
              <w:jc w:val="right"/>
              <w:ind w:right="599"/>
              <w:spacing w:after="0"/>
              <w:rPr>
                <w:sz w:val="20"/>
                <w:szCs w:val="20"/>
                <w:color w:val="auto"/>
              </w:rPr>
            </w:pPr>
            <w:r>
              <w:rPr>
                <w:rFonts w:ascii="Arial" w:cs="Arial" w:eastAsia="Arial" w:hAnsi="Arial"/>
                <w:sz w:val="18"/>
                <w:szCs w:val="18"/>
                <w:b w:val="1"/>
                <w:bCs w:val="1"/>
                <w:color w:val="auto"/>
                <w:w w:val="83"/>
              </w:rPr>
              <w:t>Assumed Average Purchase</w:t>
            </w: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Number of Registered Shares</w:t>
            </w: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 After Giving Effect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2800" w:type="dxa"/>
            <w:vAlign w:val="bottom"/>
            <w:gridSpan w:val="2"/>
            <w:vMerge w:val="restart"/>
          </w:tcPr>
          <w:p>
            <w:pPr>
              <w:jc w:val="center"/>
              <w:ind w:right="560"/>
              <w:spacing w:after="0"/>
              <w:rPr>
                <w:sz w:val="20"/>
                <w:szCs w:val="20"/>
                <w:color w:val="auto"/>
              </w:rPr>
            </w:pPr>
            <w:r>
              <w:rPr>
                <w:rFonts w:ascii="Arial" w:cs="Arial" w:eastAsia="Arial" w:hAnsi="Arial"/>
                <w:sz w:val="18"/>
                <w:szCs w:val="18"/>
                <w:b w:val="1"/>
                <w:bCs w:val="1"/>
                <w:color w:val="auto"/>
                <w:w w:val="86"/>
              </w:rPr>
              <w:t>to be Issued if Full Purchase</w:t>
            </w:r>
          </w:p>
        </w:tc>
        <w:tc>
          <w:tcPr>
            <w:tcW w:w="2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the Issuance to Lincoln Park</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Price Per Share</w:t>
            </w:r>
          </w:p>
        </w:tc>
        <w:tc>
          <w:tcPr>
            <w:tcW w:w="560" w:type="dxa"/>
            <w:vAlign w:val="bottom"/>
            <w:vMerge w:val="restart"/>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56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0.3557</w:t>
            </w:r>
          </w:p>
        </w:tc>
        <w:tc>
          <w:tcPr>
            <w:tcW w:w="560" w:type="dxa"/>
            <w:vAlign w:val="bottom"/>
          </w:tcPr>
          <w:p>
            <w:pPr>
              <w:jc w:val="right"/>
              <w:ind w:right="359"/>
              <w:spacing w:after="0"/>
              <w:rPr>
                <w:sz w:val="20"/>
                <w:szCs w:val="20"/>
                <w:color w:val="auto"/>
              </w:rPr>
            </w:pPr>
            <w:r>
              <w:rPr>
                <w:rFonts w:ascii="Arial" w:cs="Arial" w:eastAsia="Arial" w:hAnsi="Arial"/>
                <w:sz w:val="12"/>
                <w:szCs w:val="12"/>
                <w:color w:val="auto"/>
                <w:w w:val="81"/>
              </w:rPr>
              <w:t>(3)</w:t>
            </w:r>
          </w:p>
        </w:tc>
        <w:tc>
          <w:tcPr>
            <w:tcW w:w="2240" w:type="dxa"/>
            <w:vAlign w:val="bottom"/>
          </w:tcPr>
          <w:p>
            <w:pPr>
              <w:jc w:val="right"/>
              <w:spacing w:after="0"/>
              <w:rPr>
                <w:sz w:val="20"/>
                <w:szCs w:val="20"/>
                <w:color w:val="auto"/>
              </w:rPr>
            </w:pPr>
            <w:r>
              <w:rPr>
                <w:rFonts w:ascii="Arial" w:cs="Arial" w:eastAsia="Arial" w:hAnsi="Arial"/>
                <w:sz w:val="18"/>
                <w:szCs w:val="18"/>
                <w:color w:val="auto"/>
              </w:rPr>
              <w:t>8,342,607</w:t>
            </w:r>
          </w:p>
        </w:tc>
        <w:tc>
          <w:tcPr>
            <w:tcW w:w="56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0.50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6,666,607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2"/>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2.00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5,000,000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left="20" w:right="300"/>
        <w:spacing w:after="0" w:line="258" w:lineRule="auto"/>
        <w:rPr>
          <w:sz w:val="20"/>
          <w:szCs w:val="20"/>
          <w:color w:val="auto"/>
        </w:rPr>
      </w:pPr>
      <w:r>
        <w:rPr>
          <w:rFonts w:ascii="Arial" w:cs="Arial" w:eastAsia="Arial" w:hAnsi="Arial"/>
          <w:sz w:val="18"/>
          <w:szCs w:val="18"/>
          <w:b w:val="1"/>
          <w:bCs w:val="1"/>
          <w:color w:val="auto"/>
        </w:rPr>
        <w:t xml:space="preserve">Proceeds from the Sale of Shares to Lincoln Park Under the $10.25M Purchase Agreement </w:t>
      </w:r>
      <w:r>
        <w:rPr>
          <w:rFonts w:ascii="Arial" w:cs="Arial" w:eastAsia="Arial" w:hAnsi="Arial"/>
          <w:sz w:val="12"/>
          <w:szCs w:val="12"/>
          <w:b w:val="1"/>
          <w:bCs w:val="1"/>
          <w:color w:val="auto"/>
        </w:rPr>
        <w:t>(4)</w:t>
      </w:r>
    </w:p>
    <w:tbl>
      <w:tblPr>
        <w:tblLayout w:type="fixed"/>
        <w:tblInd w:w="0" w:type="dxa"/>
        <w:tblCellMar>
          <w:top w:w="0" w:type="dxa"/>
          <w:left w:w="0" w:type="dxa"/>
          <w:bottom w:w="0" w:type="dxa"/>
          <w:right w:w="0" w:type="dxa"/>
        </w:tblCellMar>
      </w:tblPr>
      <w:tr>
        <w:trPr>
          <w:trHeight w:val="203"/>
        </w:trPr>
        <w:tc>
          <w:tcPr>
            <w:tcW w:w="760" w:type="dxa"/>
            <w:vAlign w:val="bottom"/>
            <w:tcBorders>
              <w:top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3,217,465</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4,421,304</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8,592,607</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r>
        <w:trPr>
          <w:trHeight w:val="222"/>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bl>
    <w:p>
      <w:pPr>
        <w:spacing w:after="0" w:line="200" w:lineRule="exact"/>
        <w:rPr>
          <w:sz w:val="20"/>
          <w:szCs w:val="20"/>
          <w:color w:val="auto"/>
        </w:rPr>
      </w:pPr>
    </w:p>
    <w:p>
      <w:pPr>
        <w:sectPr>
          <w:pgSz w:w="11900" w:h="16838" w:orient="portrait"/>
          <w:cols w:equalWidth="0" w:num="2">
            <w:col w:w="8300" w:space="420"/>
            <w:col w:w="2520"/>
          </w:cols>
          <w:pgMar w:left="320" w:top="131" w:right="339" w:bottom="1440" w:gutter="0" w:footer="0" w:header="0"/>
          <w:type w:val="continuous"/>
        </w:sectPr>
      </w:pPr>
    </w:p>
    <w:p>
      <w:pPr>
        <w:spacing w:after="0" w:line="37" w:lineRule="exact"/>
        <w:rPr>
          <w:sz w:val="20"/>
          <w:szCs w:val="20"/>
          <w:color w:val="auto"/>
        </w:rPr>
      </w:pPr>
    </w:p>
    <w:p>
      <w:pPr>
        <w:jc w:val="both"/>
        <w:ind w:left="500" w:hanging="492"/>
        <w:spacing w:after="0" w:line="28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total number of purchase shares which we would have sold under the Purchase Agreement at the corresponding assumed purchase price per share set forth in the adjacent column, which does not include the 750,000 Commitment Shares previously issued to Lincoln Park, nor the 500,000 Initial Purchase Shares previously sold to Lincoln Park. Although the Purchase Agreement provides that we may sell up to $10,250,000 of our common stock to Lincoln Park (including the Initial Purchase Shares), we are only registering 9,592,607 shares (including the 750,000 Commitment Shares and the 500,000 Initial Purchase Shares previously issued to Lincoln Park) under this prospectus, which may or may not cover all the shares we ultimately sell to Lincoln Park under the Purchase Agreement, depending on the purchase price per share. As a result, we have included in this column only those shares that we are registering in this offering. If we seek to issue shares of our common stock, including shares from other transactions that may be aggregated with the transactions contemplated by the Purchase Agreement under the applicable rules of The Nasdaq Capital Market, in excess of 9,592,607 shares, or 19.99% of the total common stock outstanding immediately prior to the execution of the Purchase Agreement unless the average price per share exceeds the closing price of our common stock on The Nasdaq Capital Market on the business day immediately preceeding March 24, 2020, plus an incremental amount, such that issuances and sales of our common stock to Lincoln Park under the Purchase Agreement would be exempt from the Exchange Cap limitation under applicable Nasdaq rules, we may be required to seek stockholder approval to maintain compliance with the rules of The Nasdaq Capital Market.</w:t>
      </w:r>
    </w:p>
    <w:p>
      <w:pPr>
        <w:spacing w:after="0" w:line="183" w:lineRule="exact"/>
        <w:rPr>
          <w:rFonts w:ascii="Arial" w:cs="Arial" w:eastAsia="Arial" w:hAnsi="Arial"/>
          <w:sz w:val="16"/>
          <w:szCs w:val="16"/>
          <w:color w:val="auto"/>
        </w:rPr>
      </w:pPr>
    </w:p>
    <w:p>
      <w:pPr>
        <w:jc w:val="both"/>
        <w:ind w:left="500" w:hanging="492"/>
        <w:spacing w:after="0" w:line="29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denominator is based on 49,213,042 shares outstanding as of March 30, 2020, which includes (i) 750,000 Commitment Shares and 500,000 Initial Purchase Shares issued to Lincoln Park upon the execution of the Purchase Agreement, and (ii) the number of shares set forth in the adjacent column which we would have sold to Lincoln Park, assuming the purchase price in the adjacent column. The numerator is based on the number of shares issuable under the Purchase Agreement at the corresponding assumed purchase price set forth in the adjacent column.</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Minimum Price as calculated in accordance with rules of the Nasdaq Capital Market.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$250,000 proceeds from sale of 500,000 Initial Purchase Shares.</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common stock offered by this prospectus is being offered by the selling stockholder, Lincoln Park. 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66"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Lincoln Park is an “underwriter” within the meaning of Section 2(a)(11) of the Securities Act.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Lincoln Park has informed us that it intends to use an unaffiliated broker-dealer to effectuate all sales, if any, of the common stock that it may purchase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Brokers, dealers, underwriters or agents participating in the distribution of the shares as agents may receive compensation in the form of commissions, discounts, or concessions from the selling stockholder and/or purchasers of the common stock for whom the broker-dealers may act as agent. The compensation paid to a particular broker-dealer may be less than or in excess of customary commissions. Neither we nor Lincoln Park can presently estimate the amount of compensation that any agent will receive.</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know of no existing arrangements between Lincoln Park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stockholder, and any other required information.</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pay the expenses (except brokerage fees and commissions and similar expenses) incurred in registering the shares, including legal and accounting fees. We have agreed to indemnify Lincoln Park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spacing w:after="0" w:line="19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offering will terminate on the earlier of (i) termination of the Purchase Agreement or (ii) the date that all shares offered by this prospectus have been sold by Lincoln Park.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under the symbol “VTGN”.</w:t>
      </w:r>
    </w:p>
    <w:p>
      <w:pPr>
        <w:sectPr>
          <w:pgSz w:w="11900" w:h="16838" w:orient="portrait"/>
          <w:cols w:equalWidth="0" w:num="1">
            <w:col w:w="11240"/>
          </w:cols>
          <w:pgMar w:left="320" w:top="131" w:right="339"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622"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30, 2020,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49,213,042 shares of common stock held by approximately 6,000 stockholders of record;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26,555,281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2,235,000 registered shares of common stock reserved for issuance upon exercise of outstanding stock options under our 2019 Omnibus Equity Incentive Plan, with a weighted average exercise price of $1.22 per share,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6,730,162 registered shares of common stock reserved for future issuance in connection with future grants under our 2019 Omnibus Equity Incentive Plan.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08"/>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 JD</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64</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Vice President, Chief Financial Officer and Secretary</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Mark A. McPartland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54</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Vice President, Corporate Development</w:t>
            </w:r>
          </w:p>
        </w:tc>
      </w:tr>
    </w:tbl>
    <w:p>
      <w:pPr>
        <w:spacing w:after="0" w:line="21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 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that period was awarded a bonus by the Compensation Committee in the amount set forth in the Summary Compensation Table below. The Compensation Committee has not yet determined or awarded a bonus to any NEO for our fiscal year ended March 31, 2020. Payment of a bonus to an NEO for our fiscal year ended March 31, 2020, if any, is at the discretion of the Compensation Committee which may consider factors other than attainment of individual or corporate goals in its determination of bonus amounts to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All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Option</w:t>
            </w:r>
          </w:p>
        </w:tc>
        <w:tc>
          <w:tcPr>
            <w:tcW w:w="46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Other</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1"/>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Salary</w:t>
            </w:r>
          </w:p>
        </w:tc>
        <w:tc>
          <w:tcPr>
            <w:tcW w:w="1200" w:type="dxa"/>
            <w:vAlign w:val="bottom"/>
            <w:gridSpan w:val="2"/>
          </w:tcPr>
          <w:p>
            <w:pPr>
              <w:jc w:val="center"/>
              <w:ind w:right="220"/>
              <w:spacing w:after="0" w:line="230" w:lineRule="exact"/>
              <w:rPr>
                <w:sz w:val="20"/>
                <w:szCs w:val="20"/>
                <w:color w:val="auto"/>
              </w:rPr>
            </w:pPr>
            <w:r>
              <w:rPr>
                <w:rFonts w:ascii="Arial" w:cs="Arial" w:eastAsia="Arial" w:hAnsi="Arial"/>
                <w:sz w:val="18"/>
                <w:szCs w:val="18"/>
                <w:b w:val="1"/>
                <w:bCs w:val="1"/>
                <w:color w:val="auto"/>
                <w:w w:val="81"/>
              </w:rPr>
              <w:t xml:space="preserve">Bonus </w:t>
            </w:r>
            <w:r>
              <w:rPr>
                <w:rFonts w:ascii="Arial" w:cs="Arial" w:eastAsia="Arial" w:hAnsi="Arial"/>
                <w:sz w:val="24"/>
                <w:szCs w:val="24"/>
                <w:b w:val="1"/>
                <w:bCs w:val="1"/>
                <w:color w:val="auto"/>
                <w:w w:val="81"/>
                <w:vertAlign w:val="superscript"/>
              </w:rPr>
              <w:t>(9)</w:t>
            </w:r>
          </w:p>
        </w:tc>
        <w:tc>
          <w:tcPr>
            <w:tcW w:w="1100" w:type="dxa"/>
            <w:vAlign w:val="bottom"/>
            <w:gridSpan w:val="2"/>
          </w:tcPr>
          <w:p>
            <w:pPr>
              <w:ind w:left="100"/>
              <w:spacing w:after="0" w:line="230" w:lineRule="exact"/>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24"/>
                <w:szCs w:val="24"/>
                <w:b w:val="1"/>
                <w:bCs w:val="1"/>
                <w:color w:val="auto"/>
                <w:vertAlign w:val="superscript"/>
              </w:rPr>
              <w:t>(6)</w:t>
            </w:r>
          </w:p>
        </w:tc>
        <w:tc>
          <w:tcPr>
            <w:tcW w:w="4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Compensation</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64"/>
        </w:trPr>
        <w:tc>
          <w:tcPr>
            <w:tcW w:w="2420" w:type="dxa"/>
            <w:vAlign w:val="bottom"/>
          </w:tcPr>
          <w:p>
            <w:pPr>
              <w:spacing w:after="0"/>
              <w:rPr>
                <w:sz w:val="20"/>
                <w:szCs w:val="20"/>
                <w:color w:val="auto"/>
              </w:rPr>
            </w:pPr>
            <w:r>
              <w:rPr>
                <w:rFonts w:ascii="Arial" w:cs="Arial" w:eastAsia="Arial" w:hAnsi="Arial"/>
                <w:sz w:val="18"/>
                <w:szCs w:val="18"/>
                <w:b w:val="1"/>
                <w:bCs w:val="1"/>
                <w:color w:val="auto"/>
                <w:w w:val="98"/>
              </w:rPr>
              <w:t>Name and Principal Position</w:t>
            </w:r>
          </w:p>
        </w:tc>
        <w:tc>
          <w:tcPr>
            <w:tcW w:w="240" w:type="dxa"/>
            <w:vAlign w:val="bottom"/>
          </w:tcPr>
          <w:p>
            <w:pPr>
              <w:spacing w:after="0"/>
              <w:rPr>
                <w:sz w:val="22"/>
                <w:szCs w:val="22"/>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Year</w:t>
            </w:r>
          </w:p>
        </w:tc>
        <w:tc>
          <w:tcPr>
            <w:tcW w:w="10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2"/>
                <w:szCs w:val="22"/>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r>
      <w:tr>
        <w:trPr>
          <w:trHeight w:val="243"/>
        </w:trPr>
        <w:tc>
          <w:tcPr>
            <w:tcW w:w="24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4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498,000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435,667</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933,667</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466,365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110,305</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374,445</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951,115</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4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w w:val="99"/>
              </w:rPr>
              <w:t xml:space="preserve">H. Ralph Snodgrass, Ph.D. </w:t>
            </w:r>
            <w:r>
              <w:rPr>
                <w:rFonts w:ascii="Arial" w:cs="Arial" w:eastAsia="Arial" w:hAnsi="Arial"/>
                <w:sz w:val="24"/>
                <w:szCs w:val="24"/>
                <w:color w:val="auto"/>
                <w:w w:val="99"/>
                <w:vertAlign w:val="superscript"/>
              </w:rPr>
              <w:t>(2)</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416,850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254,405</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671,255</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President, Chief Scientific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393,991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73,444</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174,823</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642,258</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4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w w:val="99"/>
              </w:rPr>
              <w:t xml:space="preserve">Mark A. Smith, M.D., Ph.D. </w:t>
            </w:r>
            <w:r>
              <w:rPr>
                <w:rFonts w:ascii="Arial" w:cs="Arial" w:eastAsia="Arial" w:hAnsi="Arial"/>
                <w:sz w:val="24"/>
                <w:szCs w:val="24"/>
                <w:color w:val="auto"/>
                <w:w w:val="99"/>
                <w:vertAlign w:val="superscript"/>
              </w:rPr>
              <w:t>(3)</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416,850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179,988</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596,838</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393,991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73,444</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154,922</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622,357</w:t>
            </w:r>
          </w:p>
        </w:tc>
        <w:tc>
          <w:tcPr>
            <w:tcW w:w="120" w:type="dxa"/>
            <w:vAlign w:val="bottom"/>
            <w:shd w:val="clear" w:color="auto" w:fill="CCEEFF"/>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4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367,500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229,571</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597,071</w:t>
            </w:r>
          </w:p>
        </w:tc>
        <w:tc>
          <w:tcPr>
            <w:tcW w:w="120" w:type="dxa"/>
            <w:vAlign w:val="bottom"/>
            <w:shd w:val="clear" w:color="auto" w:fill="CCEEFF"/>
          </w:tcPr>
          <w:p>
            <w:pPr>
              <w:spacing w:after="0"/>
              <w:rPr>
                <w:sz w:val="21"/>
                <w:szCs w:val="21"/>
                <w:color w:val="auto"/>
              </w:rPr>
            </w:pPr>
          </w:p>
        </w:tc>
      </w:tr>
      <w:tr>
        <w:trPr>
          <w:trHeight w:val="241"/>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Vice President, Chief Financial</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344,992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64,749</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131,326</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541,067</w:t>
            </w:r>
          </w:p>
        </w:tc>
        <w:tc>
          <w:tcPr>
            <w:tcW w:w="120" w:type="dxa"/>
            <w:vAlign w:val="bottom"/>
            <w:shd w:val="clear" w:color="auto" w:fill="CCEEFF"/>
          </w:tcPr>
          <w:p>
            <w:pPr>
              <w:spacing w:after="0"/>
              <w:rPr>
                <w:sz w:val="20"/>
                <w:szCs w:val="20"/>
                <w:color w:val="auto"/>
              </w:rPr>
            </w:pPr>
          </w:p>
        </w:tc>
      </w:tr>
      <w:tr>
        <w:trPr>
          <w:trHeight w:val="245"/>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Officer and Secretary</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4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179,988</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479,988</w:t>
            </w:r>
          </w:p>
        </w:tc>
        <w:tc>
          <w:tcPr>
            <w:tcW w:w="120" w:type="dxa"/>
            <w:vAlign w:val="bottom"/>
            <w:shd w:val="clear" w:color="auto" w:fill="CCEEFF"/>
          </w:tcPr>
          <w:p>
            <w:pPr>
              <w:spacing w:after="0"/>
              <w:rPr>
                <w:sz w:val="21"/>
                <w:szCs w:val="21"/>
                <w:color w:val="auto"/>
              </w:rPr>
            </w:pPr>
          </w:p>
        </w:tc>
      </w:tr>
      <w:tr>
        <w:trPr>
          <w:trHeight w:val="208"/>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268,750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50,874</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187,017</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506,641</w:t>
            </w:r>
          </w:p>
        </w:tc>
        <w:tc>
          <w:tcPr>
            <w:tcW w:w="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60" w:hanging="452"/>
        <w:spacing w:after="0" w:line="29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jc w:val="both"/>
        <w:ind w:left="460" w:hanging="452"/>
        <w:spacing w:after="0" w:line="31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156" w:lineRule="exact"/>
        <w:rPr>
          <w:rFonts w:ascii="Arial" w:cs="Arial" w:eastAsia="Arial" w:hAnsi="Arial"/>
          <w:sz w:val="15"/>
          <w:szCs w:val="15"/>
          <w:color w:val="auto"/>
        </w:rPr>
      </w:pPr>
    </w:p>
    <w:p>
      <w:pPr>
        <w:ind w:left="460" w:hanging="452"/>
        <w:spacing w:after="0" w:line="33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140"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193"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193" w:lineRule="exact"/>
        <w:rPr>
          <w:rFonts w:ascii="Arial" w:cs="Arial" w:eastAsia="Arial" w:hAnsi="Arial"/>
          <w:sz w:val="18"/>
          <w:szCs w:val="18"/>
          <w:color w:val="auto"/>
        </w:rPr>
      </w:pPr>
    </w:p>
    <w:p>
      <w:pPr>
        <w:jc w:val="both"/>
        <w:ind w:left="460" w:hanging="452"/>
        <w:spacing w:after="0" w:line="28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pacing w:after="0" w:line="17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2020 and the assumptions used in the Black Scholes Option Pricing Model to determine the grant date fair values of the respective awards.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91"/>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Option Grant</w:t>
            </w: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Compensation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5/23/2019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9/5/2019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254,405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229,571</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20" w:type="dxa"/>
            <w:vAlign w:val="bottom"/>
          </w:tcPr>
          <w:p>
            <w:pPr>
              <w:spacing w:after="0"/>
              <w:rPr>
                <w:sz w:val="18"/>
                <w:szCs w:val="18"/>
                <w:color w:val="auto"/>
              </w:rPr>
            </w:pP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365,130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95,803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818,646</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1,279,619</w:t>
            </w:r>
          </w:p>
        </w:tc>
        <w:tc>
          <w:tcPr>
            <w:tcW w:w="20" w:type="dxa"/>
            <w:vAlign w:val="bottom"/>
          </w:tcPr>
          <w:p>
            <w:pPr>
              <w:spacing w:after="0"/>
              <w:rPr>
                <w:sz w:val="21"/>
                <w:szCs w:val="21"/>
                <w:color w:val="auto"/>
              </w:rPr>
            </w:pPr>
          </w:p>
        </w:tc>
      </w:tr>
      <w:tr>
        <w:trPr>
          <w:trHeight w:val="22"/>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Option Grant</w:t>
            </w: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Shares Granted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5/23/2019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9/5/2019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2,125,000</w:t>
            </w:r>
          </w:p>
        </w:tc>
        <w:tc>
          <w:tcPr>
            <w:tcW w:w="20" w:type="dxa"/>
            <w:vAlign w:val="bottom"/>
          </w:tcPr>
          <w:p>
            <w:pPr>
              <w:spacing w:after="0"/>
              <w:rPr>
                <w:sz w:val="18"/>
                <w:szCs w:val="18"/>
                <w:color w:val="auto"/>
              </w:rPr>
            </w:pPr>
          </w:p>
        </w:tc>
      </w:tr>
      <w:tr>
        <w:trPr>
          <w:trHeight w:val="21"/>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50"/>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Option Grant</w:t>
            </w: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Assumptions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5/23/2019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9/5/2019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10/21/2019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 rate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43"/>
        </w:trPr>
        <w:tc>
          <w:tcPr>
            <w:tcW w:w="5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825,000</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Modifications</w:t>
            </w:r>
          </w:p>
        </w:tc>
        <w:tc>
          <w:tcPr>
            <w:tcW w:w="1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Compensation – Fiscal Year Ended March 31, 2019</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8"/>
              </w:rPr>
              <w:t>8/5/2018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8/29/2018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1/14/2019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174,823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131,326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42"/>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467,068</w:t>
            </w:r>
          </w:p>
        </w:tc>
        <w:tc>
          <w:tcPr>
            <w:tcW w:w="1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276,456</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1,022,553</w:t>
            </w:r>
          </w:p>
        </w:tc>
      </w:tr>
      <w:tr>
        <w:trPr>
          <w:trHeight w:val="21"/>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7"/>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5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Modifications</w:t>
            </w:r>
          </w:p>
        </w:tc>
        <w:tc>
          <w:tcPr>
            <w:tcW w:w="1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Shares Granted - Fiscal Year Ended March 31, 2019</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8"/>
              </w:rPr>
              <w:t>8/5/2018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8/29/2018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1/14/2019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2,125,000</w:t>
            </w:r>
          </w:p>
        </w:tc>
      </w:tr>
      <w:tr>
        <w:trPr>
          <w:trHeight w:val="20"/>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885"/>
        </w:trPr>
        <w:tc>
          <w:tcPr>
            <w:tcW w:w="5960" w:type="dxa"/>
            <w:vAlign w:val="bottom"/>
          </w:tcPr>
          <w:p>
            <w:pPr>
              <w:spacing w:after="0"/>
              <w:rPr>
                <w:sz w:val="24"/>
                <w:szCs w:val="24"/>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Option Grant</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Option Modifications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Option Grant</w:t>
            </w:r>
          </w:p>
        </w:tc>
      </w:tr>
      <w:tr>
        <w:trPr>
          <w:trHeight w:val="285"/>
        </w:trPr>
        <w:tc>
          <w:tcPr>
            <w:tcW w:w="5960" w:type="dxa"/>
            <w:vAlign w:val="bottom"/>
          </w:tcPr>
          <w:p>
            <w:pPr>
              <w:ind w:left="60"/>
              <w:spacing w:after="0"/>
              <w:rPr>
                <w:sz w:val="20"/>
                <w:szCs w:val="20"/>
                <w:color w:val="auto"/>
              </w:rPr>
            </w:pPr>
            <w:r>
              <w:rPr>
                <w:rFonts w:ascii="Arial" w:cs="Arial" w:eastAsia="Arial" w:hAnsi="Arial"/>
                <w:sz w:val="18"/>
                <w:szCs w:val="18"/>
                <w:color w:val="auto"/>
              </w:rPr>
              <w:t>Option Award Assumptions – Fiscal Year Ended March 31, 2019</w:t>
            </w:r>
          </w:p>
        </w:tc>
        <w:tc>
          <w:tcPr>
            <w:tcW w:w="1060" w:type="dxa"/>
            <w:vAlign w:val="bottom"/>
          </w:tcPr>
          <w:p>
            <w:pPr>
              <w:jc w:val="right"/>
              <w:spacing w:after="0"/>
              <w:rPr>
                <w:sz w:val="20"/>
                <w:szCs w:val="20"/>
                <w:color w:val="auto"/>
              </w:rPr>
            </w:pPr>
            <w:r>
              <w:rPr>
                <w:rFonts w:ascii="Arial" w:cs="Arial" w:eastAsia="Arial" w:hAnsi="Arial"/>
                <w:sz w:val="18"/>
                <w:szCs w:val="18"/>
                <w:color w:val="auto"/>
              </w:rPr>
              <w:t>8/5/2018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8/29/2018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1/14/2019</w:t>
            </w:r>
          </w:p>
        </w:tc>
        <w:tc>
          <w:tcPr>
            <w:tcW w:w="180" w:type="dxa"/>
            <w:vAlign w:val="bottom"/>
          </w:tcPr>
          <w:p>
            <w:pPr>
              <w:spacing w:after="0"/>
              <w:rPr>
                <w:sz w:val="24"/>
                <w:szCs w:val="24"/>
                <w:color w:val="auto"/>
              </w:rPr>
            </w:pPr>
          </w:p>
        </w:tc>
      </w:tr>
      <w:tr>
        <w:trPr>
          <w:trHeight w:val="243"/>
        </w:trPr>
        <w:tc>
          <w:tcPr>
            <w:tcW w:w="596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99.29%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93.56%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Dividend rate</w:t>
            </w: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43"/>
        </w:trPr>
        <w:tc>
          <w:tcPr>
            <w:tcW w:w="59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Fair value per share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2" w:lineRule="exact"/>
        <w:rPr>
          <w:sz w:val="20"/>
          <w:szCs w:val="20"/>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reported in the Bonus column reflect bonuses earned and accrued during the year ended March 31, 2019 by each NEO for attainment of performance-based objectives during that period. Bonus amounts earned during the year ended March 31, 2019 were paid to each NEO during the subsequent fiscal year.</w:t>
      </w:r>
    </w:p>
    <w:p>
      <w:pPr>
        <w:spacing w:after="0" w:line="19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Compensation Committee has not yet determined or awarded a bonus to any NEO for our fiscal year ended March 31, 2020, nor have any bonus amounts been accrued as of the date of this prospectus.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NEO is entitled to any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65"/>
              <w:spacing w:after="0"/>
              <w:rPr>
                <w:sz w:val="20"/>
                <w:szCs w:val="20"/>
                <w:color w:val="auto"/>
              </w:rPr>
            </w:pPr>
            <w:r>
              <w:rPr>
                <w:rFonts w:ascii="Arial" w:cs="Arial" w:eastAsia="Arial" w:hAnsi="Arial"/>
                <w:sz w:val="18"/>
                <w:szCs w:val="18"/>
                <w:b w:val="1"/>
                <w:bCs w:val="1"/>
                <w:color w:val="auto"/>
                <w:w w:val="89"/>
              </w:rPr>
              <w:t>Stock Options and Warrants</w:t>
            </w:r>
          </w:p>
        </w:tc>
        <w:tc>
          <w:tcPr>
            <w:tcW w:w="1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Unexercised</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Unexercised</w:t>
            </w:r>
          </w:p>
        </w:tc>
        <w:tc>
          <w:tcPr>
            <w:tcW w:w="6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2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 Exercisable</w:t>
            </w:r>
          </w:p>
        </w:tc>
        <w:tc>
          <w:tcPr>
            <w:tcW w:w="620" w:type="dxa"/>
            <w:vAlign w:val="bottom"/>
          </w:tcPr>
          <w:p>
            <w:pPr>
              <w:spacing w:after="0"/>
              <w:rPr>
                <w:sz w:val="22"/>
                <w:szCs w:val="22"/>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Unexercisable</w:t>
            </w:r>
          </w:p>
        </w:tc>
        <w:tc>
          <w:tcPr>
            <w:tcW w:w="6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2"/>
                <w:szCs w:val="22"/>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Shawn K. Singh</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9/2/2020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187,500</w:t>
            </w:r>
          </w:p>
        </w:tc>
        <w:tc>
          <w:tcPr>
            <w:tcW w:w="620" w:type="dxa"/>
            <w:vAlign w:val="bottom"/>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c>
          <w:tcPr>
            <w:tcW w:w="620" w:type="dxa"/>
            <w:vAlign w:val="bottom"/>
          </w:tcPr>
          <w:p>
            <w:pPr>
              <w:ind w:left="180"/>
              <w:spacing w:after="0"/>
              <w:rPr>
                <w:sz w:val="20"/>
                <w:szCs w:val="20"/>
                <w:color w:val="auto"/>
              </w:rPr>
            </w:pPr>
            <w:r>
              <w:rPr>
                <w:rFonts w:ascii="Arial" w:cs="Arial" w:eastAsia="Arial" w:hAnsi="Arial"/>
                <w:sz w:val="15"/>
                <w:szCs w:val="15"/>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6/19/2026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170,138</w:t>
            </w:r>
          </w:p>
        </w:tc>
        <w:tc>
          <w:tcPr>
            <w:tcW w:w="620" w:type="dxa"/>
            <w:vAlign w:val="bottom"/>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4,862</w:t>
            </w:r>
          </w:p>
        </w:tc>
        <w:tc>
          <w:tcPr>
            <w:tcW w:w="620" w:type="dxa"/>
            <w:vAlign w:val="bottom"/>
          </w:tcPr>
          <w:p>
            <w:pPr>
              <w:ind w:left="180"/>
              <w:spacing w:after="0"/>
              <w:rPr>
                <w:sz w:val="20"/>
                <w:szCs w:val="20"/>
                <w:color w:val="auto"/>
              </w:rPr>
            </w:pPr>
            <w:r>
              <w:rPr>
                <w:rFonts w:ascii="Arial" w:cs="Arial" w:eastAsia="Arial" w:hAnsi="Arial"/>
                <w:sz w:val="15"/>
                <w:szCs w:val="15"/>
                <w:color w:val="auto"/>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4/26/2027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1/14/2029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58,335</w:t>
            </w:r>
          </w:p>
        </w:tc>
        <w:tc>
          <w:tcPr>
            <w:tcW w:w="620" w:type="dxa"/>
            <w:vAlign w:val="bottom"/>
          </w:tcPr>
          <w:p>
            <w:pPr>
              <w:ind w:left="180"/>
              <w:spacing w:after="0"/>
              <w:rPr>
                <w:sz w:val="20"/>
                <w:szCs w:val="20"/>
                <w:color w:val="auto"/>
              </w:rPr>
            </w:pPr>
            <w:r>
              <w:rPr>
                <w:rFonts w:ascii="Arial" w:cs="Arial" w:eastAsia="Arial" w:hAnsi="Arial"/>
                <w:sz w:val="15"/>
                <w:szCs w:val="15"/>
                <w:color w:val="auto"/>
              </w:rPr>
              <w:t>(7)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21,665</w:t>
            </w:r>
          </w:p>
        </w:tc>
        <w:tc>
          <w:tcPr>
            <w:tcW w:w="620" w:type="dxa"/>
            <w:vAlign w:val="bottom"/>
          </w:tcPr>
          <w:p>
            <w:pPr>
              <w:ind w:left="180"/>
              <w:spacing w:after="0"/>
              <w:rPr>
                <w:sz w:val="20"/>
                <w:szCs w:val="20"/>
                <w:color w:val="auto"/>
              </w:rPr>
            </w:pPr>
            <w:r>
              <w:rPr>
                <w:rFonts w:ascii="Arial" w:cs="Arial" w:eastAsia="Arial" w:hAnsi="Arial"/>
                <w:sz w:val="15"/>
                <w:szCs w:val="15"/>
                <w:color w:val="auto"/>
              </w:rPr>
              <w:t>(7)</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5/23/2029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9/5/2029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right w:val="single" w:sz="8" w:color="CCEEFF"/>
            </w:tcBorders>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121,875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178,125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1,604,848</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392,152</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120" w:type="dxa"/>
            <w:vAlign w:val="bottom"/>
            <w:tcBorders>
              <w:right w:val="single" w:sz="8" w:color="CCEEFF"/>
            </w:tcBorders>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117,187</w:t>
            </w:r>
          </w:p>
        </w:tc>
        <w:tc>
          <w:tcPr>
            <w:tcW w:w="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7,813</w:t>
            </w:r>
          </w:p>
        </w:tc>
        <w:tc>
          <w:tcPr>
            <w:tcW w:w="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vMerge w:val="restart"/>
            <w:shd w:val="clear" w:color="auto" w:fill="CCEEFF"/>
          </w:tcPr>
          <w:p>
            <w:pPr>
              <w:jc w:val="center"/>
              <w:ind w:left="232"/>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120" w:type="dxa"/>
            <w:vAlign w:val="bottom"/>
            <w:tcBorders>
              <w:right w:val="single" w:sz="8" w:color="CCEEFF"/>
            </w:tcBorders>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600" w:type="dxa"/>
            <w:vAlign w:val="bottom"/>
            <w:tcBorders>
              <w:left w:val="single" w:sz="8" w:color="CCEEFF"/>
            </w:tcBorders>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105,468</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19,532</w:t>
            </w:r>
          </w:p>
        </w:tc>
        <w:tc>
          <w:tcPr>
            <w:tcW w:w="620" w:type="dxa"/>
            <w:vAlign w:val="bottom"/>
          </w:tcPr>
          <w:p>
            <w:pPr>
              <w:ind w:left="180"/>
              <w:spacing w:after="0"/>
              <w:rPr>
                <w:sz w:val="20"/>
                <w:szCs w:val="20"/>
                <w:color w:val="auto"/>
              </w:rPr>
            </w:pPr>
            <w:r>
              <w:rPr>
                <w:rFonts w:ascii="Arial" w:cs="Arial" w:eastAsia="Arial" w:hAnsi="Arial"/>
                <w:sz w:val="15"/>
                <w:szCs w:val="15"/>
                <w:color w:val="auto"/>
              </w:rPr>
              <w:t>(4)</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71,094</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103,906</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1,039,026</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215,974</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84,375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15,625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40,625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59,375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864,027</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170,973</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5,001</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10/30/2022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10/27/2023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9/2/2020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70,312</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97,222</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84,375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15,625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60,938</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89,062</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847,598</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193,403</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4120" w:type="dxa"/>
            <w:vAlign w:val="bottom"/>
            <w:tcBorders>
              <w:right w:val="single" w:sz="8" w:color="CCEEFF"/>
            </w:tcBorders>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320" w:type="dxa"/>
            <w:vAlign w:val="bottom"/>
            <w:tcBorders>
              <w:left w:val="single" w:sz="8" w:color="CCEEFF"/>
            </w:tcBorders>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1"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109,375</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15,625</w:t>
            </w:r>
          </w:p>
        </w:tc>
        <w:tc>
          <w:tcPr>
            <w:tcW w:w="6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9/29/2026</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600" w:type="dxa"/>
            <w:vAlign w:val="bottom"/>
          </w:tcPr>
          <w:p>
            <w:pPr>
              <w:ind w:left="160"/>
              <w:spacing w:after="0"/>
              <w:rPr>
                <w:sz w:val="20"/>
                <w:szCs w:val="20"/>
                <w:color w:val="auto"/>
              </w:rPr>
            </w:pPr>
            <w:r>
              <w:rPr>
                <w:rFonts w:ascii="Arial" w:cs="Arial" w:eastAsia="Arial" w:hAnsi="Arial"/>
                <w:sz w:val="15"/>
                <w:szCs w:val="15"/>
                <w:color w:val="auto"/>
              </w:rPr>
              <w:t>(2)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ind w:left="160"/>
              <w:spacing w:after="0"/>
              <w:rPr>
                <w:sz w:val="20"/>
                <w:szCs w:val="20"/>
                <w:color w:val="auto"/>
              </w:rPr>
            </w:pPr>
            <w:r>
              <w:rPr>
                <w:rFonts w:ascii="Arial" w:cs="Arial" w:eastAsia="Arial" w:hAnsi="Arial"/>
                <w:sz w:val="15"/>
                <w:szCs w:val="15"/>
                <w:color w:val="auto"/>
              </w:rPr>
              <w:t>(6)</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w w:val="87"/>
              </w:rPr>
              <w:t>11/9/2026</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97,222</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2,778</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4/26/2027</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6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480" w:type="dxa"/>
            <w:vAlign w:val="bottom"/>
          </w:tcPr>
          <w:p>
            <w:pPr>
              <w:jc w:val="center"/>
              <w:ind w:right="32"/>
              <w:spacing w:after="0"/>
              <w:rPr>
                <w:sz w:val="20"/>
                <w:szCs w:val="20"/>
                <w:color w:val="auto"/>
              </w:rPr>
            </w:pPr>
            <w:r>
              <w:rPr>
                <w:rFonts w:ascii="Arial" w:cs="Arial" w:eastAsia="Arial" w:hAnsi="Arial"/>
                <w:sz w:val="18"/>
                <w:szCs w:val="18"/>
                <w:color w:val="auto"/>
                <w:w w:val="89"/>
              </w:rPr>
              <w:t>9/19/2027</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6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4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2/2/2028</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126,562</w:t>
            </w:r>
          </w:p>
        </w:tc>
        <w:tc>
          <w:tcPr>
            <w:tcW w:w="600" w:type="dxa"/>
            <w:vAlign w:val="bottom"/>
          </w:tcPr>
          <w:p>
            <w:pPr>
              <w:ind w:left="160"/>
              <w:spacing w:after="0"/>
              <w:rPr>
                <w:sz w:val="20"/>
                <w:szCs w:val="20"/>
                <w:color w:val="auto"/>
              </w:rPr>
            </w:pPr>
            <w:r>
              <w:rPr>
                <w:rFonts w:ascii="Arial" w:cs="Arial" w:eastAsia="Arial" w:hAnsi="Arial"/>
                <w:sz w:val="15"/>
                <w:szCs w:val="15"/>
                <w:color w:val="auto"/>
              </w:rPr>
              <w:t>(5)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23,438</w:t>
            </w:r>
          </w:p>
        </w:tc>
        <w:tc>
          <w:tcPr>
            <w:tcW w:w="600" w:type="dxa"/>
            <w:vAlign w:val="bottom"/>
          </w:tcPr>
          <w:p>
            <w:pPr>
              <w:ind w:left="160"/>
              <w:spacing w:after="0"/>
              <w:rPr>
                <w:sz w:val="20"/>
                <w:szCs w:val="20"/>
                <w:color w:val="auto"/>
              </w:rPr>
            </w:pPr>
            <w:r>
              <w:rPr>
                <w:rFonts w:ascii="Arial" w:cs="Arial" w:eastAsia="Arial" w:hAnsi="Arial"/>
                <w:sz w:val="15"/>
                <w:szCs w:val="15"/>
                <w:color w:val="auto"/>
              </w:rPr>
              <w:t>(5)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w w:val="88"/>
              </w:rPr>
              <w:t>8/5/2028</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68,750</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81,250</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5/23/2029</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40,625</w:t>
            </w:r>
          </w:p>
        </w:tc>
        <w:tc>
          <w:tcPr>
            <w:tcW w:w="600" w:type="dxa"/>
            <w:vAlign w:val="bottom"/>
          </w:tcPr>
          <w:p>
            <w:pPr>
              <w:ind w:left="160"/>
              <w:spacing w:after="0"/>
              <w:rPr>
                <w:sz w:val="20"/>
                <w:szCs w:val="20"/>
                <w:color w:val="auto"/>
              </w:rPr>
            </w:pPr>
            <w:r>
              <w:rPr>
                <w:rFonts w:ascii="Arial" w:cs="Arial" w:eastAsia="Arial" w:hAnsi="Arial"/>
                <w:sz w:val="15"/>
                <w:szCs w:val="15"/>
                <w:color w:val="auto"/>
              </w:rPr>
              <w:t>(10)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59,375</w:t>
            </w:r>
          </w:p>
        </w:tc>
        <w:tc>
          <w:tcPr>
            <w:tcW w:w="600" w:type="dxa"/>
            <w:vAlign w:val="bottom"/>
          </w:tcPr>
          <w:p>
            <w:pPr>
              <w:ind w:left="160"/>
              <w:spacing w:after="0"/>
              <w:rPr>
                <w:sz w:val="20"/>
                <w:szCs w:val="20"/>
                <w:color w:val="auto"/>
              </w:rPr>
            </w:pPr>
            <w:r>
              <w:rPr>
                <w:rFonts w:ascii="Arial" w:cs="Arial" w:eastAsia="Arial" w:hAnsi="Arial"/>
                <w:sz w:val="15"/>
                <w:szCs w:val="15"/>
                <w:color w:val="auto"/>
              </w:rPr>
              <w:t>(10)</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480" w:type="dxa"/>
            <w:vAlign w:val="bottom"/>
          </w:tcPr>
          <w:p>
            <w:pPr>
              <w:jc w:val="center"/>
              <w:ind w:right="32"/>
              <w:spacing w:after="0"/>
              <w:rPr>
                <w:sz w:val="20"/>
                <w:szCs w:val="20"/>
                <w:color w:val="auto"/>
              </w:rPr>
            </w:pPr>
            <w:r>
              <w:rPr>
                <w:rFonts w:ascii="Arial" w:cs="Arial" w:eastAsia="Arial" w:hAnsi="Arial"/>
                <w:sz w:val="18"/>
                <w:szCs w:val="18"/>
                <w:color w:val="auto"/>
                <w:w w:val="88"/>
              </w:rPr>
              <w:t>10/21/2029</w:t>
            </w:r>
          </w:p>
        </w:tc>
      </w:tr>
      <w:tr>
        <w:trPr>
          <w:trHeight w:val="28"/>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682,534</w:t>
            </w:r>
          </w:p>
        </w:tc>
        <w:tc>
          <w:tcPr>
            <w:tcW w:w="6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182,466</w:t>
            </w: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bl>
    <w:p>
      <w:pPr>
        <w:spacing w:after="0" w:line="208" w:lineRule="exact"/>
        <w:rPr>
          <w:sz w:val="20"/>
          <w:szCs w:val="20"/>
          <w:color w:val="auto"/>
        </w:rPr>
      </w:pPr>
    </w:p>
    <w:p>
      <w:pPr>
        <w:jc w:val="both"/>
        <w:ind w:left="4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193" w:lineRule="exact"/>
        <w:rPr>
          <w:rFonts w:ascii="Arial" w:cs="Arial" w:eastAsia="Arial" w:hAnsi="Arial"/>
          <w:sz w:val="18"/>
          <w:szCs w:val="18"/>
          <w:color w:val="auto"/>
        </w:rPr>
      </w:pPr>
    </w:p>
    <w:p>
      <w:pPr>
        <w:ind w:left="460" w:hanging="452"/>
        <w:spacing w:after="0" w:line="369"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117" w:lineRule="exact"/>
        <w:rPr>
          <w:rFonts w:ascii="Arial" w:cs="Arial" w:eastAsia="Arial" w:hAnsi="Arial"/>
          <w:sz w:val="15"/>
          <w:szCs w:val="15"/>
          <w:color w:val="auto"/>
        </w:rPr>
      </w:pPr>
    </w:p>
    <w:p>
      <w:pPr>
        <w:jc w:val="both"/>
        <w:ind w:left="4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160" w:lineRule="exact"/>
        <w:rPr>
          <w:rFonts w:ascii="Arial" w:cs="Arial" w:eastAsia="Arial" w:hAnsi="Arial"/>
          <w:sz w:val="16"/>
          <w:szCs w:val="16"/>
          <w:color w:val="auto"/>
        </w:rPr>
      </w:pPr>
    </w:p>
    <w:p>
      <w:pPr>
        <w:jc w:val="both"/>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60"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The Compensation Committee has not yet determined or awarded a bonus to Mr. Singh for attainment of performance-based objectives during our fiscal year ended March 31, 2020. The award of his annual incentive bonus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The Compensation Committee has not yet determined or awarded a bonus to Dr. Snodgrass for attainment of performance-based objectives during our fiscal year ended March 31, 2020. The award of his annual incentive bonus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86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gridSpan w:val="3"/>
          </w:tcPr>
          <w:p>
            <w:pPr>
              <w:ind w:left="6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20" w:type="dxa"/>
            <w:vAlign w:val="bottom"/>
          </w:tcPr>
          <w:p>
            <w:pPr>
              <w:jc w:val="center"/>
              <w:ind w:left="312"/>
              <w:spacing w:after="0"/>
              <w:rPr>
                <w:sz w:val="20"/>
                <w:szCs w:val="20"/>
                <w:color w:val="auto"/>
              </w:rPr>
            </w:pPr>
            <w:r>
              <w:rPr>
                <w:rFonts w:ascii="Arial" w:cs="Arial" w:eastAsia="Arial" w:hAnsi="Arial"/>
                <w:sz w:val="18"/>
                <w:szCs w:val="18"/>
                <w:b w:val="1"/>
                <w:bCs w:val="1"/>
                <w:color w:val="auto"/>
                <w:w w:val="88"/>
              </w:rPr>
              <w:t>Age</w:t>
            </w:r>
          </w:p>
        </w:tc>
        <w:tc>
          <w:tcPr>
            <w:tcW w:w="40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05"/>
        </w:trPr>
        <w:tc>
          <w:tcPr>
            <w:tcW w:w="3620" w:type="dxa"/>
            <w:vAlign w:val="bottom"/>
            <w:tcBorders>
              <w:top w:val="single" w:sz="8" w:color="auto"/>
            </w:tcBorders>
          </w:tcPr>
          <w:p>
            <w:pPr>
              <w:spacing w:after="0" w:line="204" w:lineRule="exact"/>
              <w:rPr>
                <w:sz w:val="20"/>
                <w:szCs w:val="20"/>
                <w:color w:val="auto"/>
              </w:rPr>
            </w:pPr>
            <w:r>
              <w:rPr>
                <w:rFonts w:ascii="Arial" w:cs="Arial" w:eastAsia="Arial" w:hAnsi="Arial"/>
                <w:sz w:val="17"/>
                <w:szCs w:val="17"/>
                <w:color w:val="auto"/>
              </w:rPr>
              <w:t xml:space="preserve">Jon S. Saxe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center"/>
              <w:ind w:left="312"/>
              <w:spacing w:after="0" w:line="205" w:lineRule="exact"/>
              <w:rPr>
                <w:sz w:val="20"/>
                <w:szCs w:val="20"/>
                <w:color w:val="auto"/>
              </w:rPr>
            </w:pPr>
            <w:r>
              <w:rPr>
                <w:rFonts w:ascii="Arial" w:cs="Arial" w:eastAsia="Arial" w:hAnsi="Arial"/>
                <w:sz w:val="18"/>
                <w:szCs w:val="18"/>
                <w:color w:val="auto"/>
                <w:w w:val="89"/>
              </w:rPr>
              <w:t>83</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Director</w:t>
            </w:r>
          </w:p>
        </w:tc>
      </w:tr>
      <w:tr>
        <w:trPr>
          <w:trHeight w:val="216"/>
        </w:trPr>
        <w:tc>
          <w:tcPr>
            <w:tcW w:w="362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52</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9"/>
        </w:trPr>
        <w:tc>
          <w:tcPr>
            <w:tcW w:w="3620" w:type="dxa"/>
            <w:vAlign w:val="bottom"/>
          </w:tcPr>
          <w:p>
            <w:pPr>
              <w:spacing w:after="0" w:line="219"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76</w:t>
            </w:r>
          </w:p>
        </w:tc>
        <w:tc>
          <w:tcPr>
            <w:tcW w:w="400" w:type="dxa"/>
            <w:vAlign w:val="bottom"/>
          </w:tcPr>
          <w:p>
            <w:pPr>
              <w:spacing w:after="0"/>
              <w:rPr>
                <w:sz w:val="19"/>
                <w:szCs w:val="19"/>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Shawn K. Singh</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57</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H. Ralph Snodgrass, Ph.D.</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70</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62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79</w:t>
            </w:r>
          </w:p>
        </w:tc>
        <w:tc>
          <w:tcPr>
            <w:tcW w:w="40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15" w:lineRule="exact"/>
        <w:rPr>
          <w:sz w:val="20"/>
          <w:szCs w:val="20"/>
          <w:color w:val="auto"/>
        </w:rPr>
      </w:pPr>
    </w:p>
    <w:p>
      <w:pPr>
        <w:ind w:left="300" w:hanging="292"/>
        <w:spacing w:after="0" w:line="254"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seven private life science companies, Achelios, Arbor Vita Corporation, Aether, Inc., Arcuo Medical, LLC, Cancer Prevention Pharmaceuticals, Inc., Lumos Pharma,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21 of this prospectus, under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21 of this prospectus, under the section 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In October 2019, following the approval by our stockholders of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we granted to each of our four independent directors options to purchase 125,000 shares of our common stock at an exercise price of $1.41 per share under the terms of our 2019 Plan. Each grant awarded to our independent directors during the year ended March 31, 2020 expires ten years after the date of grant.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7"/>
              <w:spacing w:after="0" w:line="243" w:lineRule="exact"/>
              <w:rPr>
                <w:sz w:val="20"/>
                <w:szCs w:val="20"/>
                <w:color w:val="auto"/>
              </w:rPr>
            </w:pPr>
            <w:r>
              <w:rPr>
                <w:rFonts w:ascii="Arial" w:cs="Arial" w:eastAsia="Arial" w:hAnsi="Arial"/>
                <w:sz w:val="28"/>
                <w:szCs w:val="28"/>
                <w:b w:val="1"/>
                <w:bCs w:val="1"/>
                <w:color w:val="auto"/>
                <w:w w:val="92"/>
                <w:vertAlign w:val="subscript"/>
              </w:rPr>
              <w:t>Awards</w:t>
            </w:r>
            <w:r>
              <w:rPr>
                <w:rFonts w:ascii="Arial" w:cs="Arial" w:eastAsia="Arial" w:hAnsi="Arial"/>
                <w:sz w:val="11"/>
                <w:szCs w:val="11"/>
                <w:b w:val="1"/>
                <w:bCs w:val="1"/>
                <w:color w:val="auto"/>
                <w:w w:val="92"/>
              </w:rPr>
              <w:t xml:space="preserve"> (2)(7)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3000" w:type="dxa"/>
            <w:vAlign w:val="bottom"/>
            <w:gridSpan w:val="3"/>
          </w:tcPr>
          <w:p>
            <w:pPr>
              <w:jc w:val="center"/>
              <w:ind w:left="1857"/>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line="331"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140" w:lineRule="exact"/>
        <w:rPr>
          <w:rFonts w:ascii="Arial" w:cs="Arial" w:eastAsia="Arial" w:hAnsi="Arial"/>
          <w:sz w:val="16"/>
          <w:szCs w:val="16"/>
          <w:color w:val="auto"/>
        </w:rPr>
      </w:pPr>
    </w:p>
    <w:p>
      <w:pPr>
        <w:jc w:val="both"/>
        <w:ind w:left="320" w:hanging="312"/>
        <w:spacing w:after="0" w:line="290"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171" w:lineRule="exact"/>
        <w:rPr>
          <w:rFonts w:ascii="Arial" w:cs="Arial" w:eastAsia="Arial" w:hAnsi="Arial"/>
          <w:sz w:val="16"/>
          <w:szCs w:val="16"/>
          <w:color w:val="auto"/>
        </w:rPr>
      </w:pPr>
    </w:p>
    <w:p>
      <w:pPr>
        <w:jc w:val="both"/>
        <w:ind w:left="320" w:hanging="312"/>
        <w:spacing w:after="0" w:line="298"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166" w:lineRule="exact"/>
        <w:rPr>
          <w:rFonts w:ascii="Arial" w:cs="Arial" w:eastAsia="Arial" w:hAnsi="Arial"/>
          <w:sz w:val="16"/>
          <w:szCs w:val="16"/>
          <w:color w:val="auto"/>
        </w:rPr>
      </w:pPr>
    </w:p>
    <w:p>
      <w:pPr>
        <w:jc w:val="both"/>
        <w:ind w:left="320" w:hanging="312"/>
        <w:spacing w:after="0" w:line="256"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196" w:lineRule="exact"/>
        <w:rPr>
          <w:rFonts w:ascii="Arial" w:cs="Arial" w:eastAsia="Arial" w:hAnsi="Arial"/>
          <w:sz w:val="18"/>
          <w:szCs w:val="18"/>
          <w:color w:val="auto"/>
        </w:rPr>
      </w:pPr>
    </w:p>
    <w:p>
      <w:pPr>
        <w:jc w:val="both"/>
        <w:ind w:left="320" w:hanging="312"/>
        <w:spacing w:after="0" w:line="298"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166" w:lineRule="exact"/>
        <w:rPr>
          <w:rFonts w:ascii="Arial" w:cs="Arial" w:eastAsia="Arial" w:hAnsi="Arial"/>
          <w:sz w:val="16"/>
          <w:szCs w:val="16"/>
          <w:color w:val="auto"/>
        </w:rPr>
      </w:pPr>
    </w:p>
    <w:p>
      <w:pPr>
        <w:jc w:val="both"/>
        <w:ind w:left="320" w:hanging="312"/>
        <w:spacing w:after="0" w:line="259"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193" w:lineRule="exact"/>
        <w:rPr>
          <w:rFonts w:ascii="Arial" w:cs="Arial" w:eastAsia="Arial" w:hAnsi="Arial"/>
          <w:sz w:val="18"/>
          <w:szCs w:val="18"/>
          <w:color w:val="auto"/>
        </w:rPr>
      </w:pPr>
    </w:p>
    <w:p>
      <w:pPr>
        <w:ind w:left="320" w:hanging="312"/>
        <w:spacing w:after="0" w:line="331"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75"/>
        </w:trPr>
        <w:tc>
          <w:tcPr>
            <w:tcW w:w="4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2"/>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Underdown</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2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Cunningham</w:t>
            </w: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405,388</w:t>
            </w:r>
          </w:p>
        </w:tc>
        <w:tc>
          <w:tcPr>
            <w:tcW w:w="14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Exercise Price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Volatility</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Aggregate option shares</w:t>
            </w: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Mr. Saxe, Dr. Underdown, Dr. Gin and Ms. Cunningham were each granted an option to purchase 50,000 shares of our common stock on May 23, 2019.</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was also granted an option to purchase 75,000 shares of our common stock on October 21, 2019.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left="180" w:right="12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Fiscal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left="180" w:right="12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left="180" w:right="12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Dr. Underdown, Dr. Gin and Ms. Cunningham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980" w:hanging="486"/>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980" w:hanging="486"/>
        <w:spacing w:after="0" w:line="33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40"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74,487 registered and/or restricted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9,592,607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151765</wp:posOffset>
            </wp:positionV>
            <wp:extent cx="1362710" cy="951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7"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Amount</w:t>
            </w:r>
          </w:p>
        </w:tc>
      </w:tr>
      <w:tr>
        <w:trPr>
          <w:trHeight w:val="21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r>
      <w:tr>
        <w:trPr>
          <w:trHeight w:val="223"/>
        </w:trPr>
        <w:tc>
          <w:tcPr>
            <w:tcW w:w="67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53,973</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There have been no securities sold by us during the past three years which were not registered under the Securities Act and/or are not otherwise described in the accompanying prospectus or the documents incorporated by reference into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5"/>
          <w:szCs w:val="15"/>
          <w:u w:val="single" w:color="auto"/>
          <w:color w:val="auto"/>
        </w:rPr>
        <w:t>Description</w:t>
      </w:r>
    </w:p>
    <w:p>
      <w:pPr>
        <w:spacing w:after="0" w:line="225" w:lineRule="exact"/>
        <w:rPr>
          <w:sz w:val="20"/>
          <w:szCs w:val="20"/>
          <w:color w:val="auto"/>
        </w:rPr>
      </w:pPr>
    </w:p>
    <w:p>
      <w:pPr>
        <w:ind w:left="480"/>
        <w:spacing w:after="0"/>
        <w:tabs>
          <w:tab w:leader="none" w:pos="1240" w:val="left"/>
        </w:tabs>
        <w:rPr>
          <w:rFonts w:ascii="Arial" w:cs="Arial" w:eastAsia="Arial" w:hAnsi="Arial"/>
          <w:sz w:val="18"/>
          <w:szCs w:val="18"/>
          <w:color w:val="0000EE"/>
        </w:rPr>
      </w:pPr>
      <w:hyperlink r:id="rId65">
        <w:r>
          <w:rPr>
            <w:rFonts w:ascii="Arial" w:cs="Arial" w:eastAsia="Arial" w:hAnsi="Arial"/>
            <w:sz w:val="18"/>
            <w:szCs w:val="18"/>
            <w:u w:val="single" w:color="auto"/>
            <w:color w:val="0000EE"/>
          </w:rPr>
          <w:t>2.1*</w:t>
        </w:r>
      </w:hyperlink>
      <w:r>
        <w:rPr>
          <w:rFonts w:ascii="Arial" w:cs="Arial" w:eastAsia="Arial" w:hAnsi="Arial"/>
          <w:sz w:val="18"/>
          <w:szCs w:val="18"/>
          <w:color w:val="0000EE"/>
        </w:rPr>
        <w:tab/>
      </w:r>
      <w:r>
        <w:rPr>
          <w:rFonts w:ascii="Arial" w:cs="Arial" w:eastAsia="Arial" w:hAnsi="Arial"/>
          <w:sz w:val="15"/>
          <w:szCs w:val="15"/>
          <w:color w:val="0000EE"/>
        </w:rPr>
        <w:t>Agreement and Plan of Merger by and among Excaliber Enterprises, Ltd., VistaGen Therapeutics, Inc. and Excaliber Merger Subsidiary,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1260" w:hanging="730"/>
        <w:spacing w:after="0" w:line="250" w:lineRule="auto"/>
        <w:tabs>
          <w:tab w:leader="none" w:pos="1240" w:val="left"/>
        </w:tabs>
        <w:rPr>
          <w:rFonts w:ascii="Arial" w:cs="Arial" w:eastAsia="Arial" w:hAnsi="Arial"/>
          <w:sz w:val="18"/>
          <w:szCs w:val="18"/>
          <w:color w:val="0000EE"/>
        </w:rPr>
      </w:pPr>
      <w:hyperlink r:id="rId67">
        <w:r>
          <w:rPr>
            <w:rFonts w:ascii="Arial" w:cs="Arial" w:eastAsia="Arial" w:hAnsi="Arial"/>
            <w:sz w:val="18"/>
            <w:szCs w:val="18"/>
            <w:u w:val="single" w:color="auto"/>
            <w:color w:val="0000EE"/>
          </w:rPr>
          <w:t>3.4</w:t>
        </w:r>
      </w:hyperlink>
      <w:r>
        <w:rPr>
          <w:rFonts w:ascii="Arial" w:cs="Arial" w:eastAsia="Arial" w:hAnsi="Arial"/>
          <w:sz w:val="18"/>
          <w:szCs w:val="18"/>
          <w:color w:val="0000EE"/>
        </w:rPr>
        <w:tab/>
        <w:t>Articles of Merger filed with the Nevada Secretary of State on May 24, 2011, incorporated by reference from Exhibit 3.1 to the Company’s Current Report on Form 8-K filed on May 31, 2011.</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68">
        <w:r>
          <w:rPr>
            <w:rFonts w:ascii="Arial" w:cs="Arial" w:eastAsia="Arial" w:hAnsi="Arial"/>
            <w:sz w:val="18"/>
            <w:szCs w:val="18"/>
            <w:u w:val="single" w:color="auto"/>
            <w:color w:val="0000EE"/>
          </w:rPr>
          <w:t>3.5</w:t>
        </w:r>
      </w:hyperlink>
      <w:r>
        <w:rPr>
          <w:rFonts w:ascii="Arial" w:cs="Arial" w:eastAsia="Arial" w:hAnsi="Arial"/>
          <w:sz w:val="18"/>
          <w:szCs w:val="18"/>
          <w:color w:val="0000EE"/>
        </w:rPr>
        <w:tab/>
        <w:t>Certificate of Designations Series A Preferred, incorporated by reference from Exhibit 3.1 to the Company’s Current Report on Form 8-K filed on December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right="20" w:hanging="730"/>
        <w:spacing w:after="0" w:line="250" w:lineRule="auto"/>
        <w:tabs>
          <w:tab w:leader="none" w:pos="1240" w:val="left"/>
        </w:tabs>
        <w:rPr>
          <w:rFonts w:ascii="Arial" w:cs="Arial" w:eastAsia="Arial" w:hAnsi="Arial"/>
          <w:sz w:val="18"/>
          <w:szCs w:val="18"/>
          <w:color w:val="0000EE"/>
        </w:rPr>
      </w:pPr>
      <w:hyperlink r:id="rId70">
        <w:r>
          <w:rPr>
            <w:rFonts w:ascii="Arial" w:cs="Arial" w:eastAsia="Arial" w:hAnsi="Arial"/>
            <w:sz w:val="18"/>
            <w:szCs w:val="18"/>
            <w:u w:val="single" w:color="auto"/>
            <w:color w:val="0000EE"/>
          </w:rPr>
          <w:t>3.6</w:t>
        </w:r>
      </w:hyperlink>
      <w:r>
        <w:rPr>
          <w:rFonts w:ascii="Arial" w:cs="Arial" w:eastAsia="Arial" w:hAnsi="Arial"/>
          <w:sz w:val="18"/>
          <w:szCs w:val="18"/>
          <w:color w:val="0000EE"/>
        </w:rPr>
        <w:tab/>
        <w:t>Certificate of Change filed with the Nevada Secretary of State on August 11, 2014 incorporated by reference from Exhibit 3.1 to the Company’s Current Report on Form 8-K filed on August 14, 2014.</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71">
        <w:r>
          <w:rPr>
            <w:rFonts w:ascii="Arial" w:cs="Arial" w:eastAsia="Arial" w:hAnsi="Arial"/>
            <w:sz w:val="18"/>
            <w:szCs w:val="18"/>
            <w:u w:val="single" w:color="auto"/>
            <w:color w:val="0000EE"/>
          </w:rPr>
          <w:t>3.7</w:t>
        </w:r>
      </w:hyperlink>
      <w:r>
        <w:rPr>
          <w:rFonts w:ascii="Arial" w:cs="Arial" w:eastAsia="Arial" w:hAnsi="Arial"/>
          <w:sz w:val="18"/>
          <w:szCs w:val="18"/>
          <w:color w:val="0000EE"/>
        </w:rPr>
        <w:tab/>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730"/>
        <w:spacing w:after="0" w:line="281" w:lineRule="auto"/>
        <w:tabs>
          <w:tab w:leader="none" w:pos="1240" w:val="left"/>
        </w:tabs>
        <w:rPr>
          <w:rFonts w:ascii="Arial" w:cs="Arial" w:eastAsia="Arial" w:hAnsi="Arial"/>
          <w:sz w:val="18"/>
          <w:szCs w:val="18"/>
          <w:color w:val="0000EE"/>
        </w:rPr>
      </w:pPr>
      <w:hyperlink r:id="rId73">
        <w:r>
          <w:rPr>
            <w:rFonts w:ascii="Arial" w:cs="Arial" w:eastAsia="Arial" w:hAnsi="Arial"/>
            <w:sz w:val="18"/>
            <w:szCs w:val="18"/>
            <w:u w:val="single" w:color="auto"/>
            <w:color w:val="0000EE"/>
          </w:rPr>
          <w:t>3.9</w:t>
        </w:r>
      </w:hyperlink>
      <w:r>
        <w:rPr>
          <w:rFonts w:ascii="Arial" w:cs="Arial" w:eastAsia="Arial" w:hAnsi="Arial"/>
          <w:sz w:val="18"/>
          <w:szCs w:val="18"/>
          <w:color w:val="0000EE"/>
        </w:rPr>
        <w:tab/>
      </w:r>
      <w:r>
        <w:rPr>
          <w:rFonts w:ascii="Arial" w:cs="Arial" w:eastAsia="Arial" w:hAnsi="Arial"/>
          <w:sz w:val="16"/>
          <w:szCs w:val="16"/>
          <w:color w:val="0000EE"/>
        </w:rPr>
        <w:t>Certificate of Designation of the Relative Rights and Preferences of the Series C Convertible Preferred Stock of VistaGen Therapeutics, Inc., dated January 25, 2016, incorporated by reference from Exhibit 3.1 to the Company’s Current Report on Form 8-K filed on January 29, 2016.</w:t>
      </w:r>
    </w:p>
    <w:p>
      <w:pPr>
        <w:spacing w:after="0" w:line="1" w:lineRule="exact"/>
        <w:rPr>
          <w:sz w:val="20"/>
          <w:szCs w:val="20"/>
          <w:color w:val="auto"/>
        </w:rPr>
      </w:pPr>
    </w:p>
    <w:p>
      <w:pPr>
        <w:ind w:left="1260" w:hanging="774"/>
        <w:spacing w:after="0" w:line="250" w:lineRule="auto"/>
        <w:tabs>
          <w:tab w:leader="none" w:pos="1240" w:val="left"/>
        </w:tabs>
        <w:rPr>
          <w:rFonts w:ascii="Arial" w:cs="Arial" w:eastAsia="Arial" w:hAnsi="Arial"/>
          <w:sz w:val="18"/>
          <w:szCs w:val="18"/>
          <w:color w:val="0000EE"/>
        </w:rPr>
      </w:pPr>
      <w:hyperlink r:id="rId74">
        <w:r>
          <w:rPr>
            <w:rFonts w:ascii="Arial" w:cs="Arial" w:eastAsia="Arial" w:hAnsi="Arial"/>
            <w:sz w:val="18"/>
            <w:szCs w:val="18"/>
            <w:u w:val="single" w:color="auto"/>
            <w:color w:val="0000EE"/>
          </w:rPr>
          <w:t>3.10</w:t>
        </w:r>
      </w:hyperlink>
      <w:r>
        <w:rPr>
          <w:rFonts w:ascii="Arial" w:cs="Arial" w:eastAsia="Arial" w:hAnsi="Arial"/>
          <w:sz w:val="18"/>
          <w:szCs w:val="18"/>
          <w:color w:val="0000EE"/>
        </w:rPr>
        <w:tab/>
        <w:t>Restated Articles of Incorporation of VistaGen Therapeutics, Inc., dated August 16, 2016, incorporated by reference from Exhibit 3.1 to the Company’s Current Report on Form 8-K, filed on August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770"/>
        <w:spacing w:after="0" w:line="250" w:lineRule="auto"/>
        <w:tabs>
          <w:tab w:leader="none" w:pos="1240" w:val="left"/>
        </w:tabs>
        <w:rPr>
          <w:rFonts w:ascii="Arial" w:cs="Arial" w:eastAsia="Arial" w:hAnsi="Arial"/>
          <w:sz w:val="18"/>
          <w:szCs w:val="18"/>
          <w:color w:val="0000EE"/>
        </w:rPr>
      </w:pPr>
      <w:hyperlink r:id="rId76">
        <w:r>
          <w:rPr>
            <w:rFonts w:ascii="Arial" w:cs="Arial" w:eastAsia="Arial" w:hAnsi="Arial"/>
            <w:sz w:val="18"/>
            <w:szCs w:val="18"/>
            <w:u w:val="single" w:color="auto"/>
            <w:color w:val="0000EE"/>
          </w:rPr>
          <w:t>3.11</w:t>
        </w:r>
      </w:hyperlink>
      <w:r>
        <w:rPr>
          <w:rFonts w:ascii="Arial" w:cs="Arial" w:eastAsia="Arial" w:hAnsi="Arial"/>
          <w:sz w:val="18"/>
          <w:szCs w:val="18"/>
          <w:color w:val="0000EE"/>
        </w:rPr>
        <w:tab/>
        <w:t>Second Amended and Restated Bylaws of VistaGen Therapeutics, Inc., dated August 16, 2016, incorporated by reference from Exhibit 3.2 to the Company’s Current Report on Form 8-K, filed on August 16, 2016.</w:t>
      </w:r>
    </w:p>
    <w:p>
      <w:pPr>
        <w:spacing w:after="0" w:line="1" w:lineRule="exact"/>
        <w:rPr>
          <w:sz w:val="20"/>
          <w:szCs w:val="20"/>
          <w:color w:val="auto"/>
        </w:rPr>
      </w:pPr>
    </w:p>
    <w:p>
      <w:pPr>
        <w:ind w:left="1260" w:hanging="774"/>
        <w:spacing w:after="0" w:line="281" w:lineRule="auto"/>
        <w:tabs>
          <w:tab w:leader="none" w:pos="1240" w:val="left"/>
        </w:tabs>
        <w:rPr>
          <w:rFonts w:ascii="Arial" w:cs="Arial" w:eastAsia="Arial" w:hAnsi="Arial"/>
          <w:sz w:val="18"/>
          <w:szCs w:val="18"/>
          <w:color w:val="auto"/>
        </w:rPr>
      </w:pPr>
      <w:hyperlink r:id="rId77">
        <w:r>
          <w:rPr>
            <w:rFonts w:ascii="Arial" w:cs="Arial" w:eastAsia="Arial" w:hAnsi="Arial"/>
            <w:sz w:val="18"/>
            <w:szCs w:val="18"/>
            <w:u w:val="single" w:color="auto"/>
            <w:color w:val="auto"/>
          </w:rPr>
          <w:t>3.12</w:t>
        </w:r>
      </w:hyperlink>
      <w:r>
        <w:rPr>
          <w:rFonts w:ascii="Arial" w:cs="Arial" w:eastAsia="Arial" w:hAnsi="Arial"/>
          <w:sz w:val="18"/>
          <w:szCs w:val="18"/>
          <w:color w:val="auto"/>
        </w:rPr>
        <w:tab/>
      </w:r>
      <w:r>
        <w:rPr>
          <w:rFonts w:ascii="Arial" w:cs="Arial" w:eastAsia="Arial" w:hAnsi="Arial"/>
          <w:sz w:val="16"/>
          <w:szCs w:val="16"/>
          <w:color w:val="auto"/>
        </w:rPr>
        <w:t>Certificate of Amendment to the Restated and Amended Articles of Incorporation of VistaGen Therapeutics, Inc., dated September 15, 2017; incorporated by reference from Exhibit 3.1 to the Company’s Current Report on Form 8-K, filed on 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79">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License Agreement by and between Mount Sinai School of Medicine of New York University and the Company, dated October 1, 2004.</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80">
        <w:r>
          <w:rPr>
            <w:rFonts w:ascii="Arial" w:cs="Arial" w:eastAsia="Arial" w:hAnsi="Arial"/>
            <w:sz w:val="18"/>
            <w:szCs w:val="18"/>
            <w:u w:val="single" w:color="auto"/>
            <w:color w:val="0000EE"/>
          </w:rPr>
          <w:t>5.1</w:t>
        </w:r>
      </w:hyperlink>
      <w:r>
        <w:rPr>
          <w:rFonts w:ascii="Arial" w:cs="Arial" w:eastAsia="Arial" w:hAnsi="Arial"/>
          <w:sz w:val="18"/>
          <w:szCs w:val="18"/>
          <w:color w:val="000000"/>
        </w:rPr>
        <w:t>**</w:t>
      </w:r>
      <w:r>
        <w:rPr>
          <w:rFonts w:ascii="Arial" w:cs="Arial" w:eastAsia="Arial" w:hAnsi="Arial"/>
          <w:sz w:val="18"/>
          <w:szCs w:val="18"/>
          <w:color w:val="0000EE"/>
        </w:rPr>
        <w:tab/>
      </w:r>
      <w:r>
        <w:rPr>
          <w:rFonts w:ascii="Arial" w:cs="Arial" w:eastAsia="Arial" w:hAnsi="Arial"/>
          <w:sz w:val="16"/>
          <w:szCs w:val="16"/>
          <w:color w:val="0000EE"/>
        </w:rPr>
        <w:t>Opinion of 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82">
        <w:r>
          <w:rPr>
            <w:rFonts w:ascii="Arial" w:cs="Arial" w:eastAsia="Arial" w:hAnsi="Arial"/>
            <w:sz w:val="18"/>
            <w:szCs w:val="18"/>
            <w:u w:val="single" w:color="auto"/>
            <w:color w:val="0000EE"/>
          </w:rPr>
          <w:t>10.26*</w:t>
        </w:r>
      </w:hyperlink>
      <w:r>
        <w:rPr>
          <w:rFonts w:ascii="Arial" w:cs="Arial" w:eastAsia="Arial" w:hAnsi="Arial"/>
          <w:sz w:val="18"/>
          <w:szCs w:val="18"/>
          <w:color w:val="0000EE"/>
        </w:rPr>
        <w:tab/>
        <w:t>License Agreement, dated October 24, 2001, by and between the University of Maryland, Baltimore, Cornell Research Foundation and Artemis Neuroscience, Inc.</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83">
        <w:r>
          <w:rPr>
            <w:rFonts w:ascii="Arial" w:cs="Arial" w:eastAsia="Arial" w:hAnsi="Arial"/>
            <w:sz w:val="18"/>
            <w:szCs w:val="18"/>
            <w:u w:val="single" w:color="auto"/>
            <w:color w:val="0000EE"/>
          </w:rPr>
          <w:t>10.40*</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Shawn K. Singh, dated April 28, 2010, as amended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85">
        <w:r>
          <w:rPr>
            <w:rFonts w:ascii="Arial" w:cs="Arial" w:eastAsia="Arial" w:hAnsi="Arial"/>
            <w:sz w:val="18"/>
            <w:szCs w:val="18"/>
            <w:u w:val="single" w:color="auto"/>
            <w:color w:val="0000EE"/>
          </w:rPr>
          <w:t>10.41*</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H. Ralph Snodgrass, PhD, dated April 28, 2010, as amended May 9, 2011.</w:t>
      </w:r>
    </w:p>
    <w:p>
      <w:pPr>
        <w:spacing w:after="0" w:line="9" w:lineRule="exact"/>
        <w:rPr>
          <w:sz w:val="20"/>
          <w:szCs w:val="20"/>
          <w:color w:val="auto"/>
        </w:rPr>
      </w:pPr>
    </w:p>
    <w:p>
      <w:pPr>
        <w:ind w:left="1260" w:hanging="817"/>
        <w:spacing w:after="0" w:line="250" w:lineRule="auto"/>
        <w:tabs>
          <w:tab w:leader="none" w:pos="1240" w:val="left"/>
        </w:tabs>
        <w:rPr>
          <w:rFonts w:ascii="Arial" w:cs="Arial" w:eastAsia="Arial" w:hAnsi="Arial"/>
          <w:sz w:val="18"/>
          <w:szCs w:val="18"/>
          <w:color w:val="0000EE"/>
        </w:rPr>
      </w:pPr>
      <w:hyperlink r:id="rId86">
        <w:r>
          <w:rPr>
            <w:rFonts w:ascii="Arial" w:cs="Arial" w:eastAsia="Arial" w:hAnsi="Arial"/>
            <w:sz w:val="18"/>
            <w:szCs w:val="18"/>
            <w:u w:val="single" w:color="auto"/>
            <w:color w:val="0000EE"/>
          </w:rPr>
          <w:t>10.49</w:t>
        </w:r>
      </w:hyperlink>
      <w:r>
        <w:rPr>
          <w:rFonts w:ascii="Arial" w:cs="Arial" w:eastAsia="Arial" w:hAnsi="Arial"/>
          <w:sz w:val="18"/>
          <w:szCs w:val="18"/>
          <w:color w:val="0000EE"/>
        </w:rPr>
        <w:tab/>
        <w:t>License Agreement No. 1, dated as of October 24, 2011 between University Health Network and VistaGen Therapeutics, Inc., incorporated by reference from Exhibit 10.1 to the Company’s Current Report on Form 8-K filed on November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17"/>
        <w:spacing w:after="0" w:line="250" w:lineRule="auto"/>
        <w:tabs>
          <w:tab w:leader="none" w:pos="1240" w:val="left"/>
        </w:tabs>
        <w:rPr>
          <w:rFonts w:ascii="Arial" w:cs="Arial" w:eastAsia="Arial" w:hAnsi="Arial"/>
          <w:sz w:val="18"/>
          <w:szCs w:val="18"/>
          <w:color w:val="0000EE"/>
        </w:rPr>
      </w:pPr>
      <w:hyperlink r:id="rId88">
        <w:r>
          <w:rPr>
            <w:rFonts w:ascii="Arial" w:cs="Arial" w:eastAsia="Arial" w:hAnsi="Arial"/>
            <w:sz w:val="18"/>
            <w:szCs w:val="18"/>
            <w:u w:val="single" w:color="auto"/>
            <w:color w:val="0000EE"/>
          </w:rPr>
          <w:t>10.57</w:t>
        </w:r>
      </w:hyperlink>
      <w:r>
        <w:rPr>
          <w:rFonts w:ascii="Arial" w:cs="Arial" w:eastAsia="Arial" w:hAnsi="Arial"/>
          <w:sz w:val="18"/>
          <w:szCs w:val="18"/>
          <w:color w:val="0000EE"/>
        </w:rPr>
        <w:tab/>
        <w:t>License Agreement No. 2, dated as of March 19, 2012 between University Health Network and VistaGen Therapeutics, Inc., incorporated by reference from Exhibit 10.57 to the Company’s Annual Report on Form 10-K filed on July 2, 2012.</w:t>
      </w:r>
    </w:p>
    <w:p>
      <w:pPr>
        <w:spacing w:after="0" w:line="1" w:lineRule="exact"/>
        <w:rPr>
          <w:sz w:val="20"/>
          <w:szCs w:val="20"/>
          <w:color w:val="auto"/>
        </w:rPr>
      </w:pPr>
    </w:p>
    <w:p>
      <w:pPr>
        <w:ind w:left="1260" w:right="20" w:hanging="817"/>
        <w:spacing w:after="0" w:line="323" w:lineRule="auto"/>
        <w:tabs>
          <w:tab w:leader="none" w:pos="1240" w:val="left"/>
        </w:tabs>
        <w:rPr>
          <w:rFonts w:ascii="Arial" w:cs="Arial" w:eastAsia="Arial" w:hAnsi="Arial"/>
          <w:sz w:val="18"/>
          <w:szCs w:val="18"/>
          <w:color w:val="0000EE"/>
        </w:rPr>
      </w:pPr>
      <w:hyperlink r:id="rId89">
        <w:r>
          <w:rPr>
            <w:rFonts w:ascii="Arial" w:cs="Arial" w:eastAsia="Arial" w:hAnsi="Arial"/>
            <w:sz w:val="18"/>
            <w:szCs w:val="18"/>
            <w:u w:val="single" w:color="auto"/>
            <w:color w:val="0000EE"/>
          </w:rPr>
          <w:t>10.67</w:t>
        </w:r>
      </w:hyperlink>
      <w:r>
        <w:rPr>
          <w:rFonts w:ascii="Arial" w:cs="Arial" w:eastAsia="Arial" w:hAnsi="Arial"/>
          <w:sz w:val="18"/>
          <w:szCs w:val="18"/>
          <w:color w:val="0000EE"/>
        </w:rPr>
        <w:tab/>
      </w:r>
      <w:r>
        <w:rPr>
          <w:rFonts w:ascii="Arial" w:cs="Arial" w:eastAsia="Arial" w:hAnsi="Arial"/>
          <w:sz w:val="16"/>
          <w:szCs w:val="16"/>
          <w:color w:val="0000EE"/>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1260" w:hanging="817"/>
        <w:spacing w:after="0" w:line="252" w:lineRule="auto"/>
        <w:tabs>
          <w:tab w:leader="none" w:pos="1240" w:val="left"/>
        </w:tabs>
        <w:rPr>
          <w:rFonts w:ascii="Arial" w:cs="Arial" w:eastAsia="Arial" w:hAnsi="Arial"/>
          <w:sz w:val="18"/>
          <w:szCs w:val="18"/>
          <w:color w:val="0000EE"/>
        </w:rPr>
      </w:pPr>
      <w:hyperlink r:id="rId92">
        <w:r>
          <w:rPr>
            <w:rFonts w:ascii="Arial" w:cs="Arial" w:eastAsia="Arial" w:hAnsi="Arial"/>
            <w:sz w:val="18"/>
            <w:szCs w:val="18"/>
            <w:u w:val="single" w:color="auto"/>
            <w:color w:val="0000EE"/>
          </w:rPr>
          <w:t>10.73</w:t>
        </w:r>
      </w:hyperlink>
      <w:r>
        <w:rPr>
          <w:rFonts w:ascii="Arial" w:cs="Arial" w:eastAsia="Arial" w:hAnsi="Arial"/>
          <w:sz w:val="18"/>
          <w:szCs w:val="18"/>
          <w:color w:val="0000EE"/>
        </w:rPr>
        <w:tab/>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right="20" w:hanging="817"/>
        <w:spacing w:after="0" w:line="250" w:lineRule="auto"/>
        <w:tabs>
          <w:tab w:leader="none" w:pos="1240" w:val="left"/>
        </w:tabs>
        <w:rPr>
          <w:rFonts w:ascii="Arial" w:cs="Arial" w:eastAsia="Arial" w:hAnsi="Arial"/>
          <w:sz w:val="18"/>
          <w:szCs w:val="18"/>
          <w:color w:val="0000EE"/>
        </w:rPr>
      </w:pPr>
      <w:hyperlink r:id="rId94">
        <w:r>
          <w:rPr>
            <w:rFonts w:ascii="Arial" w:cs="Arial" w:eastAsia="Arial" w:hAnsi="Arial"/>
            <w:sz w:val="18"/>
            <w:szCs w:val="18"/>
            <w:u w:val="single" w:color="auto"/>
            <w:color w:val="0000EE"/>
          </w:rPr>
          <w:t>10.75</w:t>
        </w:r>
      </w:hyperlink>
      <w:r>
        <w:rPr>
          <w:rFonts w:ascii="Arial" w:cs="Arial" w:eastAsia="Arial" w:hAnsi="Arial"/>
          <w:sz w:val="18"/>
          <w:szCs w:val="18"/>
          <w:color w:val="0000EE"/>
        </w:rPr>
        <w:tab/>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jc w:val="both"/>
        <w:ind w:left="1260" w:hanging="817"/>
        <w:spacing w:after="0" w:line="250" w:lineRule="auto"/>
        <w:tabs>
          <w:tab w:leader="none" w:pos="1240" w:val="left"/>
        </w:tabs>
        <w:rPr>
          <w:rFonts w:ascii="Arial" w:cs="Arial" w:eastAsia="Arial" w:hAnsi="Arial"/>
          <w:sz w:val="18"/>
          <w:szCs w:val="18"/>
          <w:color w:val="0000EE"/>
        </w:rPr>
      </w:pPr>
      <w:hyperlink r:id="rId95">
        <w:r>
          <w:rPr>
            <w:rFonts w:ascii="Arial" w:cs="Arial" w:eastAsia="Arial" w:hAnsi="Arial"/>
            <w:sz w:val="18"/>
            <w:szCs w:val="18"/>
            <w:u w:val="single" w:color="auto"/>
            <w:color w:val="0000EE"/>
          </w:rPr>
          <w:t>10.76</w:t>
        </w:r>
      </w:hyperlink>
      <w:r>
        <w:rPr>
          <w:rFonts w:ascii="Arial" w:cs="Arial" w:eastAsia="Arial" w:hAnsi="Arial"/>
          <w:sz w:val="18"/>
          <w:szCs w:val="18"/>
          <w:color w:val="0000EE"/>
        </w:rPr>
        <w:tab/>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17"/>
        <w:spacing w:after="0" w:line="281" w:lineRule="auto"/>
        <w:tabs>
          <w:tab w:leader="none" w:pos="1240" w:val="left"/>
        </w:tabs>
        <w:rPr>
          <w:rFonts w:ascii="Arial" w:cs="Arial" w:eastAsia="Arial" w:hAnsi="Arial"/>
          <w:sz w:val="18"/>
          <w:szCs w:val="18"/>
          <w:color w:val="0000EE"/>
        </w:rPr>
      </w:pPr>
      <w:hyperlink r:id="rId97">
        <w:r>
          <w:rPr>
            <w:rFonts w:ascii="Arial" w:cs="Arial" w:eastAsia="Arial" w:hAnsi="Arial"/>
            <w:sz w:val="18"/>
            <w:szCs w:val="18"/>
            <w:u w:val="single" w:color="auto"/>
            <w:color w:val="0000EE"/>
          </w:rPr>
          <w:t>10.77</w:t>
        </w:r>
      </w:hyperlink>
      <w:r>
        <w:rPr>
          <w:rFonts w:ascii="Arial" w:cs="Arial" w:eastAsia="Arial" w:hAnsi="Arial"/>
          <w:sz w:val="18"/>
          <w:szCs w:val="18"/>
          <w:color w:val="0000EE"/>
        </w:rPr>
        <w:tab/>
      </w:r>
      <w:r>
        <w:rPr>
          <w:rFonts w:ascii="Arial" w:cs="Arial" w:eastAsia="Arial" w:hAnsi="Arial"/>
          <w:sz w:val="16"/>
          <w:szCs w:val="16"/>
          <w:color w:val="0000EE"/>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1" w:lineRule="exact"/>
        <w:rPr>
          <w:sz w:val="20"/>
          <w:szCs w:val="20"/>
          <w:color w:val="auto"/>
        </w:rPr>
      </w:pPr>
    </w:p>
    <w:p>
      <w:pPr>
        <w:jc w:val="both"/>
        <w:ind w:left="1260" w:right="20" w:hanging="817"/>
        <w:spacing w:after="0" w:line="250" w:lineRule="auto"/>
        <w:tabs>
          <w:tab w:leader="none" w:pos="1240" w:val="left"/>
        </w:tabs>
        <w:rPr>
          <w:rFonts w:ascii="Arial" w:cs="Arial" w:eastAsia="Arial" w:hAnsi="Arial"/>
          <w:sz w:val="18"/>
          <w:szCs w:val="18"/>
          <w:color w:val="0000EE"/>
        </w:rPr>
      </w:pPr>
      <w:hyperlink r:id="rId98">
        <w:r>
          <w:rPr>
            <w:rFonts w:ascii="Arial" w:cs="Arial" w:eastAsia="Arial" w:hAnsi="Arial"/>
            <w:sz w:val="18"/>
            <w:szCs w:val="18"/>
            <w:u w:val="single" w:color="auto"/>
            <w:color w:val="0000EE"/>
          </w:rPr>
          <w:t>10.83</w:t>
        </w:r>
      </w:hyperlink>
      <w:r>
        <w:rPr>
          <w:rFonts w:ascii="Arial" w:cs="Arial" w:eastAsia="Arial" w:hAnsi="Arial"/>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17"/>
        <w:spacing w:after="0" w:line="250" w:lineRule="auto"/>
        <w:tabs>
          <w:tab w:leader="none" w:pos="1240" w:val="left"/>
        </w:tabs>
        <w:rPr>
          <w:rFonts w:ascii="Arial" w:cs="Arial" w:eastAsia="Arial" w:hAnsi="Arial"/>
          <w:sz w:val="18"/>
          <w:szCs w:val="18"/>
          <w:color w:val="0000EE"/>
        </w:rPr>
      </w:pPr>
      <w:hyperlink r:id="rId100">
        <w:r>
          <w:rPr>
            <w:rFonts w:ascii="Arial" w:cs="Arial" w:eastAsia="Arial" w:hAnsi="Arial"/>
            <w:sz w:val="18"/>
            <w:szCs w:val="18"/>
            <w:u w:val="single" w:color="auto"/>
            <w:color w:val="0000EE"/>
          </w:rPr>
          <w:t>10.84</w:t>
        </w:r>
      </w:hyperlink>
      <w:r>
        <w:rPr>
          <w:rFonts w:ascii="Arial" w:cs="Arial" w:eastAsia="Arial" w:hAnsi="Arial"/>
          <w:sz w:val="18"/>
          <w:szCs w:val="18"/>
          <w:color w:val="0000EE"/>
        </w:rPr>
        <w:tab/>
        <w:t>Indemnification Agreement effective May 20, 2013 between the Company and Jon S. Saxe, incorporated by reference from Exhibit 10.84 to the Company’s Annual Report on Form 10-K filed on July 18, 2013.</w:t>
      </w:r>
    </w:p>
    <w:p>
      <w:pPr>
        <w:spacing w:after="0" w:line="1" w:lineRule="exact"/>
        <w:rPr>
          <w:sz w:val="20"/>
          <w:szCs w:val="20"/>
          <w:color w:val="auto"/>
        </w:rPr>
      </w:pPr>
    </w:p>
    <w:p>
      <w:pPr>
        <w:jc w:val="both"/>
        <w:ind w:left="1260" w:hanging="817"/>
        <w:spacing w:after="0" w:line="250" w:lineRule="auto"/>
        <w:tabs>
          <w:tab w:leader="none" w:pos="1240" w:val="left"/>
        </w:tabs>
        <w:rPr>
          <w:rFonts w:ascii="Arial" w:cs="Arial" w:eastAsia="Arial" w:hAnsi="Arial"/>
          <w:sz w:val="18"/>
          <w:szCs w:val="18"/>
          <w:color w:val="0000EE"/>
        </w:rPr>
      </w:pPr>
      <w:hyperlink r:id="rId101">
        <w:r>
          <w:rPr>
            <w:rFonts w:ascii="Arial" w:cs="Arial" w:eastAsia="Arial" w:hAnsi="Arial"/>
            <w:sz w:val="18"/>
            <w:szCs w:val="18"/>
            <w:u w:val="single" w:color="auto"/>
            <w:color w:val="0000EE"/>
          </w:rPr>
          <w:t>10.85</w:t>
        </w:r>
      </w:hyperlink>
      <w:r>
        <w:rPr>
          <w:rFonts w:ascii="Arial" w:cs="Arial" w:eastAsia="Arial" w:hAnsi="Arial"/>
          <w:sz w:val="18"/>
          <w:szCs w:val="18"/>
          <w:color w:val="0000EE"/>
        </w:rPr>
        <w:tab/>
        <w:t>Indemnification Agreement effective May 20, 2013 between the Company and Shawn K. Singh, incorporated by reference from Exhibit 10.85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40"/>
        <w:spacing w:after="0"/>
        <w:tabs>
          <w:tab w:leader="none" w:pos="1240" w:val="left"/>
        </w:tabs>
        <w:rPr>
          <w:rFonts w:ascii="Arial" w:cs="Arial" w:eastAsia="Arial" w:hAnsi="Arial"/>
          <w:sz w:val="18"/>
          <w:szCs w:val="18"/>
          <w:color w:val="0000EE"/>
        </w:rPr>
      </w:pPr>
      <w:hyperlink r:id="rId103">
        <w:r>
          <w:rPr>
            <w:rFonts w:ascii="Arial" w:cs="Arial" w:eastAsia="Arial" w:hAnsi="Arial"/>
            <w:sz w:val="18"/>
            <w:szCs w:val="18"/>
            <w:u w:val="single" w:color="auto"/>
            <w:color w:val="0000EE"/>
          </w:rPr>
          <w:t>10.86</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H. Ralph Snodgrass,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04">
        <w:r>
          <w:rPr>
            <w:rFonts w:ascii="Arial" w:cs="Arial" w:eastAsia="Arial" w:hAnsi="Arial"/>
            <w:sz w:val="18"/>
            <w:szCs w:val="18"/>
            <w:u w:val="single" w:color="auto"/>
            <w:color w:val="0000EE"/>
          </w:rPr>
          <w:t>10.87</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Brian J. Underdown,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06">
        <w:r>
          <w:rPr>
            <w:rFonts w:ascii="Arial" w:cs="Arial" w:eastAsia="Arial" w:hAnsi="Arial"/>
            <w:sz w:val="18"/>
            <w:szCs w:val="18"/>
            <w:u w:val="single" w:color="auto"/>
            <w:color w:val="0000EE"/>
          </w:rPr>
          <w:t>10.88</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Jerrold D. Dotson,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10.88 to the Company’s Annual Report on Form 10-K filed on July 18, 2013.</w:t>
      </w:r>
    </w:p>
    <w:p>
      <w:pPr>
        <w:spacing w:after="0" w:line="9" w:lineRule="exact"/>
        <w:rPr>
          <w:sz w:val="20"/>
          <w:szCs w:val="20"/>
          <w:color w:val="auto"/>
        </w:rPr>
      </w:pPr>
    </w:p>
    <w:p>
      <w:pPr>
        <w:jc w:val="both"/>
        <w:ind w:left="1260" w:hanging="855"/>
        <w:spacing w:after="0" w:line="250" w:lineRule="auto"/>
        <w:tabs>
          <w:tab w:leader="none" w:pos="1240" w:val="left"/>
        </w:tabs>
        <w:rPr>
          <w:rFonts w:ascii="Arial" w:cs="Arial" w:eastAsia="Arial" w:hAnsi="Arial"/>
          <w:sz w:val="18"/>
          <w:szCs w:val="18"/>
          <w:color w:val="0000EE"/>
        </w:rPr>
      </w:pPr>
      <w:hyperlink r:id="rId107">
        <w:r>
          <w:rPr>
            <w:rFonts w:ascii="Arial" w:cs="Arial" w:eastAsia="Arial" w:hAnsi="Arial"/>
            <w:sz w:val="18"/>
            <w:szCs w:val="18"/>
            <w:u w:val="single" w:color="auto"/>
            <w:color w:val="0000EE"/>
          </w:rPr>
          <w:t>10.111</w:t>
        </w:r>
      </w:hyperlink>
      <w:r>
        <w:rPr>
          <w:rFonts w:ascii="Arial" w:cs="Arial" w:eastAsia="Arial" w:hAnsi="Arial"/>
          <w:sz w:val="18"/>
          <w:szCs w:val="18"/>
          <w:color w:val="0000EE"/>
        </w:rPr>
        <w:tab/>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58"/>
        <w:spacing w:after="0" w:line="250" w:lineRule="auto"/>
        <w:tabs>
          <w:tab w:leader="none" w:pos="1240" w:val="left"/>
        </w:tabs>
        <w:rPr>
          <w:rFonts w:ascii="Arial" w:cs="Arial" w:eastAsia="Arial" w:hAnsi="Arial"/>
          <w:sz w:val="18"/>
          <w:szCs w:val="18"/>
          <w:color w:val="0000EE"/>
        </w:rPr>
      </w:pPr>
      <w:hyperlink r:id="rId109">
        <w:r>
          <w:rPr>
            <w:rFonts w:ascii="Arial" w:cs="Arial" w:eastAsia="Arial" w:hAnsi="Arial"/>
            <w:sz w:val="18"/>
            <w:szCs w:val="18"/>
            <w:u w:val="single" w:color="auto"/>
            <w:color w:val="0000EE"/>
          </w:rPr>
          <w:t>10.112</w:t>
        </w:r>
      </w:hyperlink>
      <w:r>
        <w:rPr>
          <w:rFonts w:ascii="Arial" w:cs="Arial" w:eastAsia="Arial" w:hAnsi="Arial"/>
          <w:sz w:val="18"/>
          <w:szCs w:val="18"/>
          <w:color w:val="0000EE"/>
        </w:rPr>
        <w:tab/>
        <w:t>Indemnification Agreement effective April 8, 2016 between the Company and Jerry B. Gin, incorporated by reference from Exhibit 10.112 to the Company’s Annual Report on Form 10-K filed on June 24, 2016.</w:t>
      </w:r>
    </w:p>
    <w:p>
      <w:pPr>
        <w:spacing w:after="0" w:line="1"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10.113</w:t>
        </w:r>
      </w:hyperlink>
      <w:r>
        <w:rPr>
          <w:rFonts w:ascii="Arial" w:cs="Arial" w:eastAsia="Arial" w:hAnsi="Arial"/>
          <w:sz w:val="18"/>
          <w:szCs w:val="18"/>
          <w:color w:val="0000EE"/>
        </w:rPr>
        <w:tab/>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58"/>
        <w:spacing w:after="0" w:line="250" w:lineRule="auto"/>
        <w:tabs>
          <w:tab w:leader="none" w:pos="1240" w:val="left"/>
        </w:tabs>
        <w:rPr>
          <w:rFonts w:ascii="Arial" w:cs="Arial" w:eastAsia="Arial" w:hAnsi="Arial"/>
          <w:sz w:val="18"/>
          <w:szCs w:val="18"/>
          <w:color w:val="0000EE"/>
        </w:rPr>
      </w:pPr>
      <w:hyperlink r:id="rId112">
        <w:r>
          <w:rPr>
            <w:rFonts w:ascii="Arial" w:cs="Arial" w:eastAsia="Arial" w:hAnsi="Arial"/>
            <w:sz w:val="18"/>
            <w:szCs w:val="18"/>
            <w:u w:val="single" w:color="auto"/>
            <w:color w:val="0000EE"/>
          </w:rPr>
          <w:t>10.114</w:t>
        </w:r>
      </w:hyperlink>
      <w:r>
        <w:rPr>
          <w:rFonts w:ascii="Arial" w:cs="Arial" w:eastAsia="Arial" w:hAnsi="Arial"/>
          <w:sz w:val="18"/>
          <w:szCs w:val="18"/>
          <w:color w:val="0000EE"/>
        </w:rPr>
        <w:tab/>
        <w:t>Warrant Agency Agreement, by and between Computershare, Inc. and VistaGen Therapeutics, Inc., dated May 16, 2016, incorporated by reference from Exhibit 4.1 to the Company’s Current Report on Form 8-K filed on May 16,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10.115</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4.2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1260" w:hanging="858"/>
        <w:spacing w:after="0" w:line="281" w:lineRule="auto"/>
        <w:tabs>
          <w:tab w:leader="none" w:pos="1240" w:val="left"/>
        </w:tabs>
        <w:rPr>
          <w:rFonts w:ascii="Arial" w:cs="Arial" w:eastAsia="Arial" w:hAnsi="Arial"/>
          <w:sz w:val="18"/>
          <w:szCs w:val="18"/>
          <w:color w:val="0000EE"/>
        </w:rPr>
      </w:pPr>
      <w:hyperlink r:id="rId115">
        <w:r>
          <w:rPr>
            <w:rFonts w:ascii="Arial" w:cs="Arial" w:eastAsia="Arial" w:hAnsi="Arial"/>
            <w:sz w:val="18"/>
            <w:szCs w:val="18"/>
            <w:u w:val="single" w:color="auto"/>
            <w:color w:val="0000EE"/>
          </w:rPr>
          <w:t>10.116</w:t>
        </w:r>
      </w:hyperlink>
      <w:r>
        <w:rPr>
          <w:rFonts w:ascii="Arial" w:cs="Arial" w:eastAsia="Arial" w:hAnsi="Arial"/>
          <w:sz w:val="18"/>
          <w:szCs w:val="18"/>
          <w:color w:val="0000EE"/>
        </w:rPr>
        <w:tab/>
      </w:r>
      <w:r>
        <w:rPr>
          <w:rFonts w:ascii="Arial" w:cs="Arial" w:eastAsia="Arial" w:hAnsi="Arial"/>
          <w:sz w:val="16"/>
          <w:szCs w:val="16"/>
          <w:color w:val="0000EE"/>
        </w:rPr>
        <w:t>Second Amendment to Employment Agreement by and between VistaGen Therapeutics, Inc. and Shawn K. Singh, dated June 22, 2016, incorporated by reference from Exhibit 10.116 to the Company’s Annual Report on Form 10-K filed on June 24,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116">
        <w:r>
          <w:rPr>
            <w:rFonts w:ascii="Arial" w:cs="Arial" w:eastAsia="Arial" w:hAnsi="Arial"/>
            <w:sz w:val="18"/>
            <w:szCs w:val="18"/>
            <w:u w:val="single" w:color="auto"/>
            <w:color w:val="0000EE"/>
          </w:rPr>
          <w:t>10.117</w:t>
        </w:r>
      </w:hyperlink>
      <w:r>
        <w:rPr>
          <w:rFonts w:ascii="Arial" w:cs="Arial" w:eastAsia="Arial" w:hAnsi="Arial"/>
          <w:sz w:val="18"/>
          <w:szCs w:val="18"/>
          <w:color w:val="0000EE"/>
        </w:rPr>
        <w:tab/>
      </w:r>
      <w:r>
        <w:rPr>
          <w:rFonts w:ascii="Arial" w:cs="Arial" w:eastAsia="Arial" w:hAnsi="Arial"/>
          <w:sz w:val="15"/>
          <w:szCs w:val="15"/>
          <w:color w:val="0000EE"/>
        </w:rPr>
        <w:t>Second Amendment to Employment Agreement by and between VistaGen Therapeutics, Inc. and H. Ralph Snodgrass, Ph.D., dated June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10.118</w:t>
        </w:r>
      </w:hyperlink>
      <w:r>
        <w:rPr>
          <w:rFonts w:ascii="Arial" w:cs="Arial" w:eastAsia="Arial" w:hAnsi="Arial"/>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10.119</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November 10, 2016 between the Company and Mark A. Smith,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10.2 to the Company’s Quarterly report on Form 10-Q filed on November 15, 2016.</w:t>
      </w:r>
    </w:p>
    <w:p>
      <w:pPr>
        <w:spacing w:after="0" w:line="9" w:lineRule="exact"/>
        <w:rPr>
          <w:sz w:val="20"/>
          <w:szCs w:val="20"/>
          <w:color w:val="auto"/>
        </w:rPr>
      </w:pPr>
    </w:p>
    <w:p>
      <w:pPr>
        <w:ind w:left="340"/>
        <w:spacing w:after="0"/>
        <w:tabs>
          <w:tab w:leader="none" w:pos="1240" w:val="left"/>
        </w:tabs>
        <w:rPr>
          <w:rFonts w:ascii="Arial" w:cs="Arial" w:eastAsia="Arial" w:hAnsi="Arial"/>
          <w:sz w:val="18"/>
          <w:szCs w:val="18"/>
          <w:color w:val="0000EE"/>
        </w:rPr>
      </w:pPr>
      <w:hyperlink r:id="rId121">
        <w:r>
          <w:rPr>
            <w:rFonts w:ascii="Arial" w:cs="Arial" w:eastAsia="Arial" w:hAnsi="Arial"/>
            <w:sz w:val="18"/>
            <w:szCs w:val="18"/>
            <w:u w:val="single" w:color="auto"/>
            <w:color w:val="0000EE"/>
          </w:rPr>
          <w:t>10.120+</w:t>
        </w:r>
      </w:hyperlink>
      <w:r>
        <w:rPr>
          <w:rFonts w:ascii="Arial" w:cs="Arial" w:eastAsia="Arial" w:hAnsi="Arial"/>
          <w:sz w:val="18"/>
          <w:szCs w:val="18"/>
          <w:color w:val="0000EE"/>
        </w:rPr>
        <w:tab/>
      </w:r>
      <w:r>
        <w:rPr>
          <w:rFonts w:ascii="Arial" w:cs="Arial" w:eastAsia="Arial" w:hAnsi="Arial"/>
          <w:sz w:val="16"/>
          <w:szCs w:val="16"/>
          <w:color w:val="0000EE"/>
        </w:rPr>
        <w:t>Exclusive License and Sublicense Agreement by and between VistaGen Therapeutics, Inc. and Apollo Biologics LP, effective December 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260" w:hanging="911"/>
        <w:spacing w:after="0" w:line="285" w:lineRule="auto"/>
        <w:tabs>
          <w:tab w:leader="none" w:pos="1240" w:val="left"/>
        </w:tabs>
        <w:rPr>
          <w:rFonts w:ascii="Arial" w:cs="Arial" w:eastAsia="Arial" w:hAnsi="Arial"/>
          <w:sz w:val="18"/>
          <w:szCs w:val="18"/>
          <w:color w:val="0000EE"/>
        </w:rPr>
      </w:pPr>
      <w:hyperlink r:id="rId123">
        <w:r>
          <w:rPr>
            <w:rFonts w:ascii="Arial" w:cs="Arial" w:eastAsia="Arial" w:hAnsi="Arial"/>
            <w:sz w:val="18"/>
            <w:szCs w:val="18"/>
            <w:u w:val="single" w:color="auto"/>
            <w:color w:val="0000EE"/>
          </w:rPr>
          <w:t>10.121+</w:t>
        </w:r>
      </w:hyperlink>
      <w:r>
        <w:rPr>
          <w:rFonts w:ascii="Arial" w:cs="Arial" w:eastAsia="Arial" w:hAnsi="Arial"/>
          <w:sz w:val="18"/>
          <w:szCs w:val="18"/>
          <w:color w:val="0000EE"/>
        </w:rPr>
        <w:tab/>
      </w:r>
      <w:r>
        <w:rPr>
          <w:rFonts w:ascii="Arial" w:cs="Arial" w:eastAsia="Arial" w:hAnsi="Arial"/>
          <w:sz w:val="16"/>
          <w:szCs w:val="16"/>
          <w:color w:val="0000EE"/>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10.122</w:t>
        </w:r>
      </w:hyperlink>
      <w:r>
        <w:rPr>
          <w:rFonts w:ascii="Arial" w:cs="Arial" w:eastAsia="Arial" w:hAnsi="Arial"/>
          <w:sz w:val="18"/>
          <w:szCs w:val="18"/>
          <w:color w:val="0000EE"/>
        </w:rPr>
        <w:tab/>
        <w:t>Amended and Restated 2016 Stock Incentive Plan (formerly the VistaGen Therapeutics, Inc. 2008 Stock Incentive Plan), incorporated by reference from Exhibit 10.122 to the Company’s Annual Report on Form 10-K filed on June 29, 2017.</w:t>
      </w:r>
    </w:p>
    <w:p>
      <w:pPr>
        <w:spacing w:after="0" w:line="1" w:lineRule="exact"/>
        <w:rPr>
          <w:sz w:val="20"/>
          <w:szCs w:val="20"/>
          <w:color w:val="auto"/>
        </w:rPr>
      </w:pPr>
    </w:p>
    <w:p>
      <w:pPr>
        <w:ind w:left="1260" w:right="20" w:hanging="861"/>
        <w:spacing w:after="0" w:line="250" w:lineRule="auto"/>
        <w:tabs>
          <w:tab w:leader="none" w:pos="1240" w:val="left"/>
        </w:tabs>
        <w:rPr>
          <w:rFonts w:ascii="Arial" w:cs="Arial" w:eastAsia="Arial" w:hAnsi="Arial"/>
          <w:sz w:val="18"/>
          <w:szCs w:val="18"/>
          <w:color w:val="0000EE"/>
        </w:rPr>
      </w:pPr>
      <w:hyperlink r:id="rId126">
        <w:r>
          <w:rPr>
            <w:rFonts w:ascii="Arial" w:cs="Arial" w:eastAsia="Arial" w:hAnsi="Arial"/>
            <w:sz w:val="18"/>
            <w:szCs w:val="18"/>
            <w:u w:val="single" w:color="auto"/>
            <w:color w:val="0000EE"/>
          </w:rPr>
          <w:t>10.123</w:t>
        </w:r>
      </w:hyperlink>
      <w:r>
        <w:rPr>
          <w:rFonts w:ascii="Arial" w:cs="Arial" w:eastAsia="Arial" w:hAnsi="Arial"/>
          <w:sz w:val="18"/>
          <w:szCs w:val="18"/>
          <w:color w:val="0000EE"/>
        </w:rPr>
        <w:tab/>
        <w:t>Underwriting Agreement, dated as of August 31, 2017, by and between VistaGen Therapeutics, Inc. and Oppenheimer &amp; Co. Inc., incorporated by reference from Exhibit 1.1 to the Company’s Current Report on Form 8-K filed on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128">
        <w:r>
          <w:rPr>
            <w:rFonts w:ascii="Arial" w:cs="Arial" w:eastAsia="Arial" w:hAnsi="Arial"/>
            <w:sz w:val="18"/>
            <w:szCs w:val="18"/>
            <w:u w:val="single" w:color="auto"/>
            <w:color w:val="0000EE"/>
          </w:rPr>
          <w:t>10.124</w:t>
        </w:r>
      </w:hyperlink>
      <w:r>
        <w:rPr>
          <w:rFonts w:ascii="Arial" w:cs="Arial" w:eastAsia="Arial" w:hAnsi="Arial"/>
          <w:sz w:val="18"/>
          <w:szCs w:val="18"/>
          <w:color w:val="0000EE"/>
        </w:rPr>
        <w:tab/>
      </w:r>
      <w:r>
        <w:rPr>
          <w:rFonts w:ascii="Arial" w:cs="Arial" w:eastAsia="Arial" w:hAnsi="Arial"/>
          <w:sz w:val="16"/>
          <w:szCs w:val="16"/>
          <w:color w:val="0000EE"/>
        </w:rPr>
        <w:t>Form of Series A1 Warrant, incorporated by reference from Exhibit 4.1 to the Company’s Current Report on Form 8-K filed on August 31,</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29">
        <w:r>
          <w:rPr>
            <w:rFonts w:ascii="Arial" w:cs="Arial" w:eastAsia="Arial" w:hAnsi="Arial"/>
            <w:sz w:val="18"/>
            <w:szCs w:val="18"/>
            <w:u w:val="single" w:color="auto"/>
            <w:color w:val="0000EE"/>
          </w:rPr>
          <w:t>10.125</w:t>
        </w:r>
      </w:hyperlink>
      <w:r>
        <w:rPr>
          <w:rFonts w:ascii="Arial" w:cs="Arial" w:eastAsia="Arial" w:hAnsi="Arial"/>
          <w:sz w:val="18"/>
          <w:szCs w:val="18"/>
          <w:color w:val="0000EE"/>
        </w:rPr>
        <w:tab/>
      </w:r>
      <w:r>
        <w:rPr>
          <w:rFonts w:ascii="Arial" w:cs="Arial" w:eastAsia="Arial" w:hAnsi="Arial"/>
          <w:sz w:val="16"/>
          <w:szCs w:val="16"/>
          <w:color w:val="0000EE"/>
        </w:rPr>
        <w:t>Form of Series A2 Warrant, incorporated by reference from Exhibit 4.2 to the Company’s Current Report on Form 8-K filed on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1260" w:hanging="861"/>
        <w:spacing w:after="0" w:line="281" w:lineRule="auto"/>
        <w:tabs>
          <w:tab w:leader="none" w:pos="1240"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10.126</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December 11, 2017, by and between VistaGen Therapeutics, Inc. and Oppenheimer &amp; Co. Inc., incorporated by reference from Exhibit 1.1 to the Company’s Current Report on Form 8-K filed on December 13, 2017.</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10.127</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4.1 to the Company’s Current Report on Form 8-K filed on 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33">
        <w:r>
          <w:rPr>
            <w:rFonts w:ascii="Arial" w:cs="Arial" w:eastAsia="Arial" w:hAnsi="Arial"/>
            <w:sz w:val="18"/>
            <w:szCs w:val="18"/>
            <w:u w:val="single" w:color="auto"/>
            <w:color w:val="0000EE"/>
          </w:rPr>
          <w:t>10.128</w:t>
        </w:r>
      </w:hyperlink>
      <w:r>
        <w:rPr>
          <w:rFonts w:ascii="Arial" w:cs="Arial" w:eastAsia="Arial" w:hAnsi="Arial"/>
          <w:sz w:val="18"/>
          <w:szCs w:val="18"/>
          <w:color w:val="0000EE"/>
        </w:rPr>
        <w:tab/>
        <w:t>Form of Summer 2018 Private Placement Subscription Agreement, incorporated by reference from the Company’s Current Report on Form 8-K filed on August 9, 2018.</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134">
        <w:r>
          <w:rPr>
            <w:rFonts w:ascii="Arial" w:cs="Arial" w:eastAsia="Arial" w:hAnsi="Arial"/>
            <w:sz w:val="18"/>
            <w:szCs w:val="18"/>
            <w:u w:val="single" w:color="auto"/>
            <w:color w:val="0000EE"/>
          </w:rPr>
          <w:t>10.129</w:t>
        </w:r>
      </w:hyperlink>
      <w:r>
        <w:rPr>
          <w:rFonts w:ascii="Arial" w:cs="Arial" w:eastAsia="Arial" w:hAnsi="Arial"/>
          <w:sz w:val="18"/>
          <w:szCs w:val="18"/>
          <w:color w:val="0000EE"/>
        </w:rPr>
        <w:tab/>
        <w:t>Form of Summer 2018 Private Placement Warrant, incorporated by reference from the Company’s Current Report on Form 8-K filed on 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911"/>
        <w:spacing w:after="0" w:line="281" w:lineRule="auto"/>
        <w:tabs>
          <w:tab w:leader="none" w:pos="1240" w:val="left"/>
        </w:tabs>
        <w:rPr>
          <w:rFonts w:ascii="Arial" w:cs="Arial" w:eastAsia="Arial" w:hAnsi="Arial"/>
          <w:sz w:val="18"/>
          <w:szCs w:val="18"/>
          <w:color w:val="0000EE"/>
        </w:rPr>
      </w:pPr>
      <w:hyperlink r:id="rId136">
        <w:r>
          <w:rPr>
            <w:rFonts w:ascii="Arial" w:cs="Arial" w:eastAsia="Arial" w:hAnsi="Arial"/>
            <w:sz w:val="18"/>
            <w:szCs w:val="18"/>
            <w:u w:val="single" w:color="auto"/>
            <w:color w:val="0000EE"/>
          </w:rPr>
          <w:t>10.130+</w:t>
        </w:r>
      </w:hyperlink>
      <w:r>
        <w:rPr>
          <w:rFonts w:ascii="Arial" w:cs="Arial" w:eastAsia="Arial" w:hAnsi="Arial"/>
          <w:sz w:val="18"/>
          <w:szCs w:val="18"/>
          <w:color w:val="0000EE"/>
        </w:rPr>
        <w:tab/>
      </w:r>
      <w:r>
        <w:rPr>
          <w:rFonts w:ascii="Arial" w:cs="Arial" w:eastAsia="Arial" w:hAnsi="Arial"/>
          <w:sz w:val="16"/>
          <w:szCs w:val="16"/>
          <w:color w:val="0000EE"/>
        </w:rPr>
        <w:t>License Agreement (PH94B), by and between VistaGen Therapeutics, Inc. and Pherin Pharmaceuticals, Inc., dated September 11, 2018, incorporated by reference from Exhibit 10.1 to the Company’s Current Report on Form 8-K filed on September 13, 2018</w:t>
      </w:r>
    </w:p>
    <w:p>
      <w:pPr>
        <w:spacing w:after="0" w:line="1" w:lineRule="exact"/>
        <w:rPr>
          <w:sz w:val="20"/>
          <w:szCs w:val="20"/>
          <w:color w:val="auto"/>
        </w:rPr>
      </w:pPr>
    </w:p>
    <w:p>
      <w:pPr>
        <w:ind w:left="1260" w:hanging="911"/>
        <w:spacing w:after="0" w:line="281" w:lineRule="auto"/>
        <w:tabs>
          <w:tab w:leader="none" w:pos="1240" w:val="left"/>
        </w:tabs>
        <w:rPr>
          <w:rFonts w:ascii="Arial" w:cs="Arial" w:eastAsia="Arial" w:hAnsi="Arial"/>
          <w:sz w:val="18"/>
          <w:szCs w:val="18"/>
          <w:color w:val="0000EE"/>
        </w:rPr>
      </w:pPr>
      <w:hyperlink r:id="rId137">
        <w:r>
          <w:rPr>
            <w:rFonts w:ascii="Arial" w:cs="Arial" w:eastAsia="Arial" w:hAnsi="Arial"/>
            <w:sz w:val="18"/>
            <w:szCs w:val="18"/>
            <w:u w:val="single" w:color="auto"/>
            <w:color w:val="0000EE"/>
          </w:rPr>
          <w:t>10.131+</w:t>
        </w:r>
      </w:hyperlink>
      <w:r>
        <w:rPr>
          <w:rFonts w:ascii="Arial" w:cs="Arial" w:eastAsia="Arial" w:hAnsi="Arial"/>
          <w:sz w:val="18"/>
          <w:szCs w:val="18"/>
          <w:color w:val="0000EE"/>
        </w:rPr>
        <w:tab/>
      </w:r>
      <w:r>
        <w:rPr>
          <w:rFonts w:ascii="Arial" w:cs="Arial" w:eastAsia="Arial" w:hAnsi="Arial"/>
          <w:sz w:val="16"/>
          <w:szCs w:val="16"/>
          <w:color w:val="0000EE"/>
        </w:rPr>
        <w:t>Option Agreement, by and between VistaGen Therapeutics, Inc. and Pherin Pharmaceuticals, Inc., dated September 11, 2018, incorporated by reference from Exhibit 10.2 to the Company’s Current Report on Form 8-K filed on September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911"/>
        <w:spacing w:after="0" w:line="281" w:lineRule="auto"/>
        <w:tabs>
          <w:tab w:leader="none" w:pos="1240" w:val="left"/>
        </w:tabs>
        <w:rPr>
          <w:rFonts w:ascii="Arial" w:cs="Arial" w:eastAsia="Arial" w:hAnsi="Arial"/>
          <w:sz w:val="18"/>
          <w:szCs w:val="18"/>
          <w:color w:val="0000EE"/>
        </w:rPr>
      </w:pPr>
      <w:hyperlink r:id="rId139">
        <w:r>
          <w:rPr>
            <w:rFonts w:ascii="Arial" w:cs="Arial" w:eastAsia="Arial" w:hAnsi="Arial"/>
            <w:sz w:val="18"/>
            <w:szCs w:val="18"/>
            <w:u w:val="single" w:color="auto"/>
            <w:color w:val="0000EE"/>
          </w:rPr>
          <w:t>10.132+</w:t>
        </w:r>
      </w:hyperlink>
      <w:r>
        <w:rPr>
          <w:rFonts w:ascii="Arial" w:cs="Arial" w:eastAsia="Arial" w:hAnsi="Arial"/>
          <w:sz w:val="18"/>
          <w:szCs w:val="18"/>
          <w:color w:val="0000EE"/>
        </w:rPr>
        <w:tab/>
      </w:r>
      <w:r>
        <w:rPr>
          <w:rFonts w:ascii="Arial" w:cs="Arial" w:eastAsia="Arial" w:hAnsi="Arial"/>
          <w:sz w:val="16"/>
          <w:szCs w:val="16"/>
          <w:color w:val="0000EE"/>
        </w:rPr>
        <w:t>License Agreement (PH10), by and between VistaGen Therapeutics, Inc. and Pherin Pharmaceuticals, Inc., dated October 24, 2018, incorporated by reference from Exhibit 10.3 to the Company’s Quarterly Report on Form 10-Q/A filed on October 30, 2018.</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140">
        <w:r>
          <w:rPr>
            <w:rFonts w:ascii="Arial" w:cs="Arial" w:eastAsia="Arial" w:hAnsi="Arial"/>
            <w:sz w:val="18"/>
            <w:szCs w:val="18"/>
            <w:u w:val="single" w:color="auto"/>
            <w:color w:val="0000EE"/>
          </w:rPr>
          <w:t>10.133</w:t>
        </w:r>
      </w:hyperlink>
      <w:r>
        <w:rPr>
          <w:rFonts w:ascii="Arial" w:cs="Arial" w:eastAsia="Arial" w:hAnsi="Arial"/>
          <w:sz w:val="18"/>
          <w:szCs w:val="18"/>
          <w:color w:val="0000EE"/>
        </w:rPr>
        <w:tab/>
        <w:t>Form of Fall 2018 Private Placement Subscription Agreement, incorporated by reference from Exhibit 10.4 to the Company’s Quarterly Report on Form 10-Q filed on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42">
        <w:r>
          <w:rPr>
            <w:rFonts w:ascii="Arial" w:cs="Arial" w:eastAsia="Arial" w:hAnsi="Arial"/>
            <w:sz w:val="18"/>
            <w:szCs w:val="18"/>
            <w:u w:val="single" w:color="auto"/>
            <w:color w:val="0000EE"/>
          </w:rPr>
          <w:t>10.134</w:t>
        </w:r>
      </w:hyperlink>
      <w:r>
        <w:rPr>
          <w:rFonts w:ascii="Arial" w:cs="Arial" w:eastAsia="Arial" w:hAnsi="Arial"/>
          <w:sz w:val="18"/>
          <w:szCs w:val="18"/>
          <w:color w:val="0000EE"/>
        </w:rPr>
        <w:tab/>
        <w:t>Form of Fall 2018 Private Placement Warrant, incorporated by reference from Exhibit 10.5 to the Company’s Quarterly Report on Form 10-Q filed on October 29, 2018.</w:t>
      </w:r>
    </w:p>
    <w:p>
      <w:pPr>
        <w:spacing w:after="0" w:line="1" w:lineRule="exact"/>
        <w:rPr>
          <w:sz w:val="20"/>
          <w:szCs w:val="20"/>
          <w:color w:val="auto"/>
        </w:rPr>
      </w:pPr>
    </w:p>
    <w:p>
      <w:pPr>
        <w:ind w:left="1260" w:right="20" w:hanging="861"/>
        <w:spacing w:after="0" w:line="250" w:lineRule="auto"/>
        <w:tabs>
          <w:tab w:leader="none" w:pos="1240" w:val="left"/>
        </w:tabs>
        <w:rPr>
          <w:rFonts w:ascii="Arial" w:cs="Arial" w:eastAsia="Arial" w:hAnsi="Arial"/>
          <w:sz w:val="18"/>
          <w:szCs w:val="18"/>
          <w:color w:val="0000EE"/>
        </w:rPr>
      </w:pPr>
      <w:hyperlink r:id="rId143">
        <w:r>
          <w:rPr>
            <w:rFonts w:ascii="Arial" w:cs="Arial" w:eastAsia="Arial" w:hAnsi="Arial"/>
            <w:sz w:val="18"/>
            <w:szCs w:val="18"/>
            <w:u w:val="single" w:color="auto"/>
            <w:color w:val="0000EE"/>
          </w:rPr>
          <w:t>10.135</w:t>
        </w:r>
      </w:hyperlink>
      <w:r>
        <w:rPr>
          <w:rFonts w:ascii="Arial" w:cs="Arial" w:eastAsia="Arial" w:hAnsi="Arial"/>
          <w:sz w:val="18"/>
          <w:szCs w:val="18"/>
          <w:color w:val="0000EE"/>
        </w:rPr>
        <w:tab/>
        <w:t>Indemnification Agreement, dated January 10, 2019, by and between VistaGen Therapeutics, Inc. and Ann Cunningham, incorporated by reference from Exhibit 10.1 to the Company’s Current Report on Form 8-K filed on January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81" w:lineRule="auto"/>
        <w:tabs>
          <w:tab w:leader="none" w:pos="1240" w:val="left"/>
        </w:tabs>
        <w:rPr>
          <w:rFonts w:ascii="Arial" w:cs="Arial" w:eastAsia="Arial" w:hAnsi="Arial"/>
          <w:sz w:val="18"/>
          <w:szCs w:val="18"/>
          <w:color w:val="0000EE"/>
        </w:rPr>
      </w:pPr>
      <w:hyperlink r:id="rId145">
        <w:r>
          <w:rPr>
            <w:rFonts w:ascii="Arial" w:cs="Arial" w:eastAsia="Arial" w:hAnsi="Arial"/>
            <w:sz w:val="18"/>
            <w:szCs w:val="18"/>
            <w:u w:val="single" w:color="auto"/>
            <w:color w:val="0000EE"/>
          </w:rPr>
          <w:t>10.136</w:t>
        </w:r>
      </w:hyperlink>
      <w:r>
        <w:rPr>
          <w:rFonts w:ascii="Arial" w:cs="Arial" w:eastAsia="Arial" w:hAnsi="Arial"/>
          <w:sz w:val="18"/>
          <w:szCs w:val="18"/>
          <w:color w:val="0000EE"/>
        </w:rPr>
        <w:tab/>
      </w:r>
      <w:r>
        <w:rPr>
          <w:rFonts w:ascii="Arial" w:cs="Arial" w:eastAsia="Arial" w:hAnsi="Arial"/>
          <w:sz w:val="16"/>
          <w:szCs w:val="16"/>
          <w:color w:val="0000EE"/>
        </w:rPr>
        <w:t>Indemnification Agreement, dated November 10, 2016, by and between VistaGen Therapeutics, Inc. and Mark A. McPartland, incorporated by reference from Exhibit 10.136 to the Company’s Annual Report on Form 10-K filed on June 25, 2019.</w:t>
      </w:r>
    </w:p>
    <w:p>
      <w:pPr>
        <w:spacing w:after="0" w:line="1" w:lineRule="exact"/>
        <w:rPr>
          <w:sz w:val="20"/>
          <w:szCs w:val="20"/>
          <w:color w:val="auto"/>
        </w:rPr>
      </w:pPr>
    </w:p>
    <w:p>
      <w:pPr>
        <w:ind w:left="1260" w:hanging="861"/>
        <w:spacing w:after="0" w:line="281" w:lineRule="auto"/>
        <w:tabs>
          <w:tab w:leader="none" w:pos="1240" w:val="left"/>
        </w:tabs>
        <w:rPr>
          <w:rFonts w:ascii="Arial" w:cs="Arial" w:eastAsia="Arial" w:hAnsi="Arial"/>
          <w:sz w:val="18"/>
          <w:szCs w:val="18"/>
          <w:color w:val="0000EE"/>
        </w:rPr>
      </w:pPr>
      <w:hyperlink r:id="rId146">
        <w:r>
          <w:rPr>
            <w:rFonts w:ascii="Arial" w:cs="Arial" w:eastAsia="Arial" w:hAnsi="Arial"/>
            <w:sz w:val="18"/>
            <w:szCs w:val="18"/>
            <w:u w:val="single" w:color="auto"/>
            <w:color w:val="0000EE"/>
          </w:rPr>
          <w:t>10.137</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February 26, 2019, by and between VistaGen Therapeutics, Inc. and William Blair &amp; Company, LLC, incorporated by reference from Exhibit 1.1 to the Company’s Current Report on Form 8-K filed on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48">
        <w:r>
          <w:rPr>
            <w:rFonts w:ascii="Arial" w:cs="Arial" w:eastAsia="Arial" w:hAnsi="Arial"/>
            <w:sz w:val="18"/>
            <w:szCs w:val="18"/>
            <w:u w:val="single" w:color="auto"/>
            <w:color w:val="0000EE"/>
          </w:rPr>
          <w:t>10.138</w:t>
        </w:r>
      </w:hyperlink>
      <w:r>
        <w:rPr>
          <w:rFonts w:ascii="Arial" w:cs="Arial" w:eastAsia="Arial" w:hAnsi="Arial"/>
          <w:sz w:val="18"/>
          <w:szCs w:val="18"/>
          <w:color w:val="0000EE"/>
        </w:rPr>
        <w:tab/>
        <w:t>Master Services Agreement, dated July 11, 2017, by and between VistaGen Therapeutics, Inc. and Cato Research Ltd., incorporated by reference from Exhibit 10.136 to the Company’s Annual Report on Form 10-K filed on June 25, 2019.</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149">
        <w:r>
          <w:rPr>
            <w:rFonts w:ascii="Arial" w:cs="Arial" w:eastAsia="Arial" w:hAnsi="Arial"/>
            <w:sz w:val="18"/>
            <w:szCs w:val="18"/>
            <w:u w:val="single" w:color="auto"/>
            <w:color w:val="0000EE"/>
          </w:rPr>
          <w:t>10.139</w:t>
        </w:r>
      </w:hyperlink>
      <w:r>
        <w:rPr>
          <w:rFonts w:ascii="Arial" w:cs="Arial" w:eastAsia="Arial" w:hAnsi="Arial"/>
          <w:sz w:val="18"/>
          <w:szCs w:val="18"/>
          <w:color w:val="0000EE"/>
        </w:rPr>
        <w:tab/>
        <w:t>Purchase Agreement, by and between VistaGen Therapeutics, Inc. and Lincoln Park Capital Fund, LLC, dated March 24, 2020, incorporated by reference from Exhibit 10.1 to the Company's Current Report on Form 8-K, filed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81" w:lineRule="auto"/>
        <w:tabs>
          <w:tab w:leader="none" w:pos="1240" w:val="left"/>
        </w:tabs>
        <w:rPr>
          <w:rFonts w:ascii="Arial" w:cs="Arial" w:eastAsia="Arial" w:hAnsi="Arial"/>
          <w:sz w:val="18"/>
          <w:szCs w:val="18"/>
          <w:color w:val="0000EE"/>
        </w:rPr>
      </w:pPr>
      <w:hyperlink r:id="rId151">
        <w:r>
          <w:rPr>
            <w:rFonts w:ascii="Arial" w:cs="Arial" w:eastAsia="Arial" w:hAnsi="Arial"/>
            <w:sz w:val="18"/>
            <w:szCs w:val="18"/>
            <w:u w:val="single" w:color="auto"/>
            <w:color w:val="0000EE"/>
          </w:rPr>
          <w:t>10.140</w:t>
        </w:r>
      </w:hyperlink>
      <w:r>
        <w:rPr>
          <w:rFonts w:ascii="Arial" w:cs="Arial" w:eastAsia="Arial" w:hAnsi="Arial"/>
          <w:sz w:val="18"/>
          <w:szCs w:val="18"/>
          <w:color w:val="0000EE"/>
        </w:rPr>
        <w:tab/>
      </w:r>
      <w:r>
        <w:rPr>
          <w:rFonts w:ascii="Arial" w:cs="Arial" w:eastAsia="Arial" w:hAnsi="Arial"/>
          <w:sz w:val="16"/>
          <w:szCs w:val="16"/>
          <w:color w:val="0000EE"/>
        </w:rPr>
        <w:t>Registration Rights Agreement, by and between VistaGen Therapeutics, Inc. and Lincoln Park Capital Fund, LLC, dated March 24, 2020, incorporated by reference from Exhibit 10.2 to the Company's Current Report on Form 8-K, filed March 26, 2020.</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80">
        <w:r>
          <w:rPr>
            <w:rFonts w:ascii="Arial" w:cs="Arial" w:eastAsia="Arial" w:hAnsi="Arial"/>
            <w:sz w:val="18"/>
            <w:szCs w:val="18"/>
            <w:u w:val="single" w:color="auto"/>
            <w:color w:val="0000EE"/>
          </w:rPr>
          <w:t>23.1</w:t>
        </w:r>
      </w:hyperlink>
      <w:r>
        <w:rPr>
          <w:rFonts w:ascii="Arial" w:cs="Arial" w:eastAsia="Arial" w:hAnsi="Arial"/>
          <w:sz w:val="18"/>
          <w:szCs w:val="18"/>
          <w:color w:val="000000"/>
        </w:rPr>
        <w:t>**</w:t>
      </w:r>
      <w:r>
        <w:rPr>
          <w:rFonts w:ascii="Arial" w:cs="Arial" w:eastAsia="Arial" w:hAnsi="Arial"/>
          <w:sz w:val="18"/>
          <w:szCs w:val="18"/>
          <w:color w:val="0000EE"/>
        </w:rPr>
        <w:tab/>
      </w:r>
      <w:r>
        <w:rPr>
          <w:rFonts w:ascii="Arial" w:cs="Arial" w:eastAsia="Arial" w:hAnsi="Arial"/>
          <w:sz w:val="16"/>
          <w:szCs w:val="16"/>
          <w:color w:val="0000EE"/>
        </w:rPr>
        <w:t>Consent of Disclosure Law Group, a Professional Corporation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153">
        <w:r>
          <w:rPr>
            <w:rFonts w:ascii="Arial" w:cs="Arial" w:eastAsia="Arial" w:hAnsi="Arial"/>
            <w:sz w:val="18"/>
            <w:szCs w:val="18"/>
            <w:u w:val="single" w:color="auto"/>
            <w:color w:val="0000EE"/>
          </w:rPr>
          <w:t>23.2</w:t>
        </w:r>
      </w:hyperlink>
      <w:r>
        <w:rPr>
          <w:rFonts w:ascii="Arial" w:cs="Arial" w:eastAsia="Arial" w:hAnsi="Arial"/>
          <w:sz w:val="18"/>
          <w:szCs w:val="18"/>
          <w:color w:val="000000"/>
        </w:rPr>
        <w:t>**</w:t>
      </w:r>
      <w:r>
        <w:rPr>
          <w:rFonts w:ascii="Arial" w:cs="Arial" w:eastAsia="Arial" w:hAnsi="Arial"/>
          <w:sz w:val="18"/>
          <w:szCs w:val="18"/>
          <w:color w:val="0000EE"/>
        </w:rPr>
        <w:tab/>
      </w:r>
      <w:r>
        <w:rPr>
          <w:rFonts w:ascii="Arial" w:cs="Arial" w:eastAsia="Arial" w:hAnsi="Arial"/>
          <w:sz w:val="16"/>
          <w:szCs w:val="16"/>
          <w:color w:val="0000EE"/>
        </w:rPr>
        <w:t>Consent of Independent Registered Public Accounting Firm – OUM &amp; Co., LLP</w:t>
      </w:r>
    </w:p>
    <w:p>
      <w:pPr>
        <w:spacing w:after="0" w:line="9" w:lineRule="exact"/>
        <w:rPr>
          <w:sz w:val="20"/>
          <w:szCs w:val="20"/>
          <w:color w:val="auto"/>
        </w:rPr>
      </w:pPr>
    </w:p>
    <w:p>
      <w:pPr>
        <w:ind w:left="1260" w:hanging="719"/>
        <w:spacing w:after="0"/>
        <w:tabs>
          <w:tab w:leader="none" w:pos="1260" w:val="left"/>
        </w:tabs>
        <w:numPr>
          <w:ilvl w:val="1"/>
          <w:numId w:val="26"/>
        </w:numPr>
        <w:rPr>
          <w:rFonts w:ascii="Arial" w:cs="Arial" w:eastAsia="Arial" w:hAnsi="Arial"/>
          <w:sz w:val="18"/>
          <w:szCs w:val="18"/>
          <w:u w:val="single" w:color="auto"/>
          <w:color w:val="0000EE"/>
        </w:rPr>
      </w:pPr>
      <w:r>
        <w:rPr>
          <w:rFonts w:ascii="Arial" w:cs="Arial" w:eastAsia="Arial" w:hAnsi="Arial"/>
          <w:sz w:val="18"/>
          <w:szCs w:val="18"/>
          <w:color w:val="auto"/>
        </w:rPr>
        <w:t>Power of Attorney</w:t>
      </w:r>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_______________</w:t>
      </w:r>
    </w:p>
    <w:p>
      <w:pPr>
        <w:spacing w:after="0" w:line="21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 Incorporated by reference from the like-numbered exhibit filed with our Current Report on Form 8-K on May 16, 2011.</w:t>
      </w:r>
    </w:p>
    <w:p>
      <w:pPr>
        <w:spacing w:after="0" w:line="15" w:lineRule="exact"/>
        <w:rPr>
          <w:rFonts w:ascii="Arial" w:cs="Arial" w:eastAsia="Arial" w:hAnsi="Arial"/>
          <w:sz w:val="18"/>
          <w:szCs w:val="18"/>
          <w:u w:val="single" w:color="auto"/>
          <w:color w:val="0000EE"/>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confidential portions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1460" w:hanging="480"/>
        <w:spacing w:after="0" w:line="290" w:lineRule="auto"/>
        <w:tabs>
          <w:tab w:leader="none" w:pos="14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1" w:lineRule="exact"/>
        <w:rPr>
          <w:rFonts w:ascii="Arial" w:cs="Arial" w:eastAsia="Arial" w:hAnsi="Arial"/>
          <w:sz w:val="16"/>
          <w:szCs w:val="16"/>
          <w:color w:val="auto"/>
        </w:rPr>
      </w:pPr>
    </w:p>
    <w:p>
      <w:pPr>
        <w:ind w:left="1460" w:right="20" w:hanging="480"/>
        <w:spacing w:after="0" w:line="268" w:lineRule="auto"/>
        <w:tabs>
          <w:tab w:leader="none" w:pos="14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Provided, however, that Paragraphs (a)(1)(i), (a)(1)(ii) and (a)(1)(iii) of this section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jc w:val="both"/>
        <w:ind w:firstLine="656"/>
        <w:spacing w:after="0" w:line="259" w:lineRule="auto"/>
        <w:tabs>
          <w:tab w:leader="none" w:pos="10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0" w:lineRule="exact"/>
        <w:rPr>
          <w:rFonts w:ascii="Arial" w:cs="Arial" w:eastAsia="Arial" w:hAnsi="Arial"/>
          <w:sz w:val="18"/>
          <w:szCs w:val="18"/>
          <w:color w:val="auto"/>
        </w:rPr>
      </w:pPr>
    </w:p>
    <w:p>
      <w:pPr>
        <w:ind w:firstLine="656"/>
        <w:spacing w:after="0" w:line="268" w:lineRule="auto"/>
        <w:tabs>
          <w:tab w:leader="none" w:pos="11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00" w:hanging="244"/>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jc w:val="both"/>
        <w:ind w:left="1460" w:hanging="480"/>
        <w:spacing w:after="0" w:line="290" w:lineRule="auto"/>
        <w:tabs>
          <w:tab w:leader="none" w:pos="1460" w:val="left"/>
        </w:tabs>
        <w:numPr>
          <w:ilvl w:val="2"/>
          <w:numId w:val="31"/>
        </w:numPr>
        <w:rPr>
          <w:rFonts w:ascii="Arial" w:cs="Arial" w:eastAsia="Arial" w:hAnsi="Arial"/>
          <w:sz w:val="16"/>
          <w:szCs w:val="16"/>
          <w:color w:val="auto"/>
        </w:rPr>
      </w:pPr>
      <w:r>
        <w:rPr>
          <w:rFonts w:ascii="Arial" w:cs="Arial" w:eastAsia="Arial" w:hAnsi="Arial"/>
          <w:sz w:val="16"/>
          <w:szCs w:val="16"/>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1" w:lineRule="exact"/>
        <w:rPr>
          <w:rFonts w:ascii="Arial" w:cs="Arial" w:eastAsia="Arial" w:hAnsi="Arial"/>
          <w:sz w:val="16"/>
          <w:szCs w:val="16"/>
          <w:color w:val="auto"/>
        </w:rPr>
      </w:pPr>
    </w:p>
    <w:p>
      <w:pPr>
        <w:jc w:val="both"/>
        <w:ind w:firstLine="8"/>
        <w:spacing w:after="0" w:line="254"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rFonts w:ascii="Arial" w:cs="Arial" w:eastAsia="Arial" w:hAnsi="Arial"/>
          <w:sz w:val="18"/>
          <w:szCs w:val="18"/>
          <w:color w:val="auto"/>
        </w:rPr>
      </w:pPr>
    </w:p>
    <w:p>
      <w:pPr>
        <w:jc w:val="both"/>
        <w:ind w:firstLine="8"/>
        <w:spacing w:after="0" w:line="288"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the City of South San Francisco, State of California, on the 10th day of April,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4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393"/>
        </w:trPr>
        <w:tc>
          <w:tcPr>
            <w:tcW w:w="3500" w:type="dxa"/>
            <w:vAlign w:val="bottom"/>
          </w:tcPr>
          <w:p>
            <w:pPr>
              <w:spacing w:after="0"/>
              <w:rPr>
                <w:sz w:val="20"/>
                <w:szCs w:val="20"/>
                <w:color w:val="auto"/>
              </w:rPr>
            </w:pPr>
            <w:r>
              <w:rPr>
                <w:rFonts w:ascii="Arial" w:cs="Arial" w:eastAsia="Arial" w:hAnsi="Arial"/>
                <w:sz w:val="18"/>
                <w:szCs w:val="18"/>
                <w:color w:val="auto"/>
              </w:rPr>
              <w:t>Date: April 10, 2020</w:t>
            </w:r>
          </w:p>
        </w:tc>
        <w:tc>
          <w:tcPr>
            <w:tcW w:w="4160" w:type="dxa"/>
            <w:vAlign w:val="bottom"/>
            <w:gridSpan w:val="3"/>
          </w:tcPr>
          <w:p>
            <w:pPr>
              <w:ind w:left="2060"/>
              <w:spacing w:after="0"/>
              <w:rPr>
                <w:sz w:val="20"/>
                <w:szCs w:val="20"/>
                <w:color w:val="auto"/>
              </w:rPr>
            </w:pPr>
            <w:r>
              <w:rPr>
                <w:rFonts w:ascii="Arial" w:cs="Arial" w:eastAsia="Arial" w:hAnsi="Arial"/>
                <w:sz w:val="18"/>
                <w:szCs w:val="18"/>
                <w:color w:val="auto"/>
              </w:rPr>
              <w:t>By: /s/ Shawn K. Singh</w:t>
            </w:r>
          </w:p>
        </w:tc>
      </w:tr>
      <w:tr>
        <w:trPr>
          <w:trHeight w:val="20"/>
        </w:trPr>
        <w:tc>
          <w:tcPr>
            <w:tcW w:w="3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8"/>
        </w:trPr>
        <w:tc>
          <w:tcPr>
            <w:tcW w:w="35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22"/>
        </w:trPr>
        <w:tc>
          <w:tcPr>
            <w:tcW w:w="35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5"/>
              </w:rPr>
              <w:t>Chief Executive Officer</w:t>
            </w:r>
          </w:p>
        </w:tc>
      </w:tr>
    </w:tbl>
    <w:p>
      <w:pPr>
        <w:spacing w:after="0" w:line="200" w:lineRule="exact"/>
        <w:rPr>
          <w:sz w:val="20"/>
          <w:szCs w:val="20"/>
          <w:color w:val="auto"/>
        </w:rPr>
      </w:pPr>
    </w:p>
    <w:p>
      <w:pPr>
        <w:spacing w:after="0" w:line="22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5280" w:type="dxa"/>
            <w:vAlign w:val="bottom"/>
            <w:gridSpan w:val="3"/>
          </w:tcPr>
          <w:p>
            <w:pPr>
              <w:ind w:left="3060"/>
              <w:spacing w:after="0"/>
              <w:rPr>
                <w:sz w:val="20"/>
                <w:szCs w:val="20"/>
                <w:color w:val="auto"/>
              </w:rPr>
            </w:pPr>
            <w:r>
              <w:rPr>
                <w:rFonts w:ascii="Arial" w:cs="Arial" w:eastAsia="Arial" w:hAnsi="Arial"/>
                <w:sz w:val="18"/>
                <w:szCs w:val="18"/>
                <w:color w:val="auto"/>
              </w:rPr>
              <w:t>Title</w:t>
            </w:r>
          </w:p>
        </w:tc>
        <w:tc>
          <w:tcPr>
            <w:tcW w:w="1360" w:type="dxa"/>
            <w:vAlign w:val="bottom"/>
          </w:tcPr>
          <w:p>
            <w:pPr>
              <w:spacing w:after="0"/>
              <w:rPr>
                <w:sz w:val="17"/>
                <w:szCs w:val="17"/>
                <w:color w:val="auto"/>
              </w:rPr>
            </w:pPr>
          </w:p>
        </w:tc>
        <w:tc>
          <w:tcPr>
            <w:tcW w:w="1280" w:type="dxa"/>
            <w:vAlign w:val="bottom"/>
            <w:gridSpan w:val="2"/>
          </w:tcPr>
          <w:p>
            <w:pPr>
              <w:jc w:val="center"/>
              <w:ind w:right="960"/>
              <w:spacing w:after="0"/>
              <w:rPr>
                <w:sz w:val="20"/>
                <w:szCs w:val="20"/>
                <w:color w:val="auto"/>
              </w:rPr>
            </w:pPr>
            <w:r>
              <w:rPr>
                <w:rFonts w:ascii="Arial" w:cs="Arial" w:eastAsia="Arial" w:hAnsi="Arial"/>
                <w:sz w:val="18"/>
                <w:szCs w:val="18"/>
                <w:color w:val="auto"/>
                <w:w w:val="84"/>
              </w:rPr>
              <w:t>Date</w:t>
            </w: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700" w:type="dxa"/>
            <w:vAlign w:val="bottom"/>
            <w:gridSpan w:val="4"/>
          </w:tcPr>
          <w:p>
            <w:pPr>
              <w:spacing w:after="0"/>
              <w:rPr>
                <w:sz w:val="20"/>
                <w:szCs w:val="20"/>
                <w:color w:val="auto"/>
              </w:rPr>
            </w:pPr>
            <w:r>
              <w:rPr>
                <w:rFonts w:ascii="Arial" w:cs="Arial" w:eastAsia="Arial" w:hAnsi="Arial"/>
                <w:sz w:val="18"/>
                <w:szCs w:val="18"/>
                <w:color w:val="auto"/>
              </w:rPr>
              <w:t>/s/ Shawn K. Singh</w:t>
            </w:r>
          </w:p>
        </w:tc>
        <w:tc>
          <w:tcPr>
            <w:tcW w:w="6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Chief Executive Officer and Director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4"/>
        </w:trPr>
        <w:tc>
          <w:tcPr>
            <w:tcW w:w="3320" w:type="dxa"/>
            <w:vAlign w:val="bottom"/>
            <w:gridSpan w:val="7"/>
          </w:tcPr>
          <w:p>
            <w:pPr>
              <w:spacing w:after="0"/>
              <w:rPr>
                <w:sz w:val="20"/>
                <w:szCs w:val="20"/>
                <w:color w:val="auto"/>
              </w:rPr>
            </w:pPr>
            <w:r>
              <w:rPr>
                <w:rFonts w:ascii="Arial" w:cs="Arial" w:eastAsia="Arial" w:hAnsi="Arial"/>
                <w:sz w:val="18"/>
                <w:szCs w:val="18"/>
                <w:color w:val="auto"/>
              </w:rPr>
              <w:t>Shawn K. Singh, JD</w:t>
            </w:r>
          </w:p>
        </w:tc>
        <w:tc>
          <w:tcPr>
            <w:tcW w:w="5280" w:type="dxa"/>
            <w:vAlign w:val="bottom"/>
            <w:gridSpan w:val="3"/>
          </w:tcPr>
          <w:p>
            <w:pPr>
              <w:ind w:left="960"/>
              <w:spacing w:after="0"/>
              <w:rPr>
                <w:sz w:val="20"/>
                <w:szCs w:val="20"/>
                <w:color w:val="auto"/>
              </w:rPr>
            </w:pPr>
            <w:r>
              <w:rPr>
                <w:rFonts w:ascii="Arial" w:cs="Arial" w:eastAsia="Arial" w:hAnsi="Arial"/>
                <w:sz w:val="18"/>
                <w:szCs w:val="18"/>
                <w:i w:val="1"/>
                <w:iCs w:val="1"/>
                <w:color w:val="auto"/>
              </w:rPr>
              <w:t>(Principal Executive Officer)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4"/>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Vice President and Chief Financial Officer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4"/>
        </w:trPr>
        <w:tc>
          <w:tcPr>
            <w:tcW w:w="3320" w:type="dxa"/>
            <w:vAlign w:val="bottom"/>
            <w:gridSpan w:val="7"/>
          </w:tcPr>
          <w:p>
            <w:pPr>
              <w:spacing w:after="0"/>
              <w:rPr>
                <w:sz w:val="20"/>
                <w:szCs w:val="20"/>
                <w:color w:val="auto"/>
              </w:rPr>
            </w:pPr>
            <w:r>
              <w:rPr>
                <w:rFonts w:ascii="Arial" w:cs="Arial" w:eastAsia="Arial" w:hAnsi="Arial"/>
                <w:sz w:val="18"/>
                <w:szCs w:val="18"/>
                <w:color w:val="auto"/>
              </w:rPr>
              <w:t>Jerrold D. Dotson</w:t>
            </w:r>
          </w:p>
        </w:tc>
        <w:tc>
          <w:tcPr>
            <w:tcW w:w="5280" w:type="dxa"/>
            <w:vAlign w:val="bottom"/>
            <w:gridSpan w:val="3"/>
          </w:tcPr>
          <w:p>
            <w:pPr>
              <w:ind w:left="960"/>
              <w:spacing w:after="0"/>
              <w:rPr>
                <w:sz w:val="20"/>
                <w:szCs w:val="20"/>
                <w:color w:val="auto"/>
              </w:rPr>
            </w:pPr>
            <w:r>
              <w:rPr>
                <w:rFonts w:ascii="Arial" w:cs="Arial" w:eastAsia="Arial" w:hAnsi="Arial"/>
                <w:sz w:val="18"/>
                <w:szCs w:val="18"/>
                <w:i w:val="1"/>
                <w:iCs w:val="1"/>
                <w:color w:val="auto"/>
              </w:rPr>
              <w:t>(Principal Financial and Accounting Officer)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President, Chief Scientific Officer and Director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7"/>
          </w:tcPr>
          <w:p>
            <w:pPr>
              <w:spacing w:after="0"/>
              <w:rPr>
                <w:sz w:val="20"/>
                <w:szCs w:val="20"/>
                <w:color w:val="auto"/>
              </w:rPr>
            </w:pPr>
            <w:r>
              <w:rPr>
                <w:rFonts w:ascii="Arial" w:cs="Arial" w:eastAsia="Arial" w:hAnsi="Arial"/>
                <w:sz w:val="18"/>
                <w:szCs w:val="18"/>
                <w:color w:val="auto"/>
              </w:rPr>
              <w:t>H. Ralph Snodgrass,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Chairman of the Board of Directors</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7"/>
          </w:tcPr>
          <w:p>
            <w:pPr>
              <w:spacing w:after="0"/>
              <w:rPr>
                <w:sz w:val="20"/>
                <w:szCs w:val="20"/>
                <w:color w:val="auto"/>
              </w:rPr>
            </w:pPr>
            <w:r>
              <w:rPr>
                <w:rFonts w:ascii="Arial" w:cs="Arial" w:eastAsia="Arial" w:hAnsi="Arial"/>
                <w:sz w:val="18"/>
                <w:szCs w:val="18"/>
                <w:color w:val="auto"/>
              </w:rPr>
              <w:t>Jon S. Saxe</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7"/>
          </w:tcPr>
          <w:p>
            <w:pPr>
              <w:spacing w:after="0"/>
              <w:rPr>
                <w:sz w:val="20"/>
                <w:szCs w:val="20"/>
                <w:color w:val="auto"/>
              </w:rPr>
            </w:pPr>
            <w:r>
              <w:rPr>
                <w:rFonts w:ascii="Arial" w:cs="Arial" w:eastAsia="Arial" w:hAnsi="Arial"/>
                <w:sz w:val="18"/>
                <w:szCs w:val="18"/>
                <w:color w:val="auto"/>
              </w:rPr>
              <w:t>Brian J. Underdown,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7"/>
          </w:tcPr>
          <w:p>
            <w:pPr>
              <w:spacing w:after="0"/>
              <w:rPr>
                <w:sz w:val="20"/>
                <w:szCs w:val="20"/>
                <w:color w:val="auto"/>
              </w:rPr>
            </w:pPr>
            <w:r>
              <w:rPr>
                <w:rFonts w:ascii="Arial" w:cs="Arial" w:eastAsia="Arial" w:hAnsi="Arial"/>
                <w:sz w:val="18"/>
                <w:szCs w:val="18"/>
                <w:color w:val="auto"/>
              </w:rPr>
              <w:t>Jerry B. Gin,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7"/>
          </w:tcPr>
          <w:p>
            <w:pPr>
              <w:spacing w:after="0"/>
              <w:rPr>
                <w:sz w:val="20"/>
                <w:szCs w:val="20"/>
                <w:color w:val="auto"/>
              </w:rPr>
            </w:pPr>
            <w:r>
              <w:rPr>
                <w:rFonts w:ascii="Arial" w:cs="Arial" w:eastAsia="Arial" w:hAnsi="Arial"/>
                <w:sz w:val="18"/>
                <w:szCs w:val="18"/>
                <w:color w:val="auto"/>
              </w:rPr>
              <w:t>/s/ *</w:t>
            </w:r>
          </w:p>
        </w:tc>
        <w:tc>
          <w:tcPr>
            <w:tcW w:w="528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April 10, 2020</w:t>
            </w: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7"/>
          </w:tcPr>
          <w:p>
            <w:pPr>
              <w:spacing w:after="0"/>
              <w:rPr>
                <w:sz w:val="20"/>
                <w:szCs w:val="20"/>
                <w:color w:val="auto"/>
              </w:rPr>
            </w:pPr>
            <w:r>
              <w:rPr>
                <w:rFonts w:ascii="Arial" w:cs="Arial" w:eastAsia="Arial" w:hAnsi="Arial"/>
                <w:sz w:val="18"/>
                <w:szCs w:val="18"/>
                <w:color w:val="auto"/>
              </w:rPr>
              <w:t>Ann M. Cunningham</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0"/>
        </w:trPr>
        <w:tc>
          <w:tcPr>
            <w:tcW w:w="3320" w:type="dxa"/>
            <w:vAlign w:val="bottom"/>
            <w:gridSpan w:val="7"/>
          </w:tcPr>
          <w:p>
            <w:pPr>
              <w:ind w:left="60"/>
              <w:spacing w:after="0"/>
              <w:rPr>
                <w:sz w:val="20"/>
                <w:szCs w:val="20"/>
                <w:color w:val="auto"/>
              </w:rPr>
            </w:pPr>
            <w:r>
              <w:rPr>
                <w:rFonts w:ascii="Arial" w:cs="Arial" w:eastAsia="Arial" w:hAnsi="Arial"/>
                <w:sz w:val="18"/>
                <w:szCs w:val="18"/>
                <w:color w:val="auto"/>
              </w:rPr>
              <w:t>* By: /s/ Shawn K. Singh</w:t>
            </w:r>
          </w:p>
        </w:tc>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5"/>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Attorney-in-fact</w:t>
            </w:r>
          </w:p>
        </w:tc>
        <w:tc>
          <w:tcPr>
            <w:tcW w:w="1480" w:type="dxa"/>
            <w:vAlign w:val="bottom"/>
            <w:gridSpan w:val="2"/>
          </w:tcPr>
          <w:p>
            <w:pPr>
              <w:spacing w:after="0"/>
              <w:rPr>
                <w:sz w:val="20"/>
                <w:szCs w:val="20"/>
                <w:color w:val="auto"/>
              </w:rPr>
            </w:pP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57"/>
        </w:trPr>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2"/>
      <w:numFmt w:val="decimal"/>
      <w:start w:val="24"/>
    </w:lvl>
  </w:abstractNum>
  <w:abstractNum w:abstractNumId="26">
    <w:nsid w:val="3A95F874"/>
    <w:multiLevelType w:val="hybridMultilevel"/>
    <w:lvl w:ilvl="0">
      <w:lvlJc w:val="left"/>
      <w:lvlText w:val="**"/>
      <w:numFmt w:val="bullet"/>
      <w:start w:val="1"/>
    </w:lvl>
    <w:lvl w:ilvl="1">
      <w:lvlJc w:val="left"/>
      <w:lvlText w:val="%2"/>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9"/>
    </w:lvl>
  </w:abstractNum>
  <w:abstractNum w:abstractNumId="31">
    <w:nsid w:val="6CEAF08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9" Type="http://schemas.openxmlformats.org/officeDocument/2006/relationships/image" Target="media/image59.png"/><Relationship Id="rId72" Type="http://schemas.openxmlformats.org/officeDocument/2006/relationships/image" Target="media/image60.png"/><Relationship Id="rId75" Type="http://schemas.openxmlformats.org/officeDocument/2006/relationships/image" Target="media/image61.png"/><Relationship Id="rId78" Type="http://schemas.openxmlformats.org/officeDocument/2006/relationships/image" Target="media/image62.png"/><Relationship Id="rId81" Type="http://schemas.openxmlformats.org/officeDocument/2006/relationships/image" Target="media/image63.png"/><Relationship Id="rId84" Type="http://schemas.openxmlformats.org/officeDocument/2006/relationships/image" Target="media/image64.png"/><Relationship Id="rId87"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3" Type="http://schemas.openxmlformats.org/officeDocument/2006/relationships/image" Target="media/image68.png"/><Relationship Id="rId96" Type="http://schemas.openxmlformats.org/officeDocument/2006/relationships/image" Target="media/image69.png"/><Relationship Id="rId99" Type="http://schemas.openxmlformats.org/officeDocument/2006/relationships/image" Target="media/image70.png"/><Relationship Id="rId102" Type="http://schemas.openxmlformats.org/officeDocument/2006/relationships/image" Target="media/image71.png"/><Relationship Id="rId105" Type="http://schemas.openxmlformats.org/officeDocument/2006/relationships/image" Target="media/image72.png"/><Relationship Id="rId108" Type="http://schemas.openxmlformats.org/officeDocument/2006/relationships/image" Target="media/image73.png"/><Relationship Id="rId111" Type="http://schemas.openxmlformats.org/officeDocument/2006/relationships/image" Target="media/image74.png"/><Relationship Id="rId114" Type="http://schemas.openxmlformats.org/officeDocument/2006/relationships/image" Target="media/image75.png"/><Relationship Id="rId117" Type="http://schemas.openxmlformats.org/officeDocument/2006/relationships/image" Target="media/image76.png"/><Relationship Id="rId120" Type="http://schemas.openxmlformats.org/officeDocument/2006/relationships/image" Target="media/image77.png"/><Relationship Id="rId122" Type="http://schemas.openxmlformats.org/officeDocument/2006/relationships/image" Target="media/image78.png"/><Relationship Id="rId124" Type="http://schemas.openxmlformats.org/officeDocument/2006/relationships/image" Target="media/image79.png"/><Relationship Id="rId127" Type="http://schemas.openxmlformats.org/officeDocument/2006/relationships/image" Target="media/image80.png"/><Relationship Id="rId130" Type="http://schemas.openxmlformats.org/officeDocument/2006/relationships/image" Target="media/image81.png"/><Relationship Id="rId132" Type="http://schemas.openxmlformats.org/officeDocument/2006/relationships/image" Target="media/image82.png"/><Relationship Id="rId135" Type="http://schemas.openxmlformats.org/officeDocument/2006/relationships/image" Target="media/image83.png"/><Relationship Id="rId138" Type="http://schemas.openxmlformats.org/officeDocument/2006/relationships/image" Target="media/image84.png"/><Relationship Id="rId141" Type="http://schemas.openxmlformats.org/officeDocument/2006/relationships/image" Target="media/image85.png"/><Relationship Id="rId144" Type="http://schemas.openxmlformats.org/officeDocument/2006/relationships/image" Target="media/image86.png"/><Relationship Id="rId147" Type="http://schemas.openxmlformats.org/officeDocument/2006/relationships/image" Target="media/image87.png"/><Relationship Id="rId150" Type="http://schemas.openxmlformats.org/officeDocument/2006/relationships/image" Target="media/image88.png"/><Relationship Id="rId152"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65" Type="http://schemas.openxmlformats.org/officeDocument/2006/relationships/hyperlink" Target="http://www.sec.gov/Archives/edgar/data/1411685/000141588911000362/ex2-1.htm" TargetMode="External"/><Relationship Id="rId67" Type="http://schemas.openxmlformats.org/officeDocument/2006/relationships/hyperlink" Target="http://www.sec.gov/Archives/edgar/data/1411685/000141588911000445/exhibit3-1.htm" TargetMode="External"/><Relationship Id="rId68" Type="http://schemas.openxmlformats.org/officeDocument/2006/relationships/hyperlink" Target="http://www.sec.gov/Archives/edgar/data/1411685/000141588911001446/ex3-12232011_081210.htm" TargetMode="External"/><Relationship Id="rId70" Type="http://schemas.openxmlformats.org/officeDocument/2006/relationships/hyperlink" Target="http://www.sec.gov/Archives/edgar/data/1411685/000141588914002464/ex3-1.htm" TargetMode="External"/><Relationship Id="rId71" Type="http://schemas.openxmlformats.org/officeDocument/2006/relationships/hyperlink" Target="http://www.sec.gov/Archives/edgar/data/1411685/000141588915001677/ex3-1.htm" TargetMode="External"/><Relationship Id="rId73" Type="http://schemas.openxmlformats.org/officeDocument/2006/relationships/hyperlink" Target="http://www.sec.gov/Archives/edgar/data/1411685/000141588916004564/ex3-01292016_020121.htm" TargetMode="External"/><Relationship Id="rId74" Type="http://schemas.openxmlformats.org/officeDocument/2006/relationships/hyperlink" Target="http://www.sec.gov/Archives/edgar/data/1411685/000141588916006879/ex3-1.htm" TargetMode="External"/><Relationship Id="rId76" Type="http://schemas.openxmlformats.org/officeDocument/2006/relationships/hyperlink" Target="http://www.sec.gov/Archives/edgar/data/1411685/000141588916006879/ex3-2.htm" TargetMode="External"/><Relationship Id="rId77" Type="http://schemas.openxmlformats.org/officeDocument/2006/relationships/hyperlink" Target="http://www.sec.gov/Archives/edgar/data/1411685/000165495417008632/ex3-1.htm" TargetMode="External"/><Relationship Id="rId79" Type="http://schemas.openxmlformats.org/officeDocument/2006/relationships/hyperlink" Target="http://www.sec.gov/Archives/edgar/data/1411685/000141588911000362/ex10-22.htm" TargetMode="External"/><Relationship Id="rId80" Type="http://schemas.openxmlformats.org/officeDocument/2006/relationships/hyperlink" Target="http://www.sec.gov/Archives/edgar/data/1411685/000165495420003617/ex5-1.htm" TargetMode="External"/><Relationship Id="rId82" Type="http://schemas.openxmlformats.org/officeDocument/2006/relationships/hyperlink" Target="http://www.sec.gov/Archives/edgar/data/1411685/000141588911000362/ex10-26.htm" TargetMode="External"/><Relationship Id="rId83" Type="http://schemas.openxmlformats.org/officeDocument/2006/relationships/hyperlink" Target="http://www.sec.gov/Archives/edgar/data/1411685/000141588911000362/ex10-40.htm" TargetMode="External"/><Relationship Id="rId85" Type="http://schemas.openxmlformats.org/officeDocument/2006/relationships/hyperlink" Target="http://www.sec.gov/Archives/edgar/data/1411685/000141588911000362/ex10-41.htm" TargetMode="External"/><Relationship Id="rId86" Type="http://schemas.openxmlformats.org/officeDocument/2006/relationships/hyperlink" Target="http://www.sec.gov/Archives/edgar/data/1411685/000141588911001342/ex10-11302011_101124.htm" TargetMode="External"/><Relationship Id="rId88" Type="http://schemas.openxmlformats.org/officeDocument/2006/relationships/hyperlink" Target="http://www.sec.gov/Archives/edgar/data/1411685/000141588912000973/ex10-57.htm" TargetMode="External"/><Relationship Id="rId89" Type="http://schemas.openxmlformats.org/officeDocument/2006/relationships/hyperlink" Target="http://www.sec.gov/Archives/edgar/data/1411685/000141588912001496/ex10-1.htm" TargetMode="External"/><Relationship Id="rId92" Type="http://schemas.openxmlformats.org/officeDocument/2006/relationships/hyperlink" Target="http://www.sec.gov/Archives/edgar/data/1411685/000141588912001749/ex10-11202012_021125.htm" TargetMode="External"/><Relationship Id="rId94" Type="http://schemas.openxmlformats.org/officeDocument/2006/relationships/hyperlink" Target="http://www.sec.gov/Archives/edgar/data/1411685/000141588913000263/npeaamend.htm" TargetMode="External"/><Relationship Id="rId95" Type="http://schemas.openxmlformats.org/officeDocument/2006/relationships/hyperlink" Target="http://www.sec.gov/Archives/edgar/data/1411685/000141588913000316/ex10-02282013_010201.htm" TargetMode="External"/><Relationship Id="rId97" Type="http://schemas.openxmlformats.org/officeDocument/2006/relationships/hyperlink" Target="http://www.sec.gov/Archives/edgar/data/1411685/000141588913000363/ex10-03062013_040313.htm" TargetMode="External"/><Relationship Id="rId98" Type="http://schemas.openxmlformats.org/officeDocument/2006/relationships/hyperlink" Target="http://www.sec.gov/Archives/edgar/data/1411685/000141588913001409/leasebaysidevistagen.htm" TargetMode="External"/><Relationship Id="rId100" Type="http://schemas.openxmlformats.org/officeDocument/2006/relationships/hyperlink" Target="http://www.sec.gov/Archives/edgar/data/1411685/000141588913001409/saxeindemnification.htm" TargetMode="External"/><Relationship Id="rId101" Type="http://schemas.openxmlformats.org/officeDocument/2006/relationships/hyperlink" Target="http://www.sec.gov/Archives/edgar/data/1411685/000141588913001409/singhindemnification.htm" TargetMode="External"/><Relationship Id="rId103" Type="http://schemas.openxmlformats.org/officeDocument/2006/relationships/hyperlink" Target="http://www.sec.gov/Archives/edgar/data/1411685/000141588913001409/snodgrassindemnification.htm" TargetMode="External"/><Relationship Id="rId104" Type="http://schemas.openxmlformats.org/officeDocument/2006/relationships/hyperlink" Target="http://www.sec.gov/Archives/edgar/data/1411685/000141588913001409/underdownindemnification.htm" TargetMode="External"/><Relationship Id="rId106" Type="http://schemas.openxmlformats.org/officeDocument/2006/relationships/hyperlink" Target="http://www.sec.gov/Archives/edgar/data/1411685/000141588913001409/dotsonindemnification.htm" TargetMode="External"/><Relationship Id="rId107" Type="http://schemas.openxmlformats.org/officeDocument/2006/relationships/hyperlink" Target="http://www.sec.gov/Archives/edgar/data/1411685/000141588916004564/ex10-01292016_020122.htm" TargetMode="External"/><Relationship Id="rId109" Type="http://schemas.openxmlformats.org/officeDocument/2006/relationships/hyperlink" Target="http://www.sec.gov/Archives/edgar/data/1411685/000141588916006331/ex10-112.htm" TargetMode="External"/><Relationship Id="rId110" Type="http://schemas.openxmlformats.org/officeDocument/2006/relationships/hyperlink" Target="http://www.sec.gov/Archives/edgar/data/1411685/000141588916005945/ex1-1.htm" TargetMode="External"/><Relationship Id="rId112" Type="http://schemas.openxmlformats.org/officeDocument/2006/relationships/hyperlink" Target="http://www.sec.gov/Archives/edgar/data/1411685/000141588916005945/ex4-1.htm" TargetMode="External"/><Relationship Id="rId113" Type="http://schemas.openxmlformats.org/officeDocument/2006/relationships/hyperlink" Target="http://www.sec.gov/Archives/edgar/data/1411685/000141588916005945/ex4-2.htm" TargetMode="External"/><Relationship Id="rId115" Type="http://schemas.openxmlformats.org/officeDocument/2006/relationships/hyperlink" Target="http://www.sec.gov/Archives/edgar/data/1411685/000141588916006331/ex10-116.htm" TargetMode="External"/><Relationship Id="rId116" Type="http://schemas.openxmlformats.org/officeDocument/2006/relationships/hyperlink" Target="http://www.sec.gov/Archives/edgar/data/1411685/000141588916006331/ex10-117.htm" TargetMode="External"/><Relationship Id="rId118" Type="http://schemas.openxmlformats.org/officeDocument/2006/relationships/hyperlink" Target="http://www.sec.gov/Archives/edgar/data/1411685/000141588916007413/ex10-1.htm" TargetMode="External"/><Relationship Id="rId119" Type="http://schemas.openxmlformats.org/officeDocument/2006/relationships/hyperlink" Target="http://www.sec.gov/Archives/edgar/data/1411685/000141588916007413/ex10-2.htm" TargetMode="External"/><Relationship Id="rId121" Type="http://schemas.openxmlformats.org/officeDocument/2006/relationships/hyperlink" Target="http://www.sec.gov/Archives/edgar/data/1411685/000165495417004468/ex10-1.htm" TargetMode="External"/><Relationship Id="rId123" Type="http://schemas.openxmlformats.org/officeDocument/2006/relationships/hyperlink" Target="http://www.sec.gov/Archives/edgar/data/1411685/000165495417003815/ex10-2.htm" TargetMode="External"/><Relationship Id="rId125" Type="http://schemas.openxmlformats.org/officeDocument/2006/relationships/hyperlink" Target="http://www.sec.gov/Archives/edgar/data/1411685/000165495417005976/ex10-122.htm" TargetMode="External"/><Relationship Id="rId126" Type="http://schemas.openxmlformats.org/officeDocument/2006/relationships/hyperlink" Target="http://www.sec.gov/Archives/edgar/data/1411685/000165495417008025/vsta_ex11.htm" TargetMode="External"/><Relationship Id="rId128" Type="http://schemas.openxmlformats.org/officeDocument/2006/relationships/hyperlink" Target="http://www.sec.gov/Archives/edgar/data/1411685/000165495417008025/ex4-1.htm" TargetMode="External"/><Relationship Id="rId129" Type="http://schemas.openxmlformats.org/officeDocument/2006/relationships/hyperlink" Target="http://www.sec.gov/Archives/edgar/data/1411685/000165495417008025/ex4-2.htm" TargetMode="External"/><Relationship Id="rId131" Type="http://schemas.openxmlformats.org/officeDocument/2006/relationships/hyperlink" Target="http://www.sec.gov/Archives/edgar/data/1411685/000165495417011630/ex4-1.htm" TargetMode="External"/><Relationship Id="rId133" Type="http://schemas.openxmlformats.org/officeDocument/2006/relationships/hyperlink" Target="http://www.sec.gov/Archives/edgar/data/1411685/000165495418008742/ex10-1.htm" TargetMode="External"/><Relationship Id="rId134" Type="http://schemas.openxmlformats.org/officeDocument/2006/relationships/hyperlink" Target="http://www.sec.gov/Archives/edgar/data/1411685/000165495418008742/ex10-2.htm" TargetMode="External"/><Relationship Id="rId136" Type="http://schemas.openxmlformats.org/officeDocument/2006/relationships/hyperlink" Target="http://www.sec.gov/Archives/edgar/data/1411685/000165495418010158/ex10-1.htm" TargetMode="External"/><Relationship Id="rId137" Type="http://schemas.openxmlformats.org/officeDocument/2006/relationships/hyperlink" Target="http://www.sec.gov/Archives/edgar/data/1411685/000165495418010158/ex10-2.htm" TargetMode="External"/><Relationship Id="rId139" Type="http://schemas.openxmlformats.org/officeDocument/2006/relationships/hyperlink" Target="http://www.sec.gov/Archives/edgar/data/1411685/000165495418011715/ex10-3.htm" TargetMode="External"/><Relationship Id="rId140" Type="http://schemas.openxmlformats.org/officeDocument/2006/relationships/hyperlink" Target="http://www.sec.gov/Archives/edgar/data/1411685/000165495418011665/ex10-4.htm" TargetMode="External"/><Relationship Id="rId142" Type="http://schemas.openxmlformats.org/officeDocument/2006/relationships/hyperlink" Target="http://www.sec.gov/Archives/edgar/data/1411685/000165495418011665/ex10-5.htm" TargetMode="External"/><Relationship Id="rId143" Type="http://schemas.openxmlformats.org/officeDocument/2006/relationships/hyperlink" Target="http://www.sec.gov/Archives/edgar/data/1411685/000165495419000496/ex10-1.htm" TargetMode="External"/><Relationship Id="rId145" Type="http://schemas.openxmlformats.org/officeDocument/2006/relationships/hyperlink" Target="http://www.sec.gov/Archives/edgar/data/1411685/000165495419007632/ex10_136.htm" TargetMode="External"/><Relationship Id="rId146" Type="http://schemas.openxmlformats.org/officeDocument/2006/relationships/hyperlink" Target="http://www.sec.gov/Archives/edgar/data/1411685/000165495419002248/ex1-1.htm" TargetMode="External"/><Relationship Id="rId148" Type="http://schemas.openxmlformats.org/officeDocument/2006/relationships/hyperlink" Target="http://www.sec.gov/Archives/edgar/data/1411685/000165495419007632/ex10-138.htm" TargetMode="External"/><Relationship Id="rId149" Type="http://schemas.openxmlformats.org/officeDocument/2006/relationships/hyperlink" Target="http://www.sec.gov/Archives/edgar/data/1411685/000165495420003246/ex10-1.htm" TargetMode="External"/><Relationship Id="rId151" Type="http://schemas.openxmlformats.org/officeDocument/2006/relationships/hyperlink" Target="http://www.sec.gov/Archives/edgar/data/1411685/000165495420003246/ex10-2.htm" TargetMode="External"/><Relationship Id="rId153" Type="http://schemas.openxmlformats.org/officeDocument/2006/relationships/hyperlink" Target="http://www.sec.gov/Archives/edgar/data/1411685/000165495420003617/ex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2020-04-10T16:13:48Z</dcterms:created>
  <dcterms:modified xsi:type="dcterms:W3CDTF">2020-04-10T16:13:48Z</dcterms:modified>
</cp:coreProperties>
</file>