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4240" w:right="3740" w:hanging="4232"/>
        <w:spacing w:after="0" w:line="567" w:lineRule="auto"/>
        <w:tabs>
          <w:tab w:leader="none" w:pos="12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March 31, 2019</w:t>
      </w:r>
    </w:p>
    <w:p>
      <w:pPr>
        <w:spacing w:after="0" w:line="1" w:lineRule="exact"/>
        <w:rPr>
          <w:rFonts w:ascii="MS PGothic" w:cs="MS PGothic" w:eastAsia="MS PGothic" w:hAnsi="MS PGothic"/>
          <w:sz w:val="16"/>
          <w:szCs w:val="16"/>
          <w:color w:val="auto"/>
        </w:rPr>
      </w:pPr>
    </w:p>
    <w:p>
      <w:pPr>
        <w:ind w:left="5640"/>
        <w:spacing w:after="0"/>
        <w:rPr>
          <w:rFonts w:ascii="MS PGothic" w:cs="MS PGothic" w:eastAsia="MS PGothic" w:hAnsi="MS PGothic"/>
          <w:sz w:val="16"/>
          <w:szCs w:val="16"/>
          <w:color w:val="auto"/>
        </w:rPr>
      </w:pPr>
      <w:r>
        <w:rPr>
          <w:rFonts w:ascii="Arial" w:cs="Arial" w:eastAsia="Arial" w:hAnsi="Arial"/>
          <w:sz w:val="18"/>
          <w:szCs w:val="18"/>
          <w:color w:val="auto"/>
        </w:rPr>
        <w:t>or</w:t>
      </w:r>
    </w:p>
    <w:p>
      <w:pPr>
        <w:spacing w:after="0" w:line="219" w:lineRule="exact"/>
        <w:rPr>
          <w:sz w:val="24"/>
          <w:szCs w:val="24"/>
          <w:color w:val="auto"/>
        </w:rPr>
      </w:pPr>
    </w:p>
    <w:p>
      <w:pPr>
        <w:ind w:left="4420" w:right="3520" w:hanging="4412"/>
        <w:spacing w:after="0" w:line="544" w:lineRule="auto"/>
        <w:tabs>
          <w:tab w:leader="none" w:pos="127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Commission file number: 001-37761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VistaGen Therapeutics,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2"/>
        </w:trPr>
        <w:tc>
          <w:tcPr>
            <w:tcW w:w="4340" w:type="dxa"/>
            <w:vAlign w:val="bottom"/>
          </w:tcPr>
          <w:p>
            <w:pPr>
              <w:jc w:val="center"/>
              <w:ind w:right="2132"/>
              <w:spacing w:after="0"/>
              <w:rPr>
                <w:sz w:val="20"/>
                <w:szCs w:val="20"/>
                <w:color w:val="auto"/>
              </w:rPr>
            </w:pPr>
            <w:r>
              <w:rPr>
                <w:rFonts w:ascii="Arial" w:cs="Arial" w:eastAsia="Arial" w:hAnsi="Arial"/>
                <w:sz w:val="18"/>
                <w:szCs w:val="18"/>
                <w:b w:val="1"/>
                <w:bCs w:val="1"/>
                <w:color w:val="auto"/>
                <w:w w:val="87"/>
              </w:rPr>
              <w:t>Nevada</w:t>
            </w:r>
          </w:p>
        </w:tc>
        <w:tc>
          <w:tcPr>
            <w:tcW w:w="3540" w:type="dxa"/>
            <w:vAlign w:val="bottom"/>
          </w:tcPr>
          <w:p>
            <w:pPr>
              <w:jc w:val="center"/>
              <w:ind w:left="213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4340" w:type="dxa"/>
            <w:vAlign w:val="bottom"/>
          </w:tcPr>
          <w:p>
            <w:pPr>
              <w:jc w:val="center"/>
              <w:ind w:right="2132"/>
              <w:spacing w:after="0"/>
              <w:rPr>
                <w:sz w:val="20"/>
                <w:szCs w:val="20"/>
                <w:color w:val="auto"/>
              </w:rPr>
            </w:pPr>
            <w:r>
              <w:rPr>
                <w:rFonts w:ascii="Arial" w:cs="Arial" w:eastAsia="Arial" w:hAnsi="Arial"/>
                <w:sz w:val="18"/>
                <w:szCs w:val="18"/>
                <w:color w:val="auto"/>
                <w:w w:val="90"/>
              </w:rPr>
              <w:t>(State or other jurisdiction of</w:t>
            </w:r>
          </w:p>
        </w:tc>
        <w:tc>
          <w:tcPr>
            <w:tcW w:w="3540" w:type="dxa"/>
            <w:vAlign w:val="bottom"/>
          </w:tcPr>
          <w:p>
            <w:pPr>
              <w:jc w:val="center"/>
              <w:ind w:left="2132"/>
              <w:spacing w:after="0"/>
              <w:rPr>
                <w:sz w:val="20"/>
                <w:szCs w:val="20"/>
                <w:color w:val="auto"/>
              </w:rPr>
            </w:pPr>
            <w:r>
              <w:rPr>
                <w:rFonts w:ascii="Arial" w:cs="Arial" w:eastAsia="Arial" w:hAnsi="Arial"/>
                <w:sz w:val="18"/>
                <w:szCs w:val="18"/>
                <w:color w:val="auto"/>
                <w:w w:val="90"/>
              </w:rPr>
              <w:t>(I.R.S. Employer</w:t>
            </w:r>
          </w:p>
        </w:tc>
      </w:tr>
      <w:tr>
        <w:trPr>
          <w:trHeight w:val="222"/>
        </w:trPr>
        <w:tc>
          <w:tcPr>
            <w:tcW w:w="4340" w:type="dxa"/>
            <w:vAlign w:val="bottom"/>
          </w:tcPr>
          <w:p>
            <w:pPr>
              <w:jc w:val="center"/>
              <w:ind w:right="2132"/>
              <w:spacing w:after="0"/>
              <w:rPr>
                <w:sz w:val="20"/>
                <w:szCs w:val="20"/>
                <w:color w:val="auto"/>
              </w:rPr>
            </w:pPr>
            <w:r>
              <w:rPr>
                <w:rFonts w:ascii="Arial" w:cs="Arial" w:eastAsia="Arial" w:hAnsi="Arial"/>
                <w:sz w:val="18"/>
                <w:szCs w:val="18"/>
                <w:color w:val="auto"/>
                <w:w w:val="90"/>
              </w:rPr>
              <w:t>incorporation or organization)</w:t>
            </w:r>
          </w:p>
        </w:tc>
        <w:tc>
          <w:tcPr>
            <w:tcW w:w="3540" w:type="dxa"/>
            <w:vAlign w:val="bottom"/>
          </w:tcPr>
          <w:p>
            <w:pPr>
              <w:jc w:val="center"/>
              <w:ind w:left="2132"/>
              <w:spacing w:after="0"/>
              <w:rPr>
                <w:sz w:val="20"/>
                <w:szCs w:val="20"/>
                <w:color w:val="auto"/>
              </w:rPr>
            </w:pPr>
            <w:r>
              <w:rPr>
                <w:rFonts w:ascii="Arial" w:cs="Arial" w:eastAsia="Arial" w:hAnsi="Arial"/>
                <w:sz w:val="18"/>
                <w:szCs w:val="18"/>
                <w:color w:val="auto"/>
                <w:w w:val="94"/>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12"/>
        </w:trPr>
        <w:tc>
          <w:tcPr>
            <w:tcW w:w="198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54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3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35"/>
        </w:trPr>
        <w:tc>
          <w:tcPr>
            <w:tcW w:w="4840" w:type="dxa"/>
            <w:vAlign w:val="bottom"/>
            <w:gridSpan w:val="4"/>
          </w:tcPr>
          <w:p>
            <w:pPr>
              <w:jc w:val="center"/>
              <w:ind w:left="352"/>
              <w:spacing w:after="0"/>
              <w:rPr>
                <w:sz w:val="20"/>
                <w:szCs w:val="20"/>
                <w:color w:val="auto"/>
              </w:rPr>
            </w:pPr>
            <w:r>
              <w:rPr>
                <w:rFonts w:ascii="Arial" w:cs="Arial" w:eastAsia="Arial" w:hAnsi="Arial"/>
                <w:sz w:val="18"/>
                <w:szCs w:val="18"/>
                <w:color w:val="auto"/>
                <w:w w:val="87"/>
              </w:rPr>
              <w:t>Common Stock, par value $0.001 per share</w:t>
            </w:r>
          </w:p>
        </w:tc>
        <w:tc>
          <w:tcPr>
            <w:tcW w:w="1980" w:type="dxa"/>
            <w:vAlign w:val="bottom"/>
          </w:tcPr>
          <w:p>
            <w:pPr>
              <w:spacing w:after="0"/>
              <w:rPr>
                <w:sz w:val="20"/>
                <w:szCs w:val="20"/>
                <w:color w:val="auto"/>
              </w:rPr>
            </w:pPr>
          </w:p>
        </w:tc>
        <w:tc>
          <w:tcPr>
            <w:tcW w:w="3260" w:type="dxa"/>
            <w:vAlign w:val="bottom"/>
            <w:gridSpan w:val="6"/>
          </w:tcPr>
          <w:p>
            <w:pPr>
              <w:jc w:val="center"/>
              <w:spacing w:after="0"/>
              <w:rPr>
                <w:sz w:val="20"/>
                <w:szCs w:val="20"/>
                <w:color w:val="auto"/>
              </w:rPr>
            </w:pPr>
            <w:r>
              <w:rPr>
                <w:rFonts w:ascii="Arial" w:cs="Arial" w:eastAsia="Arial" w:hAnsi="Arial"/>
                <w:sz w:val="18"/>
                <w:szCs w:val="18"/>
                <w:color w:val="auto"/>
                <w:w w:val="88"/>
              </w:rPr>
              <w:t>The Nasdaq Capital Market</w:t>
            </w:r>
          </w:p>
        </w:tc>
      </w:tr>
      <w:tr>
        <w:trPr>
          <w:trHeight w:val="394"/>
        </w:trPr>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1"/>
        </w:trPr>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2"/>
          </w:tcPr>
          <w:p>
            <w:pPr>
              <w:jc w:val="center"/>
              <w:ind w:right="1152"/>
              <w:spacing w:after="0"/>
              <w:rPr>
                <w:sz w:val="20"/>
                <w:szCs w:val="20"/>
                <w:color w:val="auto"/>
              </w:rPr>
            </w:pPr>
            <w:r>
              <w:rPr>
                <w:rFonts w:ascii="Arial" w:cs="Arial" w:eastAsia="Arial" w:hAnsi="Arial"/>
                <w:sz w:val="18"/>
                <w:szCs w:val="18"/>
                <w:b w:val="1"/>
                <w:bCs w:val="1"/>
                <w:color w:val="auto"/>
                <w:w w:val="84"/>
              </w:rPr>
              <w:t>None</w:t>
            </w:r>
          </w:p>
        </w:tc>
        <w:tc>
          <w:tcPr>
            <w:tcW w:w="5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2"/>
        </w:trPr>
        <w:tc>
          <w:tcPr>
            <w:tcW w:w="8320" w:type="dxa"/>
            <w:vAlign w:val="bottom"/>
            <w:gridSpan w:val="8"/>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Arial" w:cs="Arial" w:eastAsia="Arial" w:hAnsi="Arial"/>
                <w:sz w:val="18"/>
                <w:szCs w:val="18"/>
                <w:color w:val="auto"/>
                <w:w w:val="96"/>
              </w:rPr>
              <w:t>Yes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320" w:type="dxa"/>
            <w:vAlign w:val="bottom"/>
            <w:gridSpan w:val="8"/>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00" w:type="dxa"/>
            <w:vAlign w:val="bottom"/>
          </w:tcPr>
          <w:p>
            <w:pPr>
              <w:jc w:val="center"/>
              <w:ind w:right="32"/>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0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380" w:hanging="372"/>
        <w:spacing w:after="0" w:line="207" w:lineRule="exact"/>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20" w:hanging="312"/>
        <w:spacing w:after="0" w:line="207" w:lineRule="exact"/>
        <w:tabs>
          <w:tab w:leader="none" w:pos="3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3" w:lineRule="exact"/>
        <w:rPr>
          <w:sz w:val="20"/>
          <w:szCs w:val="20"/>
          <w:color w:val="auto"/>
        </w:rPr>
      </w:pPr>
    </w:p>
    <w:p>
      <w:pPr>
        <w:spacing w:after="0" w:line="207" w:lineRule="exact"/>
        <w:tabs>
          <w:tab w:leader="none" w:pos="2080" w:val="left"/>
          <w:tab w:leader="none" w:pos="3440" w:val="left"/>
          <w:tab w:leader="none" w:pos="3940" w:val="left"/>
          <w:tab w:leader="none" w:pos="6040" w:val="left"/>
          <w:tab w:leader="none" w:pos="8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0"/>
          <w:szCs w:val="20"/>
          <w:color w:val="auto"/>
        </w:rPr>
      </w:pPr>
    </w:p>
    <w:p>
      <w:pPr>
        <w:spacing w:after="0" w:line="207" w:lineRule="exact"/>
        <w:tabs>
          <w:tab w:leader="none" w:pos="7380" w:val="left"/>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on September 30, 2018, the last business day of the registrant’s second fiscal quarter, was: $41,111,438.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of June 24, 2019, there were 42,622,965 shares of the registrant’s common stock, $0.001 par value per share,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Items 10, 11, 12, 13 and 14 of Part III incorporate by reference certain information from VistaGen Therapeutics, Inc.’s definitive proxy statement, to be filed with the Securities and Exchange Commission on or before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2" w:name="page3"/>
    <w:bookmarkEnd w:id="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40" w:type="dxa"/>
            <w:vAlign w:val="bottom"/>
            <w:gridSpan w:val="8"/>
          </w:tcPr>
          <w:p>
            <w:pPr>
              <w:ind w:left="1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11"/>
          </w:tcPr>
          <w:p>
            <w:pPr>
              <w:ind w:left="80"/>
              <w:spacing w:after="0"/>
              <w:rPr>
                <w:sz w:val="20"/>
                <w:szCs w:val="20"/>
                <w:color w:val="auto"/>
              </w:rPr>
            </w:pPr>
            <w:r>
              <w:rPr>
                <w:rFonts w:ascii="Arial" w:cs="Arial" w:eastAsia="Arial" w:hAnsi="Arial"/>
                <w:sz w:val="18"/>
                <w:szCs w:val="18"/>
                <w:b w:val="1"/>
                <w:bCs w:val="1"/>
                <w:color w:val="auto"/>
                <w:w w:val="98"/>
              </w:rPr>
              <w:t>Item No.</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gridSpan w:val="3"/>
          </w:tcPr>
          <w:p>
            <w:pPr>
              <w:ind w:left="720"/>
              <w:spacing w:after="0"/>
              <w:rPr>
                <w:sz w:val="20"/>
                <w:szCs w:val="20"/>
                <w:color w:val="auto"/>
              </w:rPr>
            </w:pPr>
            <w:r>
              <w:rPr>
                <w:rFonts w:ascii="Arial" w:cs="Arial" w:eastAsia="Arial" w:hAnsi="Arial"/>
                <w:sz w:val="18"/>
                <w:szCs w:val="18"/>
                <w:b w:val="1"/>
                <w:bCs w:val="1"/>
                <w:color w:val="auto"/>
                <w:w w:val="90"/>
              </w:rPr>
              <w:t>Page No.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FF"/>
            </w:tcBorders>
            <w:shd w:val="clear" w:color="auto" w:fill="CCEEFF"/>
          </w:tcPr>
          <w:p>
            <w:pPr>
              <w:spacing w:after="0" w:line="176" w:lineRule="exact"/>
              <w:rPr>
                <w:rFonts w:ascii="Arial" w:cs="Arial" w:eastAsia="Arial" w:hAnsi="Arial"/>
                <w:sz w:val="18"/>
                <w:szCs w:val="18"/>
                <w:b w:val="1"/>
                <w:bCs w:val="1"/>
                <w:color w:val="0000FF"/>
                <w:w w:val="91"/>
              </w:rPr>
            </w:pPr>
            <w:hyperlink w:anchor="page5">
              <w:r>
                <w:rPr>
                  <w:rFonts w:ascii="Arial" w:cs="Arial" w:eastAsia="Arial" w:hAnsi="Arial"/>
                  <w:sz w:val="18"/>
                  <w:szCs w:val="18"/>
                  <w:b w:val="1"/>
                  <w:bCs w:val="1"/>
                  <w:color w:val="0000FF"/>
                  <w:w w:val="91"/>
                </w:rPr>
                <w:t>PART I</w:t>
              </w:r>
            </w:hyperlink>
          </w:p>
        </w:tc>
        <w:tc>
          <w:tcPr>
            <w:tcW w:w="100" w:type="dxa"/>
            <w:vAlign w:val="bottom"/>
            <w:tcBorders>
              <w:bottom w:val="single" w:sz="8" w:color="0000EE"/>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9"/>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5"/>
          </w:tcPr>
          <w:p>
            <w:pPr>
              <w:ind w:left="640"/>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gridSpan w:val="11"/>
            <w:shd w:val="clear" w:color="auto" w:fill="CCEEFF"/>
          </w:tcPr>
          <w:p>
            <w:pPr>
              <w:ind w:left="80"/>
              <w:spacing w:after="0" w:line="176" w:lineRule="exact"/>
              <w:rPr>
                <w:rFonts w:ascii="Arial" w:cs="Arial" w:eastAsia="Arial" w:hAnsi="Arial"/>
                <w:sz w:val="18"/>
                <w:szCs w:val="18"/>
                <w:color w:val="0000FF"/>
              </w:rPr>
            </w:pPr>
            <w:hyperlink w:anchor="page35">
              <w:r>
                <w:rPr>
                  <w:rFonts w:ascii="Arial" w:cs="Arial" w:eastAsia="Arial" w:hAnsi="Arial"/>
                  <w:sz w:val="18"/>
                  <w:szCs w:val="18"/>
                  <w:color w:val="0000FF"/>
                </w:rPr>
                <w:t>1A.</w:t>
              </w:r>
            </w:hyperlink>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9"/>
              </w:rPr>
              <w:t>30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gridSpan w:val="11"/>
          </w:tcPr>
          <w:p>
            <w:pPr>
              <w:ind w:left="80"/>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1B.</w:t>
              </w:r>
            </w:hyperlink>
          </w:p>
        </w:tc>
        <w:tc>
          <w:tcPr>
            <w:tcW w:w="8600" w:type="dxa"/>
            <w:vAlign w:val="bottom"/>
            <w:gridSpan w:val="20"/>
          </w:tcPr>
          <w:p>
            <w:pPr>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Unresolved Staff Comments</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9"/>
              </w:rPr>
              <w:t>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shd w:val="clear" w:color="auto" w:fill="CCEEFF"/>
          </w:tcPr>
          <w:p>
            <w:pPr>
              <w:ind w:left="640"/>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2.</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Properties</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9"/>
              </w:rPr>
              <w:t>66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tcPr>
          <w:p>
            <w:pPr>
              <w:ind w:left="640"/>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Legal Proceedings</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9"/>
              </w:rPr>
              <w:t>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5"/>
            <w:shd w:val="clear" w:color="auto" w:fill="CCEEFF"/>
          </w:tcPr>
          <w:p>
            <w:pPr>
              <w:ind w:left="640"/>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4.</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71">
              <w:r>
                <w:rPr>
                  <w:rFonts w:ascii="Arial" w:cs="Arial" w:eastAsia="Arial" w:hAnsi="Arial"/>
                  <w:sz w:val="18"/>
                  <w:szCs w:val="18"/>
                  <w:color w:val="0000FF"/>
                </w:rPr>
                <w:t>Mine Safety Disclosures</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9"/>
              </w:rPr>
              <w:t>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0000FF"/>
                <w:w w:val="96"/>
              </w:rPr>
              <w:t>PART II</w:t>
            </w:r>
          </w:p>
        </w:tc>
        <w:tc>
          <w:tcPr>
            <w:tcW w:w="120" w:type="dxa"/>
            <w:vAlign w:val="bottom"/>
            <w:tcBorders>
              <w:top w:val="single" w:sz="8" w:color="0000FF"/>
            </w:tcBorders>
            <w:gridSpan w:val="2"/>
          </w:tcPr>
          <w:p>
            <w:pPr>
              <w:spacing w:after="0"/>
              <w:rPr>
                <w:sz w:val="18"/>
                <w:szCs w:val="18"/>
                <w:color w:val="auto"/>
              </w:rPr>
            </w:pPr>
          </w:p>
        </w:tc>
        <w:tc>
          <w:tcPr>
            <w:tcW w:w="600" w:type="dxa"/>
            <w:vAlign w:val="bottom"/>
            <w:tcBorders>
              <w:top w:val="single" w:sz="8" w:color="CCEEFF"/>
            </w:tcBorders>
            <w:gridSpan w:val="8"/>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5"/>
            <w:shd w:val="clear" w:color="auto" w:fill="CCEEFF"/>
          </w:tcPr>
          <w:p>
            <w:pPr>
              <w:ind w:left="640"/>
              <w:spacing w:after="0" w:line="176" w:lineRule="exact"/>
              <w:rPr>
                <w:rFonts w:ascii="Arial" w:cs="Arial" w:eastAsia="Arial" w:hAnsi="Arial"/>
                <w:sz w:val="18"/>
                <w:szCs w:val="18"/>
                <w:color w:val="0000FF"/>
              </w:rPr>
            </w:pPr>
            <w:hyperlink w:anchor="page72">
              <w:r>
                <w:rPr>
                  <w:rFonts w:ascii="Arial" w:cs="Arial" w:eastAsia="Arial" w:hAnsi="Arial"/>
                  <w:sz w:val="18"/>
                  <w:szCs w:val="18"/>
                  <w:color w:val="0000FF"/>
                </w:rPr>
                <w:t>5.</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w w:val="96"/>
              </w:rPr>
            </w:pPr>
            <w:hyperlink w:anchor="page72">
              <w:r>
                <w:rPr>
                  <w:rFonts w:ascii="Arial" w:cs="Arial" w:eastAsia="Arial" w:hAnsi="Arial"/>
                  <w:sz w:val="18"/>
                  <w:szCs w:val="18"/>
                  <w:color w:val="0000FF"/>
                  <w:w w:val="96"/>
                </w:rPr>
                <w:t>Market for Registrant’s Common Equity, Related Stockholder Matters and Issuer Purchases of Equity Securities</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9"/>
              </w:rPr>
              <w:t>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tcPr>
          <w:p>
            <w:pPr>
              <w:ind w:left="640"/>
              <w:spacing w:after="0" w:line="176" w:lineRule="exact"/>
              <w:rPr>
                <w:rFonts w:ascii="Arial" w:cs="Arial" w:eastAsia="Arial" w:hAnsi="Arial"/>
                <w:sz w:val="18"/>
                <w:szCs w:val="18"/>
                <w:color w:val="0000FF"/>
              </w:rPr>
            </w:pPr>
            <w:hyperlink w:anchor="page72">
              <w:r>
                <w:rPr>
                  <w:rFonts w:ascii="Arial" w:cs="Arial" w:eastAsia="Arial" w:hAnsi="Arial"/>
                  <w:sz w:val="18"/>
                  <w:szCs w:val="18"/>
                  <w:color w:val="0000FF"/>
                </w:rPr>
                <w:t>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72">
              <w:r>
                <w:rPr>
                  <w:rFonts w:ascii="Arial" w:cs="Arial" w:eastAsia="Arial" w:hAnsi="Arial"/>
                  <w:sz w:val="18"/>
                  <w:szCs w:val="18"/>
                  <w:color w:val="0000FF"/>
                </w:rPr>
                <w:t>Selected Financial Data</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9"/>
              </w:rPr>
              <w:t>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shd w:val="clear" w:color="auto" w:fill="CCEEFF"/>
          </w:tcPr>
          <w:p>
            <w:pPr>
              <w:ind w:left="640"/>
              <w:spacing w:after="0" w:line="176" w:lineRule="exact"/>
              <w:rPr>
                <w:rFonts w:ascii="Arial" w:cs="Arial" w:eastAsia="Arial" w:hAnsi="Arial"/>
                <w:sz w:val="18"/>
                <w:szCs w:val="18"/>
                <w:color w:val="0000FF"/>
              </w:rPr>
            </w:pPr>
            <w:hyperlink w:anchor="page73">
              <w:r>
                <w:rPr>
                  <w:rFonts w:ascii="Arial" w:cs="Arial" w:eastAsia="Arial" w:hAnsi="Arial"/>
                  <w:sz w:val="18"/>
                  <w:szCs w:val="18"/>
                  <w:color w:val="0000FF"/>
                </w:rPr>
                <w:t>7.</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73">
              <w:r>
                <w:rPr>
                  <w:rFonts w:ascii="Arial" w:cs="Arial" w:eastAsia="Arial" w:hAnsi="Arial"/>
                  <w:sz w:val="18"/>
                  <w:szCs w:val="18"/>
                  <w:color w:val="0000FF"/>
                </w:rPr>
                <w:t>Management’s Discussion and Analysis of Financial Condition and Results of Operations</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9"/>
              </w:rPr>
              <w:t>68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gridSpan w:val="11"/>
          </w:tcPr>
          <w:p>
            <w:pPr>
              <w:ind w:left="80"/>
              <w:spacing w:after="0" w:line="176" w:lineRule="exact"/>
              <w:rPr>
                <w:rFonts w:ascii="Arial" w:cs="Arial" w:eastAsia="Arial" w:hAnsi="Arial"/>
                <w:sz w:val="18"/>
                <w:szCs w:val="18"/>
                <w:color w:val="0000FF"/>
              </w:rPr>
            </w:pPr>
            <w:hyperlink w:anchor="page84">
              <w:r>
                <w:rPr>
                  <w:rFonts w:ascii="Arial" w:cs="Arial" w:eastAsia="Arial" w:hAnsi="Arial"/>
                  <w:sz w:val="18"/>
                  <w:szCs w:val="18"/>
                  <w:color w:val="0000FF"/>
                </w:rPr>
                <w:t>7A.</w:t>
              </w:r>
            </w:hyperlink>
          </w:p>
        </w:tc>
        <w:tc>
          <w:tcPr>
            <w:tcW w:w="8600" w:type="dxa"/>
            <w:vAlign w:val="bottom"/>
            <w:gridSpan w:val="20"/>
          </w:tcPr>
          <w:p>
            <w:pPr>
              <w:spacing w:after="0" w:line="176" w:lineRule="exact"/>
              <w:rPr>
                <w:rFonts w:ascii="Arial" w:cs="Arial" w:eastAsia="Arial" w:hAnsi="Arial"/>
                <w:sz w:val="18"/>
                <w:szCs w:val="18"/>
                <w:color w:val="0000FF"/>
              </w:rPr>
            </w:pPr>
            <w:hyperlink w:anchor="page84">
              <w:r>
                <w:rPr>
                  <w:rFonts w:ascii="Arial" w:cs="Arial" w:eastAsia="Arial" w:hAnsi="Arial"/>
                  <w:sz w:val="18"/>
                  <w:szCs w:val="18"/>
                  <w:color w:val="0000FF"/>
                </w:rPr>
                <w:t>Quantitative and Qualitative Disclosures About Market Risk</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9"/>
              </w:rPr>
              <w:t>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shd w:val="clear" w:color="auto" w:fill="CCEEFF"/>
          </w:tcPr>
          <w:p>
            <w:pPr>
              <w:ind w:left="640"/>
              <w:spacing w:after="0" w:line="176" w:lineRule="exact"/>
              <w:rPr>
                <w:rFonts w:ascii="Arial" w:cs="Arial" w:eastAsia="Arial" w:hAnsi="Arial"/>
                <w:sz w:val="18"/>
                <w:szCs w:val="18"/>
                <w:color w:val="0000FF"/>
              </w:rPr>
            </w:pPr>
            <w:hyperlink w:anchor="page85">
              <w:r>
                <w:rPr>
                  <w:rFonts w:ascii="Arial" w:cs="Arial" w:eastAsia="Arial" w:hAnsi="Arial"/>
                  <w:sz w:val="18"/>
                  <w:szCs w:val="18"/>
                  <w:color w:val="0000FF"/>
                </w:rPr>
                <w:t>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85">
              <w:r>
                <w:rPr>
                  <w:rFonts w:ascii="Arial" w:cs="Arial" w:eastAsia="Arial" w:hAnsi="Arial"/>
                  <w:sz w:val="18"/>
                  <w:szCs w:val="18"/>
                  <w:color w:val="0000FF"/>
                </w:rPr>
                <w:t>Financial Statements and Supplementary Data</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9"/>
              </w:rPr>
              <w:t>80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tcPr>
          <w:p>
            <w:pPr>
              <w:ind w:left="640"/>
              <w:spacing w:after="0" w:line="176" w:lineRule="exact"/>
              <w:rPr>
                <w:rFonts w:ascii="Arial" w:cs="Arial" w:eastAsia="Arial" w:hAnsi="Arial"/>
                <w:sz w:val="18"/>
                <w:szCs w:val="18"/>
                <w:color w:val="0000FF"/>
              </w:rPr>
            </w:pPr>
            <w:hyperlink w:anchor="page121">
              <w:r>
                <w:rPr>
                  <w:rFonts w:ascii="Arial" w:cs="Arial" w:eastAsia="Arial" w:hAnsi="Arial"/>
                  <w:sz w:val="18"/>
                  <w:szCs w:val="18"/>
                  <w:color w:val="0000FF"/>
                </w:rPr>
                <w:t>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121">
              <w:r>
                <w:rPr>
                  <w:rFonts w:ascii="Arial" w:cs="Arial" w:eastAsia="Arial" w:hAnsi="Arial"/>
                  <w:sz w:val="18"/>
                  <w:szCs w:val="18"/>
                  <w:color w:val="0000FF"/>
                </w:rPr>
                <w:t>Changes in and Disagreements with Accountants on Accounting and Financial Disclosure</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6"/>
              </w:rPr>
              <w:t>114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gridSpan w:val="11"/>
            <w:shd w:val="clear" w:color="auto" w:fill="CCEEFF"/>
          </w:tcPr>
          <w:p>
            <w:pPr>
              <w:ind w:left="80"/>
              <w:spacing w:after="0" w:line="176" w:lineRule="exact"/>
              <w:rPr>
                <w:rFonts w:ascii="Arial" w:cs="Arial" w:eastAsia="Arial" w:hAnsi="Arial"/>
                <w:sz w:val="18"/>
                <w:szCs w:val="18"/>
                <w:color w:val="0000FF"/>
              </w:rPr>
            </w:pPr>
            <w:hyperlink w:anchor="page121">
              <w:r>
                <w:rPr>
                  <w:rFonts w:ascii="Arial" w:cs="Arial" w:eastAsia="Arial" w:hAnsi="Arial"/>
                  <w:sz w:val="18"/>
                  <w:szCs w:val="18"/>
                  <w:color w:val="0000FF"/>
                </w:rPr>
                <w:t>9A.</w:t>
              </w:r>
            </w:hyperlink>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121">
              <w:r>
                <w:rPr>
                  <w:rFonts w:ascii="Arial" w:cs="Arial" w:eastAsia="Arial" w:hAnsi="Arial"/>
                  <w:sz w:val="18"/>
                  <w:szCs w:val="18"/>
                  <w:color w:val="0000FF"/>
                </w:rPr>
                <w:t>Controls and Procedures</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6"/>
              </w:rPr>
              <w:t>114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gridSpan w:val="11"/>
          </w:tcPr>
          <w:p>
            <w:pPr>
              <w:ind w:left="80"/>
              <w:spacing w:after="0" w:line="176" w:lineRule="exact"/>
              <w:rPr>
                <w:rFonts w:ascii="Arial" w:cs="Arial" w:eastAsia="Arial" w:hAnsi="Arial"/>
                <w:sz w:val="18"/>
                <w:szCs w:val="18"/>
                <w:color w:val="0000FF"/>
              </w:rPr>
            </w:pPr>
            <w:hyperlink w:anchor="page121">
              <w:r>
                <w:rPr>
                  <w:rFonts w:ascii="Arial" w:cs="Arial" w:eastAsia="Arial" w:hAnsi="Arial"/>
                  <w:sz w:val="18"/>
                  <w:szCs w:val="18"/>
                  <w:color w:val="0000FF"/>
                </w:rPr>
                <w:t>9B.</w:t>
              </w:r>
            </w:hyperlink>
          </w:p>
        </w:tc>
        <w:tc>
          <w:tcPr>
            <w:tcW w:w="8600" w:type="dxa"/>
            <w:vAlign w:val="bottom"/>
            <w:gridSpan w:val="20"/>
          </w:tcPr>
          <w:p>
            <w:pPr>
              <w:spacing w:after="0" w:line="176" w:lineRule="exact"/>
              <w:rPr>
                <w:rFonts w:ascii="Arial" w:cs="Arial" w:eastAsia="Arial" w:hAnsi="Arial"/>
                <w:sz w:val="18"/>
                <w:szCs w:val="18"/>
                <w:color w:val="0000FF"/>
              </w:rPr>
            </w:pPr>
            <w:hyperlink w:anchor="page121">
              <w:r>
                <w:rPr>
                  <w:rFonts w:ascii="Arial" w:cs="Arial" w:eastAsia="Arial" w:hAnsi="Arial"/>
                  <w:sz w:val="18"/>
                  <w:szCs w:val="18"/>
                  <w:color w:val="0000FF"/>
                </w:rPr>
                <w:t>Other Information</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6"/>
              </w:rPr>
              <w:t>114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0000FF"/>
              </w:rPr>
              <w:t>PART III</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7"/>
          </w:tcPr>
          <w:p>
            <w:pPr>
              <w:ind w:left="640"/>
              <w:spacing w:after="0" w:line="176" w:lineRule="exact"/>
              <w:rPr>
                <w:rFonts w:ascii="Arial" w:cs="Arial" w:eastAsia="Arial" w:hAnsi="Arial"/>
                <w:sz w:val="18"/>
                <w:szCs w:val="18"/>
                <w:color w:val="0000FF"/>
                <w:w w:val="87"/>
              </w:rPr>
            </w:pPr>
            <w:hyperlink w:anchor="page122">
              <w:r>
                <w:rPr>
                  <w:rFonts w:ascii="Arial" w:cs="Arial" w:eastAsia="Arial" w:hAnsi="Arial"/>
                  <w:sz w:val="18"/>
                  <w:szCs w:val="18"/>
                  <w:color w:val="0000FF"/>
                  <w:w w:val="87"/>
                </w:rPr>
                <w:t>10.</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122">
              <w:r>
                <w:rPr>
                  <w:rFonts w:ascii="Arial" w:cs="Arial" w:eastAsia="Arial" w:hAnsi="Arial"/>
                  <w:sz w:val="18"/>
                  <w:szCs w:val="18"/>
                  <w:color w:val="0000FF"/>
                </w:rPr>
                <w:t>Directors, Executive Officers and Corporate Governance</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6"/>
              </w:rPr>
              <w:t>115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5"/>
            <w:shd w:val="clear" w:color="auto" w:fill="CCEEFF"/>
          </w:tcPr>
          <w:p>
            <w:pPr>
              <w:ind w:left="640"/>
              <w:spacing w:after="0" w:line="176" w:lineRule="exact"/>
              <w:rPr>
                <w:rFonts w:ascii="Arial" w:cs="Arial" w:eastAsia="Arial" w:hAnsi="Arial"/>
                <w:sz w:val="18"/>
                <w:szCs w:val="18"/>
                <w:color w:val="0000FF"/>
                <w:w w:val="71"/>
              </w:rPr>
            </w:pPr>
            <w:hyperlink w:anchor="page122">
              <w:r>
                <w:rPr>
                  <w:rFonts w:ascii="Arial" w:cs="Arial" w:eastAsia="Arial" w:hAnsi="Arial"/>
                  <w:sz w:val="18"/>
                  <w:szCs w:val="18"/>
                  <w:color w:val="0000FF"/>
                  <w:w w:val="71"/>
                </w:rPr>
                <w:t>11.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122">
              <w:r>
                <w:rPr>
                  <w:rFonts w:ascii="Arial" w:cs="Arial" w:eastAsia="Arial" w:hAnsi="Arial"/>
                  <w:sz w:val="18"/>
                  <w:szCs w:val="18"/>
                  <w:color w:val="0000FF"/>
                </w:rPr>
                <w:t>Executive Compensation</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6"/>
              </w:rPr>
              <w:t>115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7"/>
          </w:tcPr>
          <w:p>
            <w:pPr>
              <w:ind w:left="640"/>
              <w:spacing w:after="0" w:line="176" w:lineRule="exact"/>
              <w:rPr>
                <w:rFonts w:ascii="Arial" w:cs="Arial" w:eastAsia="Arial" w:hAnsi="Arial"/>
                <w:sz w:val="18"/>
                <w:szCs w:val="18"/>
                <w:color w:val="0000FF"/>
                <w:w w:val="87"/>
              </w:rPr>
            </w:pPr>
            <w:hyperlink w:anchor="page122">
              <w:r>
                <w:rPr>
                  <w:rFonts w:ascii="Arial" w:cs="Arial" w:eastAsia="Arial" w:hAnsi="Arial"/>
                  <w:sz w:val="18"/>
                  <w:szCs w:val="18"/>
                  <w:color w:val="0000FF"/>
                  <w:w w:val="87"/>
                </w:rPr>
                <w:t>12.</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122">
              <w:r>
                <w:rPr>
                  <w:rFonts w:ascii="Arial" w:cs="Arial" w:eastAsia="Arial" w:hAnsi="Arial"/>
                  <w:sz w:val="18"/>
                  <w:szCs w:val="18"/>
                  <w:color w:val="0000FF"/>
                </w:rPr>
                <w:t>Security Ownership of Certain Beneficial Owners and Management and Related Stockholder Matters</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6"/>
              </w:rPr>
              <w:t>115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7"/>
            <w:shd w:val="clear" w:color="auto" w:fill="CCEEFF"/>
          </w:tcPr>
          <w:p>
            <w:pPr>
              <w:ind w:left="640"/>
              <w:spacing w:after="0" w:line="176" w:lineRule="exact"/>
              <w:rPr>
                <w:rFonts w:ascii="Arial" w:cs="Arial" w:eastAsia="Arial" w:hAnsi="Arial"/>
                <w:sz w:val="18"/>
                <w:szCs w:val="18"/>
                <w:color w:val="0000FF"/>
                <w:w w:val="87"/>
              </w:rPr>
            </w:pPr>
            <w:hyperlink w:anchor="page122">
              <w:r>
                <w:rPr>
                  <w:rFonts w:ascii="Arial" w:cs="Arial" w:eastAsia="Arial" w:hAnsi="Arial"/>
                  <w:sz w:val="18"/>
                  <w:szCs w:val="18"/>
                  <w:color w:val="0000FF"/>
                  <w:w w:val="87"/>
                </w:rPr>
                <w:t>13.</w:t>
              </w:r>
            </w:hyperlink>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20"/>
            <w:shd w:val="clear" w:color="auto" w:fill="CCEEFF"/>
          </w:tcPr>
          <w:p>
            <w:pPr>
              <w:spacing w:after="0" w:line="176" w:lineRule="exact"/>
              <w:rPr>
                <w:rFonts w:ascii="Arial" w:cs="Arial" w:eastAsia="Arial" w:hAnsi="Arial"/>
                <w:sz w:val="18"/>
                <w:szCs w:val="18"/>
                <w:color w:val="0000FF"/>
              </w:rPr>
            </w:pPr>
            <w:hyperlink w:anchor="page122">
              <w:r>
                <w:rPr>
                  <w:rFonts w:ascii="Arial" w:cs="Arial" w:eastAsia="Arial" w:hAnsi="Arial"/>
                  <w:sz w:val="18"/>
                  <w:szCs w:val="18"/>
                  <w:color w:val="0000FF"/>
                </w:rPr>
                <w:t>Certain Relationships and Related Transactions, and Director Independence</w:t>
              </w:r>
            </w:hyperlink>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6"/>
              </w:rPr>
              <w:t>115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7"/>
          </w:tcPr>
          <w:p>
            <w:pPr>
              <w:ind w:left="640"/>
              <w:spacing w:after="0" w:line="176" w:lineRule="exact"/>
              <w:rPr>
                <w:rFonts w:ascii="Arial" w:cs="Arial" w:eastAsia="Arial" w:hAnsi="Arial"/>
                <w:sz w:val="18"/>
                <w:szCs w:val="18"/>
                <w:color w:val="0000FF"/>
                <w:w w:val="87"/>
              </w:rPr>
            </w:pPr>
            <w:hyperlink w:anchor="page122">
              <w:r>
                <w:rPr>
                  <w:rFonts w:ascii="Arial" w:cs="Arial" w:eastAsia="Arial" w:hAnsi="Arial"/>
                  <w:sz w:val="18"/>
                  <w:szCs w:val="18"/>
                  <w:color w:val="0000FF"/>
                  <w:w w:val="87"/>
                </w:rPr>
                <w:t>14.</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122">
              <w:r>
                <w:rPr>
                  <w:rFonts w:ascii="Arial" w:cs="Arial" w:eastAsia="Arial" w:hAnsi="Arial"/>
                  <w:sz w:val="18"/>
                  <w:szCs w:val="18"/>
                  <w:color w:val="0000FF"/>
                </w:rPr>
                <w:t>Principal Accounting Fees and Services</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6"/>
              </w:rPr>
              <w:t>115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0000FF"/>
              </w:rPr>
              <w:t>PART IV</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7"/>
          </w:tcPr>
          <w:p>
            <w:pPr>
              <w:ind w:left="640"/>
              <w:spacing w:after="0" w:line="176" w:lineRule="exact"/>
              <w:rPr>
                <w:rFonts w:ascii="Arial" w:cs="Arial" w:eastAsia="Arial" w:hAnsi="Arial"/>
                <w:sz w:val="18"/>
                <w:szCs w:val="18"/>
                <w:color w:val="0000FF"/>
                <w:w w:val="87"/>
              </w:rPr>
            </w:pPr>
            <w:hyperlink w:anchor="page123">
              <w:r>
                <w:rPr>
                  <w:rFonts w:ascii="Arial" w:cs="Arial" w:eastAsia="Arial" w:hAnsi="Arial"/>
                  <w:sz w:val="18"/>
                  <w:szCs w:val="18"/>
                  <w:color w:val="0000FF"/>
                  <w:w w:val="87"/>
                </w:rPr>
                <w:t>15.</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gridSpan w:val="20"/>
          </w:tcPr>
          <w:p>
            <w:pPr>
              <w:spacing w:after="0" w:line="176" w:lineRule="exact"/>
              <w:rPr>
                <w:rFonts w:ascii="Arial" w:cs="Arial" w:eastAsia="Arial" w:hAnsi="Arial"/>
                <w:sz w:val="18"/>
                <w:szCs w:val="18"/>
                <w:color w:val="0000FF"/>
              </w:rPr>
            </w:pPr>
            <w:hyperlink w:anchor="page123">
              <w:r>
                <w:rPr>
                  <w:rFonts w:ascii="Arial" w:cs="Arial" w:eastAsia="Arial" w:hAnsi="Arial"/>
                  <w:sz w:val="18"/>
                  <w:szCs w:val="18"/>
                  <w:color w:val="0000FF"/>
                </w:rPr>
                <w:t>Exhibits and Financial Statement Schedules</w:t>
              </w:r>
            </w:hyperlink>
          </w:p>
        </w:tc>
        <w:tc>
          <w:tcPr>
            <w:tcW w:w="1380" w:type="dxa"/>
            <w:vAlign w:val="bottom"/>
            <w:gridSpan w:val="2"/>
          </w:tcPr>
          <w:p>
            <w:pPr>
              <w:jc w:val="center"/>
              <w:ind w:left="632"/>
              <w:spacing w:after="0" w:line="176" w:lineRule="exact"/>
              <w:rPr>
                <w:sz w:val="20"/>
                <w:szCs w:val="20"/>
                <w:color w:val="auto"/>
              </w:rPr>
            </w:pPr>
            <w:r>
              <w:rPr>
                <w:rFonts w:ascii="Arial" w:cs="Arial" w:eastAsia="Arial" w:hAnsi="Arial"/>
                <w:sz w:val="18"/>
                <w:szCs w:val="18"/>
                <w:color w:val="auto"/>
                <w:w w:val="86"/>
              </w:rPr>
              <w:t>116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12"/>
            <w:shd w:val="clear" w:color="auto" w:fill="CCEEFF"/>
          </w:tcPr>
          <w:p>
            <w:pPr>
              <w:spacing w:after="0" w:line="176" w:lineRule="exact"/>
              <w:rPr>
                <w:rFonts w:ascii="Arial" w:cs="Arial" w:eastAsia="Arial" w:hAnsi="Arial"/>
                <w:sz w:val="18"/>
                <w:szCs w:val="18"/>
                <w:b w:val="1"/>
                <w:bCs w:val="1"/>
                <w:color w:val="0000FF"/>
              </w:rPr>
            </w:pPr>
            <w:hyperlink w:anchor="page124">
              <w:r>
                <w:rPr>
                  <w:rFonts w:ascii="Arial" w:cs="Arial" w:eastAsia="Arial" w:hAnsi="Arial"/>
                  <w:sz w:val="18"/>
                  <w:szCs w:val="18"/>
                  <w:b w:val="1"/>
                  <w:bCs w:val="1"/>
                  <w:color w:val="0000FF"/>
                </w:rPr>
                <w:t>EXHIBIT INDEX</w:t>
              </w:r>
            </w:hyperlink>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86"/>
              </w:rPr>
              <w:t>117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FF"/>
            </w:tcBorders>
          </w:tcPr>
          <w:p>
            <w:pPr>
              <w:spacing w:after="0"/>
              <w:rPr>
                <w:sz w:val="15"/>
                <w:szCs w:val="15"/>
                <w:color w:val="auto"/>
              </w:rPr>
            </w:pPr>
          </w:p>
        </w:tc>
        <w:tc>
          <w:tcPr>
            <w:tcW w:w="1120" w:type="dxa"/>
            <w:vAlign w:val="bottom"/>
            <w:tcBorders>
              <w:top w:val="single" w:sz="8" w:color="0000FF"/>
              <w:bottom w:val="single" w:sz="8" w:color="0000FF"/>
            </w:tcBorders>
            <w:gridSpan w:val="9"/>
          </w:tcPr>
          <w:p>
            <w:pPr>
              <w:spacing w:after="0" w:line="176" w:lineRule="exact"/>
              <w:rPr>
                <w:rFonts w:ascii="Arial" w:cs="Arial" w:eastAsia="Arial" w:hAnsi="Arial"/>
                <w:sz w:val="18"/>
                <w:szCs w:val="18"/>
                <w:b w:val="1"/>
                <w:bCs w:val="1"/>
                <w:color w:val="0000FF"/>
                <w:w w:val="93"/>
              </w:rPr>
            </w:pPr>
            <w:hyperlink w:anchor="page127">
              <w:r>
                <w:rPr>
                  <w:rFonts w:ascii="Arial" w:cs="Arial" w:eastAsia="Arial" w:hAnsi="Arial"/>
                  <w:sz w:val="18"/>
                  <w:szCs w:val="18"/>
                  <w:b w:val="1"/>
                  <w:bCs w:val="1"/>
                  <w:color w:val="0000FF"/>
                  <w:w w:val="93"/>
                </w:rPr>
                <w:t>SIGNATURES</w:t>
              </w:r>
            </w:hyperlink>
          </w:p>
        </w:tc>
        <w:tc>
          <w:tcPr>
            <w:tcW w:w="22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gridSpan w:val="2"/>
          </w:tcPr>
          <w:p>
            <w:pPr>
              <w:jc w:val="center"/>
              <w:ind w:left="632"/>
              <w:spacing w:after="0" w:line="176" w:lineRule="exact"/>
              <w:rPr>
                <w:sz w:val="20"/>
                <w:szCs w:val="20"/>
                <w:color w:val="auto"/>
              </w:rPr>
            </w:pPr>
            <w:r>
              <w:rPr>
                <w:rFonts w:ascii="Arial" w:cs="Arial" w:eastAsia="Arial" w:hAnsi="Arial"/>
                <w:sz w:val="18"/>
                <w:szCs w:val="18"/>
                <w:color w:val="auto"/>
                <w:w w:val="86"/>
              </w:rPr>
              <w:t>120</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Annual Report on Form 10-K (</w:t>
      </w:r>
      <w:r>
        <w:rPr>
          <w:rFonts w:ascii="Arial" w:cs="Arial" w:eastAsia="Arial" w:hAnsi="Arial"/>
          <w:sz w:val="16"/>
          <w:szCs w:val="16"/>
          <w:i w:val="1"/>
          <w:iCs w:val="1"/>
          <w:color w:val="auto"/>
        </w:rPr>
        <w:t>Annual Report</w:t>
      </w:r>
      <w:r>
        <w:rPr>
          <w:rFonts w:ascii="Arial" w:cs="Arial" w:eastAsia="Arial" w:hAnsi="Arial"/>
          <w:sz w:val="16"/>
          <w:szCs w:val="16"/>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 and clinical and non-clinical development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including, among other things, AV-101, initially as an add-on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subsequently as a treatment for additional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PH94B as a treatment for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and PH10 as a treatment for MDD;</w:t>
      </w:r>
    </w:p>
    <w:p>
      <w:pPr>
        <w:spacing w:after="0" w:line="194"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regulatory and political developments in the U.S. and foreign countries;</w:t>
      </w:r>
    </w:p>
    <w:p>
      <w:pPr>
        <w:spacing w:after="0" w:line="22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w:t>
      </w:r>
      <w:r>
        <w:rPr>
          <w:rFonts w:ascii="Arial" w:cs="Arial" w:eastAsia="Arial" w:hAnsi="Arial"/>
          <w:sz w:val="18"/>
          <w:szCs w:val="18"/>
          <w:i w:val="1"/>
          <w:iCs w:val="1"/>
          <w:color w:val="auto"/>
        </w:rPr>
        <w:t>IP</w:t>
      </w:r>
      <w:r>
        <w:rPr>
          <w:rFonts w:ascii="Arial" w:cs="Arial" w:eastAsia="Arial" w:hAnsi="Arial"/>
          <w:sz w:val="18"/>
          <w:szCs w:val="18"/>
          <w:color w:val="auto"/>
        </w:rPr>
        <w:t>) protection for our core assets, including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enter and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key scientific, clinical or nonclinical development, regulatory, and/or management personnel, internally or from one or more of our third-party collaborators;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of this Annual Report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this Annual Report and the documents that we have filed as exhibits to the Annual Report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All brand names or trademarks appearing in this Annual Report are the property of their respective holders. Unless the context requires otherwise, references in this report to “VistaGen,” the “Company,” “we,” “us,” and “our” refer to VistaGen Therapeutics, Inc., a Nevada corporation. All references to future quarters and years in this Annual Report refer to calendar quarters and calendar years, unless reference is made otherwise.</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 clinical-stage biopharmaceutical company committed to developing and commercializing new generation medicines to treat diseases and disorders of the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with high unmet need. Our portfolio of three clinical-stage product candidates is currently focused on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w:t>
      </w:r>
      <w:r>
        <w:rPr>
          <w:rFonts w:ascii="Arial" w:cs="Arial" w:eastAsia="Arial" w:hAnsi="Arial"/>
          <w:sz w:val="16"/>
          <w:szCs w:val="16"/>
          <w:i w:val="1"/>
          <w:iCs w:val="1"/>
          <w:color w:val="auto"/>
        </w:rPr>
        <w:t>LID</w:t>
      </w:r>
      <w:r>
        <w:rPr>
          <w:rFonts w:ascii="Arial" w:cs="Arial" w:eastAsia="Arial" w:hAnsi="Arial"/>
          <w:sz w:val="16"/>
          <w:szCs w:val="16"/>
          <w:color w:val="auto"/>
        </w:rPr>
        <w:t>),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suicidal ideation (</w:t>
      </w:r>
      <w:r>
        <w:rPr>
          <w:rFonts w:ascii="Arial" w:cs="Arial" w:eastAsia="Arial" w:hAnsi="Arial"/>
          <w:sz w:val="16"/>
          <w:szCs w:val="16"/>
          <w:i w:val="1"/>
          <w:iCs w:val="1"/>
          <w:color w:val="auto"/>
        </w:rPr>
        <w:t>SI</w:t>
      </w:r>
      <w:r>
        <w:rPr>
          <w:rFonts w:ascii="Arial" w:cs="Arial" w:eastAsia="Arial" w:hAnsi="Arial"/>
          <w:sz w:val="16"/>
          <w:szCs w:val="16"/>
          <w:color w:val="auto"/>
        </w:rPr>
        <w:t>).</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most advanced product candidate, PH94B neuroactive nasal spray, is fundamentally different from all current treatments for SAD. Developed from proprietary compounds called pherines and administered as a nasal spray, PH94B activates nasal chemosensory receptors that trigger neural circuits in the brain that suppress fear and anxiety. In a published, peer-reviewed, double-blind, placebo-controlled Phase 2 clinical trial undertaken in a laboratory setting mimicking public speaking and social interaction challenges, PH94B neuroactive nasal spray was significantly more effective than placebo in reducing behavior related to social anxiety in individuals with SAD. Its novel mechanism of pharmacological action, rapid-onset of therapeutic effects and exceptional safety and tolerability profile in clinical trials to date make PH94B neuroactive nasal spray an excellent product candidate with potential to become the first FDA-approved on-demand treatment for SAD. Additional potential indications for PH94B include 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 and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as well as other neuropsychiatric indications.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AV-101 (4-Cl-KYN), one of our two product candidates initially focused on MDD,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MDD, epilepsy, LID, NP and many others. AV-101 is an oral prodrug of 7-chlorokynurenic acid (7-Cl-KYNA), which binds uniquely at the glycine site of the NMDA receptor and has potential to be a new at-home treatment for MDD and other CNS indications with high unmet need. AV-101 is currently in Phase 2 development in the U.S. for MDD. ELEVATE is our Phase 2 multicenter, double blind, placebo-controlled clinical study to evaluate the efficacy and safety of AV-101 as an add-on treatment for MDD in adult patients with an inadequate therapeutic response to current FDA-approved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xml:space="preserve">) (the </w:t>
      </w:r>
      <w:r>
        <w:rPr>
          <w:rFonts w:ascii="Arial" w:cs="Arial" w:eastAsia="Arial" w:hAnsi="Arial"/>
          <w:sz w:val="16"/>
          <w:szCs w:val="16"/>
          <w:i w:val="1"/>
          <w:iCs w:val="1"/>
          <w:color w:val="auto"/>
        </w:rPr>
        <w:t>ELEVATE Study</w:t>
      </w:r>
      <w:r>
        <w:rPr>
          <w:rFonts w:ascii="Arial" w:cs="Arial" w:eastAsia="Arial" w:hAnsi="Arial"/>
          <w:sz w:val="16"/>
          <w:szCs w:val="16"/>
          <w:color w:val="auto"/>
        </w:rPr>
        <w:t>).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Medicine </w:t>
      </w:r>
      <w:r>
        <w:rPr>
          <w:rFonts w:ascii="Arial" w:cs="Arial" w:eastAsia="Arial" w:hAnsi="Arial"/>
          <w:sz w:val="16"/>
          <w:szCs w:val="16"/>
          <w:color w:val="auto"/>
        </w:rPr>
        <w:t>(</w:t>
      </w:r>
      <w:r>
        <w:rPr>
          <w:rFonts w:ascii="Arial" w:cs="Arial" w:eastAsia="Arial" w:hAnsi="Arial"/>
          <w:sz w:val="16"/>
          <w:szCs w:val="16"/>
          <w:i w:val="1"/>
          <w:iCs w:val="1"/>
          <w:color w:val="auto"/>
        </w:rPr>
        <w:t>NEJM</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Journal of the 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from the ELEVATE Study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half of 2019. In addition to MDD, we believe preclinical data and positive safety data in all clinical studies to date support AV-101’s potential to treat LID, NP and SI, The FDA has granted Fast Track designation for development of AV-101 both as a potential add-on treatment of MDD and as a non-opioid treatment for NP.</w:t>
      </w:r>
    </w:p>
    <w:p>
      <w:pPr>
        <w:spacing w:after="0" w:line="3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other product candidate in Phase 2 development and initially focused on MDD is PH10 neuroactive nasal spray. PH10 is a potential first-in-class, CNS neurosteroid nasal spray administered in microgram doses for front-line treatment of MDD. PH10 nasal spray activates nasal chemosensory receptors that, in turn, engage GABA (gamma-aminobutyric acid) and CRH (corticotropin-releasing hormone) neurons in the limbic amygdala system. The activation of these neural circuits is believed to have the potential to lead to rapid antidepressant effects without psychological side effects, systemic exposure or safety concerns often associated with current antidepressants. Based on positive results from a small exploratory Phase 2a study in MDD in which rapid-onset antidepressant effects were observed without psychological side effects or systemic exposure, we are planning for Phase 2b clinical development of PH10 as a first-line treatment for MDD in the second half of 2020.</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CNS business, we have two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stem cell technology-based cardiac bioassay system, to discover and develop small molecule NCEs for our CNS pipeline or for out-licensing. To advance potential RM applications of our cardiac stem cell technology, we have sublicensed to BlueRock Therapeutics LP, a next generation cell therapy and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collaborations or licensing transactions involving blood, cartilage, and/or liver cells derived from hPSCs for cell-based therapy, cell repair therapy, RM and/or tissue engineering.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Strategy</w:t>
      </w:r>
    </w:p>
    <w:p>
      <w:pPr>
        <w:spacing w:after="0" w:line="2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goal is to be a leading biopharmaceutical company committed to development and commercialization of novel proprietary therapies for the treatment of CNS diseases and disorders with high unmet need. Our current focus is on building our opportunities in neuropsychiatry, with emphasis on MDD, SAD and SI, and in neurology, with emphasis on LID and NP. Key elements of our strategy are to:</w:t>
      </w:r>
    </w:p>
    <w:p>
      <w:pPr>
        <w:spacing w:after="0" w:line="12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and complete Phase 3 clinical development of PH94B for on-demand treatment of SAD;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 for and obtain regulatory approval of PH94B for treatment of SAD in the U.S., if our Phase 3 development efforts are successful;</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Commercialize PH94B in the U.S. on our own, if and when approved for treatment of SAD;</w:t>
      </w:r>
    </w:p>
    <w:p>
      <w:pPr>
        <w:spacing w:after="0" w:line="15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AV-101 and PH10 through completion of Phase 2 clinical development for treatment of MDD on our own, and, if our Phase 2 development efforts are successful, through completion of Phase 3 clinical development for treatment of MDD, either on our own or with a collaborator;</w:t>
      </w:r>
    </w:p>
    <w:p>
      <w:pPr>
        <w:spacing w:after="0" w:line="126"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for and obtain regulatory approval of AV-101 and PH10 for treatment of MDD in the U.S., if they are advanced into and successfully complete Phase 3 development;</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Commercialize AV-101 and PH10 in the U.S. on our own or with a collaborator, if and when approved;</w:t>
      </w:r>
    </w:p>
    <w:p>
      <w:pPr>
        <w:spacing w:after="0" w:line="15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Explore potential of our product candidates, in preclinical studies and in early-stage clinical clinical studies, in additional CNS indications, including evaluation of PH94B, AV-101 and PH10 in additional neuropsychiatry disorders such as PTSD, GAD, and SI, as well as AV-101’s potential as a treatment for LID and NP;</w:t>
      </w:r>
    </w:p>
    <w:p>
      <w:pPr>
        <w:spacing w:after="0" w:line="126" w:lineRule="exact"/>
        <w:rPr>
          <w:rFonts w:ascii="Arial" w:cs="Arial" w:eastAsia="Arial" w:hAnsi="Arial"/>
          <w:sz w:val="18"/>
          <w:szCs w:val="18"/>
          <w:color w:val="auto"/>
        </w:rPr>
      </w:pPr>
    </w:p>
    <w:p>
      <w:pPr>
        <w:ind w:left="980" w:hanging="324"/>
        <w:spacing w:after="0" w:line="33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Evaluate the market potential and regulatory pathways for our product candidates in China, the European Union (the </w:t>
      </w:r>
      <w:r>
        <w:rPr>
          <w:rFonts w:ascii="Arial" w:cs="Arial" w:eastAsia="Arial" w:hAnsi="Arial"/>
          <w:sz w:val="16"/>
          <w:szCs w:val="16"/>
          <w:i w:val="1"/>
          <w:iCs w:val="1"/>
          <w:color w:val="auto"/>
        </w:rPr>
        <w:t>EU</w:t>
      </w:r>
      <w:r>
        <w:rPr>
          <w:rFonts w:ascii="Arial" w:cs="Arial" w:eastAsia="Arial" w:hAnsi="Arial"/>
          <w:sz w:val="16"/>
          <w:szCs w:val="16"/>
          <w:color w:val="auto"/>
        </w:rPr>
        <w:t>), Japan, Hong Kong, South Korea and other countries outside the U.S., and move forward where and when it may make business and strategic sense for us to proceed;</w:t>
      </w:r>
    </w:p>
    <w:p>
      <w:pPr>
        <w:spacing w:after="0" w:line="71" w:lineRule="exact"/>
        <w:rPr>
          <w:rFonts w:ascii="Arial" w:cs="Arial" w:eastAsia="Arial" w:hAnsi="Arial"/>
          <w:sz w:val="16"/>
          <w:szCs w:val="16"/>
          <w:color w:val="auto"/>
        </w:rPr>
      </w:pPr>
    </w:p>
    <w:p>
      <w:pPr>
        <w:ind w:left="980" w:hanging="324"/>
        <w:spacing w:after="0" w:line="33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Explore potential for development and commercialization collaborations to advance clinical development, file for and obtain regulatory approval of, and commercialize our product candidates in China, the EU, Japan, Hong Kong, South Korea, and other global markets outside the U.S.;</w:t>
      </w:r>
    </w:p>
    <w:p>
      <w:pPr>
        <w:spacing w:after="0" w:line="71" w:lineRule="exact"/>
        <w:rPr>
          <w:rFonts w:ascii="Arial" w:cs="Arial" w:eastAsia="Arial" w:hAnsi="Arial"/>
          <w:sz w:val="16"/>
          <w:szCs w:val="16"/>
          <w:color w:val="auto"/>
        </w:rPr>
      </w:pPr>
    </w:p>
    <w:p>
      <w:pPr>
        <w:ind w:left="980" w:right="2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research and development efforts to evaluate the potential for our existing product candidates in the treatment of additional CNS indications, and the identification of new drug candidates and new areas of interest;</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the probability of our success by developing and commercializing unique assets with differentiated features, and focus our development activities on CNS indications where we can make well-informed go/no-go decisions;</w:t>
      </w:r>
    </w:p>
    <w:p>
      <w:pPr>
        <w:spacing w:after="0" w:line="11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Utilize the strengths of our proprietary hPSC-based cardiotoxicity assay system,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our scientific know-how to both expand our CNS product candidate portfolio through our internal drug rescue programs and lessen our long-term reliance on the success of any one particular program to facilitate our long-term growth; and</w:t>
      </w:r>
    </w:p>
    <w:p>
      <w:pPr>
        <w:spacing w:after="0" w:line="12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strengths of our hPSC-based intellectual property portfolio to explore potential for one or more additional strategic out-licensing transactions in the RM and cell therapy (</w:t>
      </w:r>
      <w:r>
        <w:rPr>
          <w:rFonts w:ascii="Arial" w:cs="Arial" w:eastAsia="Arial" w:hAnsi="Arial"/>
          <w:sz w:val="18"/>
          <w:szCs w:val="18"/>
          <w:i w:val="1"/>
          <w:iCs w:val="1"/>
          <w:color w:val="auto"/>
        </w:rPr>
        <w:t>RM/CT</w:t>
      </w:r>
      <w:r>
        <w:rPr>
          <w:rFonts w:ascii="Arial" w:cs="Arial" w:eastAsia="Arial" w:hAnsi="Arial"/>
          <w:sz w:val="18"/>
          <w:szCs w:val="18"/>
          <w:color w:val="auto"/>
        </w:rPr>
        <w:t>) fields focused on applications of blood, cartilage and/or liver cells, with each such transaction similar in scope and structure to the BlueRock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Product Pipeline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development programs as of the filing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165735</wp:posOffset>
            </wp:positionV>
            <wp:extent cx="4150995" cy="2830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0995" cy="2830195"/>
                    </a:xfrm>
                    <a:prstGeom prst="rect">
                      <a:avLst/>
                    </a:prstGeom>
                    <a:noFill/>
                  </pic:spPr>
                </pic:pic>
              </a:graphicData>
            </a:graphic>
          </wp:anchor>
        </w:drawing>
      </w:r>
    </w:p>
    <w:p>
      <w:pPr>
        <w:sectPr>
          <w:pgSz w:w="11900" w:h="16838" w:orient="portrait"/>
          <w:cols w:equalWidth="0" w:num="1">
            <w:col w:w="11420"/>
          </w:cols>
          <w:pgMar w:left="240" w:top="131" w:right="239" w:bottom="6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84"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 Neuroactive Nasal Spray for SAD</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SAD, a social phobia that affects as many as 15 million Americans according to the Anxiety and Depression Association of America (ADAA), is characterized by an intense and persistent fear of embarrassment, evaluation, humiliation, judgment, and rejection in everyday social or performance situations, leading the individual to avoid anxiety and fear-producing social situations when possible, even if such avoidance is detrimental to the individual’s employment, social activities and overall quality of life. SAD is commonly treated chronically with ADs, which have slow onset of effect (several weeks or months) and known side effects that may make them unattractive to individuals intermittently or episodically affected by SAD. Benzodiazepines, also known as benzos, and beta blockers, which are prescribed off-label to treat SAD, have been found in third party literature to have addictive or sedative properties, and have other adverse effects when used to treat SAD.</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PH94B neuroactive nasal spray is a synthetic investigational neurosteroid with a novel, rapid-onset mechanism of action that is fundamentally different from all current treatments for SAD. Developed from proprietary compounds called pherines and administered at microgram doses as an odorless nasal spray, PH94B activates nasal chemosensory receptors that trigger neural circuits in the brain that suppress fear and anxiety. Specifically, PH94B engages nasal chemosensory receptors that trigger a subset of neurons in the main olfactory bulbs (</w:t>
      </w:r>
      <w:r>
        <w:rPr>
          <w:rFonts w:ascii="Arial" w:cs="Arial" w:eastAsia="Arial" w:hAnsi="Arial"/>
          <w:sz w:val="18"/>
          <w:szCs w:val="18"/>
          <w:i w:val="1"/>
          <w:iCs w:val="1"/>
          <w:color w:val="auto"/>
        </w:rPr>
        <w:t>OB</w:t>
      </w:r>
      <w:r>
        <w:rPr>
          <w:rFonts w:ascii="Arial" w:cs="Arial" w:eastAsia="Arial" w:hAnsi="Arial"/>
          <w:sz w:val="18"/>
          <w:szCs w:val="18"/>
          <w:color w:val="auto"/>
        </w:rPr>
        <w:t>). OB neurons then stimulate inhibitory GABAergic neurons in the limbic amygdala, releasing anxiolytic neuropeptide S, decreasing release of norepinephrine, and facilitating fear extinction activity of the limbic-hypothalamic parasympathetic system.</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 91-patient published, peer-reviewed, randomized, double-blind, placebo-controlled Phase 2 clinical trial, which included both laboratory-based public speaking and social situation challenges, PH94B, administered as a nasal spray at a microgram dose, significantly improved the primary efficacy endpoint, as assessed using subjective anxiety ratings on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within 10 to 15 minutes of self-administration, without systemic exposure. It was not observed to be addictive, sedative or have other adverse events. In a 22-patient, four-week, randomized, double blind, placebo-controlled pilot Phase 3 crossover study, subjects receiving PH94B had a significantly greater decrease in average peak SUDS scores compared to placebo within one week of treatment. There was also a significantly greater decrease in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avoidance scores for subjects who received PH94B first, before crossing over to placebo. These data were presented in a poster session at ADAA’s 2019 Annual Conference. PH94B's safety profile was excellent in all clinical studies to date, without systemic exposure and with no serious adverse events.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acquired PH94B in September 2018 on a non-cash basis through the issuance of unregistered shares of our common stock under a license from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giving us the exclusive worldwide rights to develop and commercialize PH94B. With its novel mechanism of pharmacological action, rapid-onset of therapeutic effects and exceptional safety and tolerability profile shown in clinical trials to date, we believe PH94B neuroactive nasal spray is an excellent product candidate with potential to become the first FDA-approved, on-demand, as-needed treatment for SAD. We are currently preparing for the initial pivotal Phase 3 study of PH94B as a first-line on-demand treatment for SAD. Subject to securing sufficient financing, we currently plan to begin this initial pivotal Phase 3 study in the first half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for MDD</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depression is the leading cause of disability worldwide, affecting over 300 million people, or approximately 4.4% of the global population. Statistics from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indicate that an estimated 17.3 million adults in the U.S., or approximately 7.1% of all adults in the U.S., had at least one major depressive episode in 2017. While most people will experience depressed mood at some point during their lifetime, MDD is different. In typical depressive episodes, the person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many people, depression cannot be controlled for any length of time without treatment. Current oral ADs available in the multi-billion-dollar global depression market, including commonly-prescribed oral SSRIs and SNRIs, have modest efficacy, substantial lag of onset of action, and considerable side effects. Approximately two out of every three depression sufferers do not receive adequate therapeutic benefits from their initial treatment with a standard AD, and the likelihood of achieving remission of depressive symptoms declines with each successive AD treatment attempt. Even after multiple treatment attempts, approximately one-third of depression sufferers still fail to find an adequately effective AD. In addition, this trial and error process and the systemic effects of the various ADs involved may increase the risk of patient tolerability issues and serious side effects, including suicidal thoughts and behaviors in certain groups. New generation ADs with different mechanisms of action, faster onset activity and fewer side effects are needed.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Convincing clinical data involving the NMDAR antagonist, ketamine, and its isomer, esketamine, support that the NMDAR complex is involved in improving depressive symptoms faster than current ADs. Ketamine-based therapies block the ion channel of the NMDAR, and this blockade is associated with significant psychological side effects and safety concerns.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(4-Cl-KYN) is an orally-available investigational prodrug of 7-chlorokynurenic acid (7-Cl-KYNA), a potent and selective full antagonist of the glycine site of the NMDAR. AV-101’s mechanism of action is fundamentally different from all current oral ADs. In preclinical models, after oral administration, AV-101 is actively transported across the blood-brain barrier and converted into 7-Cl-KYNA in the brain, primarily in astrocytes and predominantly by kynurenine aminotransferase II, the major enzyme responsible for the levels of kynurenic acid that can be rapidly mobilized in the brain. Although 7-Cl-KYNA is a full antagonist at the glycine site of the NMDAR, it does not block the ion channel of the NMDAR. Instead, 7-Cl-KYNA is an allosteric antagonist and down-regulates the NMDAR, which, in part, accounts for AV-101’s exceptional safety profile and lack of psychological side effects and safety concerns.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clinical and nonclinical testing, AV-101 has good oral bioavailability, an excellent pharmacokinetic (</w:t>
      </w:r>
      <w:r>
        <w:rPr>
          <w:rFonts w:ascii="Arial" w:cs="Arial" w:eastAsia="Arial" w:hAnsi="Arial"/>
          <w:sz w:val="16"/>
          <w:szCs w:val="16"/>
          <w:i w:val="1"/>
          <w:iCs w:val="1"/>
          <w:color w:val="auto"/>
        </w:rPr>
        <w:t>PK</w:t>
      </w:r>
      <w:r>
        <w:rPr>
          <w:rFonts w:ascii="Arial" w:cs="Arial" w:eastAsia="Arial" w:hAnsi="Arial"/>
          <w:sz w:val="16"/>
          <w:szCs w:val="16"/>
          <w:color w:val="auto"/>
        </w:rPr>
        <w:t>) profile, and is not an inhibitor or inducer of the human cytochrome P450 (</w:t>
      </w:r>
      <w:r>
        <w:rPr>
          <w:rFonts w:ascii="Arial" w:cs="Arial" w:eastAsia="Arial" w:hAnsi="Arial"/>
          <w:sz w:val="16"/>
          <w:szCs w:val="16"/>
          <w:i w:val="1"/>
          <w:iCs w:val="1"/>
          <w:color w:val="auto"/>
        </w:rPr>
        <w:t>CYP</w:t>
      </w:r>
      <w:r>
        <w:rPr>
          <w:rFonts w:ascii="Arial" w:cs="Arial" w:eastAsia="Arial" w:hAnsi="Arial"/>
          <w:sz w:val="16"/>
          <w:szCs w:val="16"/>
          <w:color w:val="auto"/>
        </w:rPr>
        <w:t xml:space="preserve">) isoforms. No binding of AV-101 or 7-Cl-KYNA to off-site targets was identified by an extensive receptor screening. Moreover, in all clinical trials to date, AV-101 has been safe and very well-tolerated with no psychological side effects or safety concerns, and no treatment-related serious adverse events that are often observed with classic channel-blocking NMDAR antagonists such as ketamine and amantadine. We are conducting our ELEVATE Study to evaluate the safety and efficacy of AV-101 as an add-on treatment of MDD in adult patients with an inadequate response to standard, FDA-approved oral ADs s. We currently anticipate that we will be able to report top line results of the ELEVATE Study during the second half of 2019. The Principal Investigator of the ELEVATE Study is Dr. Maurizio Fava of Harvard Medical School. Dr. Fava was the co-Principal Investigator with Dr. A. John Rush of the largest clinical trial ever conducted in depression, STAR*D, whose findings were published in journals such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Medical Association</w:t>
      </w:r>
      <w:r>
        <w:rPr>
          <w:rFonts w:ascii="Arial" w:cs="Arial" w:eastAsia="Arial" w:hAnsi="Arial"/>
          <w:sz w:val="16"/>
          <w:szCs w:val="16"/>
          <w:color w:val="auto"/>
        </w:rPr>
        <w:t>. In published preclinical studies, AV-101 has been shown to have rapid, persistent, AMPA-dependent antidepressive effects similar to</w:t>
      </w:r>
      <w:r>
        <w:rPr>
          <w:rFonts w:ascii="Arial" w:cs="Arial" w:eastAsia="Arial" w:hAnsi="Arial"/>
          <w:sz w:val="16"/>
          <w:szCs w:val="16"/>
          <w:i w:val="1"/>
          <w:iCs w:val="1"/>
          <w:color w:val="auto"/>
        </w:rPr>
        <w:t xml:space="preserve"> </w:t>
      </w:r>
      <w:r>
        <w:rPr>
          <w:rFonts w:ascii="Arial" w:cs="Arial" w:eastAsia="Arial" w:hAnsi="Arial"/>
          <w:sz w:val="16"/>
          <w:szCs w:val="16"/>
          <w:color w:val="auto"/>
        </w:rPr>
        <w:t>ketamine controls. Recent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FDA has granted Fast Track designation for development of AV-101 as an add-on treatment for MDD in adult patients with an inadequate response to standard, FDA-approved ADs.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the potential for widespread and long-term use of ketamine-based therapies for MDD may be limited by the potential for abuse, dissociative and other psychological side effects and by the inconvenience and practical challenges associated with required administration in a clinical setting. In the event that the cost, side effects, safety concerns, required in-clinic administration or other factors limit the use of ketamine-based therapies and result in relapse of MDD and/or suicidal ideation, we believe AV-101 has potential to prevent relapse of MDD and/or suicidal ideation without ketamine-like side effects and safety concerns, when administered orally to ketamine therapy responders, on an at-home basis, following cessation of ketamine-based therapy. In May 2019, we announced top line results from the NIMH’s small, exploratory Phase 2 clinical study of AV-101 as a monotherapy (given alone) in patients with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 disease characterized by serious, long-lasting episodes of depression. The average length of the current depressive episode of the 19 TRD patients that completed the NIMH study was 8.6 years. Prior to participating in the NIMH study, patients had undergone an average of 7.8 attempts to treat their TRD over their lifetime, using multiple different antidepressant drugs. In this severe treatment resistant population, AV-101 given alone, as a monotherapy, did not demonstrate significant separation from placebo on the primary outcome measure, the change from baseline in the Hamilton Depression Rating Scale (</w:t>
      </w:r>
      <w:r>
        <w:rPr>
          <w:rFonts w:ascii="Arial" w:cs="Arial" w:eastAsia="Arial" w:hAnsi="Arial"/>
          <w:sz w:val="16"/>
          <w:szCs w:val="16"/>
          <w:i w:val="1"/>
          <w:iCs w:val="1"/>
          <w:color w:val="auto"/>
        </w:rPr>
        <w:t>HDRS</w:t>
      </w:r>
      <w:r>
        <w:rPr>
          <w:rFonts w:ascii="Arial" w:cs="Arial" w:eastAsia="Arial" w:hAnsi="Arial"/>
          <w:sz w:val="16"/>
          <w:szCs w:val="16"/>
          <w:color w:val="auto"/>
        </w:rPr>
        <w:t>) total score compared to placebo. A key objective of the NIMH study was to evaluate safety and tolerability of AV-101 in TRD patients, and, consistent with our Phase 1 studies, AV-101 was very well-tolerated with no ketamine-like psychological side effects or safety concerns and no treatment-related serious adverse events. In sharp contrast to the NIMH monotherapy study in severe TRD patients, our ELEVATE Study is intended to evaluate AV-101 as an adjunctive therapy (as add-on treatment given with a current oral AD) in patients experiencing less severe depression. We plan to leverage our ELEVATE Study Investigational New Drug application (</w:t>
      </w:r>
      <w:r>
        <w:rPr>
          <w:rFonts w:ascii="Arial" w:cs="Arial" w:eastAsia="Arial" w:hAnsi="Arial"/>
          <w:sz w:val="16"/>
          <w:szCs w:val="16"/>
          <w:i w:val="1"/>
          <w:iCs w:val="1"/>
          <w:color w:val="auto"/>
        </w:rPr>
        <w:t>IND</w:t>
      </w:r>
      <w:r>
        <w:rPr>
          <w:rFonts w:ascii="Arial" w:cs="Arial" w:eastAsia="Arial" w:hAnsi="Arial"/>
          <w:sz w:val="16"/>
          <w:szCs w:val="16"/>
          <w:color w:val="auto"/>
        </w:rPr>
        <w:t>) to conduct an exploratory Phase 2 study to assess the efficacy and safety of AV-101 as an add-on treatment with standard ADs to prevent relapse of MDD following successful ketamine-based therapy.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PH10 Neuroactive Nasal Spray for MDD</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PH10 neuroactive nasal spray is a synthetic investigational neurosteroid with a novel, rapid-onset mechanism of action that is fundamentally different from all current treatments for MDD. Developed from proprietary compounds called pherines and administered at microgram doses as an odorless nasal spray, PH10 activates nasal chemosensory receptors that trigger neural circuits in the brain that produce antidepressant effects. Specifically, PH94B engages nasal chemosensory receptors that trigger a subset of neurons in the main OB. OB neurons then stimulate neurons in the limbic amygdala that release norepinephrine and increase activity of the limbic-hypothalamic sympathetic nervous system.</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exploratory 30-patient Phase 2a clinical trial, PH10 was well-tolerated and, at microgram doses, demonstrated rapid-onset antidepressant effects, as measured by the Hamilton Depression Rating Scale (</w:t>
      </w:r>
      <w:r>
        <w:rPr>
          <w:rFonts w:ascii="Arial" w:cs="Arial" w:eastAsia="Arial" w:hAnsi="Arial"/>
          <w:sz w:val="18"/>
          <w:szCs w:val="18"/>
          <w:i w:val="1"/>
          <w:iCs w:val="1"/>
          <w:color w:val="auto"/>
        </w:rPr>
        <w:t>HAM</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D</w:t>
      </w:r>
      <w:r>
        <w:rPr>
          <w:rFonts w:ascii="Arial" w:cs="Arial" w:eastAsia="Arial" w:hAnsi="Arial"/>
          <w:sz w:val="18"/>
          <w:szCs w:val="18"/>
          <w:color w:val="auto"/>
        </w:rPr>
        <w:t>), without systemic psychological side effects or safety concerns. PH10 is a new generation antidepressant with a mechanism of action that is fundamentally different from AV-101 and all current ADs. As with AV-101, we believe PH10 has potential for multiple applications in global depression markets, initially as a stand-alone front line therapy for MDD, and as both an add-on therapy to augment current FDA-approved ADs for patients with MDD who have an inadequate response to standard ADs, and to prevent relapse following successful treatment with ketamine-based therapy.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acquired PH10 from Pherin in October 2018, on a non-cash basis through the issuance of unregistered shares of our common stock. Under our license, we have exclusive worldwide rights to develop and commercialize PH10. We are currently planning for Phase 2b development of PH10 as a first-line treatment for MDD. Subject to securing sufficient financing, we plan to submit our IND for a Phase 2b study of PH10 in MDD in the second half of 2020, and, if authorized by the FDA, begin the study in the second half of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Potential 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Suicidal Ideation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 to the WHO, every year approximately 800,000 people worldwide take their own life and many more attempt suicide. The U.S. Centers for Disease Control (</w:t>
      </w:r>
      <w:r>
        <w:rPr>
          <w:rFonts w:ascii="Arial" w:cs="Arial" w:eastAsia="Arial" w:hAnsi="Arial"/>
          <w:sz w:val="16"/>
          <w:szCs w:val="16"/>
          <w:i w:val="1"/>
          <w:iCs w:val="1"/>
          <w:color w:val="auto"/>
        </w:rPr>
        <w:t>CDC</w:t>
      </w:r>
      <w:r>
        <w:rPr>
          <w:rFonts w:ascii="Arial" w:cs="Arial" w:eastAsia="Arial" w:hAnsi="Arial"/>
          <w:sz w:val="16"/>
          <w:szCs w:val="16"/>
          <w:color w:val="auto"/>
        </w:rPr>
        <w:t>) views suicide as a major public health concern in the U.S. as rates of suicide have been increasing for both men and women and across all age groups. Suicide is the 10th leading cause of death in the U.S. and is one of just three leading causes that are on the rise. According to experts in the field of suicidal ideation (</w:t>
      </w:r>
      <w:r>
        <w:rPr>
          <w:rFonts w:ascii="Arial" w:cs="Arial" w:eastAsia="Arial" w:hAnsi="Arial"/>
          <w:sz w:val="16"/>
          <w:szCs w:val="16"/>
          <w:i w:val="1"/>
          <w:iCs w:val="1"/>
          <w:color w:val="auto"/>
        </w:rPr>
        <w:t>SI</w:t>
      </w:r>
      <w:r>
        <w:rPr>
          <w:rFonts w:ascii="Arial" w:cs="Arial" w:eastAsia="Arial" w:hAnsi="Arial"/>
          <w:sz w:val="16"/>
          <w:szCs w:val="16"/>
          <w:color w:val="auto"/>
        </w:rPr>
        <w:t>), characterized as suicidal thoughts and behavior, the number of Americans who die by suicide is, since 2010, higher than those who die in motor vehicle accidents. People of all genders, ages, and ethnicities can be at risk for suicide. Suicidal ideation is complex and there is no single cause. The NIMH attributes many different factors to someone making a suicide attempt, including, but not limited to, depression, other mental health disorders or substance abuse. Additionally, according to reports released by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the U.S. Military Veteran population is at significantly higher risk for suicide than the general population.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collaborating with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xml:space="preserve">) and the VA on a small Phase 1b clinical trial of AV-101 in healthy volunteer U.S. Military Veterans from Operation Enduring Freedom, Operation Iraqi Freedom or Operation New Dawn (the </w:t>
      </w:r>
      <w:r>
        <w:rPr>
          <w:rFonts w:ascii="Arial" w:cs="Arial" w:eastAsia="Arial" w:hAnsi="Arial"/>
          <w:sz w:val="16"/>
          <w:szCs w:val="16"/>
          <w:i w:val="1"/>
          <w:iCs w:val="1"/>
          <w:color w:val="auto"/>
        </w:rPr>
        <w:t>Baylor Study</w:t>
      </w:r>
      <w:r>
        <w:rPr>
          <w:rFonts w:ascii="Arial" w:cs="Arial" w:eastAsia="Arial" w:hAnsi="Arial"/>
          <w:sz w:val="16"/>
          <w:szCs w:val="16"/>
          <w:color w:val="auto"/>
        </w:rPr>
        <w:t>). The Baylor Study is a randomized, double-blind, placebo-controlled cross-over study designed as a target engagement study as the first-step in our plans to test potential anti-suicidal effects of AV-101 in U.S. Military Veterans who respond to ketamine-based therapy. Dr. Marijn Lijffijt of Baylor is the Principal Investigator of the Baylor Study. In June 2018, we entered into a Material Transfer Cooperative Research and Development Agreement (</w:t>
      </w:r>
      <w:r>
        <w:rPr>
          <w:rFonts w:ascii="Arial" w:cs="Arial" w:eastAsia="Arial" w:hAnsi="Arial"/>
          <w:sz w:val="16"/>
          <w:szCs w:val="16"/>
          <w:i w:val="1"/>
          <w:iCs w:val="1"/>
          <w:color w:val="auto"/>
        </w:rPr>
        <w:t>MT CRADA</w:t>
      </w:r>
      <w:r>
        <w:rPr>
          <w:rFonts w:ascii="Arial" w:cs="Arial" w:eastAsia="Arial" w:hAnsi="Arial"/>
          <w:sz w:val="16"/>
          <w:szCs w:val="16"/>
          <w:color w:val="auto"/>
        </w:rPr>
        <w:t>) with the VA regarding clinical trial material for the Baylor Study. Government funding from the VA is being provided for substantially all other study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NP affects approximately 33 million people in the United States (excluding patients with back pain) according to an article published in the Journal of Pain Research in 2017. NP is a complex, chronic pain state characterized by a steady burning "pins and needles" or "electric shock" sensation that results in abnormal neuronal function after nerve damage. The American Chronic Pain Association has identified various causes of NP, including tissue injury, nerve damage or disease, diabetes, infection, toxins, certain types of drugs, such as antivirals and chemotherapeutic agents, certain cancers, and even chronic alcohol intake. Current treatments for NP include antidepressants, anticonvulsants (such as gabapentin and pregabalin), and opioids, among others. However, current medications may offer inadequate efficacy, have limiting side effects, and be associated with abuse.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In recent studies in this preclinical model, AV-101 also had positive results using pregabalin (Lyrica</w:t>
      </w:r>
      <w:r>
        <w:rPr>
          <w:rFonts w:ascii="Arial" w:cs="Arial" w:eastAsia="Arial" w:hAnsi="Arial"/>
          <w:sz w:val="22"/>
          <w:szCs w:val="22"/>
          <w:color w:val="auto"/>
          <w:vertAlign w:val="superscript"/>
        </w:rPr>
        <w:t>®2</w:t>
      </w:r>
      <w:r>
        <w:rPr>
          <w:rFonts w:ascii="Arial" w:cs="Arial" w:eastAsia="Arial" w:hAnsi="Arial"/>
          <w:sz w:val="16"/>
          <w:szCs w:val="16"/>
          <w:color w:val="auto"/>
        </w:rPr>
        <w:t>) as an active control. AV-101 demonstrated robust analgesic effects, similar to Lyrica, but fewer side effects as measured in the rotarod assay. Neurontin and Lyrica have been associated with sedation and mild cognitive impairment in third party literature and are often prescribed for treatment of NP. Other commonly prescribed medications for NP include drugs targeting opioid receptors in the brain. Unfortunately, misuse of such drugs can lead to a significantly increased risk of addiction, and, we believe, their therapeutic utility for neuropathic pain is unclear.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successful preclinical studies involving AV-101, gabapentin and pregabalin, as well as AV-101’s exceptional safety profile in all preclinical and clinical studies to date, we are exploring the optimal development path forward, subject to securing sufficient capital, for Phase 2a clinical development of AV-101 as a new generation, non-opioid treatment to reduce debilitating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development of AV-101 as a potential new, non-opioid treatment of NP.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Levodopa-Induced Dyskinesia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Parkinson’s disease (</w:t>
      </w:r>
      <w:r>
        <w:rPr>
          <w:rFonts w:ascii="Arial" w:cs="Arial" w:eastAsia="Arial" w:hAnsi="Arial"/>
          <w:sz w:val="16"/>
          <w:szCs w:val="16"/>
          <w:i w:val="1"/>
          <w:iCs w:val="1"/>
          <w:color w:val="auto"/>
        </w:rPr>
        <w:t>PD</w:t>
      </w:r>
      <w:r>
        <w:rPr>
          <w:rFonts w:ascii="Arial" w:cs="Arial" w:eastAsia="Arial" w:hAnsi="Arial"/>
          <w:sz w:val="16"/>
          <w:szCs w:val="16"/>
          <w:color w:val="auto"/>
        </w:rPr>
        <w:t>) is the second most common neurodegenerative disease worldwide, affecting approximately one million people in the U.S., according to the Parkinson’s Foundation. Although there is no "one-size-fits-all” description of PD, PD is a complex neurodegenerative disorder that occurs when brain cells responsible for making dopamine, a chemical that coordinates movement, stop working or die. This results in progressive deterioration of voluntary motor control. Loss of dopamine neurons is thought to be due to neurotoxicity associated with misfolding of proteins and is associated with increased signaling of glutamate, the most abundant excitatory neurotransmitter in the brain. Increased glutamate activity is involved with aberrant neuronal signaling and excitotoxic death of neurons. Classic PD motor symptoms include muscular rigidity, resting tremor, and postural and gait impairment. Typically, PD patients present with a combination of motor and non-motor symptoms. Non-motor symptoms may include cognitive impairment, sleep disorders pain and fatigue. There is currently no medication to slow, delay, stop or cure PD, and currently available treatments are symptomatic. Treatment of motor symptoms with oral levodopa, introduced about 50 years ago, remains the gold standard treatment.</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Levodopa-induced dyskinesia </w:t>
      </w:r>
      <w:r>
        <w:rPr>
          <w:rFonts w:ascii="Arial" w:cs="Arial" w:eastAsia="Arial" w:hAnsi="Arial"/>
          <w:sz w:val="16"/>
          <w:szCs w:val="16"/>
          <w:b w:val="1"/>
          <w:bCs w:val="1"/>
          <w:color w:val="auto"/>
        </w:rPr>
        <w:t>(</w:t>
      </w:r>
      <w:r>
        <w:rPr>
          <w:rFonts w:ascii="Arial" w:cs="Arial" w:eastAsia="Arial" w:hAnsi="Arial"/>
          <w:sz w:val="16"/>
          <w:szCs w:val="16"/>
          <w:i w:val="1"/>
          <w:iCs w:val="1"/>
          <w:color w:val="auto"/>
        </w:rPr>
        <w:t>LID</w:t>
      </w:r>
      <w:r>
        <w:rPr>
          <w:rFonts w:ascii="Arial" w:cs="Arial" w:eastAsia="Arial" w:hAnsi="Arial"/>
          <w:sz w:val="16"/>
          <w:szCs w:val="16"/>
          <w:color w:val="auto"/>
        </w:rPr>
        <w:t xml:space="preserve">) is a disorder that affects people with PD who are treated with levodopa, for an extended period of time. Oral levodopa remains the most effective therapy for motor symptoms of PD. However, after continuous long-term use (longer than five years), many PD patients experience LID. Although clinical manifestations of LID are heterogenous, LID is commonly associated with abnormal involuntary movements, including chorea and dystonia. These motor complications tend to become more severe as PD progresses and as the duration of levodopa treatment is extended, until the impact of LID may compromise the advantage of treatment with levodopa. PD treatment with levodopa is routinely delayed due to concerns over LID. Once LID develops, levodopa-treated PD patients may be faced with a choice between immobility due to untreated and uncontrolled PD, or mobility with the associated LID. Studies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Movement Disorders</w:t>
      </w:r>
      <w:r>
        <w:rPr>
          <w:rFonts w:ascii="Arial" w:cs="Arial" w:eastAsia="Arial" w:hAnsi="Arial"/>
          <w:sz w:val="16"/>
          <w:szCs w:val="16"/>
          <w:color w:val="auto"/>
        </w:rPr>
        <w:t xml:space="preserve"> have shown LID develops in approximately 45% of levodopa-treated Parkinson’s disease patients after five years and 80% after 10 years of levodopa treatment. In the U.S., there are an estimated 150,000 to 200,000 people with PD who are impacted by LID.</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AV-101 is not a dopamine-based drug candidate. Rather, as a member of a new generation of investigational medicines in neuropsychiatry and neurology known as NMDA glutamate receptor modulators, AV-101’s active metabolite, 7-Cl-KYNA, is a potent and selective NMDA receptor glycine site antagonist with neuroprotective properties, which receptor plays a major role in glutamatergic signaling and has been shown to be a therapeutic target for LID.</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 recently reported preclinical study in the “gold standard” MPTP monkey model of PD and LID, AV-101’s efficacy against LID was measured through behavioral scores on a dyskinesia scale, and a Parkinsonian disability scale was used to measure levodopa anti-parkinsonian efficacy. This study demonstrated that AV-101 significantly (p = 0.01) reduced LID. Importantly, AV-101 did not reduce the timing, extent, or duration of the therapeutic effects of levodopa, indicating that AV-101 did not impact the anti-parkinsonian efficacy of levodopa. Moreover, AV-101 did not cause adverse events often associated with amantadine therapy for LID, such as hallucinations, dizziness, and falls. These recent preclinical results confirm our prior antidyskinesia study in this MPTP monkey model. We believe these preclinical data and AV-101’s positive safety profile in all clinical studies to date support AV-101’s potential to treat LID, while both maintaining the antiparkinsonian benefits of levodopa and without causing hallucinations or other serious side effects that may be associated with amantadine therapy for LID. As a result, we are exploring the optimal development path forward, subject to securing sufficient capital, for Phase 2a clinical development of AV-101 as a new generation treatment for LID.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Anxiety Disorder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Generalized Anxiety Disorder (</w:t>
      </w:r>
      <w:r>
        <w:rPr>
          <w:rFonts w:ascii="Arial" w:cs="Arial" w:eastAsia="Arial" w:hAnsi="Arial"/>
          <w:sz w:val="16"/>
          <w:szCs w:val="16"/>
          <w:i w:val="1"/>
          <w:iCs w:val="1"/>
          <w:color w:val="auto"/>
        </w:rPr>
        <w:t>GAD</w:t>
      </w:r>
      <w:r>
        <w:rPr>
          <w:rFonts w:ascii="Arial" w:cs="Arial" w:eastAsia="Arial" w:hAnsi="Arial"/>
          <w:sz w:val="16"/>
          <w:szCs w:val="16"/>
          <w:color w:val="auto"/>
        </w:rPr>
        <w:t>) is a common chronic neuropsychiatric disorder characterized by persistent, debilitating and excessive concern and worry about family, friends, health, money, work, or other everyday issues and situations. Individuals with GAD find it difficult to control their worry and may worry more about actual circumstances than seems appropriate. They may also expect the worst even when there is no apparent reason to do so. GAD is diagnosed when an individual is unable or finds it difficult to control worry on more days than not for at least six months and has three or more of the many symptoms of GAD, such as excessive and ongoing worrying and tension, an unrealistic view of problems, restlessness, irritability, difficulty concentrating, or being easily startled. This differentiates GAD from worry that may be specific to a set stressor or for a more limited period of time. According to the Anxiety and Depression Association, GAD affects approximately 6.8 million adults in the U.S. in any given year. GAD comes on gradually and can begin across the life cycle, though the risk is highest between childhood and middle age.</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People with GAD do not know how to stop the worry cycle and feel it is beyond their control, even though they usually realize that their anxiety is more intense than the situation warrants. Many individuals with GAD may avoid situations because they have the disorder or they may not take advantage of important professional or social opportunities in their lives due to their anxiety and worry. When their anxiety is severe, it is difficult for individuals with GAD to carry out even the simplest of daily activities. Currently, the standard of care for GAD includes psychotherapy and certain medications with limited therapeutic benefits and various side effects and safety concerns, including antidepressants (SSRIs and SNRIs) and benzodiazepines.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PH94B demonstrated efficacy in a small placebo-controlled study in patients with GAD. Twenty one patients were randomized to receive 200 pg PH94B or placebo in a one second aerosol pulse to the chemosensory epithelium of the anterior nasal septum. Thirty minutes after treatment there was mean reduction of 32.0% for the PH94B group and 19.6% for the placebo group in the total HAM-A score. Electrophysiological changes (respiratory, cardiac, and electrodermal frequency), concordant with the reduction in anxiety, were significantly greater for the PH94B group. We believe these transient anti-anxiety effects of PH94B may warrant further investigation in a Phase 2b GAD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Post-Traumatic Stress Disorder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Post-traumatic stress disorder (</w:t>
      </w:r>
      <w:r>
        <w:rPr>
          <w:rFonts w:ascii="Arial" w:cs="Arial" w:eastAsia="Arial" w:hAnsi="Arial"/>
          <w:sz w:val="18"/>
          <w:szCs w:val="18"/>
          <w:i w:val="1"/>
          <w:iCs w:val="1"/>
          <w:color w:val="auto"/>
        </w:rPr>
        <w:t>PTSD</w:t>
      </w:r>
      <w:r>
        <w:rPr>
          <w:rFonts w:ascii="Arial" w:cs="Arial" w:eastAsia="Arial" w:hAnsi="Arial"/>
          <w:sz w:val="18"/>
          <w:szCs w:val="18"/>
          <w:color w:val="auto"/>
        </w:rPr>
        <w:t>) is a clinically diagnosed psychiatric disorder that develops in some people who have experienced or witnessed a shocking, scary, dangerous or life-threatening event, such as military combat, natural disasters, terrorist incidents, serious accidents, or physical or sexual assault in adulthood or childhood. Symptoms of PTSD include flashbacks, nightmares, severe anxiety, uncontrollable intrusive thoughts, and emotional numbing after the event. More than 8 million people in the U.S. suffer from PTSD. Anyone can develop PTSD at any age. According to the National Center for PTSD, about 7 or 8 out of every 100 people will experience PTSD at some point in their lives. PTSD is often accompanied by depression, substance abuse or one or more of the other anxiety disorders.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It is natural to feel afraid during and after a traumatic situation. Fear triggers many split-second changes in the body to help defend against danger or to avoid it. This “fight-or-flight” response is a typical reaction meant to protect a person from harm. Because PTSD is associated with a heightened “fight or flight” response mediated by increased sympathetic nervous response to conditioned stimuli, an agent which decreases sympathetic tone may be able to treat some symptoms of PTSD. Our PH94B neuroactive nasal spray is a neurosteroid that binds to chemosensory cells in the olfactory bulb and indirectly decreases amygdala function, reduces stress-induced blood pressure, heart rate and sweating mediated by the sympathetic nervous system. In Phase 2 studies, at microgram doses, PH94B has been shown to have anti-anxiety effects in patients with both generalized anxiety disorder and social anxiety disorder. PH94B may therefore have utility either as monotherapy or as add-on therapy in PTSD. Available therapeutic options for PTSD are limited, including only two FDA-approved SSRI antidepressants, which have limited efficacy, undesirable side effects, and target only the symptoms of PTSD, not the underlying disorder itself. We are currently assessing PH94B’s potential for Phase 2a clinical development as a new generation, rapid-acting, anxiolytic for treatment of PTSD.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Glutamate is a neurotransmitter that is also critically involved in the pathophysiology of epilepsy. Through its stimulation of the NMDAR subtype, glutamate has been implicated in the neuropathology and clinical symptoms of the disease. In support of this, NMDAR antagonists are potent anticonvulsants. However, as noted, classic ion channel-blocking NMDAR antagonists are limited by adverse effects, such as neurotoxicity, declining mental status, and the onset of psychotic symptoms following administration of the drug. The endogenous amino acid glycine modulates glutamatergic neurotransmission by stimulating the glycine coagonist site of the NMDAR. Glycine site antagonists such as AV-101’s active metabolite, 7-Cl-KYNA, inhibit NMDAR function and are therefore anticonvulsant and neuroprotective. Importantly, glycine site antagonists have fewer and less severe side effects than classic ion channel-blocking NMDAR antagonists and other antiepileptic agents, making them a safer potential alternative to, and one expected to be associated with greater patient compliance than, currently available anticonvulsant medications.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another active metabolite of AV-101, 4-Cl-3-hydroxyanthranilic acid, inhibits the synthesis of quinolinic acid (</w:t>
      </w:r>
      <w:r>
        <w:rPr>
          <w:rFonts w:ascii="Arial" w:cs="Arial" w:eastAsia="Arial" w:hAnsi="Arial"/>
          <w:sz w:val="18"/>
          <w:szCs w:val="18"/>
          <w:i w:val="1"/>
          <w:iCs w:val="1"/>
          <w:color w:val="auto"/>
        </w:rPr>
        <w:t>QUIN</w:t>
      </w:r>
      <w:r>
        <w:rPr>
          <w:rFonts w:ascii="Arial" w:cs="Arial" w:eastAsia="Arial" w:hAnsi="Arial"/>
          <w:sz w:val="18"/>
          <w:szCs w:val="18"/>
          <w:color w:val="auto"/>
        </w:rPr>
        <w:t>), which is an endogenous NMDAR agonist that causes convulsions and excitotoxic neuronal damage.</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has been shown to protect against seizures and neuronal damage in preclinical animal models of epilepsy. We believe AV-101’s dual action as a NMDAR GlyB antagonist and QUIN synthesis inhibitor, and exploratory preclinical data, together with human safety data in all clinical studies to date, may provide support for AV-101’s potential as a Phase 2a clinical development candidate for treatment of epilepsy. As a result, subject to securing sufficient capital, we anticipate conducting additional preclinical studies in 2020 to assess AV-101’s optimal development path forward and potential for future Phase 2a clinical development as a new generation treatment for epilepsy.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VistaStem Therapeutics - Stem Cell Technology-Based Programs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hPSCs, which can be differentiated into all of the more than 200 types of cells</w:t>
      </w:r>
    </w:p>
    <w:p>
      <w:pPr>
        <w:sectPr>
          <w:pgSz w:w="11900" w:h="16838" w:orient="portrait"/>
          <w:cols w:equalWidth="0" w:num="1">
            <w:col w:w="11420"/>
          </w:cols>
          <w:pgMar w:left="240" w:top="131" w:right="239" w:bottom="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in the human body, can be expanded readily, and have diverse medical research, drug discovery, drug rescue (</w:t>
      </w:r>
      <w:r>
        <w:rPr>
          <w:rFonts w:ascii="Arial" w:cs="Arial" w:eastAsia="Arial" w:hAnsi="Arial"/>
          <w:sz w:val="18"/>
          <w:szCs w:val="18"/>
          <w:i w:val="1"/>
          <w:iCs w:val="1"/>
          <w:color w:val="auto"/>
        </w:rPr>
        <w:t>DR</w:t>
      </w:r>
      <w:r>
        <w:rPr>
          <w:rFonts w:ascii="Arial" w:cs="Arial" w:eastAsia="Arial" w:hAnsi="Arial"/>
          <w:sz w:val="18"/>
          <w:szCs w:val="18"/>
          <w:color w:val="auto"/>
        </w:rPr>
        <w:t>), drug development and therapeutic applications. We believe hPSCs can be used to develop numerous cell types, tissues and customized assays that can mimic complex human biology, including heart biology for DR applications.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our hPSC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CNS pipeline and cellular therapies and RM involving hPSC-derived blood, cartilage, heart and liver cells. We used our hPSC-derived human heart cells to develop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bioassay system for predicting heart toxicity of potential DR NCEs.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more comprehensive and clinically predictive than the hERG assay and provides us with new generation human cell-based technology to identify and evaluate DR candidates and develop DR NCEs for our CNS pipeline and/or out-licensing.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Rescue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Our DR activities are focused on producing, for our internal CNS pipeline or out-licensing, novel, proprietary and safer variants of still-promising NCEs previously discovered, optimized and tested for efficacy by pharmaceutical companies and others but terminated before FDA approval due to unexpected heart toxicity. Our DR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assess the cardiac toxicity that caused certain NCEs available in the public domain to be terminated, and then produce and develop new, potentially safer, and proprietary NCEs. We believe the pre-existing public domain knowledge base supporting the therapeutic and commercial potential of NCEs that we target for our DR programs will provide us with a valuable head start as we launch each of our potential DR programs. The essential components of our DR strategy are to (i) leverage the substantial prior investments by global pharmaceutical companies and others in discovery, optimization and efficacy validation of the NCEs we identify in the public domain and (ii) use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enhance our understanding of the cardiac liability profile of such NCEs, insight not previously available when the NCEs were originally discovered, optimized for efficacy and developed by others, and</w:t>
      </w:r>
    </w:p>
    <w:p>
      <w:pPr>
        <w:spacing w:after="0" w:line="6" w:lineRule="exact"/>
        <w:rPr>
          <w:sz w:val="20"/>
          <w:szCs w:val="20"/>
          <w:color w:val="auto"/>
        </w:rPr>
      </w:pPr>
    </w:p>
    <w:p>
      <w:pPr>
        <w:jc w:val="both"/>
        <w:ind w:firstLine="8"/>
        <w:spacing w:after="0" w:line="292" w:lineRule="auto"/>
        <w:tabs>
          <w:tab w:leader="none" w:pos="331" w:val="left"/>
        </w:tabs>
        <w:numPr>
          <w:ilvl w:val="0"/>
          <w:numId w:val="7"/>
        </w:numPr>
        <w:rPr>
          <w:rFonts w:ascii="Arial" w:cs="Arial" w:eastAsia="Arial" w:hAnsi="Arial"/>
          <w:sz w:val="16"/>
          <w:szCs w:val="16"/>
          <w:color w:val="auto"/>
        </w:rPr>
      </w:pPr>
      <w:r>
        <w:rPr>
          <w:rFonts w:ascii="Arial" w:cs="Arial" w:eastAsia="Arial" w:hAnsi="Arial"/>
          <w:sz w:val="16"/>
          <w:szCs w:val="16"/>
          <w:color w:val="auto"/>
        </w:rPr>
        <w:t>demonstrate preclinical proof-of-concept (</w:t>
      </w:r>
      <w:r>
        <w:rPr>
          <w:rFonts w:ascii="Arial" w:cs="Arial" w:eastAsia="Arial" w:hAnsi="Arial"/>
          <w:sz w:val="16"/>
          <w:szCs w:val="16"/>
          <w:i w:val="1"/>
          <w:iCs w:val="1"/>
          <w:color w:val="auto"/>
        </w:rPr>
        <w:t>POC</w:t>
      </w:r>
      <w:r>
        <w:rPr>
          <w:rFonts w:ascii="Arial" w:cs="Arial" w:eastAsia="Arial" w:hAnsi="Arial"/>
          <w:sz w:val="16"/>
          <w:szCs w:val="16"/>
          <w:color w:val="auto"/>
        </w:rPr>
        <w:t xml:space="preserve">) as to the efficacy and safety of new, safer DR NCEs in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earlier in development and with substantially less investment in discovery and preclinical development than was required of others prior to their decision to terminate the original NCE. In this context, POC means that the lead DR NCE, as compared to the original previously-terminated original NCE</w:t>
      </w:r>
      <w:r>
        <w:rPr>
          <w:rFonts w:ascii="Arial" w:cs="Arial" w:eastAsia="Arial" w:hAnsi="Arial"/>
          <w:sz w:val="16"/>
          <w:szCs w:val="16"/>
          <w:i w:val="1"/>
          <w:iCs w:val="1"/>
          <w:color w:val="auto"/>
        </w:rPr>
        <w:t>,</w:t>
      </w:r>
      <w:r>
        <w:rPr>
          <w:rFonts w:ascii="Arial" w:cs="Arial" w:eastAsia="Arial" w:hAnsi="Arial"/>
          <w:sz w:val="16"/>
          <w:szCs w:val="16"/>
          <w:color w:val="auto"/>
        </w:rPr>
        <w:t xml:space="preserve"> demonstrates both (i) equal or superior efficacy in the same, or a similar,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efficacy models used by the initial developer of the previously-terminated NCE before it was terminated for cardiac safety reasons, and (ii) significant reduction of concentration dependent cardiotoxicity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Regenerative Medicine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Stem cell technology-based cell therapy (</w:t>
      </w:r>
      <w:r>
        <w:rPr>
          <w:rFonts w:ascii="Arial" w:cs="Arial" w:eastAsia="Arial" w:hAnsi="Arial"/>
          <w:sz w:val="16"/>
          <w:szCs w:val="16"/>
          <w:i w:val="1"/>
          <w:iCs w:val="1"/>
          <w:color w:val="auto"/>
        </w:rPr>
        <w:t>CT</w:t>
      </w:r>
      <w:r>
        <w:rPr>
          <w:rFonts w:ascii="Arial" w:cs="Arial" w:eastAsia="Arial" w:hAnsi="Arial"/>
          <w:sz w:val="16"/>
          <w:szCs w:val="16"/>
          <w:color w:val="auto"/>
        </w:rPr>
        <w:t>) and RM have the potential to transform healthcare by providing new approaches for treating the fundamental mechanisms of disease. We currently intend to establish strategic CT- and/or RM-focused collaborations to leverage our hPSC technology platform, our expertise in human biology, differentiation of hPSCs to develop functional adult human cells and tissues involved in human disease, including blood, bone, cartilage, heart and liver cells for CT and RM purposes. We have exclusively sublicensed to BlueRock Therapeutics, a next generation RM company established by Bayer AG and Versant Ventures, rights to certain proprietary technologies relating to the production of cardiac stem cells for the treatment of heart disease. In a manner similar to our agreement with BlueRock Therapeutics, we may pursue additional CT and RM collaborations or licensing transactions involving blood, cartilage, and/or liver cells derived from hPSCs for CT and RM applications.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the proprietary know-how and technology that we believe is important to our business, including seeking and maintaining patents intended to cover our product candidates and related pharmaceutical compositions, their methods of use, including therapeutic and prognostic methods, as well as processes for their manufacture, and any other aspects of our discoveries and inventions that are commercially important to the development of our business.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also rely on trade secrets to protect aspects of our business that are not amenable to, or that we do not consider appropriate for, patent protection. We also rely on know-how, continuing technological innovation and in-licensing opportunities to develop and maintain our proprietary position. We seek to obtain domestic and international patent protection, and endeavor to promptly file patent applications for new commercially valuable inventions.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plan to continue to expand our intellectual property estate by filing patent applications directed to compositions, methods of use, including treatment and patient selection, formulations and manufacturing processes created or identified from our ongoing development of our product candidates.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own and have licensed granted patents and pending patent applications in the U.S. and in certain foreign countries. These patent properties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ind w:left="820" w:hanging="326"/>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granted U.S. patents related to the treatment of depression with AV-101 and to certain unit dose formulations of AV-101 effective to treat depression;</w:t>
      </w:r>
    </w:p>
    <w:p>
      <w:pPr>
        <w:spacing w:after="0" w:line="185" w:lineRule="exact"/>
        <w:rPr>
          <w:rFonts w:ascii="Arial" w:cs="Arial" w:eastAsia="Arial" w:hAnsi="Arial"/>
          <w:sz w:val="18"/>
          <w:szCs w:val="18"/>
          <w:color w:val="auto"/>
        </w:rPr>
      </w:pPr>
    </w:p>
    <w:p>
      <w:pPr>
        <w:ind w:left="820" w:hanging="326"/>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U.S. patent applications and foreign granted patents and pending foreign patent applications related to treatment of various disorders, including depression, LID, NP, tinnitus and obsessive-compulsive disorder; and</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Pending U.S. patent application related to the prognostic identification of high and low responders to treatment of various CNS disorders with AV-101.</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related to AV-101 nominally expire between 2034 and 2040, depending on the particular subject matter, subject to extensions that may be available on a country-by-country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(licensed by us from Pherin)</w:t>
      </w:r>
    </w:p>
    <w:p>
      <w:pPr>
        <w:spacing w:after="0" w:line="225"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granted U.S. patents and other foreign patents related to the reduction of anticipatory anxiety or social phobic response.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U.S. patents related to PH94B nominally expire either in 2025 or 2028, respectively, and foreign patents nominally expire in 2026, subject to extensions that may be available on a country-by-country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(licensed by us from Pherin)</w:t>
      </w:r>
    </w:p>
    <w:p>
      <w:pPr>
        <w:spacing w:after="0" w:line="22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allowed U.S. patent application related to treatment of depressive disorders;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Granted foreign patents and pending foreign patent applications related to treatment of depressive disorders.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U.S. and foreign patents related to PH10 nominally expire in 2033, subject to extensions that may be available on a country-by-country basis.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Stem Cell Technology (owned by us and/or licensed by us from the University Health Network (Toronto) or Icahn School of Medicine at Mount Sinai)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Cells</w:t>
      </w:r>
    </w:p>
    <w:p>
      <w:pPr>
        <w:spacing w:after="0" w:line="225" w:lineRule="exact"/>
        <w:rPr>
          <w:sz w:val="20"/>
          <w:szCs w:val="20"/>
          <w:color w:val="auto"/>
        </w:rPr>
      </w:pPr>
    </w:p>
    <w:p>
      <w:pPr>
        <w:jc w:val="both"/>
        <w:ind w:left="820" w:hanging="326"/>
        <w:spacing w:after="0" w:line="25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for enriching pluripotent stem cell-derived cardiomyocyte cells, methods for generating epicardium cells, methods for making and using sino-atrial node-like pacemaker and ventricular-like cardiomyocytes and methods for generation of atrial and ventricular cardiomyocyte lineages.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and foreign patents and patent applications related to cardiac stem cells nominally expire between 2031 and 2037, subject to extensions that may be available on a country-by-country basis. Additionally, therapeutic and certain other fields of use have been licensed by us to BlueRock Therapeutics under the BlueRock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 Cells</w:t>
      </w:r>
    </w:p>
    <w:p>
      <w:pPr>
        <w:spacing w:after="0" w:line="225" w:lineRule="exact"/>
        <w:rPr>
          <w:sz w:val="20"/>
          <w:szCs w:val="20"/>
          <w:color w:val="auto"/>
        </w:rPr>
      </w:pPr>
    </w:p>
    <w:p>
      <w:pPr>
        <w:ind w:left="820" w:right="20" w:hanging="326"/>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mesoderm and definitive endoderm cell populations, and to populations of hematopoietic progenitors.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and patent applications related to blood stem cells nominally expire between 2023 and 2032, subject to extensions that may be available on a country-by-country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Cartilage and Chondrocyte Cells</w:t>
      </w:r>
    </w:p>
    <w:p>
      <w:pPr>
        <w:spacing w:after="0" w:line="225" w:lineRule="exact"/>
        <w:rPr>
          <w:sz w:val="20"/>
          <w:szCs w:val="20"/>
          <w:color w:val="auto"/>
        </w:rPr>
      </w:pPr>
    </w:p>
    <w:p>
      <w:pPr>
        <w:ind w:left="820" w:hanging="32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and compositions for generating chondrocyte lineage cells and cartilage like tissue.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and patent applications related to blood stem cells nominally expire in 2034, subject to extensions that may be available on a country-by-country basis.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 and Biliary Cells</w:t>
      </w:r>
    </w:p>
    <w:p>
      <w:pPr>
        <w:spacing w:after="0" w:line="225" w:lineRule="exact"/>
        <w:rPr>
          <w:sz w:val="20"/>
          <w:szCs w:val="20"/>
          <w:color w:val="auto"/>
        </w:rPr>
      </w:pPr>
    </w:p>
    <w:p>
      <w:pPr>
        <w:ind w:left="820" w:right="20" w:hanging="326"/>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for generating hepatocytes and cholangiocytes from pluripotent stem cells and to toxicity typing using liver stem cells.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U.S. and foreign patents and patent applications related to blood stem cells nominally expire between 2021 and 2034.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a terminal disclaimer that reduces its term to that of an earlier-expiring and related patent.</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w:t>
      </w:r>
      <w:r>
        <w:rPr>
          <w:rFonts w:ascii="Arial" w:cs="Arial" w:eastAsia="Arial" w:hAnsi="Arial"/>
          <w:sz w:val="16"/>
          <w:szCs w:val="16"/>
          <w:i w:val="1"/>
          <w:iCs w:val="1"/>
          <w:color w:val="auto"/>
        </w:rPr>
        <w:t>testing phase</w:t>
      </w:r>
      <w:r>
        <w:rPr>
          <w:rFonts w:ascii="Arial" w:cs="Arial" w:eastAsia="Arial" w:hAnsi="Arial"/>
          <w:sz w:val="16"/>
          <w:szCs w:val="16"/>
          <w:color w:val="auto"/>
        </w:rPr>
        <w:t>), plus the time between the submission date of an NDA and the approval of that application (</w:t>
      </w:r>
      <w:r>
        <w:rPr>
          <w:rFonts w:ascii="Arial" w:cs="Arial" w:eastAsia="Arial" w:hAnsi="Arial"/>
          <w:sz w:val="16"/>
          <w:szCs w:val="16"/>
          <w:i w:val="1"/>
          <w:iCs w:val="1"/>
          <w:color w:val="auto"/>
        </w:rPr>
        <w:t>approval phase</w:t>
      </w:r>
      <w:r>
        <w:rPr>
          <w:rFonts w:ascii="Arial" w:cs="Arial" w:eastAsia="Arial" w:hAnsi="Arial"/>
          <w:sz w:val="16"/>
          <w:szCs w:val="16"/>
          <w:color w:val="auto"/>
        </w:rPr>
        <w:t>). This patent term restoration period may be reduced by the FDA if it finds that applicant did not act with due diligence during the testing phase or the approval phase.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if circumstances permit, we intend to apply for restoration of patent term for one of our then owned or licensed patents, if any, to add patent life beyond its current expiration date, depending on the expected length of the clinical trials and other factors involved in the filing of the relevant NDA.</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our products may also be entitled to certain non-patent-related data exclusivity under the FDCA.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an abbreviated new drug application (</w:t>
      </w:r>
      <w:r>
        <w:rPr>
          <w:rFonts w:ascii="Arial" w:cs="Arial" w:eastAsia="Arial" w:hAnsi="Arial"/>
          <w:sz w:val="16"/>
          <w:szCs w:val="16"/>
          <w:i w:val="1"/>
          <w:iCs w:val="1"/>
          <w:color w:val="auto"/>
        </w:rPr>
        <w:t>ANDA</w:t>
      </w:r>
      <w:r>
        <w:rPr>
          <w:rFonts w:ascii="Arial" w:cs="Arial" w:eastAsia="Arial" w:hAnsi="Arial"/>
          <w:sz w:val="16"/>
          <w:szCs w:val="16"/>
          <w:color w:val="auto"/>
        </w:rPr>
        <w:t>), or a 505(b)(2) NDA may not be submitted by another company for another drug containing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Orange Book by the innovator NDA holder. The FDCA also provides three years of marketing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three-year exclusivity.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Some foreign jurisdictions, including Europe and Japan, also have patent term extension provisions, which allow for extension of the term of a patent that covers a drug approved by the applicable foreign regulatory agency. In the future, if and when our pharmaceutical products receive FDA approval, we expect to apply for patent term extension on patents covering those products, their methods of use, and/or methods of manufacture.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patents, we may rely on trade secrets and know-how to develop and maintain our competitive position. We protect trade secrets, if any, and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 or entity’s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Company also owns a registered trademark in the U.S. for “VISTAGEN,” which was renewed in 2014. In addition, we use trademarks in our business for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 and</w:t>
      </w:r>
      <w:r>
        <w:rPr>
          <w:rFonts w:ascii="Arial" w:cs="Arial" w:eastAsia="Arial" w:hAnsi="Arial"/>
          <w:sz w:val="18"/>
          <w:szCs w:val="18"/>
          <w:i w:val="1"/>
          <w:iCs w:val="1"/>
          <w:color w:val="auto"/>
        </w:rPr>
        <w:t xml:space="preserve"> LiverSafe </w:t>
      </w:r>
      <w:r>
        <w:rPr>
          <w:rFonts w:ascii="Arial" w:cs="Arial" w:eastAsia="Arial" w:hAnsi="Arial"/>
          <w:sz w:val="18"/>
          <w:szCs w:val="18"/>
          <w:color w:val="auto"/>
        </w:rPr>
        <w:t>3D.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Strategic collaborations are an important cornerstone of our corporate development strategy. We believe that our highly selective outsourcing of certain research, development, manufacturing and regulatory activities gives us flexible access to a broad range of capabilities and expertise at a lower overall cost than developing and maintaining such capabilities and expertise internally on a full-time basis. In particular, we contract with third parties for certain manufacturing, nonclinical development, clinical development and regulatory affairs support. We may seek multiple additional strategic collaborations and relationships focused on development and commercialization of our product candidates in regions outside the 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Supply</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neither own nor operate, and currently have no plans to own or operate, any manufacturing facilities. We currently source all of our clinical and nonclinical material supply through third party contract development and manufacturing organizations (</w:t>
      </w:r>
      <w:r>
        <w:rPr>
          <w:rFonts w:ascii="Arial" w:cs="Arial" w:eastAsia="Arial" w:hAnsi="Arial"/>
          <w:sz w:val="18"/>
          <w:szCs w:val="18"/>
          <w:i w:val="1"/>
          <w:iCs w:val="1"/>
          <w:color w:val="auto"/>
        </w:rPr>
        <w:t>CDMOs</w:t>
      </w:r>
      <w:r>
        <w:rPr>
          <w:rFonts w:ascii="Arial" w:cs="Arial" w:eastAsia="Arial" w:hAnsi="Arial"/>
          <w:sz w:val="18"/>
          <w:szCs w:val="18"/>
          <w:color w:val="auto"/>
        </w:rPr>
        <w:t>). If our product candidates are approved, we intend to contract with CDMOs to produce all of our future commercial supplies on our behalf.</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established relationships with CMOs under which the CMOs manufacture clinical and nonclinical supplies of the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as well as drug product, for AV-101, PH94B and PH10 on a purchase order basis. When produced, all clinical supplies are certified by our CDMOs to have been manufactured under current Good Manufacturing Practices (</w:t>
      </w:r>
      <w:r>
        <w:rPr>
          <w:rFonts w:ascii="Arial" w:cs="Arial" w:eastAsia="Arial" w:hAnsi="Arial"/>
          <w:sz w:val="16"/>
          <w:szCs w:val="16"/>
          <w:i w:val="1"/>
          <w:iCs w:val="1"/>
          <w:color w:val="auto"/>
        </w:rPr>
        <w:t>cGMP</w:t>
      </w:r>
      <w:r>
        <w:rPr>
          <w:rFonts w:ascii="Arial" w:cs="Arial" w:eastAsia="Arial" w:hAnsi="Arial"/>
          <w:sz w:val="16"/>
          <w:szCs w:val="16"/>
          <w:color w:val="auto"/>
        </w:rPr>
        <w:t>). Starting materials and key intermediates to support the production of these candidates are either manufactured by other qualified suppliers or purchased from chemical suppliers. We do not currently have arrangements in place for either long-term supply or redundant supply of bulk drug substance or drug product for AV-101, PH94B and PH10. Our CMOs manufacture such product candidates on a purchase order basis under master service and quality agreements. We intend to put a long-term commercial supply agreement in place at the appropriate time for drug substance and drug product for each product candidate, if development continues. We plan to mitigate potential commercial supply risks for any products that are approved in the future through inventory management and through exploring additional back-up manufacturers to provide API and/or drug product.</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refine and scale up the manufacturing process for PH94B to supply our Phase 3 clinical trials, and for AV-101 and PH10 to supply future clinical and nonclinical studies. We believe we currently have sufficient AV-101 drug substance on hand for our ongoing ELEVATE Study and the ongoing Baylor/VA Study.</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AV-101, PH94B and PH10 are small molecule drugs. The current syntheses of AV-101, PH94B and PH10 are reliable and reproducible from readily available starting materials. On-going development work is in progress to ensure that these synthetic routes are cost-effective , robust and amenable to large-scale manufacturing. We expect to continue to identify and develop drug candidates that are amenable to cost-effective manufacturing at contract manufacturing facilities.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25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believe that we can successfully launch and commercialize PH94B on our own in the U.S., if approved by the FDA, through the hiring of a targeted sales and marketing force. If an NDA for PH94B in the treatment of SAD is approved by the FDA following our Phase 3 clinical development program, we anticipate hiring and deploying a field sales force of key account managers calling on hospitals and specialty representatives calling on healthcare professionals who treat SAD. We expect to focus our future sales and marketing efforts, if PH94B is approved for SAD, on psychiatrists and select primary care physicians and potentially on pediatricians who are likely to see adolescents, as well as nurse practitioners and psychologists who, in some states, are permitted to prescribe medications.</w:t>
      </w:r>
    </w:p>
    <w:p>
      <w:pPr>
        <w:spacing w:after="0" w:line="19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Should we advance AV-101 and PH10 through successful completion of Phase 2 and Phase 3 clinical development for treatment of MDD and/or other CNS indications, we plan to file for and obtain regulatory approval of AV-101 and PH10 in the U.S. and then commercialize them in the U.S., either on our own or with a collaborator.</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develop and commercialize one or more our product candidates in pharmaceutical markets outside the U.S., if approved in such markets, we may decide to establish agreements or alliances with one or more pharmaceutical company collaborators and/or distributors. Currently, in China, the EU, Japan, Hong Kong, and South Korea, we plan to develop and commercialize our product candidates with third-party collaborators with successful operations involving development and/or commercialization of CNS products, especially neuropsychiatry products. We anticipate that such collaborations would involve local clinical development, regulatory submissions comparable to those required by the FDA in the U.S. and commercial activities necessary to monetize our product candidates. We may also consider other partnering opportunities if we believe the partnering opportunity will add significant value to our efforts, including through local capabilities and infrastructure, as well as speed to market and financial contributions, in each case depending on, among other things, the applicable indications, the expected development pathway and related costs, deal terms, our available resources, and whether the transaction makes strategic sense.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biopharmaceutical industry is highly competitive and subject to rapid and significant technological change. The large and growing markets for SAD, MDD, NP, LID, and other CNS diseases and disorders make them attractive therapeutic areas for biopharmaceutical businesses. We face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studies, obtaining regulatory approvals, and marketing approved products than we do. Several of these entities have commercial products, robust drug pipelines, readily available capital, and established research and development organizations.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 or early-stage companies may also prove to be significant competitors, particularly through collaborative arrangements with large and established companies. It is probable that the number of companies seeking to develop products and therapies similar to our products will increase. The key competitive factors affecting the success of all of our product candidates, if approved, are likely to be their efficacy, safety, convenience, price, the level of branded and generic competition, and the availability of reimbursement from government and other third-party payors.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currently there are no FDA-approved therapies for SAD with the mechanism of action of PH94B, we are aware of two companies with development programs potentially focused on SAD. However, neither of those companies is developing a potential treatment for SAD that is either a nasal spray or involves the same mechanism of pharmacological action as PH94B.</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currently there are no FDA-approved oral therapies for MDD with the mechanism of pharmacological action of either AV-101 or PH10, we are aware of numerous pharmaceutical and biotechnology companies that are developing therapies targeting the MDD market, including with drug candidates focused on the NMDAR. Certain of the potential MDD therapies being developed are broad NMDAR antagonists and tend to have multiple target actions. We believe AV-101 is an NMDAR glycine site antagonist and is modulatory, without negative off-target activity in preclinical screening. We are aware of the numerous companies developing or commercializing therapies for MDD or NMDAR-targeted therapies for other CNS disorders. Such companies include but are not limited to, Acadia, Adamas, Alkermes, Allergan, Aptynix, Avanir, Axsome, Biohaven, BlackThorn, Cadent, Cerecor, Eli Lilly, , Janssen, Lundbeck, Minerva, Navitor, NeuroRx, Otsuka, Novartis, Perceptive Neuroscience, Relmada, Sage, Seelos, Shionogi, Taisho and Takeda. Additionally, we expect that AV-101 and PH10 will have to compete with a variety of therapeutic procedures for treatment of MDD, such as psychotherapy and electroconvulsive therapy.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we believe that our employees and consultants, scientific knowledge, technology, and development experience provide us with competitive advantages,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believe that VistaStem’s hPSC technology platform, the hPSC-derived human cells we produce, and the customized human cell-based assay systems we have formulated and developed are capable of being competitive in the diverse and growing global stem cell, CT and RM markets, including potential markets involving the sale of hPSC-derived cells to third-parties for their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safety testing, contract predictive toxicology drug screening services for third parties, internal drug discovery, drug development and DR of new NCEs, and RM,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CT research and development. A representative list of such biopharmaceutical companies pursuing one or more of these potential applications of adult and/or hPSC technology includes, but is not limited to, the following: Acea, Astellas, Athersys, BioCardia, BioTime, Caladrius, Cellectis, Cellerant, Cytori, Fujifilm, HemoGenix, International Stem Cell, Neuralstem, Organovo, PluriStem, and Stemina BioMarker Discovery. Pharmaceutical companies and other established corporations such as Bristol-Myers Squibb, Charles River, GE Healthcare, GlaxoSmithKline, Novartis, Pfizer, Roche Holdings, Thermo Fisher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CT and RM will continue to occur and increase at pharmaceutical and biotechnology companies in the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monitoring/pharmacovigilance, safety and periodic reporting, marketing and export and import of drug products. Generally, before a new drug can be marketed in a given jurisdiction, considerable data demonstrating its quality, safety and efficacy must be obtained and/or generated, organized into a format specific to each regulatory authority, submitted for review and the drug must be approved by the relevant regulatory authority or authorities.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U.S., the FDA regulates drugs under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and its implementing regulations. Drugs are also subject to other federal, state and local statutes and regulations. The process of obtaining regulatory approvals and the subsequent compliance with appropriate federal, state, and local statutes and regulations require the expenditure of substantial time and financial resources. Failure to comply with the applicable U.S. requirements at any time during the product development process, approval process or after approval, may subject a company to administrative or judicial sanctions. These sanctions could include, among other actions, the FDA’s refusal to approve pending applications, withdrawal of an approval, a clinical hold on a clinical investigation, warning or untitled letters, product recalls or withdrawals from the market, product seizures, total or partial suspension of production or distribution, injunctions, fines, refusals of government contracts, restitution, disgorgement, or civil penalties or criminal prosecution. Any agency or judicial enforcement action could have a material adverse effect on us.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Each of our product candidates must be approved by the FDA through the NDA process before they may be legally marketed in the U.S. The process required by the FDA before a drug may be marketed in the U.S. requires substantial time, effort and financial resources and generally involves the following:</w:t>
      </w:r>
    </w:p>
    <w:p>
      <w:pPr>
        <w:spacing w:after="0" w:line="139" w:lineRule="exact"/>
        <w:rPr>
          <w:sz w:val="20"/>
          <w:szCs w:val="20"/>
          <w:color w:val="auto"/>
        </w:rPr>
      </w:pPr>
    </w:p>
    <w:p>
      <w:pPr>
        <w:ind w:left="980" w:hanging="324"/>
        <w:spacing w:after="0" w:line="33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Completion of extensive non-clinical studies and testing, sometimes referred to as non-clinical laboratory tests, non-clinical animal studies and formulation studies, in accordance with applicable regulations, including the FDA’s current Good Laboratory Practice (</w:t>
      </w:r>
      <w:r>
        <w:rPr>
          <w:rFonts w:ascii="Arial" w:cs="Arial" w:eastAsia="Arial" w:hAnsi="Arial"/>
          <w:sz w:val="16"/>
          <w:szCs w:val="16"/>
          <w:i w:val="1"/>
          <w:iCs w:val="1"/>
          <w:color w:val="auto"/>
        </w:rPr>
        <w:t>cGLP</w:t>
      </w:r>
      <w:r>
        <w:rPr>
          <w:rFonts w:ascii="Arial" w:cs="Arial" w:eastAsia="Arial" w:hAnsi="Arial"/>
          <w:sz w:val="16"/>
          <w:szCs w:val="16"/>
          <w:color w:val="auto"/>
        </w:rPr>
        <w:t>) regulations;</w:t>
      </w:r>
    </w:p>
    <w:p>
      <w:pPr>
        <w:spacing w:after="0" w:line="13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22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or ethics committee representing each clinical trial site before each trial may be initiated;</w:t>
      </w:r>
    </w:p>
    <w:p>
      <w:pPr>
        <w:spacing w:after="0" w:line="185" w:lineRule="exact"/>
        <w:rPr>
          <w:rFonts w:ascii="Arial" w:cs="Arial" w:eastAsia="Arial" w:hAnsi="Arial"/>
          <w:sz w:val="18"/>
          <w:szCs w:val="18"/>
          <w:color w:val="auto"/>
        </w:rPr>
      </w:pPr>
    </w:p>
    <w:p>
      <w:pPr>
        <w:jc w:val="both"/>
        <w:ind w:left="980" w:right="20" w:hanging="324"/>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collectively referred to as good clinical practice (</w:t>
      </w:r>
      <w:r>
        <w:rPr>
          <w:rFonts w:ascii="Arial" w:cs="Arial" w:eastAsia="Arial" w:hAnsi="Arial"/>
          <w:sz w:val="18"/>
          <w:szCs w:val="18"/>
          <w:i w:val="1"/>
          <w:iCs w:val="1"/>
          <w:color w:val="auto"/>
        </w:rPr>
        <w:t>cGCP</w:t>
      </w:r>
      <w:r>
        <w:rPr>
          <w:rFonts w:ascii="Arial" w:cs="Arial" w:eastAsia="Arial" w:hAnsi="Arial"/>
          <w:sz w:val="18"/>
          <w:szCs w:val="18"/>
          <w:color w:val="auto"/>
        </w:rPr>
        <w:t>) to establish the safety and efficacy of the proposed drug for each proposed indication;</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NDA for marketing approval of a new drug;</w:t>
      </w:r>
    </w:p>
    <w:p>
      <w:pPr>
        <w:spacing w:after="0" w:line="225" w:lineRule="exact"/>
        <w:rPr>
          <w:rFonts w:ascii="Arial" w:cs="Arial" w:eastAsia="Arial" w:hAnsi="Arial"/>
          <w:sz w:val="18"/>
          <w:szCs w:val="18"/>
          <w:color w:val="auto"/>
        </w:rPr>
      </w:pPr>
    </w:p>
    <w:p>
      <w:pPr>
        <w:jc w:val="both"/>
        <w:ind w:left="980" w:hanging="324"/>
        <w:spacing w:after="0" w:line="306"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an NDA to accept and file the NDA for review; Satisfactory completion of a potential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60"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FDA audit of the non-clinical and/or clinical trial sites that generated the data in support of the NDA; and</w:t>
      </w:r>
    </w:p>
    <w:p>
      <w:pPr>
        <w:spacing w:after="0" w:line="225"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applicable user fees and FDA review and approval of the NDA, including consideration of the views of any FDA advisory committee, prior to any commercial marketing or sale of the drug in the United States.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data required to support an NDA are generated in two distinct development stages: nonclinical and clinical. For NCEs,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Nonclinical tests include laboratory evaluation of product chemistry, formulation, stability and toxicity, as well as animal studies to assess the characteristics and potential safety and efficacy of the product. The conduct of the nonclinical tests must comply with federal laws and regulations, including, for animal studies, the Animal Welfare Act and cGLP. The sponsor must submit the results of the non-clinical tests, together with manufacturing information, analytical data, any available clinical data or literature and a proposed clinical protocol, to the FDA as part of the IND.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whether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 compliance. Accordingly, we cannot be sure that submission of an IND will result in the FDA allowing clinical trials to begin, or that, once begun, issues will not arise that could cause the trial to be suspended or terminated.</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or to patients with the disease or condition being studied under the supervision of qualified investigators, generally physicians not employed by or under the trial sponsor’s control. Clinical trials must be conducted in accordance with cGCPs, which include the requirement that all research subjects provide their informed consent for their participation in any given clinical trial. Clinical trials are conducted under protocols describing, among other details,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sponsor who wishes to conduct a clinical trial outside the U.S.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cGCP, including review and approval by an independent ethics committee and compliance with informed consent principles, and FDA is able to validate the data from the study through an onsite inspection if deemed necessary.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are generally conducted in three phases that may overlap, known as Phase 1, Phase 2 and Phase 3 clinical trials.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94" w:lineRule="exact"/>
        <w:rPr>
          <w:rFonts w:ascii="Arial" w:cs="Arial" w:eastAsia="Arial" w:hAnsi="Arial"/>
          <w:sz w:val="18"/>
          <w:szCs w:val="18"/>
          <w:color w:val="auto"/>
        </w:rPr>
      </w:pPr>
    </w:p>
    <w:p>
      <w:pPr>
        <w:jc w:val="both"/>
        <w:ind w:left="980" w:hanging="324"/>
        <w:spacing w:after="0" w:line="29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Phase 3 clinical trials generally involve large numbers of patients at multiple sites (typically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and labeling. Phase 3 clinical trials may include comparisons with placebo and/or other comparator treatments. The duration of treatment is often extended for drugs intended for chronic dosing to mimic the actual use of a product during marketing.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suspected adverse events, increased rates of serious suspected adverse events, or findings from other studies or from animal or in vitro testing that suggests a significant risk for human subjects. Phase 1, Phase 2 and Phase 3 clinical trials may not be completed successfully within any specified period, if at all. Success in one phase does not mean similar results will be observed in subsequent phases. Each phase may involve multiple studies.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and may suspend a clinical trial at any time on various grounds, including a finding that the research subjects are being exposed to an unacceptable health risk.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NDA and FDA Review Process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under the Pediatric Research Equity Act (</w:t>
      </w:r>
      <w:r>
        <w:rPr>
          <w:rFonts w:ascii="Arial" w:cs="Arial" w:eastAsia="Arial" w:hAnsi="Arial"/>
          <w:sz w:val="16"/>
          <w:szCs w:val="16"/>
          <w:i w:val="1"/>
          <w:iCs w:val="1"/>
          <w:color w:val="auto"/>
        </w:rPr>
        <w:t>PREA</w:t>
      </w:r>
      <w:r>
        <w:rPr>
          <w:rFonts w:ascii="Arial" w:cs="Arial" w:eastAsia="Arial" w:hAnsi="Arial"/>
          <w:sz w:val="16"/>
          <w:szCs w:val="16"/>
          <w:color w:val="auto"/>
        </w:rPr>
        <w:t>) certain NDAs or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Under the Best Pharmaceuticals for Children Act (</w:t>
      </w:r>
      <w:r>
        <w:rPr>
          <w:rFonts w:ascii="Arial" w:cs="Arial" w:eastAsia="Arial" w:hAnsi="Arial"/>
          <w:sz w:val="16"/>
          <w:szCs w:val="16"/>
          <w:i w:val="1"/>
          <w:iCs w:val="1"/>
          <w:color w:val="auto"/>
        </w:rPr>
        <w:t>BPCA</w:t>
      </w:r>
      <w:r>
        <w:rPr>
          <w:rFonts w:ascii="Arial" w:cs="Arial" w:eastAsia="Arial" w:hAnsi="Arial"/>
          <w:sz w:val="16"/>
          <w:szCs w:val="16"/>
          <w:color w:val="auto"/>
        </w:rPr>
        <w:t>) the FDA may also issue a Written Request asking a sponsor to conduct pediatric studies related to a particular active moiety; if the sponsor agrees and meets certain requirements, the sponsor may be eligible to receive additional marketing exclusivity for its drug product containing such active moiety.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color w:val="222222"/>
        </w:rPr>
        <w:t>Prescription Drug User Fee Act (</w:t>
      </w:r>
      <w:r>
        <w:rPr>
          <w:rFonts w:ascii="Arial" w:cs="Arial" w:eastAsia="Arial" w:hAnsi="Arial"/>
          <w:sz w:val="18"/>
          <w:szCs w:val="18"/>
          <w:i w:val="1"/>
          <w:iCs w:val="1"/>
          <w:color w:val="auto"/>
        </w:rPr>
        <w:t>PDUFA</w:t>
      </w:r>
      <w:r>
        <w:rPr>
          <w:rFonts w:ascii="Arial" w:cs="Arial" w:eastAsia="Arial" w:hAnsi="Arial"/>
          <w:sz w:val="18"/>
          <w:szCs w:val="18"/>
          <w:color w:val="auto"/>
        </w:rPr>
        <w:t>), as amended, each NDA must be accompanied by a user fee, unless subject to a waiver. The FDA adjusts the PDUFA user fees on an annual basis. According to the FDA’s fee schedule, effective through September 30, 2019, the user fee for an application requiring clinical data, such as an NDA, is approximately $2.6 million. PDUFA also imposes an annual prescription drug program fee for human drugs of approximately $0.3 million.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non-orphan-designated indication.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aims to complete its initial review of an NDA and respond to the applicant within 10 months from the filing date for a standard NDA and, and within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generally conduct a pre-approval inspection of the manufacturing facilities for the new product to determine whether the facilities comply with cGMPs. The FDA will not approve the product unless it determines that the manufacturing processes and facilities are in compliance with cGMP requirements and adequate to assure consistent production of the product within required specifications. Before approving an NDA, the FDA may also audit data from clinical trials to ensure compliance with GCP requirements and integrity of the data submitted in the NDA.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For example, the advisory committee may recommend or the FDA may determine that a Risk Evaluation and Mitigtion Strategy (</w:t>
      </w:r>
      <w:r>
        <w:rPr>
          <w:rFonts w:ascii="Arial" w:cs="Arial" w:eastAsia="Arial" w:hAnsi="Arial"/>
          <w:sz w:val="16"/>
          <w:szCs w:val="16"/>
          <w:i w:val="1"/>
          <w:iCs w:val="1"/>
          <w:color w:val="auto"/>
        </w:rPr>
        <w:t>REMS</w:t>
      </w:r>
      <w:r>
        <w:rPr>
          <w:rFonts w:ascii="Arial" w:cs="Arial" w:eastAsia="Arial" w:hAnsi="Arial"/>
          <w:sz w:val="16"/>
          <w:szCs w:val="16"/>
          <w:color w:val="auto"/>
        </w:rPr>
        <w:t>) program is necessary to ensure safe use of the product.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process for an NDA by the FDA is extensive and time consuming and may take longer than originally planned to complete, and we may not receive a timely approval, if at all.</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additional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is no assurance that the FDA will ultimately approve any of our drug product candidates for marketing in the U.S., and we may encounter significant difficulties or costs during the FDA review process. If a product receives marketing approval, the approval may be significantly limited to specific patient populations and dosages or the indications for use may otherwise be limited, which could restrict the commercial value of the product. Further, the FDA typically requires that certain contraindications, warnings or precautions be included in the product labeling, and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may involve clinical trials designed to further assess a drug’s safety and/or efficacy and may require testing and surveillance programs to monitor the safety of approved products that have been commercialized. The FDA may also place other conditions on approvals including the requirement for a REMS to assure the safe use of the drug. If the FDA concludes a REMS is needed, the sponsor of the NDA must submit a proposed REMS. The FDA will not approve the NDA without an approved REMS, if the FDA determines that a REMS is required. A REMS could include medication guides, physician communication plans, or elements to assure safe use, such as restricted distribution methods, patient registries and other risk minimization tools. Any limitations on approval, marketing or use for any of our products could restrict the commercial promotion, distribution, prescription or dispensing of those products. Product approvals may be withdrawn for non-compliance with regulatory requirements or if problems occur following initial marketing.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for the drug for the proposed rare disease or condition. After the FDA grants orphan drug designation, the common name of the therapeutic agent and its designated orphan use are disclosed publicly by the FDA. Orphan product designation does not, by itself, convey any advantage in or shorten the duration of the regulatory review and approval process.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sponsors’ applications to market the same drug for the same indication for seven years, except in limited circumstances, such as a showing of clinical superiority to the product with orphan exclusivity. Orphan exclusivity operates independently from other regulatory exclusivities and other protection against generic competition, including patents that we hold for our products. A sponsor of a product application that has received an orphan drug designation may also be granted tax incentives for clinical research undertaken to support the application. In addition, the FDA may coordinate with the sponsor on research study design for an orphan drug and may exercise its discretion to grant marketing approval on the basis of more limited product safety and efficacy data than would ordinarily be required, based on the limited size of the applicable patient population.</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The FDA can revoke a product’s orphan drug exclusivity under certain circumstances, including when the holder of the approved orphan drug application is unable to assure the availability of sufficient quantities of the drug to meet patient needs. Orphan drug status in the EU has similar, but not identical,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has several programs that are intended to expedite or facilitate the process for reviewing new drugs that are intended to treat a serious or life-threatening condition and demonstrate the potential to address unmet medical needs for the condition and provides meaningful therapeutic benefit over existing treatments. Fast Track designation and Breakthrough Therapy designation are two of these programs and apply to the combination of the product and the specific indication for which it is being studied. The sponsor of a new drug or biologic may request the FDA to designate the drug as a Fast Track product at any time during the development of the product and may request the FDA to designate the drug as a Breakthrough Therapy based on preliminary clinical evidence which meet the criteria outlined in the FDA’s programs. Under the Fast Track or Breakthrough Therapy expedited programs,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product submitted to the FDA for marketing, including under a Fast Track or Breakthrough Therapy program, may be eligible for other types of FDA programs intended to expedite development and review, such as priority review and accelerated approval.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product is eligible for priority review if it treats a serious condition and offers a significant improvement in the safety and effectiveness of treatment, diagnosis or prevention compared to marketed products. Significant improvement may be shown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will attempt to direct additional resources to the evaluation of an application for a new drug designated for priority review in an effort to facilitate the review, and to shorten the FDA’s goal for taking action on a marketing application from ten months to six months from the date of the NDA filing.</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product may also be eligible for accelerated approval if the product is intended to treat a serious or life-threatening illness and provides meaningful therapeutic benefit over existing treatments. Accelerated approval for a product means that it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7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Trials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Food and Drug Administration Safety and Innovation Act (</w:t>
      </w:r>
      <w:r>
        <w:rPr>
          <w:rFonts w:ascii="Arial" w:cs="Arial" w:eastAsia="Arial" w:hAnsi="Arial"/>
          <w:sz w:val="16"/>
          <w:szCs w:val="16"/>
          <w:i w:val="1"/>
          <w:iCs w:val="1"/>
          <w:color w:val="auto"/>
        </w:rPr>
        <w:t>FDASIA</w:t>
      </w:r>
      <w:r>
        <w:rPr>
          <w:rFonts w:ascii="Arial" w:cs="Arial" w:eastAsia="Arial" w:hAnsi="Arial"/>
          <w:sz w:val="16"/>
          <w:szCs w:val="16"/>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6"/>
          <w:szCs w:val="16"/>
          <w:i w:val="1"/>
          <w:iCs w:val="1"/>
          <w:color w:val="auto"/>
        </w:rPr>
        <w:t>PSP</w:t>
      </w:r>
      <w:r>
        <w:rPr>
          <w:rFonts w:ascii="Arial" w:cs="Arial" w:eastAsia="Arial" w:hAnsi="Arial"/>
          <w:sz w:val="16"/>
          <w:szCs w:val="16"/>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if it learns of new information, may also request that the sponsor amend the initial PSP.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Post-marketing Requirements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w:t>
      </w:r>
      <w:r>
        <w:rPr>
          <w:rFonts w:ascii="Arial" w:cs="Arial" w:eastAsia="Arial" w:hAnsi="Arial"/>
          <w:sz w:val="16"/>
          <w:szCs w:val="16"/>
          <w:i w:val="1"/>
          <w:iCs w:val="1"/>
          <w:color w:val="auto"/>
        </w:rPr>
        <w:t>off-label use</w:t>
      </w:r>
      <w:r>
        <w:rPr>
          <w:rFonts w:ascii="Arial" w:cs="Arial" w:eastAsia="Arial" w:hAnsi="Arial"/>
          <w:sz w:val="16"/>
          <w:szCs w:val="16"/>
          <w:color w:val="auto"/>
        </w:rPr>
        <w:t xml:space="preserv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(the </w:t>
      </w:r>
      <w:r>
        <w:rPr>
          <w:rFonts w:ascii="Arial" w:cs="Arial" w:eastAsia="Arial" w:hAnsi="Arial"/>
          <w:sz w:val="16"/>
          <w:szCs w:val="16"/>
          <w:i w:val="1"/>
          <w:iCs w:val="1"/>
          <w:color w:val="auto"/>
        </w:rPr>
        <w:t>PDMA</w:t>
      </w:r>
      <w:r>
        <w:rPr>
          <w:rFonts w:ascii="Arial" w:cs="Arial" w:eastAsia="Arial" w:hAnsi="Arial"/>
          <w:sz w:val="16"/>
          <w:szCs w:val="16"/>
          <w:color w:val="auto"/>
        </w:rPr>
        <w:t>) and the Drug Supply Chain Security Act (</w:t>
      </w:r>
      <w:r>
        <w:rPr>
          <w:rFonts w:ascii="Arial" w:cs="Arial" w:eastAsia="Arial" w:hAnsi="Arial"/>
          <w:sz w:val="16"/>
          <w:szCs w:val="16"/>
          <w:i w:val="1"/>
          <w:iCs w:val="1"/>
          <w:color w:val="auto"/>
        </w:rPr>
        <w:t>DSCSA</w:t>
      </w:r>
      <w:r>
        <w:rPr>
          <w:rFonts w:ascii="Arial" w:cs="Arial" w:eastAsia="Arial" w:hAnsi="Arial"/>
          <w:sz w:val="16"/>
          <w:szCs w:val="16"/>
          <w:color w:val="auto"/>
        </w:rPr>
        <w: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FDA regulations also require that approved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Discovery of previously unknown problems with a product or the failure to comply with applicable FDA requirements can have negative consequences, including adverse publicity, administrative enforcement, warning or untitled letters from the FDA, mandated corrective advertising or communications with doctors, and civil penalties or criminal prosecution,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U.S., the Department of Health and Human Services; the Department of Justice; the DEA; the Consumer Product Safety Commission; the Federal Trade Commission; the Occupational Safety and Health Administration; the Environmental Protection Agency; and state and local governments.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U.S., a drug product approved by the FDA may also be subject to regulation under the Controlled Substances Act (</w:t>
      </w:r>
      <w:r>
        <w:rPr>
          <w:rFonts w:ascii="Arial" w:cs="Arial" w:eastAsia="Arial" w:hAnsi="Arial"/>
          <w:sz w:val="16"/>
          <w:szCs w:val="16"/>
          <w:i w:val="1"/>
          <w:iCs w:val="1"/>
          <w:color w:val="auto"/>
        </w:rPr>
        <w:t>CSA</w:t>
      </w:r>
      <w:r>
        <w:rPr>
          <w:rFonts w:ascii="Arial" w:cs="Arial" w:eastAsia="Arial" w:hAnsi="Arial"/>
          <w:sz w:val="16"/>
          <w:szCs w:val="16"/>
          <w:color w:val="auto"/>
        </w:rPr>
        <w:t>) as a controlled substance. The CSA is administered by the DEA and establishes, among other things, certain registration, security, recordkeeping, reporting, import, export and other requirements for controlled substances. The CSA classifies controlled substances into five schedules: Schedule I, II, III, IV or V. FDA approved pharmaceutical products may be listed in Schedule II, III, IV or V, with Schedule II substances considered to present the highest potential for abuse or dependence and Schedule V substances the lowest relative risk of abuse among such substances. An approved drug product or drug candidate that has not yet been approved by the FDA may be subject to scheduling as a controlled substance under the CSA, depending on the drug’s potential for abuse. For a drug approved by the FDA and determined to require control under the CSA, the CSA requires the DEA to issue an interim final order scheduling the drug within 90 days after the FDA approves the drug and the DEA receives a scientific and medical evaluation and scheduling recommendation from the Department of Health and Human Services, after it has been completed by FDA. We do not expect FDA to recommend scheduling of any of our product candidates as a controlled substance, if approved.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U.S., arrangements and interactions with health care professionals, third-party payors, patients and others will expose us to broadly applicable anti-fraud and abuse, anti-kickback, false claims and other health care laws and regulations. These broadly applicable laws and regulations may constrain the business or financial arrangements or relationships through which we sell, market and distribute our products, if and when we obtain marketing approval. In the U.S., federal and state health care laws and regulations that may affect our operations include:</w:t>
      </w:r>
    </w:p>
    <w:p>
      <w:pPr>
        <w:spacing w:after="0" w:line="197" w:lineRule="exact"/>
        <w:rPr>
          <w:sz w:val="20"/>
          <w:szCs w:val="20"/>
          <w:color w:val="auto"/>
        </w:rPr>
      </w:pPr>
    </w:p>
    <w:p>
      <w:pPr>
        <w:jc w:val="both"/>
        <w:ind w:left="660" w:hanging="490"/>
        <w:spacing w:after="0" w:line="28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Anti-Kickback Statute, which makes it illegal for any person, including a company marketing a prescription drug (or a party acting on its behalf) to knowingly and willfully solicit, receive, offer, or pay any remuneration (including any kickback, bribe or rebate), directly or indirectly, in cash or in kind, that is intended to induce or reward the referral of an individual or purchase, lease or order, or the arranging for or recommending the purchase or order, of a particular item or service, for which payment may be made in whole or in part under a federal healthcare program, such as Medicare or Medicaid. This statute has been interpreted to apply to arrangements between pharmaceutical companies on one hand and prescribers, patients,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to the federal Anti-Kickback Statute protecting certain common business arrangements and activities from prosecution or regulatory sanctions, the exemptions and safe harbors are drawn narrowly. Practices that involve remuneration to those who prescribe, purchase, or recommend pharmaceutical and biological products, including certain discounts, or engaging such individuals as consultants, advisors, or speakers, may be subject to scrutiny if they do not fit squarely within an exemption or safe harbor. Our practices may not in all cases meet all of the criteria for safe harbor protection from anti-kickback liability. Moreover, there are no safe harbors for many common practices, such as educational and research grants, charitable donations, product support and patient assistance. Violations of this law are punishable by up to five years in prison, criminal fines, damages, administrative civil money penalties, and exclusion from participation in federal healthcare programs.</w:t>
      </w:r>
    </w:p>
    <w:p>
      <w:pPr>
        <w:spacing w:after="0" w:line="180" w:lineRule="exact"/>
        <w:rPr>
          <w:rFonts w:ascii="Arial" w:cs="Arial" w:eastAsia="Arial" w:hAnsi="Arial"/>
          <w:sz w:val="16"/>
          <w:szCs w:val="16"/>
          <w:color w:val="auto"/>
        </w:rPr>
      </w:pPr>
    </w:p>
    <w:p>
      <w:pPr>
        <w:jc w:val="both"/>
        <w:ind w:left="660" w:hanging="490"/>
        <w:spacing w:after="0" w:line="28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civil False Claims Act, which prohibits anyone from, among other things, knowingly presenting, or causing to be presented claims for payment of government funds that are false or fraudulent, or knowingly making, using, or causing to be made or used a false record or statement material to a false or fraudulent claim or knowingly and improperly avoiding, decreasing or concealing an obligation to pay money to the federal government. Actions under the False Claims Act may be brought by the federal government or as a qui tam action by a private individual in the name of the government. Many pharmaceutical manufacturers have been investigated and have reached substantial financial settlements with the federal government under the civil False Claims Act for a variety of alleged improper activities. The government may deem companies to have “caused” the submission of false or fraudulent claims by, for example, providing inaccurate billing or coding information to customers or promoting a product off-label. In addition, our future activities relating to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may include three times the actual damages sustained by the government, plus significant civil penalties for each separate false or fraudulent claim, and the potential for exclusion from participation in federal healthcare programs.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60" w:hanging="490"/>
        <w:spacing w:after="0" w:line="28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Numerous federal and state laws, including state security breach notification laws, state health information privacy laws, and federal and state consumer protection laws, govern the collection, use, and disclosure and protection of health-related and other personal information. Failure to comply with these laws and regulations could result in government enforcement actions and create liability, private litigation, or adverse publicity. In addition, we may obtain health information from third parties, such as hospitals, healthcare professionals, and research institutions from which we or our collaborators obtain patient health information, that are subject to privacy and security requirements under the federal Health Insurance Portability and Accountability Act of 1996, as amended by the Health Information Technology for Economic and Clinical Health Act (</w:t>
      </w:r>
      <w:r>
        <w:rPr>
          <w:rFonts w:ascii="Arial" w:cs="Arial" w:eastAsia="Arial" w:hAnsi="Arial"/>
          <w:sz w:val="16"/>
          <w:szCs w:val="16"/>
          <w:i w:val="1"/>
          <w:iCs w:val="1"/>
          <w:color w:val="auto"/>
        </w:rPr>
        <w:t>HIPAA</w:t>
      </w:r>
      <w:r>
        <w:rPr>
          <w:rFonts w:ascii="Arial" w:cs="Arial" w:eastAsia="Arial" w:hAnsi="Arial"/>
          <w:sz w:val="16"/>
          <w:szCs w:val="16"/>
          <w:color w:val="auto"/>
        </w:rPr>
        <w:t>). Although we are not directly subject to the HIPAA information privacy and security provisions, other than with respect to providing certain employee benefits, we could potentially be subject to criminal penalties if we or our agents knowingly obtain or disclose individually identifiable health information maintained by a HIPAA-covered entity in a manner that is not authorized or permitted by HIPAA. In addition, HIPAA does not replace federal, state, or other laws that may grant individuals even greater privacy protections.</w:t>
      </w:r>
    </w:p>
    <w:p>
      <w:pPr>
        <w:spacing w:after="0" w:line="176" w:lineRule="exact"/>
        <w:rPr>
          <w:rFonts w:ascii="Arial" w:cs="Arial" w:eastAsia="Arial" w:hAnsi="Arial"/>
          <w:sz w:val="16"/>
          <w:szCs w:val="16"/>
          <w:color w:val="auto"/>
        </w:rPr>
      </w:pPr>
    </w:p>
    <w:p>
      <w:pPr>
        <w:jc w:val="both"/>
        <w:ind w:left="660" w:hanging="490"/>
        <w:spacing w:after="0" w:line="29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HIPAA fraud provisions, which impose criminal and civil liability for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6" w:lineRule="exact"/>
        <w:rPr>
          <w:rFonts w:ascii="Arial" w:cs="Arial" w:eastAsia="Arial" w:hAnsi="Arial"/>
          <w:sz w:val="16"/>
          <w:szCs w:val="16"/>
          <w:color w:val="auto"/>
        </w:rPr>
      </w:pPr>
    </w:p>
    <w:p>
      <w:pPr>
        <w:jc w:val="both"/>
        <w:ind w:left="660" w:hanging="490"/>
        <w:spacing w:after="0" w:line="29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the agency that administers the Medicare and Medicaid programs,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72" w:lineRule="exact"/>
        <w:rPr>
          <w:rFonts w:ascii="Arial" w:cs="Arial" w:eastAsia="Arial" w:hAnsi="Arial"/>
          <w:sz w:val="16"/>
          <w:szCs w:val="16"/>
          <w:color w:val="auto"/>
        </w:rPr>
      </w:pPr>
    </w:p>
    <w:p>
      <w:pPr>
        <w:jc w:val="both"/>
        <w:ind w:left="660" w:hanging="490"/>
        <w:spacing w:after="0" w:line="28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Analogous state and local laws and regulations, such as state anti-kickback and false claims laws, which may apply to items or services reimbursed under Medicaid and other state programs or, in several states, regardless of the payer. We also may become subject to other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efforts.Substantial resources are necessary to ensure that our business arrangements and interactions with health care professionals, third party payors, patients and others comply with applicable health care laws and regulations. Although compliance programs can mitigate the risk of investigation and prosecution for violations of these laws, the risks cannot be entirely eliminated. It is possible that governmental authorities will conclude that our business practices do not comply with current or future statutes, regulations or case law, and if we are found to be in violation of any of these laws or any other governmental regulations, we may be subject to significant civil, criminal and administrative penalties, imprisonment, damages, fines, exclusion from government funded health care programs such as Medicare and Medicaid, or the curtailment or restructuring of our operations. Any action against us for violation of these laws or regulations, even if we successfully defend against it, could cause us to incur significant legal expenses and divert our management’s attention from the operation of our business.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Numerous other laws may apply to our products.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collectively referred to herein as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handling of any controlled substances must comply with the U.S. Controlled Substances Act and Controlled Substances Import and Export Act.</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 keeping, licensing, storage and security requirements intended to prevent the unauthorized sale of pharmaceutical products. 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Changes in statutes, regulations or the interpretation of existing laws or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Drug Development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develop and commercialize our product candidates in the EU, either alone or with a collaborator. As in the U.S., in the EU, our future products also will be subject to extensive regulatory requirements. As in the U.S., medicinal products can only be marketed if a Marketing Authorization (</w:t>
      </w:r>
      <w:r>
        <w:rPr>
          <w:rFonts w:ascii="Arial" w:cs="Arial" w:eastAsia="Arial" w:hAnsi="Arial"/>
          <w:sz w:val="18"/>
          <w:szCs w:val="18"/>
          <w:i w:val="1"/>
          <w:iCs w:val="1"/>
          <w:color w:val="auto"/>
        </w:rPr>
        <w:t>MA</w:t>
      </w:r>
      <w:r>
        <w:rPr>
          <w:rFonts w:ascii="Arial" w:cs="Arial" w:eastAsia="Arial" w:hAnsi="Arial"/>
          <w:sz w:val="18"/>
          <w:szCs w:val="18"/>
          <w:color w:val="auto"/>
        </w:rPr>
        <w:t>) from the competent regulatory authorities in the EU has been obtained.</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Similar to the U.S., the various phases of nonclinical and clinical research in the EU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in a manner that is often not uniform. This has led to variations in the rules governing the conduct of clinical trials in the individual EU Member States. The EU legislator has, therefore, adopted Regulation (EU) No 536/2014, or the EU Clinical Trials Regulation. The new EU Clinical Trials Regulation, which will replace the EU Clinical Trials Directive, introduces a complete overhaul of the existing regulation of clinical trials for medicinal products in the EU, including a new coordinated procedure for authorization of clinical trials that is reminiscent of the mutual recognition procedure for marketing authorization of medicinal products, and increased obligations on sponsors to publish clinical trial results. The Clinical Trials Regulation is expected to start to apply in late-2019 or in 2020.</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Clinical trials in the EU must currently be conducted in accordance with the requirements of the EU Clinical Trials Directive and applicable good clinical practice standards, as implemented into national legislation by EU Member States. Under the current regime, before a clinical trial can be initiated it must be approved in each EU Member State where there is a site at which the trial is to be conducted by two distinct bodies: the National Competent Authority, or NCA, and one or more Ethics Committees (</w:t>
      </w:r>
      <w:r>
        <w:rPr>
          <w:rFonts w:ascii="Arial" w:cs="Arial" w:eastAsia="Arial" w:hAnsi="Arial"/>
          <w:sz w:val="16"/>
          <w:szCs w:val="16"/>
          <w:i w:val="1"/>
          <w:iCs w:val="1"/>
          <w:color w:val="auto"/>
        </w:rPr>
        <w:t>ECs</w:t>
      </w:r>
      <w:r>
        <w:rPr>
          <w:rFonts w:ascii="Arial" w:cs="Arial" w:eastAsia="Arial" w:hAnsi="Arial"/>
          <w:sz w:val="16"/>
          <w:szCs w:val="16"/>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EU, pediatric data or an approved Pediatric Investigation Plan (</w:t>
      </w:r>
      <w:r>
        <w:rPr>
          <w:rFonts w:ascii="Arial" w:cs="Arial" w:eastAsia="Arial" w:hAnsi="Arial"/>
          <w:sz w:val="18"/>
          <w:szCs w:val="18"/>
          <w:i w:val="1"/>
          <w:iCs w:val="1"/>
          <w:color w:val="auto"/>
        </w:rPr>
        <w:t>PIP</w:t>
      </w:r>
      <w:r>
        <w:rPr>
          <w:rFonts w:ascii="Arial" w:cs="Arial" w:eastAsia="Arial" w:hAnsi="Arial"/>
          <w:sz w:val="18"/>
          <w:szCs w:val="18"/>
          <w:color w:val="auto"/>
        </w:rPr>
        <w:t>) or waiver, is required to have been approved by the European Medicines Agency (</w:t>
      </w:r>
      <w:r>
        <w:rPr>
          <w:rFonts w:ascii="Arial" w:cs="Arial" w:eastAsia="Arial" w:hAnsi="Arial"/>
          <w:sz w:val="18"/>
          <w:szCs w:val="18"/>
          <w:i w:val="1"/>
          <w:iCs w:val="1"/>
          <w:color w:val="auto"/>
        </w:rPr>
        <w:t>EMA</w:t>
      </w:r>
      <w:r>
        <w:rPr>
          <w:rFonts w:ascii="Arial" w:cs="Arial" w:eastAsia="Arial" w:hAnsi="Arial"/>
          <w:sz w:val="18"/>
          <w:szCs w:val="18"/>
          <w:color w:val="auto"/>
        </w:rPr>
        <w:t>) prior to submission of a MA application to the EMA or the competent authorities of the EU Member States. In most EU countries, we are also required to have an approved PIP before we can begin enrolling pediatric patients in a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Drug Review and Approval and Post-marketing Requirements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European Economic Area (</w:t>
      </w:r>
      <w:r>
        <w:rPr>
          <w:rFonts w:ascii="Arial" w:cs="Arial" w:eastAsia="Arial" w:hAnsi="Arial"/>
          <w:sz w:val="16"/>
          <w:szCs w:val="16"/>
          <w:i w:val="1"/>
          <w:iCs w:val="1"/>
          <w:color w:val="auto"/>
        </w:rPr>
        <w:t>EEA</w:t>
      </w:r>
      <w:r>
        <w:rPr>
          <w:rFonts w:ascii="Arial" w:cs="Arial" w:eastAsia="Arial" w:hAnsi="Arial"/>
          <w:sz w:val="16"/>
          <w:szCs w:val="16"/>
          <w:color w:val="auto"/>
        </w:rPr>
        <w:t>) (which is comprised of 28 Member States of the EU plus Norway, Iceland and Liechtenstein), medicinal products can only be commercialized after a related MA has been granted. A MA for medicinal products can be obtained through several different procedures. These are through a centralized, mutual recognition procedure, decentralized procedure, or national procedure (single EU Member State). The centralized procedure allows a company to submit a single application to the EMA. If a related positive opinion is provided by the EMA, the European Commission will grant a centralized MA that is valid in all EU Member States and three of the four European Free Trade Associations (</w:t>
      </w:r>
      <w:r>
        <w:rPr>
          <w:rFonts w:ascii="Arial" w:cs="Arial" w:eastAsia="Arial" w:hAnsi="Arial"/>
          <w:sz w:val="16"/>
          <w:szCs w:val="16"/>
          <w:i w:val="1"/>
          <w:iCs w:val="1"/>
          <w:color w:val="auto"/>
        </w:rPr>
        <w:t>EFTA</w:t>
      </w:r>
      <w:r>
        <w:rPr>
          <w:rFonts w:ascii="Arial" w:cs="Arial" w:eastAsia="Arial" w:hAnsi="Arial"/>
          <w:sz w:val="16"/>
          <w:szCs w:val="16"/>
          <w:color w:val="auto"/>
        </w:rPr>
        <w:t>) countries (Iceland, Liechtenstein and Norway).</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that is not yet authorized in the EEA, or for products that constitute a significant therapeutic, scientific or technical innovation or for which grant of centralized marketing authorization is in the interest of patients in the EU.</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decentralized authorization procedure permits companies to file identical applications for authorization to several EU Member States simultaneously for a medicinal product that has not yet been authorized in any EU Member State. The competent authorities of a single EU Member State, the reference member state, is appointed to review the application and provide an assessment report. The competent authorities of the other EU Member States, the concerned member states, are subsequently required to grant marketing authorization for their territories on the basis of this assessment. The only exception to this is where an EU Member State considers that there are concerns of potential serious risk to public health related to authorization of the product. In these circumstances, the matter is submitted to the Heads of Medicines Agencies (CMDh) for review. The mutual recognition procedure allows companies that have a medicinal product already authorized in one EU Member State to apply for this authorization to be recognized by the competent authorities in other EU Member States.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timeframe for the evaluation of a marketing authorization application in the EU is 210 days, not including clock stops during which applicants respond to questions from the competent authority. The initial marketing authorization granted in the EU is valid for five years. The authorization may be renewed and valid for an unlimited period unless the national competent authority or the European Commission decides on justified grounds to proceed with one additional five-year renewal period. The renewal of a marketing authorization is subject to a re-evaluation of the risk-benefit balance of the product by the national competent authorities or the EMA.</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holder of an EU MA for a medicinal product must also comply with the EU’s pharmacovigilance legislation. This includes requirements to conduct pharmacovigilance, or the assessment and monitoring of the safety of medicinal products.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Various requirements apply to the manufacturing and placing on the EU market of medicinal products. Manufacture of medicinal products in the EU requires a manufacturing authorization. The manufacturing authorization holder must comply with various requirements set out in the applicable EU laws, regulations and guidance. These requirements include compliance with EU cGMP standards when manufacturing medicinal products and APIs, including the manufacture of APIs outside of the EU with the intention to import the APIs into the EU. Similarly, the distribution of medicinal products into and within the EU is subject to compliance with the applicable EU laws, regulations and guidelines, including the requirement to hold appropriate authorizations for distribution granted by the competent authorities of the EU Member States. MA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EU, the advertising and promotion of medicinal products are subject to EU Member States’ laws governing promotion of medicinal products, interactions with physicians, misleading and comparative advertising and unfair commercial practices. Breaches of the rules governing the promotion of medicinal products in the EU could be penalized by administrative measures, fines and imprisonment. These laws may further limit or restrict the advertising and promotion of medicinal products to the general public and may also impose limitations on promotional activities with healthcare professionals.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New Chemical Entity Exclusivity</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EU, innovative medicinal products that are subject to marketing authorization on the basis of a full dossier and do not fall within the scope of the concept of global marketing authorization, which prevents the same marketing authorization holder or members of the same group from obtaining separate data and market exclusivity periods for medicinal products that contain the same active substance, qualify for eight years of data exclusivity upon marketing authorization and an additional two years of market exclusivity. This data exclusivity, if granted,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Orphan Designation and Exclusivity</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EU, orphan drug designations are granted by the European Commission based on a scientific opinion by the EMA’s Committee for Orphan Medicinal Products in relation to medicinal products that are intended for the diagnosis, prevention or treatment of life-threatening or chronically debilitating conditions affecting not more than 5 in 10,000 persons in the European Union and in relation to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Orphan medicinal products are entitled to ten years of exclusivity in all EU Member States and a range of other benefits during the development and regulatory review process.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of the product. Marketing authorization may also be granted to a similar medicinal product with the same orphan indication if the similar product is deemed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grant of orphan designation by the European Commission also entitles the holder of this designation to financial incentives such as reduction of fees or fee waivers. Orphan drug designation must be requested before submitting an application for marketing authorization. Orphan drug designation does not, in itself, convey any advantage in, or shorten the duration of, the regulatory review and authorization process.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 of the World Regulation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other countries outside of the U.S. and the EU, such as countries in Eastern Europe, Latin America or Asia, the requirements governing the conduct of clinical trials, product licensing, pricing and reimbursement vary from countr- to-country. In all cases, the clinical trials must be conducted in accordance with cGCP requirements and the applicable regulatory requirements and the ethical principles that have their origin in the Declaration of Helsinki.</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Approval by a regulatory authority in one jurisdiction does not guarantee approval by comparable regulatory authorities in other jurisdictions. If we fail to comply with applicable foreign regulatory requirements applicable to a given country, we may not be able to obtain regulatory approval for our product candidates in such country if we choose to seek such approval, or we may be subject to, among other things, fines, suspension or withdrawal of regulatory approvals, product recalls, seizure of products, operating restrictions and criminal prosecution.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containment of healthcare costs has become a priority of federal and state governments, and the prices of drugs have been a focus in this effort. Changes in government legislation or regulation and changes in private third-party payors’ policies toward reimbursement for our products, if successfully developed and approved, may reduce reimbursement of our products’ costs to physicians, pharmacies, patients, and distributors.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net revenue and results for products, if any, we commercialize in the future.</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pricing and reimbursement environment for our products may change in the future and become more challenging due to, among other reasons, policies advanced by the Trump Administration, federal agencies, new healthcare legislation passed by Congress or fiscal challenges faced by all levels of government health administration authorities. The American Recovery and Reinvestment Act of 2009 (</w:t>
      </w:r>
      <w:r>
        <w:rPr>
          <w:rFonts w:ascii="Arial" w:cs="Arial" w:eastAsia="Arial" w:hAnsi="Arial"/>
          <w:sz w:val="16"/>
          <w:szCs w:val="16"/>
          <w:i w:val="1"/>
          <w:iCs w:val="1"/>
          <w:color w:val="auto"/>
        </w:rPr>
        <w:t>ARRA</w:t>
      </w:r>
      <w:r>
        <w:rPr>
          <w:rFonts w:ascii="Arial" w:cs="Arial" w:eastAsia="Arial" w:hAnsi="Arial"/>
          <w:sz w:val="16"/>
          <w:szCs w:val="16"/>
          <w:color w:val="auto"/>
        </w:rPr>
        <w:t>), for example, allocated new federal funding to compare the effectiveness of different treatments for the same condition.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ARRA does not mandate the use of the results of comparative effectiveness studies for reimbursement purposes, it is not clear what effect, if any, the research will have on the sales of any products for which we receive marketing approval or on the reimbursement policies of public and private payors. It is possible that comparative effectiveness research demonstrating benefits in a competitor’s product could adversely affect the sales of any product for which we receive marketing approval. For example, if third-party payors find our products not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w:t>
      </w:r>
      <w:r>
        <w:rPr>
          <w:rFonts w:ascii="Arial" w:cs="Arial" w:eastAsia="Arial" w:hAnsi="Arial"/>
          <w:sz w:val="16"/>
          <w:szCs w:val="16"/>
          <w:i w:val="1"/>
          <w:iCs w:val="1"/>
          <w:color w:val="auto"/>
        </w:rPr>
        <w:t>ACA</w:t>
      </w:r>
      <w:r>
        <w:rPr>
          <w:rFonts w:ascii="Arial" w:cs="Arial" w:eastAsia="Arial" w:hAnsi="Arial"/>
          <w:sz w:val="16"/>
          <w:szCs w:val="16"/>
          <w:color w:val="auto"/>
        </w:rPr>
        <w:t xml:space="preserve">)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(commonly known as the </w:t>
      </w:r>
      <w:r>
        <w:rPr>
          <w:rFonts w:ascii="Arial" w:cs="Arial" w:eastAsia="Arial" w:hAnsi="Arial"/>
          <w:sz w:val="16"/>
          <w:szCs w:val="16"/>
          <w:i w:val="1"/>
          <w:iCs w:val="1"/>
          <w:color w:val="auto"/>
        </w:rPr>
        <w:t>donut hole</w:t>
      </w:r>
      <w:r>
        <w:rPr>
          <w:rFonts w:ascii="Arial" w:cs="Arial" w:eastAsia="Arial" w:hAnsi="Arial"/>
          <w:sz w:val="16"/>
          <w:szCs w:val="16"/>
          <w:color w:val="auto"/>
        </w:rPr>
        <w:t>), rules regarding prescription drug benefits under the health insurance exchanges, changes to the Medicaid Drug Rebate program, expansion of the Public Health Service’s 340B drug pricing program, or 340B program, fraud and abuse and enforcement. These changes have impacted previously existing government healthcare programs and have resulted in the development of new programs, including Medicare payment for performance initiatives and improvements to the physician quality reporting system and feedback program.</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goals of ACA was to expand coverage for the uninsured while at the same time containing overall healthcare costs. With regard to pharmaceutical products, among other things, the ACA expanded and increased industry rebates for drugs covered under Medicaid. The ACA also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$1,000 to $10,000 for each payment or ownership interest that is not timely, accurately, or completely reported (annual maximum of $150,000), and $10,000 to $100,000 for each knowing failure to report (annual maximum of $1 million). The reporting requirements apply only to manufacturers of products for which reimbursement is available under Medicare, Medicaid, or the Children’s Health Insurance Program.</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states have elected not to expand their Medicaid programs by raising the income limit to 133% of the federal poverty level, as is permitted under the ACA. For each state that does not choose to expand its Medicaid program, there may be fewer insured patients overall, which could impact sales of our approved products that are approved and that we successfully commercialize, and our business and financial condition. Where Medicaid patients receive insurance coverage under any of the new options made available through the ACA, the possibility exists that manufacturers may be required to pay Medicaid rebates on drugs used under these circumstances, a decision that could impact manufacturer revenues. In addition, there have been delays in the implementation of key provisions of the ACA, including the excise tax on generous employer-based health insurance plans. The implications of these delays for business and financial condition, if any, are not yet clear.</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Moreover, additional legislative changes to or regulatory changes under the ACA remain possible. The Trump Administration has identified repeal and replacement of the ACA as one of its priorities, and has altered the implementation of the ACA and related laws. In this regard, the U.S. Tax Cuts and Jobs Act of 2017, signed into law in December 2017, includes a provision repealing, effective January 1, 2019, the tax-based shared responsibility payment imposed by the ACA on certain individuals who fail to maintain qualifying health coverage for all or part of a year that is commonly referred to as the “individual mandate.” The nature and extent of any additional legislative changes to the ACA are uncertain at this time. In addition, in December 2018, a federal district court judge, in a challenge brought by a number of state attorneys general, found the ACA unconstitutional in its entirety because once Congress repealed the “individual mandate” provision as part of tax reform legislation enacted in late 2017, there was no longer a basis to rely on Congressional taxing authority to support enactment of the law. The court reasoned that the “individual mandate” was not severable from the rest of the ACA and found the entire Act was an unconstitutional exercise of Congressional authority. While the Trump administration and CMS have both stated that the ruling will have no immediate effect, it is unclear how this decision, subsequent appeals, if any, and other efforts to repeal and replace the ACA will impact the ACA and our business. We expect that the ACA, as currently enacted or as it may be amended, and other healthcare reform measures that may be adopted in the future, could have a material adverse effect on our industry generally and on our ability to commercialize our product candidates, if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legislative changes relating to reimbursement have been adopted in the U.S. since the ACA was enacted. For example, beginning April 1, 2013, Medicare payments for all items and services under Part A and B, including drugs and biologicals, and most payments to plans under Medicare Part D were reduced by 2% under the sequestration (i.e., automatic spending reductions) required by the Budget Control Act of 2011, or BCA, as amended by the American Taxpayer Relief Act of 2012. The BCA requires sequestration for most federal programs, excluding Medicaid, Social Security, and certain other programs. Subsequent legislation extended the 2% reduction to 2027 unless additional Congressional action is taken.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are successful in developing and gaining regulatory approval for our product candidates, sales of our products will be dependent on the availability and extent of coverage and reimbursement from third-party payors, which are increasingly reducing reimbursements for medical products and services. Decreases in third-party reimbursement for our products or a decision by a third-party payor not to cover a product for which we received marketing approval could reduce physician usage of our products and have a material adverse effect on our sales, results of operations and financial condition. In the United States, healthcare providers are reimbursed for covered services and products they use through Medicare, Medicaid, and other government healthcare programs, as well as through commercial insurance and managed healthcare organizations. In the U.S.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are successful in developing and gaining regulatory approval for our product candidates, we may participate in the Medicaid Drug Rebate Program. The Medicaid Drug Rebate Program and other governmental programs impose obligations to report pricing figures to the federal government, meaning that we would be subject to these price reporting and other compliance obligations. Other programs impose limits on the price we will be permitted to charge certain entities for our products, if any, for which we receive regulatory approval. Statutory and regulatory changes or other agency action regarding these programs and their requirements could negatively affect the coverage and reimbursement by these programs of products for which we receive regulatory approval and could negatively impact our results of operations.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Medicaid Drug Rebate Program was established by the Omnibus Budget Reconciliation Act of 1990 and amended by the Veterans Health Care Act of 1992 as well as subsequent legislation. If we participate in the Medicaid Drug Rebate Program, we will be required to pay a rebate to each state Medicaid program for our covered outpatient drugs that are dispensed to Medicaid beneficiaries and paid for by a state Medicaid program as a condition of having federal funds being made available to the state for our drugs under Medicaid and Medicare Part B. Those rebates will be based on pricing data reported by us on a monthly and quarterly basis to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xml:space="preserve">), </w:t>
      </w:r>
      <w:r>
        <w:rPr>
          <w:rFonts w:ascii="Arial" w:cs="Arial" w:eastAsia="Arial" w:hAnsi="Arial"/>
          <w:sz w:val="16"/>
          <w:szCs w:val="16"/>
          <w:color w:val="222222"/>
        </w:rPr>
        <w:t>previously known as the Health Care Financing Administration (</w:t>
      </w:r>
      <w:r>
        <w:rPr>
          <w:rFonts w:ascii="Arial" w:cs="Arial" w:eastAsia="Arial" w:hAnsi="Arial"/>
          <w:sz w:val="16"/>
          <w:szCs w:val="16"/>
          <w:i w:val="1"/>
          <w:iCs w:val="1"/>
          <w:color w:val="222222"/>
        </w:rPr>
        <w:t>HCFA</w:t>
      </w:r>
      <w:r>
        <w:rPr>
          <w:rFonts w:ascii="Arial" w:cs="Arial" w:eastAsia="Arial" w:hAnsi="Arial"/>
          <w:sz w:val="16"/>
          <w:szCs w:val="16"/>
          <w:color w:val="222222"/>
        </w:rPr>
        <w:t>)</w:t>
      </w:r>
      <w:r>
        <w:rPr>
          <w:rFonts w:ascii="Arial" w:cs="Arial" w:eastAsia="Arial" w:hAnsi="Arial"/>
          <w:sz w:val="16"/>
          <w:szCs w:val="16"/>
          <w:color w:val="auto"/>
        </w:rPr>
        <w:t xml:space="preserve"> the federal agency that administers the Medicare and Medicaid programs. These data will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ACA made significant changes to the Medicaid Drug Rebate program, and CMS issued a final regulation, which became effective on April 1, 2016, to implement the changes to the Medicaid Drug Rebate Program under the ACA. Our failure to comply with these price reporting and rebate payment options could negatively impact our financial results.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discount program in order for federal funds to be available for the manufacturer’s drugs under Medicaid and Medicare Part B. The 340B drug pricing program, which is administered by the Health Resources and Services Administration, or HRSA,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Changes to the definition of average manufacturer price and the Medicaid Drug Rebate amount under the ACA or otherwise also could affect our 340B ceiling price calculations and negatively impact our results of operations.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HRSA also is implementing a ceiling price reporting requirement related to the 340B program during the first quarter of 2019, pursuant to which we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guidance could affect the average sales price calculations for our approved products that we successfully commercialize and the resulting Medicare payment rate, and could negatively impact our results of operations. Also, the Medicare Part B drug payment methodology is subject to change based on potential demonstration projects undertaken by CMS or potential legislation enacted by Congress.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Pricing and rebate calculations vary among products and programs. The calculations are complex and are often subject to interpretation by us, governmental or regulatory agencies and the courts. The Medicaid rebate amount will be computed each quarter based on our submission to CMS of our current average manufacturer prices and best prices for the quarter. If we participate in the Medicaid Drug Rebate Program and become aware that our reporting for a prior quarter was incorrect, or has changed as a result of recalculation of the pricing data, we are obligated to resubmit the corrected data for a period not to exceed 12 quarters from the quarter in which the data originally were due. Such restatements and recalculations would increase our costs for complying with the laws and regulations governing the Medicaid Drug Rebate Program. Any corrections to our rebate calculations could result in an overage or underage in our rebate liability for past quarters, depending on the nature of the correction. Price recalculations also may affect the ceiling price at which we are required to offer our products to certain covered entities, such as safety-net providers, under the 340B drug pricing program.</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participate in the Medicaid Drug Rebate Program and consequently the 340B drug pricing program, we could be held liable for errors associated with our submission of pricing data. Civil monetary penalties can be applied if we are found to have made a misrepresentation in the reporting of our average sales price, or if we are found to have charged 340B covered entities more than the statutorily mandated ceiling price In addition to retroactive rebates and the potential for 340B program refunds, if we are found to have knowingly submitted false average manufacturer price or best price information to the government, we may be liable for significant civil monetary penalties per item of false information. Our failure to submit monthly/quarterly average manufacturer price and best price data on a timely basis could result in a significant civil monetary penalty per day for each day the information is late beyond the due date. Such failure also could be grounds for CMS to terminate our Medicaid drug rebate agreement, pursuant to which we will participate in the Medicaid program. In the event that CMS terminates our rebate agreement, no federal payments would be available under Medicaid or Medicare Part B for our covered outpatient drugs.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CMS and the Office of the Inspector General have pursued manufacturers that were alleged to have failed to report these data to the government in a timely manner. Governmental agencies may also make changes in program interpretations, requirements or conditions of participation, some of which may have implications for amounts previously estimated or paid. If we participate in the Medicaid Drug Rebate Program and consequently the 340B drug pricing program, we cannot assure you that our submissions will not be found by CMS to be incomplete or incorrect.</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Department of Defense (</w:t>
      </w:r>
      <w:r>
        <w:rPr>
          <w:rFonts w:ascii="Arial" w:cs="Arial" w:eastAsia="Arial" w:hAnsi="Arial"/>
          <w:sz w:val="16"/>
          <w:szCs w:val="16"/>
          <w:i w:val="1"/>
          <w:iCs w:val="1"/>
          <w:color w:val="auto"/>
        </w:rPr>
        <w:t>DoD</w:t>
      </w:r>
      <w:r>
        <w:rPr>
          <w:rFonts w:ascii="Arial" w:cs="Arial" w:eastAsia="Arial" w:hAnsi="Arial"/>
          <w:sz w:val="16"/>
          <w:szCs w:val="16"/>
          <w:color w:val="auto"/>
        </w:rPr>
        <w:t xml:space="preserve">), Public Health Service, and Coast Guard (the </w:t>
      </w:r>
      <w:r>
        <w:rPr>
          <w:rFonts w:ascii="Arial" w:cs="Arial" w:eastAsia="Arial" w:hAnsi="Arial"/>
          <w:sz w:val="16"/>
          <w:szCs w:val="16"/>
          <w:i w:val="1"/>
          <w:iCs w:val="1"/>
          <w:color w:val="auto"/>
        </w:rPr>
        <w:t>Big Four agencies</w:t>
      </w:r>
      <w:r>
        <w:rPr>
          <w:rFonts w:ascii="Arial" w:cs="Arial" w:eastAsia="Arial" w:hAnsi="Arial"/>
          <w:sz w:val="16"/>
          <w:szCs w:val="16"/>
          <w:color w:val="auto"/>
        </w:rPr>
        <w:t>) and certain federal grantees, we will be required to participate in the VA Federal Supply Schedule (</w:t>
      </w:r>
      <w:r>
        <w:rPr>
          <w:rFonts w:ascii="Arial" w:cs="Arial" w:eastAsia="Arial" w:hAnsi="Arial"/>
          <w:sz w:val="16"/>
          <w:szCs w:val="16"/>
          <w:i w:val="1"/>
          <w:iCs w:val="1"/>
          <w:color w:val="auto"/>
        </w:rPr>
        <w:t>FSS</w:t>
      </w:r>
      <w:r>
        <w:rPr>
          <w:rFonts w:ascii="Arial" w:cs="Arial" w:eastAsia="Arial" w:hAnsi="Arial"/>
          <w:sz w:val="16"/>
          <w:szCs w:val="16"/>
          <w:color w:val="auto"/>
        </w:rPr>
        <w:t>) pricing program, established under Section 603 of the Veterans Health Care Act of 1992. Under this program, we will be obligated to make our “covered” drugs (</w:t>
      </w:r>
      <w:r>
        <w:rPr>
          <w:rFonts w:ascii="Arial" w:cs="Arial" w:eastAsia="Arial" w:hAnsi="Arial"/>
          <w:sz w:val="16"/>
          <w:szCs w:val="16"/>
          <w:i w:val="1"/>
          <w:iCs w:val="1"/>
          <w:color w:val="auto"/>
        </w:rPr>
        <w:t>i.e.</w:t>
      </w:r>
      <w:r>
        <w:rPr>
          <w:rFonts w:ascii="Arial" w:cs="Arial" w:eastAsia="Arial" w:hAnsi="Arial"/>
          <w:sz w:val="16"/>
          <w:szCs w:val="16"/>
          <w:color w:val="auto"/>
        </w:rPr>
        <w:t>, innovator drugs and biologics) available for procurement on an FSS contract and charge a price to the Big Four agencies that is no higher than the Federal Ceiling Price (</w:t>
      </w:r>
      <w:r>
        <w:rPr>
          <w:rFonts w:ascii="Arial" w:cs="Arial" w:eastAsia="Arial" w:hAnsi="Arial"/>
          <w:sz w:val="16"/>
          <w:szCs w:val="16"/>
          <w:i w:val="1"/>
          <w:iCs w:val="1"/>
          <w:color w:val="auto"/>
        </w:rPr>
        <w:t>FCP</w:t>
      </w:r>
      <w:r>
        <w:rPr>
          <w:rFonts w:ascii="Arial" w:cs="Arial" w:eastAsia="Arial" w:hAnsi="Arial"/>
          <w:sz w:val="16"/>
          <w:szCs w:val="16"/>
          <w:color w:val="auto"/>
        </w:rPr>
        <w:t>), which is a price calculated pursuant to a statutory formula. The FCP is derived from a calculated price point called the “non-federal average manufacturer price” (</w:t>
      </w:r>
      <w:r>
        <w:rPr>
          <w:rFonts w:ascii="Arial" w:cs="Arial" w:eastAsia="Arial" w:hAnsi="Arial"/>
          <w:sz w:val="16"/>
          <w:szCs w:val="16"/>
          <w:i w:val="1"/>
          <w:iCs w:val="1"/>
          <w:color w:val="auto"/>
        </w:rPr>
        <w:t>Non-FAMP</w:t>
      </w:r>
      <w:r>
        <w:rPr>
          <w:rFonts w:ascii="Arial" w:cs="Arial" w:eastAsia="Arial" w:hAnsi="Arial"/>
          <w:sz w:val="16"/>
          <w:szCs w:val="16"/>
          <w:color w:val="auto"/>
        </w:rPr>
        <w:t>), which we will be required to calculate and report to the VA on a quarterly and annual basis. Pursuant to applicable law, knowing provision of false information in connection with a Non-FAMP filing can subject a manufacturer to significant civil monetary penalties for each item of false information. The FSS contract also contains extensive disclosure and certification requirements. In addition, Section 703 of the National Defense Authorization Act for FY 2008, will require us to pay quarterly rebates to DoD on utilization of covered drugs that are dispensed through DoD’s Tricare network pharmacies to Tricare beneficiaries. The rebates are calculated as the difference between the annual Non-FAMP and FCP for the calendar year that the product was dispensed.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in many foreign countries, the proposed pricing for a drug must be approved before it may be lawfully marketed. The requirements governing drug pricing vary widely from country to country. For example, the EU Member States have the power to restrict the range of medicinal products for which their national health insurance systems provide reimbursement and to control the prices of medicinal products for human use. An EU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if approved. Historically, products launched in the EU do not follow price structures of the United States, and generally prices tend to be significantly lower.</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On January 31, 2018, the European Commission adopted a proposal for a regulation on health technologies assessment. This legislative proposal is intended to boost cooperation among EU Member States in assessing health technologies, including new medicinal products, and providing the basis for cooperation at the EU level for joint clinical assessments in these areas. The proposal provides that EU Member States will be able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The European Commission has stated that the role of the draft HTA regulation is not to influence pricing and reimbursement decisions in the individual EU Member States. However, this consequence cannot be excluded.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 - United States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it is not yet clear what affect, if any, state actions may have on our ability to commercialize stem cell technologies.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is our wholly-owned subsidiary and has a wholly-owned subsidiary, Artemis Neuroscience, Inc., a corporation incorporated pursuant to the laws of the State of Maryland. The operations of VistaStem, and its wholly owned subsidiary are managed by our senior management team based in South San Francisco, California.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History</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Therapeutics, Inc., a California corporation incorporated on May 26, 1998, dba VistaStem,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Additionally, the Consolidated Balance Sheets reflect the $0.001 par value of Excaliber’s common stock.</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Consolidated Financial Statements included in Item 8 of this Annual Report represent the activity of VistaStem from May 26, 1998, and the consolidated activity of VistaStem and Excaliber (now VistaGen Therapeutics, Inc., a Nevada corporation), from May 11, 2011 (the date of the Merger) through March 31, 2019. The Consolidated Financial Statements also include the accounts of VistaStem’s two inactive wholly-owned subsidiaries, Artemis Neuroscience, Inc., a Maryland corporation (</w:t>
      </w:r>
      <w:r>
        <w:rPr>
          <w:rFonts w:ascii="Arial" w:cs="Arial" w:eastAsia="Arial" w:hAnsi="Arial"/>
          <w:sz w:val="16"/>
          <w:szCs w:val="16"/>
          <w:i w:val="1"/>
          <w:iCs w:val="1"/>
          <w:color w:val="auto"/>
        </w:rPr>
        <w:t>Artemis</w:t>
      </w:r>
      <w:r>
        <w:rPr>
          <w:rFonts w:ascii="Arial" w:cs="Arial" w:eastAsia="Arial" w:hAnsi="Arial"/>
          <w:sz w:val="16"/>
          <w:szCs w:val="16"/>
          <w:color w:val="auto"/>
        </w:rPr>
        <w:t>), and VistaStem Canada, Inc., a corporation organized under the laws of Ontario, Canada (</w:t>
      </w:r>
      <w:r>
        <w:rPr>
          <w:rFonts w:ascii="Arial" w:cs="Arial" w:eastAsia="Arial" w:hAnsi="Arial"/>
          <w:sz w:val="16"/>
          <w:szCs w:val="16"/>
          <w:i w:val="1"/>
          <w:iCs w:val="1"/>
          <w:color w:val="auto"/>
        </w:rPr>
        <w:t>VistaStem Canada</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of June 24, 2019,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our diverse network of strategic relationships with CROs, CDMOs, and other third-party service providers and consultants, each of whom provides services on a real-time, as-needed basis, including human resources and payroll, information technology, facilities, legal, investor and public relations, regulatory affairs and FDA program management to complement our internal resources in these areas.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lease our office and laboratory space, which consists of approximately 10,900 square feet located in South San Francisco, California, under a lease expiring on July 31,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extraordinary environmental regulations.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and/or operating results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and regulatory approval before any of them may be commercialized, and there can be no assurance that any of them will ever achieve regulatory approval. Any DR NCE we produce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61" w:lineRule="exact"/>
        <w:rPr>
          <w:sz w:val="20"/>
          <w:szCs w:val="20"/>
          <w:color w:val="auto"/>
        </w:rPr>
      </w:pPr>
    </w:p>
    <w:p>
      <w:pPr>
        <w:jc w:val="both"/>
        <w:ind w:left="240" w:hanging="232"/>
        <w:spacing w:after="0" w:line="306" w:lineRule="auto"/>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REMS safety program as a condition of approval or post-approval;</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8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addition, we anticipate that certain of our product candidates, including PH94B and PH10, will be subject to regulation as combination products, which means that they are composed of both a drug product and device product.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6"/>
          <w:szCs w:val="16"/>
          <w:color w:val="231F20"/>
        </w:rPr>
        <w:t>A combination product with a drug primary mode of action</w:t>
      </w:r>
      <w:r>
        <w:rPr>
          <w:rFonts w:ascii="Arial" w:cs="Arial" w:eastAsia="Arial" w:hAnsi="Arial"/>
          <w:sz w:val="16"/>
          <w:szCs w:val="16"/>
          <w:color w:val="auto"/>
        </w:rPr>
        <w:t xml:space="preserve"> </w:t>
      </w:r>
      <w:r>
        <w:rPr>
          <w:rFonts w:ascii="Arial" w:cs="Arial" w:eastAsia="Arial" w:hAnsi="Arial"/>
          <w:sz w:val="16"/>
          <w:szCs w:val="16"/>
          <w:color w:val="231F20"/>
        </w:rPr>
        <w:t xml:space="preserve">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w:t>
      </w:r>
      <w:r>
        <w:rPr>
          <w:rFonts w:ascii="Arial" w:cs="Arial" w:eastAsia="Arial" w:hAnsi="Arial"/>
          <w:sz w:val="16"/>
          <w:szCs w:val="16"/>
          <w:color w:val="231F20"/>
        </w:rPr>
        <w:t xml:space="preserve"> </w:t>
      </w:r>
      <w:r>
        <w:rPr>
          <w:rFonts w:ascii="Arial" w:cs="Arial" w:eastAsia="Arial" w:hAnsi="Arial"/>
          <w:sz w:val="16"/>
          <w:szCs w:val="16"/>
          <w:color w:val="000000"/>
        </w:rPr>
        <w:t>combination products are subject to cGMP requirements applicable to both drugs and 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been granted Fast Track designation from the FDA for development of AV-101 for the adjunctive treatment of MDD and for the treatment of NP. However, these designations may not actually lead to faster development or regulatory review or approval processes for AV-101. Further, there is no guarantee the FDA will grant Fast Track designation for AV-101 as a treatment option for other CNS indications or for any of our other product candidates in the future.</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However, these FDA Fast Track designations may not lead to a faster development or regulatory review or approval process for AV-101 and the FDA may withdraw Fast Track designation of AV-101 for either or both indications if it believes that the respective designation is no longer supported by data from our clinical development programs.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we may apply for Fast Track designation for AV-101 as a treatment option for other CNS indications, and for our other product candidates. The FDA has broad discretion whether or not to grant a Fast Track designation, and even if we believe AV-101, PH94B, PH10 and/or other product candidates may be eligible for this designation, we cannot be sure that the review or approval will compare to conventional FDA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preclinical studies and early clinical trials of AV-101, PH94B, PH10 and/or our other future product candidates, if any, including positive results, may not be predictive of the results of later-stage clinical trials. AV-101, PH94B, PH10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if our ELEVATE Study, any future clinical study of AV-101, one or more of the future Phase 3 clinical trials of PH94B for SAD or a future Phase 2 clinical trial of PH10 for MDD fail(s) to produce positive results, the development timeline and regulatory approval and commercialization prospects for AV-101, PH94B, or PH10 and, correspondingly, our business and financial prospects, could be materially adversely affected.</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AV-101 are identified during the Baylor Study, other investigator-sponsored clinical trials, in our clinical trials of AV-101, including our ELEVATE study, or our clinical trials of PH94B or PH10, it may adversely affect or delay our clinical development and commercialization of AV-101, PH94B or PH10.</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AV-101 was previously tested by the NIMH in the NIMH Study, is currently being tested by Baylor in the Baylor Study and may be subjected to testing in the future for other CNS indications in additional investigator-sponsored clinical trials.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the NIMH Study, if treatment-releated SAEs or other undesirable side effects or safety concerns, or unexpected characteristics attributable to AV-101 are observed in the Baylor Study other investigator-sponsored clinical trials of AV-101, our clinical trials of AV-101, including our ELEVATE Study, or in our future clinical trials of PH94B or PH10, it may adversely affect or delay our clinical development and commercialization of AV-101, PH94B or PH10,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8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660" w:right="180" w:hanging="652"/>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AV-101, PH94B, PH10 or other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will need to complete our ELEVATE Study, at least two pivotal Phase 3 clinical trials, additional toxicology and other standard nonclinical and clinical safety studies, as well as certain standard smaller clinical studies prior to the submission of any NDA for regulatory approval for AV-101 as an adjunctive treatment for MDD in patients with an inadequate response to current ADs, or any other CNS indication. Similarly, 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an on-demand treatment for SAD or any CNS other indication.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treatment for MDD, or any other CNS indication.Successful completion of our nonclinical and clinical trials is a prerequisite to submitting an NDA and, consequently, the ultimate approval required before commercial marketing of any product candidate we may develop. Except as disclosed herein, we do not know whether the Baylor Study, our ELEVATE Study or any of our future-planned nonclinical and clinical trials of AV-101, PH94B, PH10 or any other product candidate will be completed on schedule, if at all, as the commencement and completion of nonclinical and clinical trials can be delayed or prevented for a number of reasons, including, among others:</w:t>
      </w:r>
    </w:p>
    <w:p>
      <w:pPr>
        <w:spacing w:after="0" w:line="397" w:lineRule="exact"/>
        <w:rPr>
          <w:sz w:val="20"/>
          <w:szCs w:val="20"/>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AV-101, PH94B, PH10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AV-101, PH94B, PH10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PH94B, PH10 or other product candidates may be harmed and our ability to generate product revenue will be delayed.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AV-101, PH94B, PH10 or other future product candidates may be delayed and we may not be able to obtain regulatory approval for or commercialize AV-101, PH94B, PH10 or other future product candidates and our business could be substantially harmed.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strategic design, we do not have the internal staff resources to independently conduct nonclinical and clinical trials of our product candidates completely on our own. We rely on our extensive network of strategic relationships with various academic research centers, medical institutions, nonclinical and clinical investigators, contract laboratories and other third parties, such as CROs,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spacing w:after="0" w:line="174"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Baylor or other independent investigators does not relieve us of our regulatory responsibilities. We and our CROs, Baylor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Baylor or the VA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By strategic design, we do not currently have, nor do we plan to acquire or develop, internal infrastructure or technical capabilities to manufacture, formulate,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AV-101, PH94B and PH10 API and AV-101, PH94B and PH10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AV-101, PH94B and PH10 API and finished drug product, that conforms to our specifications and the strict regulatory requirements of the FDA or applicable foreign regulatory agencies, production of sufficient supplies of our product candidates, including AV-101, PH94B and PH10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PH94B and PH10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AV-101, PH94B and PH10, we do not yet have long-term supply agreements in place with our CMOs and each batch of AV-101, PH94B and PH10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AV-101, PH94B and PH10 API and finished drug product will be adequate to support our planned nonclinical and clinical studies of AV-101, PH94B and PH10, no assurance can be given that unanticipated supply shortages or CMO-related delays in the manufacture and formulation of AV-101, PH94B or PH10 API and/or finished drug product will not occur in the future.</w:t>
      </w:r>
    </w:p>
    <w:p>
      <w:pPr>
        <w:spacing w:after="0" w:line="1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anf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PH94B, PH10 or any other product candidate in the U.S., we may never receive regulatory approval to market AV-101, PH94B, PH10 or any other product candidate outside of the U.S.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AV-101, PH94B, PH10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Before we can commercialize our product candidates in the U.S. or any market outside the U.S., the U.S.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AV-101, PH94B and PH10 will not be regulated as controlled substances.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240" w:hanging="232"/>
        <w:spacing w:after="0" w:line="332" w:lineRule="auto"/>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116" w:gutter="0" w:footer="0" w:header="0"/>
          <w:type w:val="continuous"/>
        </w:sectPr>
      </w:pPr>
    </w:p>
    <w:bookmarkStart w:id="44" w:name="page45"/>
    <w:bookmarkEnd w:id="4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pharmacological action and safety profile as our orally-administered AV-101 or our intranasally-administered PH10. However, new antidepressant products with other mechanisms of pharmacological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 Management is also unaware of any FDA-approved rapid-onset, on-demand treatment for SAD having the same mechanism of pharmacological action and safety profile as our PH94B.</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ADs, we believe our principal competitors may be Axsome’s AX-05, Alkermes’ ALKS-5461, Allergan’s AGN-241751 and Sage’s Sage-217. Additional potential competitors may include, but not be limited to, academic and private commercial clinics providing intravenous ketamine therapy on an off-label basis and Janssen’s intranasally-administered Spravato (esketamine). With respect to PH94B and current FDA-approved treatment options for SAD in the U.S., our competition may include, but is not limited to, certain current generic ADs approved by the FDA for treatment of SAD and certain classes of drugs used on an off-label basis for treatment of SAD, including benzodiazapines such as alprazolam, and beta blockers such as propranolol.</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Eli Lilly, GlaxoSmithKline, IntraCellular, Janssen, Lundbeck, Merck, Novartis, Ono, Otsuka, Pfizer,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a sublingual formulation of the sodium channel blocker riluzole in development by Biohaven.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MDD, and we are planning for Phase 2a studies of AV-101 for treatment of NP and LID, for Phase 3 development of PH94B for on-demand treatment of SAD, and a Phase 2b study of PH10 for treatment of MDD, we may fail to pursue additional development opportunities for AV-101, PH94B or PH10,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PH94B and PH10, with additional limited focus on NCE DR and, through a third-party collaboration, RM. As a result, we may forego or delay pursuit of opportunities with other product candidates or for other potential CNS-related indications for AV-101, PH94B and/or PH10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240" w:hanging="232"/>
        <w:spacing w:after="0" w:line="30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240" w:hanging="232"/>
        <w:spacing w:after="0" w:line="259"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240" w:hanging="232"/>
        <w:spacing w:after="0" w:line="256"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240" w:right="20" w:hanging="232"/>
        <w:spacing w:after="0" w:line="30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PH94B and PH10,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 development stage biopharmaceutical company. Although we have one drug candidate in Phase 2 development and are preparing to advance another drug candidate into Phase 2 development and a third drug candidate into pivotal Phase 3 clinical trials,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70"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AV-101, PH94B, PH10 and/or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DR NCEs using our stem cell technology, and we cannot provide any assurance that we will successfully develop and commercialize AV-101, PH94B, PH10 or acquire or license additional product candidates or discover and develop DR NCEs, or that, if produced, AV-101, PH94B, PH10 or any other product candidate will be successfully commercialized.</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DR NCEs require substantial technical, financial and human resources, whether or not any additional product candidate is acquired or licensed or NCEs are ultimately identified and produced.</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PH94B, PH10,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PH94B, PH10,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 NCEs and no operating history with respect to the production of DR NCEs, and we may never be able to produce a DRNCE.</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are unable to develop and commercialize AV-101, PH94B, PH10 or acquire or license additional product candidates, or produce suitable DR NCEs, we may not be able to generate sufficient revenues to execute our business plan, which likely would result in significant harm to our financial position and results of operations, which could adversely impact our stock price.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With respect to DR,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 NCEs, independently or with partners, including:</w:t>
      </w:r>
    </w:p>
    <w:p>
      <w:pPr>
        <w:spacing w:after="0" w:line="213"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identify potential DR candidates in the public domain, obtain sufficient quantities of them, and assess them using our bioassay systems;</w:t>
      </w:r>
    </w:p>
    <w:p>
      <w:pPr>
        <w:spacing w:after="0" w:line="248" w:lineRule="exact"/>
        <w:rPr>
          <w:rFonts w:ascii="Arial" w:cs="Arial" w:eastAsia="Arial" w:hAnsi="Arial"/>
          <w:sz w:val="16"/>
          <w:szCs w:val="16"/>
          <w:color w:val="auto"/>
        </w:rPr>
      </w:pPr>
    </w:p>
    <w:p>
      <w:pPr>
        <w:ind w:left="240" w:right="20" w:hanging="232"/>
        <w:spacing w:after="0" w:line="26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seek to rescue DR candidates that are not available to us in the public domain, the extent to which third parties may be willing to out-license or sell certain DR candidates to us on commercially reasonable terms;</w:t>
      </w:r>
    </w:p>
    <w:p>
      <w:pPr>
        <w:spacing w:after="0" w:line="18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resources available to us to develop and commercialize lead DR NCEs internally, or, if we sell or out-license them to partners, the resources such partners choose to dedicate to development and commercialization of any DR NCEs they acquire or license from us.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acquire additional product candidates or produce proprietary DR NCEs, we can give no assurance that we will be able to develop and commercialize them as marketable drugs, on our own or in collaboration with others. Before we generate any revenues from AV-101, PH94B, PH10 or additional acquired or licensed products candidates or any DR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 candidates and DR NCEs, then our DR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Success of our subsidiary, VistaStem,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 candidates and DR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DR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 will be limited and our DR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 NCEs for which there proves to be no demand.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generate revenue from our DR activities, we must produce proprietary DR NCEs for which there proves to be demand within the healthcare marketplace, and, if we intend to out-license a particular DR NCE for development and commercialization prior to market approval, then also among pharmaceutical companies and other potential collaborators. However, we may produce DR NCEs for which there proves to be no or limited demand in the healthcare market and/or among pharmaceutical companies and others. If we misinterpret market conditions, underestimate development costs and/or seek to rescue the wrong DR candidates, we may fail to generate sufficient revenue or other value, on our own or in collaboration with others, to justify our investments, and our DR business may be adversely affected.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 candidates and DR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 and RM business opportunities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 capabilities of our technology, which would have a material adverse effect on our business.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$24.6 million and $14.3 million during our fiscal years ended March 31, 2019 and 2018, respectively. At March 31, 2019, we had an accumulated deficit of approximately $181.1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consisting of receipt of non-dilutive cash payments from collaborators, sublicense revenue,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PH94B, PH10 or another future product candidate, or we enter into one or more development and commercialization agreements with respect to AV-101, PH94B, PH10 or one or more other future product candidates. Our ability to generate revenue depends on a number of factors, including, but not limited to, our ability to:</w:t>
      </w:r>
    </w:p>
    <w:p>
      <w:pPr>
        <w:spacing w:after="0" w:line="174"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8"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2019 included elsewhere in this Annual Report on Form 10-K for the year ended March 31, 2019 (</w:t>
      </w:r>
      <w:r>
        <w:rPr>
          <w:rFonts w:ascii="Arial" w:cs="Arial" w:eastAsia="Arial" w:hAnsi="Arial"/>
          <w:sz w:val="16"/>
          <w:szCs w:val="16"/>
          <w:i w:val="1"/>
          <w:iCs w:val="1"/>
          <w:color w:val="auto"/>
        </w:rPr>
        <w:t>Annual Report</w:t>
      </w:r>
      <w:r>
        <w:rPr>
          <w:rFonts w:ascii="Arial" w:cs="Arial" w:eastAsia="Arial" w:hAnsi="Arial"/>
          <w:sz w:val="16"/>
          <w:szCs w:val="16"/>
          <w:color w:val="auto"/>
        </w:rPr>
        <w:t>)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preparation for and launch of our ELEVATE Study, as well as research and development and regulatory expenses related to the production of PH94B and PH10 and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 and our cardiac stem cell technology for potential RM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March 31, 2019, we had cash and cash equivalents of approximately $13.1 million. We do not believe this amount alone is sufficient to enable us to fund our planned operations for at least the twelve months following the issuance of the financial statements included elsewhere in this Annual Report. We expect to seek additional capital to produce PH94B study material, conduct PH94B pivotal Phase 3 clinical trials, produce additional AV-101 study material for future nonclinical and clinical studies, conduct AV-101 Phase 3-enabling toxicology studies, conduct pivotal Phase 3 clinical studies of AV-101 in MDD, conduct AV-101 Phase 2 studies in LID, MDD, NP and SI, produce PH10 study material and conduct a Phase 2b clinical trial of PH10 in MDD, acquire or license and conduct research and development of additional product candidates and to fund our internal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2019 and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so long as the market value of our common stock held by non-affiliates remains below $75 million.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our staff does not permit appropriate segregation of duties to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2019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2019, we had federal and state net operating loss carryforwards of approximately $109.0 million and $63.6 million, respectively, which begin to expire in fiscal 2020.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PH94B, PH10, any DR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2"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PH94B, PH10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 candidates, or form strategic alliances, in the future, and we may not realize the benefits of such acquisitions.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AV-101, PH94B, PH10 and also to hPSC technology.</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own and have licensed issued and allowed patents and patent applications relating to AV-101, PH94B and PH10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additional patent claims that we may obtain cannot be predicted with certainty.</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in large measure on whether the differences between our technology and the prior art allow our inventions to be patentable over relevant prior art. Such prior art includes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which may prevent a pending patent application from being granted or result in an issued patent being held invalid or unenforceable.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certain of our product candidates or were evaluated in early (often pre-clinical) studies. In addition, even some reports in the trade press and public announcements made us us before the filing date of our AV-101 patent applications mentioned that AV-101 was in development for certain therapeutic purposes. For example, we published a web post on the NIH clinical trials website prior to our filing of our initial AV-101 patent applications,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in our two granted U.S. patents related to (i) unit dose formulations of AV-101 effective to treat depression and (ii) methods of treating depression with AV-101, respectively. However, it was submitted in our pending AV-101 patent applications that make similar claims, and we are considering entering this web post in the record of the aforementioned two issued U.S. patents. Another source of uncertainty pertains to patent properties that were in-licensed by us for which prior art submissions were under the control of the licensor. We rely on these licensors to have satisfied the relevant disclosure obligations.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our product candidates. Such a loss of patent protection would have a material adverse impact on our business.</w:t>
      </w:r>
    </w:p>
    <w:p>
      <w:pPr>
        <w:spacing w:after="0" w:line="19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AV-101, PH94B or PH10,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240" w:hanging="232"/>
        <w:spacing w:after="0" w:line="259"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issued patents related to AV-101, PH94B, PH10 or any pending patent applications, if issued and challenged by others, will include or maintain claims having a scope sufficient to protect AV-101, PH94B, PH10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94"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2" w:name="page63"/>
    <w:bookmarkEnd w:id="6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2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PH10, PH94B and certain stem cell technologies, 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U.S., depending upon the timing, duration and specifics of FDA marketing approval of our product candidates, one or more of the U.S.patents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for example, if the active ingredient of AV-101, PH94B or PH10 is used in another drug company’s product candidate and that product candidate is the first to obtain FDA approval.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U.S.in recent years enacted and is currently implementing wide-ranging patent reform legislation: the Leahy-Smith America Invents Act, referred to as the America Invents Act. The America Invents Act includes a number of significant changes to U.S.patent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recent U.S.Supreme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8"/>
          <w:szCs w:val="18"/>
          <w:i w:val="1"/>
          <w:iCs w:val="1"/>
          <w:color w:val="auto"/>
        </w:rPr>
        <w:t>Mayo Collaborative Services, DBA Mayo</w:t>
      </w:r>
      <w:r>
        <w:rPr>
          <w:rFonts w:ascii="Arial" w:cs="Arial" w:eastAsia="Arial" w:hAnsi="Arial"/>
          <w:sz w:val="18"/>
          <w:szCs w:val="18"/>
          <w:color w:val="auto"/>
        </w:rPr>
        <w:t xml:space="preserve"> </w:t>
      </w:r>
      <w:r>
        <w:rPr>
          <w:rFonts w:ascii="Arial" w:cs="Arial" w:eastAsia="Arial" w:hAnsi="Arial"/>
          <w:sz w:val="18"/>
          <w:szCs w:val="18"/>
          <w:i w:val="1"/>
          <w:iCs w:val="1"/>
          <w:color w:val="auto"/>
        </w:rPr>
        <w:t>Medical Laboratories, et al. v. Prometheus Laboratories, Inc.</w:t>
      </w:r>
      <w:r>
        <w:rPr>
          <w:rFonts w:ascii="Arial" w:cs="Arial" w:eastAsia="Arial" w:hAnsi="Arial"/>
          <w:sz w:val="18"/>
          <w:szCs w:val="18"/>
          <w:color w:val="auto"/>
        </w:rPr>
        <w:t>, the Court held that several claims drawn to measuring drug metabolite levels from patient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U.S.Congress,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240" w:hanging="232"/>
        <w:spacing w:after="0" w:line="268"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With regard to our stem cell technology, if, instead of identifying DR candidates based on information available to us in the public domain, we seek to in-license DR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 NCEs that we may produce and develop. If we are unable to obtain ownership or substantial economic participation rights over intellectual property related to DR NCEs we produce and develop, our DR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17, 2019, we were notified by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December 16, 2019, to regain compliance with Nasdaq Listing Rule 5550(a)(2). To regain compliance, the bid price of our common stock must have a closing bid price of at least $1.00 per share for a minimum of 10 consecutive business days. If we do not regain compliance by December 16, 2019, an additional 180 days may be granted to regain compliance, so long as we meet the Nasdaq Capital Market continued listing requirements (except for the bid price requirement)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March 31, 2019; (ii) 4.0 million shares of Series B 10% Convertible Preferred stock, of which approximately 1.2 million shares remain issued and outstanding at March 31, 2019; and (iii) 3.0 million shares of Series C Convertible Preferred Stock, of which approximately 2.3 million shares are issued and outstanding at March 31, 2019.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reporting requirements of the Securities Exchange Act of 1934, as amended (</w:t>
      </w:r>
      <w:r>
        <w:rPr>
          <w:rFonts w:ascii="Arial" w:cs="Arial" w:eastAsia="Arial" w:hAnsi="Arial"/>
          <w:sz w:val="18"/>
          <w:szCs w:val="18"/>
          <w:i w:val="1"/>
          <w:iCs w:val="1"/>
          <w:color w:val="auto"/>
        </w:rPr>
        <w:t>Exchange Act</w:t>
      </w:r>
      <w:r>
        <w:rPr>
          <w:rFonts w:ascii="Arial" w:cs="Arial" w:eastAsia="Arial" w:hAnsi="Arial"/>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and laboratories are located at 343 Allerton Avenue, South San Francisco, California 94080, where we occupy approximately 10,900 square feet of office and lab space under a lease expiring on July 31, 2022. We believe that our facilities are suitable and adequate for our current and foreseeable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was approved for listing and has traded since May 11, 2016 on The Nasdaq Capital Market under the symbol “VTGN”. From June 21, 2011 through May 10, 2016, our common stock traded on the OTC Marketplace, under the symbol “VSTA”. There was no established trading market for our common stock prior to June 21, 2011.</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Shown 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Year Ending March 31, 2019</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 2018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Second quarter ended September 30, 2018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December 31, 2018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Fourth quarter ended March 31, 2019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Year Ending March 31, 2018</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Second quarter ended September 30, 2017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December 31,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Fourth quarter ended March 31, 2018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On June 24, 2019 the closing price of our common stock on the Nasdaq Capital Market was $0.7544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24, 2019, we had 42,622,965 shares of common stock outstanding and approximately 6,000 stockholders of record. On the same date, two stockholders held all 500,000 outstanding restricted shares of our Series A Preferred Stock, which shares are convertible into 750,000 shares of common stock; two stockholders held 1,160,240 outstanding shares of our Series B 10% Convertible Preferred Stock, which shares are convertible into 1,160,240 shares of common stock; and one stockholder held all 2,318,012 outstanding shares of our Series C Preferred stock, which shares are convertible into 2,318,012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Our Series B Preferred accrues dividends at a rate of 10% per annum, which dividends are payable solely in unregistered shares of our common stock at the time the Series B Preferred is converted into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Annual Report on Form 10-K (Annual Report) includes forward-looking statements. All statements contained in this Annual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clinical-stage biopharmaceutical company committed to developing and commercializing new generation medicines to treat diseases and disorders of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with high unmet need. Our portfolio of three clinical-stage product candidates is currently focused predominantly on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MDD is a serious neurobiologically-based mood disorder, affecting approximately 16 million adults in the United States, according to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SAD affects as many as 15 million Americans and is the third most common psychiatric condition after depression and substance abuse.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for treatment of SAD. However, for treatment of both MDD and SAD, current oral antidepressants (</w:t>
      </w:r>
      <w:r>
        <w:rPr>
          <w:rFonts w:ascii="Arial" w:cs="Arial" w:eastAsia="Arial" w:hAnsi="Arial"/>
          <w:sz w:val="18"/>
          <w:szCs w:val="18"/>
          <w:i w:val="1"/>
          <w:iCs w:val="1"/>
          <w:color w:val="auto"/>
        </w:rPr>
        <w:t>ADs</w:t>
      </w:r>
      <w:r>
        <w:rPr>
          <w:rFonts w:ascii="Arial" w:cs="Arial" w:eastAsia="Arial" w:hAnsi="Arial"/>
          <w:sz w:val="18"/>
          <w:szCs w:val="18"/>
          <w:color w:val="auto"/>
        </w:rPr>
        <w:t>) have slow onset of effect (often several weeks to months) and significant side effects that may make them inadequate treatment alternatives for many individuals affected by MDD and SAD.</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most advanced product candidate, PH94B neuroactive nasal spray, is fundamentally different from all current treatments for SAD. Developed from proprietary compounds called pherines and administered as a nasal spray, PH94B activates nasal chemosensory receptors that trigger neural circuits in the brain that suppress fear and anxiety. In a published double-blind, placebo-controlled Phase 2 clinical trial, PH94B neuroactive nasal spray was significantly more effective than placebo in reducing public-speaking and social interaction anxiety on laboratory challenges of individuals with SAD. Its novel mechanism of pharmacological action, rapid-onset of therapeutic effects and exceptional safety and tolerability profile in clinical trials to date make PH94B neuroactive nasal spray an excellent product candidate with potential to become the first FDA-approved on-demand, as-needed, or PRN, treatment for SAD.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AV-101 (4-Cl-KYN), one of our two product candidates for MDD,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MDD, chronic neuropathic pain, epilepsy, Parkinson's disease levodopa-induced dyskinesia and many others. AV-101 is an oral prodrug of 7-Cl-KYNA which binds uniquely at the glycine site of the NMDA receptor and has potential to be a new at-home treatment for MDD. AV-101 is currently in Phase 2 development in the U.S. for MDD. ELEVATE is our Phase 2 multicenter, multi-dose, double blind, placebo-controlled clinical study to evaluate the efficacy and safety of AV-101 as an add-on treatment for MDD in adult patients with an inadequate therapeutic response to current FDA-approved ADs (the </w:t>
      </w:r>
      <w:r>
        <w:rPr>
          <w:rFonts w:ascii="Arial" w:cs="Arial" w:eastAsia="Arial" w:hAnsi="Arial"/>
          <w:sz w:val="16"/>
          <w:szCs w:val="16"/>
          <w:i w:val="1"/>
          <w:iCs w:val="1"/>
          <w:color w:val="auto"/>
        </w:rPr>
        <w:t>ELEVATE Study</w:t>
      </w:r>
      <w:r>
        <w:rPr>
          <w:rFonts w:ascii="Arial" w:cs="Arial" w:eastAsia="Arial" w:hAnsi="Arial"/>
          <w:sz w:val="16"/>
          <w:szCs w:val="16"/>
          <w:color w:val="auto"/>
        </w:rPr>
        <w:t>).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from the ELEVATE Study in the second half of 2019. The FDA has granted Fast</w:t>
      </w:r>
      <w:r>
        <w:rPr>
          <w:rFonts w:ascii="Arial" w:cs="Arial" w:eastAsia="Arial" w:hAnsi="Arial"/>
          <w:sz w:val="16"/>
          <w:szCs w:val="16"/>
          <w:i w:val="1"/>
          <w:iCs w:val="1"/>
          <w:color w:val="auto"/>
        </w:rPr>
        <w:t xml:space="preserve"> </w:t>
      </w:r>
      <w:r>
        <w:rPr>
          <w:rFonts w:ascii="Arial" w:cs="Arial" w:eastAsia="Arial" w:hAnsi="Arial"/>
          <w:sz w:val="16"/>
          <w:szCs w:val="16"/>
          <w:color w:val="auto"/>
        </w:rPr>
        <w:t>Track designation for development of AV-101 as a potential add-on treatment of MDD.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other product candidate for MDD in Phase 2 development for MDD is PH10 neuroactive nasal spray. PH10 is a potential first-in-class, CNS neurosteroid nasal spray administered in microgram doses for MDD. PH10 nasal spray activates nasal chemosensory receptors that, in turn, engage GABA (gamma-aminobutyric acid) and CRH (corticotropin-releasing hormone) neurons in the limbic amygdala system. The activation of these neural circuits is believed to have the potential to lead to rapid antidepressant effects without psychological side effects, systemic exposure or safety concerns often associated with current antidepressants. Based on positive results of a small exploratory Phase 2a study in MDD in which rapid-onset antidepressant effects were observed without psychological side effects or systemic exposure, we are preparing for planned Phase 2b clinical development of PH10 as a first-line treatment for MDD.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potential indications for PH94B include post-tramautic stress disorder (PTSD) and general anxiety disorder (</w:t>
      </w:r>
      <w:r>
        <w:rPr>
          <w:rFonts w:ascii="Arial" w:cs="Arial" w:eastAsia="Arial" w:hAnsi="Arial"/>
          <w:sz w:val="18"/>
          <w:szCs w:val="18"/>
          <w:i w:val="1"/>
          <w:iCs w:val="1"/>
          <w:color w:val="auto"/>
        </w:rPr>
        <w:t>GAD</w:t>
      </w:r>
      <w:r>
        <w:rPr>
          <w:rFonts w:ascii="Arial" w:cs="Arial" w:eastAsia="Arial" w:hAnsi="Arial"/>
          <w:sz w:val="18"/>
          <w:szCs w:val="18"/>
          <w:color w:val="auto"/>
        </w:rPr>
        <w:t>) and others neuropsychiatric indications. Additional potential indications for AV-101 include as a non-addictive, non-sedating treatment of chronic neuropathic pain (</w:t>
      </w:r>
      <w:r>
        <w:rPr>
          <w:rFonts w:ascii="Arial" w:cs="Arial" w:eastAsia="Arial" w:hAnsi="Arial"/>
          <w:sz w:val="18"/>
          <w:szCs w:val="18"/>
          <w:i w:val="1"/>
          <w:iCs w:val="1"/>
          <w:color w:val="auto"/>
        </w:rPr>
        <w:t>CNP</w:t>
      </w:r>
      <w:r>
        <w:rPr>
          <w:rFonts w:ascii="Arial" w:cs="Arial" w:eastAsia="Arial" w:hAnsi="Arial"/>
          <w:sz w:val="18"/>
          <w:szCs w:val="18"/>
          <w:color w:val="auto"/>
        </w:rPr>
        <w:t>), epilepsy, and to reduce dyskinesia induced by levodopa therapy for Parkinson’s disease (</w:t>
      </w:r>
      <w:r>
        <w:rPr>
          <w:rFonts w:ascii="Arial" w:cs="Arial" w:eastAsia="Arial" w:hAnsi="Arial"/>
          <w:sz w:val="18"/>
          <w:szCs w:val="18"/>
          <w:i w:val="1"/>
          <w:iCs w:val="1"/>
          <w:color w:val="auto"/>
        </w:rPr>
        <w:t>PD LID</w:t>
      </w:r>
      <w:r>
        <w:rPr>
          <w:rFonts w:ascii="Arial" w:cs="Arial" w:eastAsia="Arial" w:hAnsi="Arial"/>
          <w:sz w:val="18"/>
          <w:szCs w:val="18"/>
          <w:color w:val="auto"/>
        </w:rPr>
        <w:t>).</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CNS business, we have two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discover and develop small molecule NCEs for our CNS pipeline or for out-licensing. To advance potential RM applications of our cardiac stem cell technology, we have sublicensed to BlueRock Therapeutics LP, a next generation cell therapy and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collaborations or licensing transactions involving blood, cartilage, and/or liver cells derived from hPSCs for cell-based therapy, cell repair therapy, RM and/or tissue engineering.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access fees and government grants.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its related amendments, collectively referred to as ASC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Topic 606, as of April 1, 2018, using the modified retrospective transition method. At adoption and currently, we have only the BlueRock Agreement as a potential revenue generating arrangement. Upon adoption of ASC Topic 606, there was no change to the units of accounting previously identified with respect to the BlueRock Agreement under legacy GAAP, which are now considered performance obligations under ASC Topic 606, and there was no change to the revenue recognition pattern for the performance obligation. Accordingly, there was no cumulative effect change to our opening accumulated deficit balance upon the adoption of ASC Topic 606. We did not recognize any revenue in our fiscal years ended March 31, 2019 or 2018.</w:t>
      </w:r>
    </w:p>
    <w:p>
      <w:pPr>
        <w:spacing w:after="0" w:line="17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Once a contract is determined to be within the scope of Topic 606, we assesses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identifies a bundle of goods or services that is distinct.</w:t>
      </w:r>
    </w:p>
    <w:p>
      <w:pPr>
        <w:spacing w:after="0" w:line="1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31" w:right="17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In accordance with ASC 360-10</w:t>
      </w:r>
      <w:r>
        <w:rPr>
          <w:rFonts w:ascii="Arial" w:cs="Arial" w:eastAsia="Arial" w:hAnsi="Arial"/>
          <w:sz w:val="18"/>
          <w:szCs w:val="18"/>
          <w:i w:val="1"/>
          <w:iCs w:val="1"/>
          <w:color w:val="auto"/>
        </w:rPr>
        <w:t>, Property, Plant &amp; Equipment—Overall</w:t>
      </w:r>
      <w:r>
        <w:rPr>
          <w:rFonts w:ascii="Arial" w:cs="Arial" w:eastAsia="Arial" w:hAnsi="Arial"/>
          <w:sz w:val="18"/>
          <w:szCs w:val="18"/>
          <w:color w:val="auto"/>
        </w:rPr>
        <w:t>, we review long-lived assets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PH94B and PH10, stem cell research and development costs, and costs related to the application and prosecution of patents related to AV-101, PH94B, PH10 and our stem cell technology platform. All such costs are charged to expense as incurred.</w:t>
      </w:r>
    </w:p>
    <w:p>
      <w:pPr>
        <w:spacing w:after="0" w:line="152"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70"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will require significant additional development and expense, we recorded the costs related to acquiring the licenses and the option as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We recognize non-cash compensation expense for all stock-based awards to employees based on the grant date fair value of the award. We record this expense over the period during which the employee is required to perform services in exchange for the award, which generally represents the scheduled vesting period. We have granted no restricted stock awards, nor do we have any awards with market or performance conditions. For option grants to non-employees, we have historically re-measured the fair value of the awards as they vest and any resulting increase in value has been recognized as an expense during the period over which the services are performed. Noncash expense attributable to compensatory grants of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31" w:right="17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in accordance with guidance provided by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in Connection with Equity Financing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3 to the Consolidated Financial Statements included in Item 8 in this Annual Report on Form 10-K for information on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substantially all of our time and efforts to developing our initial CNS product candidate, AV-101, from early nonclinical studies to our ongoing Phase 2 clinical development program in MDD. In addition, we have devoted resourced to stem cell technology research and development, bioassay development and small molecule drug development,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technologies, with the corollary initiatives of recruiting and retaining personnel and raising working capital. As discussed in greater detail in Part I, Item 1. Business in the Annual Report, during our fiscal year ended March 31, 2019 (</w:t>
      </w:r>
      <w:r>
        <w:rPr>
          <w:rFonts w:ascii="Arial" w:cs="Arial" w:eastAsia="Arial" w:hAnsi="Arial"/>
          <w:sz w:val="16"/>
          <w:szCs w:val="16"/>
          <w:i w:val="1"/>
          <w:iCs w:val="1"/>
          <w:color w:val="auto"/>
        </w:rPr>
        <w:t>Fiscal 2019</w:t>
      </w:r>
      <w:r>
        <w:rPr>
          <w:rFonts w:ascii="Arial" w:cs="Arial" w:eastAsia="Arial" w:hAnsi="Arial"/>
          <w:sz w:val="16"/>
          <w:szCs w:val="16"/>
          <w:color w:val="auto"/>
        </w:rPr>
        <w:t>), we acquired the rights to develop and commercialize PH94B and PH10. As of March 31, 2019, we had an accumulated deficit of approximately $181.1 million. Our net loss for Fiscal 2019 and the fiscal year ended March 31, 2018 (</w:t>
      </w:r>
      <w:r>
        <w:rPr>
          <w:rFonts w:ascii="Arial" w:cs="Arial" w:eastAsia="Arial" w:hAnsi="Arial"/>
          <w:sz w:val="16"/>
          <w:szCs w:val="16"/>
          <w:i w:val="1"/>
          <w:iCs w:val="1"/>
          <w:color w:val="auto"/>
        </w:rPr>
        <w:t>Fiscal 2018</w:t>
      </w:r>
      <w:r>
        <w:rPr>
          <w:rFonts w:ascii="Arial" w:cs="Arial" w:eastAsia="Arial" w:hAnsi="Arial"/>
          <w:sz w:val="16"/>
          <w:szCs w:val="16"/>
          <w:color w:val="auto"/>
        </w:rPr>
        <w:t>) was approximately $24.6 million and $14.3 million, respectively. We expect losses to continue for the foreseeable future, primarily as we complete our ELEVATE Study later in 2019, pursue further clinical development of AV-101 for the adjunctive treatment of MDD and for a range of other CNS indications, and further develop PH94B and PH10.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Our Fiscal Year Ended March 31, 2019</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Fiscal 2019, we continued to (i) advance both nonclinical development, including manufacturing, and clinical development of AV-101 as a potential new generation antidepressant and as a potential new therapeutic alternative for several CNS indications with significant unmet need, (ii) expand the regulatory and intellectual property foundation to support broad clinical development and, ultimately, commercialization of AV-101 in the U.S. and foreign markets, (iii) expand our neuropsychiatry pipeline by acquiring exclusive worldwide licenses to PH94B and PH10, and (iv) on a limited basis, advance drug rescue applications of our stem cell technology to further expand our CNS pipeline. Each of these initiatives is futher described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development of AV-101 during Fiscal 2019, we continued to conduct our ELEVATE Study throughout the fiscal year, in addition to producing supplies of AV-101 and conducting certain Phase 3-enabling nonclinical studies involving AV-101.</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pursuant to our MT CRADA with the VA and our arrangements with Baylor, Baylor commenced the Baylor Study to define a dose-response relationship between AV-101 and relevant biomarkers related to NMDA function and others possibly related to suicidal ideation in U.S. Military Veterans.</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Fiscal 2019, we expanded our portfolio of product candidates by acquiring licenses from Pherin giving us the exclusive worldwide rights to develop and commercialize PH94B, a rapid-onset neuroactive nasal spray with potential to be the first FDA-approved on-demand treatment for SAD, and PH10, a rapid-onset neuroactive nasal spray for treatment of MDD. We completed the acquisitions of PH94B and PH10 on a noncash basis through the issuance of an aggregate of 2,556,361 shares of our common stock. We are actively pursuing nonclinical and regulatory initiatives necessary to facilitate pivotal Phase 3 clinical development of PH94B for SAD and Phase 2b clinical development of PH10 for MDD.</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33333"/>
        </w:rPr>
        <w:t xml:space="preserve">We continue to pursue </w:t>
      </w:r>
      <w:r>
        <w:rPr>
          <w:rFonts w:ascii="Arial" w:cs="Arial" w:eastAsia="Arial" w:hAnsi="Arial"/>
          <w:sz w:val="16"/>
          <w:szCs w:val="16"/>
          <w:color w:val="0E0E0E"/>
        </w:rPr>
        <w:t>initiatives to secure a broad portfolio of patent protection for AV-101 that covers the treatment of multiple CNS indications, unit dose</w:t>
      </w:r>
      <w:r>
        <w:rPr>
          <w:rFonts w:ascii="Arial" w:cs="Arial" w:eastAsia="Arial" w:hAnsi="Arial"/>
          <w:sz w:val="16"/>
          <w:szCs w:val="16"/>
          <w:color w:val="333333"/>
        </w:rPr>
        <w:t xml:space="preserve"> </w:t>
      </w:r>
      <w:r>
        <w:rPr>
          <w:rFonts w:ascii="Arial" w:cs="Arial" w:eastAsia="Arial" w:hAnsi="Arial"/>
          <w:sz w:val="16"/>
          <w:szCs w:val="16"/>
          <w:color w:val="0E0E0E"/>
        </w:rPr>
        <w:t>formulations of AV-101 effective to treat depression and chemical synthesis methods. With respect to CNS treatments, during Fiscal 2019 we obtained patents in several countries for the treatment of depression and we are pursuing patent applications related to treatment of LID, certain types of NP, tinnitus and obsessive-compulsive disorder. Additional patent applications to other aspects of prognostic testing and treatment using AV-101 are under consideration.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E0E0E"/>
        </w:rPr>
        <w:t>During Fiscal 2018 and Fiscal 2019, we have pursued patent applications in the U.S., Australia, China, Europe, Japan and other selected countries and regions with significant commercial potential. Several of these patent applications were allowed or have been granted in the U.S. and other major pharmaceutical markets during Fiscal 2019. Based on patent issuances or allowances to-date in several countries, we believe that pending counterpart patent applications related to AV-101 currently under review in other countries also are likely to be granted, although there can be no assurance that all pending applications will ultimately be granted.</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noted above, we have an exclusive license from Pherin to its portfolio of patent assets around PH94B. Patents have issued in several countries, including the U.S., Australia, Canada, China, Europe, Japan, Korea and Mexico. We also have an exclusive license from Pherin to its portfolio of patent assets around PH10. Patents in this portfolio have issued in Australia, China, Europe and Japan. Applications are pending in the U.S., Canada, Korea and Mexico.</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with AV-101, we plan to seek regulatory exclusivity in countries where this is available for the therapeutic use of PH94B, with initial emphasis on treating SAD as our lead indication in clinical development, and for the therapeutic use of PH10, with our lead indication being the treatment of MDD.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0E0E0E"/>
        </w:rPr>
        <w:t>We have obtained and are pursuing patent rights to the production of several types of stem cells and cells differentiated from those stem cells, including cardiomyocytes, hematopoietic cells, chondrocytes, cartilage cells and hepatocytes, as well as the use of certain cell types that have been differentiated from pluripotent stem cells for therapeutic purposes, including cell-based therapy and regenerative medicine.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 respect to financing activities in Fiscal 2019, 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8"/>
          <w:szCs w:val="18"/>
          <w:i w:val="1"/>
          <w:iCs w:val="1"/>
          <w:color w:val="auto"/>
        </w:rPr>
        <w:t>Summer 2018 Private</w:t>
      </w:r>
      <w:r>
        <w:rPr>
          <w:rFonts w:ascii="Arial" w:cs="Arial" w:eastAsia="Arial" w:hAnsi="Arial"/>
          <w:sz w:val="18"/>
          <w:szCs w:val="18"/>
          <w:color w:val="auto"/>
        </w:rPr>
        <w:t xml:space="preserve"> </w:t>
      </w:r>
      <w:r>
        <w:rPr>
          <w:rFonts w:ascii="Arial" w:cs="Arial" w:eastAsia="Arial" w:hAnsi="Arial"/>
          <w:sz w:val="18"/>
          <w:szCs w:val="18"/>
          <w:i w:val="1"/>
          <w:iCs w:val="1"/>
          <w:color w:val="auto"/>
        </w:rPr>
        <w:t>Placement</w:t>
      </w:r>
      <w:r>
        <w:rPr>
          <w:rFonts w:ascii="Arial" w:cs="Arial" w:eastAsia="Arial" w:hAnsi="Arial"/>
          <w:sz w:val="18"/>
          <w:szCs w:val="18"/>
          <w:color w:val="auto"/>
        </w:rPr>
        <w:t>). We received aggregate cash proceeds of $5,756,200 from the Summer 2018 Private Placement. The Summer 2018 Private Placement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oversubscribed.</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6"/>
          <w:szCs w:val="16"/>
          <w:i w:val="1"/>
          <w:iCs w:val="1"/>
          <w:color w:val="auto"/>
        </w:rPr>
        <w:t>Fall 2018 Private Placement</w:t>
      </w:r>
      <w:r>
        <w:rPr>
          <w:rFonts w:ascii="Arial" w:cs="Arial" w:eastAsia="Arial" w:hAnsi="Arial"/>
          <w:sz w:val="16"/>
          <w:szCs w:val="16"/>
          <w:color w:val="auto"/>
        </w:rPr>
        <w:t>). We received aggregate cash proceeds of $812,500 in connection with the Fall 2018 Private Placement and settled an outstanding professional service payable by accepting a subscription agreement in the amount of $40,000 and issuing the corresponding number of shares and warrants.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and March 2019, we completed an underwritten public offering of 11,500,000 shares of our common stock, including full exercise of the underwriter’s overallotment option, at a public offering price of $1.00 per share, resulting in gross proceeds of $11,500,000, pursuant to our shelf registration statement on Form S-3 (File No. 333-215671), previously filed with the SEC (the </w:t>
      </w:r>
      <w:r>
        <w:rPr>
          <w:rFonts w:ascii="Arial" w:cs="Arial" w:eastAsia="Arial" w:hAnsi="Arial"/>
          <w:sz w:val="18"/>
          <w:szCs w:val="18"/>
          <w:i w:val="1"/>
          <w:iCs w:val="1"/>
          <w:color w:val="auto"/>
        </w:rPr>
        <w:t>Spring 2019 Public Offering</w:t>
      </w:r>
      <w:r>
        <w:rPr>
          <w:rFonts w:ascii="Arial" w:cs="Arial" w:eastAsia="Arial" w:hAnsi="Arial"/>
          <w:sz w:val="18"/>
          <w:szCs w:val="18"/>
          <w:color w:val="auto"/>
        </w:rPr>
        <w:t>). We received net proceeds of approximately $10.4 million after deducting underwriting discounts and commissions and offering expenses.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2019, we also received cash proceeds of $605,700 from the exercise of outstanding warrants to purchase an aggregate of 403,800 shares our common stock.</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clinical and nonclinical development of AV-101, PH94B, PH10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March 31, 2019 and 2018</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results of our operations (including cash and noncash items) for the fiscal years ended March 31, 2019 and 2018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Fiscal Year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(24,587)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Deemed dividend from trigger of down round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provision feature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reported no revenue for either Fiscal 2019 or Fiscal 2018 and we presently have no recurring revenue generating arrangements, including arrangements with respect to AV-101, PH94B, PH10 or other potential product candidates. While we may potentially receive additional payments and royalties in the future under our December 2016 BlueRock Agreement in the event certain performance-based milestones and commercial sales are achieved, there can be no assurance that the BlueRock Agreement will provide additional revenue to us in the near term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to approximately $17.1 million in Fiscal 2019 (including approximately $5.6 million of non-cash expense) compared to approximately $7.8 million in Fiscal 2018. This increase is primarily attributable to (i) the noncash acquisition of the PH94B license and the PH10 option and license through the issuance of unregistered shares of our common stock, which resulted in an aggregate of $4.25 million of expense, (ii) expenses related to conducting the ELEVATE Study throughout Fiscal 2019 and (iii) various nonclinical research and development, as well as manufacture of additional quantities of AV-101. Other noncash expenses included in research and development expense, including stock compensation, lab equipment depreciation and a portion of rent expense in both years and a portion of AV-101 project expenses in Fiscal 2019, aggregated approximately $1,382,000 and $1,595,000 for Fiscal 2019 and Fiscal 2018, respectively.</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9" w:name="page80"/>
    <w:bookmarkEnd w:id="7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primary components of research and development expense for each of the periods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licenses and other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Stem cell and all 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17,098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expense reflects the impact of salary increases effective in July 2018 and bonuses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members of our scientific staff, offset by the impact of a staff termination in the first quarter of Fiscal 2018 and a staff leave of absence in the fourth quarter of Fiscal 2019.</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Non-cash stock-based compensation expense increased significantly in Fiscal 2019 as a result of (i) the impact of new options granted to our CMO, CSO, and members of our scientific staff in August 2018, which options were 25% vested upon grant and vest ratably until becoming fully-vested within two years thereafter, and (ii) the modification in August 2018 of outstanding options held by our CMO, CSO and members of our scientific staff having exercise prices over $1.56 per share to reduce the exercise price to $1.50 per share in accordance with the terms of our 2016 Amended and Restated Stock Incentive Plan. Non-cash stock compensation expense attributable to grants made in Fiscal 2019 and including the $104,000 immediately recognized impact of the modification of exercise prices accounted for approximately $310,000 in Fiscal 2019. Fiscal 2019 expense is attributable to grants made in June 2016 and thereafter, all earlier grants having become fully vested and amortized prior to September 30, 2018.</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Consulting and other professional services reflects fees paid or accrued for scientific, nonclinical and clinical development and regulatory advisory services rendered to us by third-parties, in both periods, in Fiscal 2018, primarily by members of our scientific and CNS clinical and regulatory advisory boards. The increase in Fiscal 2019 expense reflects consulting and support services in connection with our acquisition of the exclusive licenses to PH94B and PH10 and related consulting arrangements.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Technology license and royalties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may vary noticeably between years. In both periods, this expense includes legal counsel and other costs we have incurred to advance pending patent applications in the U.S. and numerous foreign countries with respect to AV-101 and our stem cell technology platform. Acquisition of the PH94B and PH10 licenses contributed only nominally to the increased expense in Fiscal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Fiscal 2019 primarily reflects the continuing costs of conducting the ELEVATE Study, including various CRO, investigator and clinical site costs, as well as expense incurred to manufacture additional quantities of AV-101 for use in future nonclinical and clinical trials of AV-101 for MDD and other potential CNS indications. In Fiscal 2018, AV-101 project expense primarily reflected costs incurred to develop our current proprietary manufacturing methods for AV-101, to produce quantities of AV-101 in preparation for the ELEVATE Study and Baylor Study and various expenses related to initiating the ELEVATE Study.</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indicated earlier, noncash expense related to the acquisition of the PH94B and PH10 licenses and PH10 option reflects the $4.25 million fair value of an aggregate of 2,556,361 unregistered shares of our common stock issued to Pherin in September 2018 and October 2018 under the terms of the applicable license and option agreements. Additional Fiscal 2019 expense primarily relates to initiatives advancing the further development of PH94B.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relatively flat between the periods and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increased by approximately $1.0 million to approximately $7.5 million in Fiscal 2019, as compared to approximately $6.4 million in Fiscal 2018, primarily as a result of increased noncash stock-based compensation expense. Other G&amp;A expenses fluctuated moderately both up and down, but in aggregate were generally unchanged between years. Noncash G&amp;A expense components accounted for approximately $2,622,000 and $2,884,000 in Fiscal 2019 and Fiscal 2018, respectively. Such non-cash expenses included, in both periods, stock compensation expense, a portion of professional services and investor relations expense, a portion of rent expense, and warrant modification expense. The following table indicates the primary components of general and administrative expense for each of the periods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Fiscal Years Ended March 31,</w:t>
            </w: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primarily reflects the impact of salary increases effective in July 2018 and bonuses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Vice President - Corporate Development (</w:t>
      </w:r>
      <w:r>
        <w:rPr>
          <w:rFonts w:ascii="Arial" w:cs="Arial" w:eastAsia="Arial" w:hAnsi="Arial"/>
          <w:sz w:val="18"/>
          <w:szCs w:val="18"/>
          <w:i w:val="1"/>
          <w:iCs w:val="1"/>
          <w:color w:val="auto"/>
        </w:rPr>
        <w:t>VP Corporate Development</w:t>
      </w:r>
      <w:r>
        <w:rPr>
          <w:rFonts w:ascii="Arial" w:cs="Arial" w:eastAsia="Arial" w:hAnsi="Arial"/>
          <w:sz w:val="18"/>
          <w:szCs w:val="18"/>
          <w:color w:val="auto"/>
        </w:rPr>
        <w:t>) and a non-officer member of our administrative staff.</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Non-cash stock-based compensation expense increased significantly in Fiscal 2019 as a result of (i) the impact of new options granted to our CEO in January 2019 and to our CFO, VP Corporate Development, our administrative staff, and the independent members of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in August 2018, each of which were 25% vested upon grant and vest ratably until becoming fully-vested within two years thereafter, and (ii) the modification in August 2018 of outstanding options held by our CEO, CFO, VP Corporate Development, our administrative staff, and the independent members of our Board having exercise prices over $1.56 per share to reduce the exercise price to $1.50 per share as permitted by the terms of our 2016 Amended and Restated Stock Incentive Plan. Non-cash stock compensation expense attributable to grants made in Fiscal 2019, including the $154,000 immediately recognized impact of the modification of exercise prices, accounted for approximately $584,000 in Fiscal 2019. Additionally, the full year expense impact of grants made in February 2018 to our CEO, CFO, VP Corporate Development, our administrative staff, and the independent members of our Board contributed approximately an additional $183,000 to Fiscal 2019 expense. Fiscal 2019 expense is attributable to grants made in June 2016 and thereafter, all earlier grants having become fully vested and amortized prior to September 30, 2018.</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represents fees paid as consideration for Board and Board Committee services to the independent members of our Board. The Fiscal 2019 increase is attributable to the addition of a new independent member to our Board in January 2019.</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Legal, accounting and other professional fees for Fiscal 2019 and Fiscal 2018 includes expenses related to routine legal fees as well as the accounting expense related to the annual audit of the prior year’s financial statements and the review of the financial statements for the first three quarters of the current fiscal year. Further, in Fiscal 2019, we incurred $94,000 attributable to services provided by an international business development consultant. In addition to routine legal and accounting cash fees incurred, in Fiscal 2018, we granted an aggregate of 20,000 unregistered shares of our common stock having an aggregate grant date fair value of $30,800 to legal services providers as partial compensation for services and an aggregate of 150,000 unregistered shares of our common stock having an aggregate grant date fair value of $234,000 to two investment banking firms pursuant to financial advisory agreements. We incurred no similar non-cash expense in Fiscal 2019.</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as well as market awareness,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individual and institutional investors, securities analysts and media. During Fiscal 2019, in addition to cash fees and expenses, we granted: (i) in the first quarter, an aggregate of 100,000 unregistered shares of our common stock to certain financial advisory service providers as full or partial compensation for their services and recognized noncash expense of approximately $123,000 representing the fair value of the stock at the time of issuance; (ii) in the second quarter,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pursuant to which we recognized aggregate non-cash expense of approximately $257,000; and (iii) in the fourth quarter, 25,000 registered shares of our common stock pursuant to our 2016 Amended and Restated Stock Incentive Plan having a fair value of $41,500 as partial compensation for investor relations services, pursuant to which we recognized noncash expense of approximately $14,000. The balance of the fair value of the securities granted in the second and fourth quarters of Fiscal 2019 remains recorded as a prepaid expense and is being amortized over the remaining service period of the respective contracts. In Fiscal 2018, in addition to cash fees and expenses we incurred, we granted an aggregate of 582,000 shares of our unregistered common stock to various corporate development, investor relations, market awareness and business advisory service providers as full or partial compensation for their services and recognized noncash expense totaling $886,300, representing the fair value of the stock at the time of issuance.</w:t>
      </w:r>
    </w:p>
    <w:p>
      <w:pPr>
        <w:sectPr>
          <w:pgSz w:w="11900" w:h="16838" w:orient="portrait"/>
          <w:cols w:equalWidth="0" w:num="1">
            <w:col w:w="11420"/>
          </w:cols>
          <w:pgMar w:left="240" w:top="131" w:right="239" w:bottom="4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495" w:gutter="0" w:footer="0" w:header="0"/>
          <w:type w:val="continuous"/>
        </w:sectPr>
      </w:pPr>
    </w:p>
    <w:bookmarkStart w:id="81" w:name="page82"/>
    <w:bookmarkEnd w:id="8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both Fiscal 2019 and Fiscal 2018, travel expense reflects costs associated with management presentations and meetings held in multiple U.S. markets, and certain international markets in Fiscal 2019,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Fiscal 2019.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two periods and primarily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third quarter of Fiscal 2019, we modified certain warrants issued in the Summer 2018 Private Placement to comply with certain provisions of The Nasdaq Stock Market Rules applicable to the offering by increasing the exercise price of such warrants to purchase an aggregate of 304,000 shares of our common stock from $1.50 per share to $1.59 per share or $1.69 per share, depending on the effective date of the related subscription agreement. As additional consideration for the modification, we granted the investors additional warrants to purchase an aggregate of 23,800 unregistered shares of our common stock at an exercise price of $1.75 per share through February 28, 2022. We determined that the modification decreased the fair value of the modified warrants, which decrease is not recognized; however, the fair value of the new warrants was determined to be $25,800, which we recognized as noncash warrant modification expense. In the second quarter of Fiscal 2018, we reduced the exercise price of 247,500 warrants issued in our spring 2017 private placement offering from a weighted average exercise price of $3.99 per share to $2.00 per share. We also issued to each of the investors in the spring 2017 private placement additional warrants to purchase an aggregate total of 247,501 shares of common stock, with an exercise price of $2.00 per share. We recognized noncash expense of $279,700 in the second quarter of Fiscal 2018 representing the increase in fair value of the warrants granted initially plus the fair value of the additional warrants granted. During the third quarter of Fiscal 2018, we modified outstanding warrants issued in private placement transactions between August 2017 and November 2017 to purchase an aggregate of 178,572 shares of our common stock to reduce the exercise prices from a weighted average of $2.32 per share to a weighted average of $1.58 per share. We recognized the calculated increase in the fair value of the warrants, $13,000, as noncash warrant modification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$8,000 for Fiscal 2019 compared to $8,900 for Fiscal 2018.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third quarter of Fiscal 2019, in connection with the Fall 2018 Private Placement, we settled an outstanding professional service payable by accepting a subscription agreement in the amount of $40,000 and issuing the corresponding number of shares of common stock and warrants. The fair value of the common stock and warrant issued in settlement of the payable was determined to be $62,700 on the effective date of the agreement. Accordingly, we recognized a loss on extinguishment of accounts payable in the amount of $22,700 in Fiscal 2019. During the third quarter of Fiscal 2018, we issued 500,000 unregistered shares of our common stock having a grant date fair value of $585,000 and a cash payment of $76,500 to a contract manufacturing organization in settlement of $526,500 of open accounts payable. We recognized a corresponding loss on settlement of accounts payable in the amount of $135,000 in Fiscal 2018.</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$1,139,900 and $1,030,300 in Fiscal 2019 and Fiscal 2018, respectively, representing the 10% cumulative noncash dividend payable on our Series B Preferred as an additional deduction in arriving at net loss attributable to common stockholders in the Consolidated Statement of Operations and Comprehensive Loss included in Item 8 of this Annual Report. The dividends are payable in unregistered shares of our common stock upon the conversion of Series B Preferred shares. There have been no conversions of outstanding shares of Series B Preferred into common shares since August 2016.</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December 2017 public offering of units consisting of shares of our common stock and common stock purchase warrants at an offering price of $1.50 per unit (the </w:t>
      </w:r>
      <w:r>
        <w:rPr>
          <w:rFonts w:ascii="Arial" w:cs="Arial" w:eastAsia="Arial" w:hAnsi="Arial"/>
          <w:sz w:val="16"/>
          <w:szCs w:val="16"/>
          <w:i w:val="1"/>
          <w:iCs w:val="1"/>
          <w:color w:val="auto"/>
        </w:rPr>
        <w:t>December 2017 Public Offering</w:t>
      </w:r>
      <w:r>
        <w:rPr>
          <w:rFonts w:ascii="Arial" w:cs="Arial" w:eastAsia="Arial" w:hAnsi="Arial"/>
          <w:sz w:val="16"/>
          <w:szCs w:val="16"/>
          <w:color w:val="auto"/>
        </w:rPr>
        <w:t>) triggered the anti-dilution protection provisions of the Series A2 Warrants to purchase an aggregate of 503,641 shares of our common stock issued in the public offering we completed in September 2017. In accordance with the anti-dilution terms and formula contained in the Series A2 warrants, the exercise price of the Series A2 Warrants was reduced from the initial exercise price of $1.82 per share to $0.001 per share. We recognized the effect of triggering the down round feature, $199,200, as a further addition to net loss attributable to common stockholders and in our calculation of basic and fully diluted earnings per share in our Consolidated Statement of Operations and Comprehensive Loss and as a dividend in our Consolidated Statement of Stockholders’ Equity for Fiscal 2018 included in Item 8 of this Annual Report. The holders of the Series A2 Warrants subsequently exercised them in the third and fourth quarters of Fiscal 2018 and we received minimal cash proceeds from the exercises. Following the exercise of the Series A2 Warrants, none of our outstanding warrants contain antidilution protection provisions other than is customary in the event of a change in our capital structure as a result of a stock split or dividend.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2019, we have financed our operations and technology acquisitions primarily through the issuance and sale of our equity and debt securities for cash proceeds of approximately $79.0 million, as well as from an aggregate of approximately $17.7 million of government research grant awards (excluding the fair market value of government sponsored and funded clinical trials such as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had cash and cash equivalents of approximately $13.1 million.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Our cash position at March 31, 2019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complete our ELEVATE study, prepare for and launch a pivotal Phase 3 clinical trial of PH94B, prepare for additional Phase 2a clinical and certain nonclinical studies involving AV-101 and prepare for a Phase 2b clinical trial of PH10, and raises substantial doubt that we can continue as a going concern. Nevertheless,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 </w:t>
      </w:r>
      <w:r>
        <w:rPr>
          <w:rFonts w:ascii="Arial" w:cs="Arial" w:eastAsia="Arial" w:hAnsi="Arial"/>
          <w:sz w:val="15"/>
          <w:szCs w:val="15"/>
          <w:i w:val="1"/>
          <w:iCs w:val="1"/>
          <w:color w:val="auto"/>
        </w:rPr>
        <w:t>S-3 Registration Statement</w:t>
      </w:r>
      <w:r>
        <w:rPr>
          <w:rFonts w:ascii="Arial" w:cs="Arial" w:eastAsia="Arial" w:hAnsi="Arial"/>
          <w:sz w:val="15"/>
          <w:szCs w:val="15"/>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for example, to our recent CRADA with the NIMH, which provided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provide non-dilutive funding for development of AV-101, PH94B, PH10 or other product candidates, as well as new government grant awards and/or agreements, no assurance can be provided that any such collaborations, awards or agreements will occur in the future.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The Consolidated Financial Statements included in Part II, Item 8 of this Annual Report do not include any adjustments that might result from the negative outcome of this uncertainty.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Cash and Cash Equivalents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in cash used in operations results primarily from conducting our ELEVATE Study, which commenced at the end of the fourth quarter of Fiscal 2018. Additional contributors to the increase in cash used in operations are modest increases in employee cash compensation and benefits and an expansion of various investor relations and corporate development and awareness initiatives. The increase in cash used in investing activities reflects the cost of tenant improvements at our office and laboratory facilities in South San Francisco, California, substantially all of which were reimbursed by our landlord under the terms of our November 2016 lease extension, which reimbursement is reflected in operating activities. Cash provided by financing activities in Fiscal 2019 primarily reflects the cash proceeds from our Spring 2019 Public Offering, our Summer 2018 and Fall 2018 Private Placements, and warrant and option exercises and, in Fiscal 2018, the proceeds of our September 2017 and December 2017 public offerings, net of routine note and capital lease payments in both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VistaStem has two inactive, wholly owned subsidiaries, Artemis Neuroscience, Inc., a Maryland corporation, and VistaStem Canada, Inc., an Ontario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902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tc>
        <w:tc>
          <w:tcPr>
            <w:tcW w:w="240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667"/>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4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780" w:type="dxa"/>
            <w:vAlign w:val="bottom"/>
          </w:tcPr>
          <w:p>
            <w:pPr>
              <w:ind w:left="2180"/>
              <w:spacing w:after="0"/>
              <w:rPr>
                <w:sz w:val="20"/>
                <w:szCs w:val="20"/>
                <w:color w:val="auto"/>
              </w:rPr>
            </w:pPr>
            <w:r>
              <w:rPr>
                <w:rFonts w:ascii="Arial" w:cs="Arial" w:eastAsia="Arial" w:hAnsi="Arial"/>
                <w:sz w:val="18"/>
                <w:szCs w:val="18"/>
                <w:b w:val="1"/>
                <w:bCs w:val="1"/>
                <w:color w:val="auto"/>
              </w:rPr>
              <w:t>INDEX TO CONSOLIDATED FINANCIAL STATEMENTS</w:t>
            </w:r>
          </w:p>
        </w:tc>
        <w:tc>
          <w:tcPr>
            <w:tcW w:w="24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8"/>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Consolidated Balance Sheets</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82</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and Comprehensive Loss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w:t>
            </w: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VistaGen Therapeutics, Inc. as of March 31, 2019 and 2018, the related consolidated statements of operations and comprehensive loss, cash flows, and stockholders’ equity for each of the two fiscal years in the period ended March 31, 2019, and the related notes (collectively referred to as the “financial statements”). In our opinion, the financial statements present fairly, in all material respects, the financial position of the Company at March 31, 2019 and 2018, and the results of its operations and its cash flows for each of the two years in the period ended March 31, 2019</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minimal stockholders’ equity, all of which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7"/>
        </w:trPr>
        <w:tc>
          <w:tcPr>
            <w:tcW w:w="124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52"/>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1"/>
        </w:trPr>
        <w:tc>
          <w:tcPr>
            <w:tcW w:w="1240" w:type="dxa"/>
            <w:vAlign w:val="bottom"/>
          </w:tcPr>
          <w:p>
            <w:pPr>
              <w:spacing w:after="0"/>
              <w:rPr>
                <w:sz w:val="20"/>
                <w:szCs w:val="20"/>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Receivable from supplier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13,651,200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11,023,100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14,011,700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jc w:val="center"/>
              <w:ind w:right="1232"/>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1,685,600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3,748,200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2,608,300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2,903,200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4,361,700</w:t>
            </w:r>
          </w:p>
        </w:tc>
        <w:tc>
          <w:tcPr>
            <w:tcW w:w="140" w:type="dxa"/>
            <w:vAlign w:val="bottom"/>
          </w:tcPr>
          <w:p>
            <w:pPr>
              <w:spacing w:after="0"/>
              <w:rPr>
                <w:sz w:val="19"/>
                <w:szCs w:val="19"/>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10,000,000 shares authorized at March 31, 2019 and 2018: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Series A Preferred, 500,000 shares authorized, issued and outstanding at March 31, 2019 and 2018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B Preferred; 4,000,000 shares authorized at March 31, 2019 and 2018; 1,160,240 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20"/>
              <w:spacing w:after="0"/>
              <w:rPr>
                <w:sz w:val="20"/>
                <w:szCs w:val="20"/>
                <w:color w:val="auto"/>
              </w:rPr>
            </w:pPr>
            <w:r>
              <w:rPr>
                <w:rFonts w:ascii="Arial" w:cs="Arial" w:eastAsia="Arial" w:hAnsi="Arial"/>
                <w:sz w:val="18"/>
                <w:szCs w:val="18"/>
                <w:color w:val="auto"/>
              </w:rPr>
              <w:t>issued and outstanding at March 31, 2019 and 2018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C Preferred; 3,000,000 shares authorized at March 31, 2019 and 2018; 2,318,012 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20"/>
              <w:spacing w:after="0"/>
              <w:rPr>
                <w:sz w:val="20"/>
                <w:szCs w:val="20"/>
                <w:color w:val="auto"/>
              </w:rPr>
            </w:pPr>
            <w:r>
              <w:rPr>
                <w:rFonts w:ascii="Arial" w:cs="Arial" w:eastAsia="Arial" w:hAnsi="Arial"/>
                <w:sz w:val="18"/>
                <w:szCs w:val="18"/>
                <w:color w:val="auto"/>
              </w:rPr>
              <w:t>issued and outstanding at March 31, 2019 and 2018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 $0.001 par value; 100,000,000 shares authorized at March 31, 2019 and 2018;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8820" w:type="dxa"/>
            <w:vAlign w:val="bottom"/>
            <w:gridSpan w:val="2"/>
          </w:tcPr>
          <w:p>
            <w:pPr>
              <w:ind w:left="580"/>
              <w:spacing w:after="0"/>
              <w:rPr>
                <w:sz w:val="20"/>
                <w:szCs w:val="20"/>
                <w:color w:val="auto"/>
              </w:rPr>
            </w:pPr>
            <w:r>
              <w:rPr>
                <w:rFonts w:ascii="Arial" w:cs="Arial" w:eastAsia="Arial" w:hAnsi="Arial"/>
                <w:sz w:val="18"/>
                <w:szCs w:val="18"/>
                <w:color w:val="auto"/>
              </w:rPr>
              <w:t>42,758,630 and 23,068,280 shares issued and outstanding at March 31, 2019 and March 31, 2018,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gridSpan w:val="2"/>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23,100</w:t>
            </w:r>
          </w:p>
        </w:tc>
        <w:tc>
          <w:tcPr>
            <w:tcW w:w="140" w:type="dxa"/>
            <w:vAlign w:val="bottom"/>
          </w:tcPr>
          <w:p>
            <w:pPr>
              <w:spacing w:after="0"/>
              <w:rPr>
                <w:sz w:val="19"/>
                <w:szCs w:val="19"/>
                <w:color w:val="auto"/>
              </w:rPr>
            </w:pPr>
          </w:p>
        </w:tc>
      </w:tr>
      <w:tr>
        <w:trPr>
          <w:trHeight w:val="21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192,129,900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167,401,400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Treasury stock, at cost, 135,665 shares of common stock held at March 31, 2019 and 2018</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2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(181,133,400)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(156,543,800)</w:t>
            </w:r>
          </w:p>
        </w:tc>
      </w:tr>
      <w:tr>
        <w:trPr>
          <w:trHeight w:val="223"/>
        </w:trPr>
        <w:tc>
          <w:tcPr>
            <w:tcW w:w="882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7,075,200</w:t>
            </w: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6,916,600</w:t>
            </w:r>
          </w:p>
        </w:tc>
        <w:tc>
          <w:tcPr>
            <w:tcW w:w="140" w:type="dxa"/>
            <w:vAlign w:val="bottom"/>
            <w:tcBorders>
              <w:top w:val="single" w:sz="8" w:color="CCEEFF"/>
            </w:tcBorders>
          </w:tcPr>
          <w:p>
            <w:pPr>
              <w:spacing w:after="0"/>
              <w:rPr>
                <w:sz w:val="19"/>
                <w:szCs w:val="19"/>
                <w:color w:val="auto"/>
              </w:rPr>
            </w:pPr>
          </w:p>
        </w:tc>
      </w:tr>
      <w:tr>
        <w:trPr>
          <w:trHeight w:val="257"/>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14,011,700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24,556,300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14,199,600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(24,556,300)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(14,199,600)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accounts payable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(24,587,000)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(14,343,500)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(24,589,600)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(14,345,900)</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(1,139,900)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Deemed dividend from trigger of down round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provision feature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(25,729,500)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(15,575,500)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28,562,490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13,890,041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7"/>
              </w:rPr>
              <w:t>(Amounts in dollars)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(24,589,600)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(14,345,900)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3,443,400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2,344,200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Expense related to modification of warrants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Fair value of common stock issued for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391,100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common stock issued for product licenses and option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Fair value of warrants issued for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on settlement of accounts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Receivable from supplier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Deferred rent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(14,527,500)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flows from property and investing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Purchases of equipment and acquisition of tenant improvements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17,041,000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16,722,300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exercise of warrants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notes payable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17,423,500</w:t>
            </w: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16,516,900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10,378,300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13,100,300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10,378,300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flow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Insurance premiums settled by issuing note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Deemed dividend from trigger of down round provision feature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settled by issuing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9" w:name="page90"/>
    <w:bookmarkEnd w:id="89"/>
    <w:p>
      <w:pPr>
        <w:spacing w:after="0" w:line="4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Fiscal Years Ended March 31, 2018 and 2019</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vMerge w:val="restart"/>
          </w:tcPr>
          <w:p>
            <w:pPr>
              <w:jc w:val="right"/>
              <w:ind w:right="126"/>
              <w:spacing w:after="0"/>
              <w:rPr>
                <w:sz w:val="20"/>
                <w:szCs w:val="20"/>
                <w:color w:val="auto"/>
              </w:rPr>
            </w:pPr>
            <w:r>
              <w:rPr>
                <w:rFonts w:ascii="Arial" w:cs="Arial" w:eastAsia="Arial" w:hAnsi="Arial"/>
                <w:sz w:val="15"/>
                <w:szCs w:val="15"/>
                <w:b w:val="1"/>
                <w:bCs w:val="1"/>
                <w:color w:val="auto"/>
              </w:rPr>
              <w:t>Series A Preferred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Common</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92"/>
              </w:rPr>
              <w:t>Additional</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right"/>
              <w:ind w:right="526"/>
              <w:spacing w:after="0"/>
              <w:rPr>
                <w:sz w:val="20"/>
                <w:szCs w:val="20"/>
                <w:color w:val="auto"/>
              </w:rPr>
            </w:pPr>
            <w:r>
              <w:rPr>
                <w:rFonts w:ascii="Arial" w:cs="Arial" w:eastAsia="Arial" w:hAnsi="Arial"/>
                <w:sz w:val="15"/>
                <w:szCs w:val="15"/>
                <w:b w:val="1"/>
                <w:bCs w:val="1"/>
                <w:color w:val="auto"/>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right"/>
              <w:spacing w:after="0"/>
              <w:rPr>
                <w:sz w:val="20"/>
                <w:szCs w:val="20"/>
                <w:color w:val="auto"/>
              </w:rPr>
            </w:pPr>
            <w:r>
              <w:rPr>
                <w:rFonts w:ascii="Arial" w:cs="Arial" w:eastAsia="Arial" w:hAnsi="Arial"/>
                <w:sz w:val="15"/>
                <w:szCs w:val="15"/>
                <w:b w:val="1"/>
                <w:bCs w:val="1"/>
                <w:color w:val="auto"/>
                <w:w w:val="88"/>
              </w:rPr>
              <w:t>Series B Preferred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right"/>
              <w:spacing w:after="0"/>
              <w:rPr>
                <w:sz w:val="20"/>
                <w:szCs w:val="20"/>
                <w:color w:val="auto"/>
              </w:rPr>
            </w:pPr>
            <w:r>
              <w:rPr>
                <w:rFonts w:ascii="Arial" w:cs="Arial" w:eastAsia="Arial" w:hAnsi="Arial"/>
                <w:sz w:val="15"/>
                <w:szCs w:val="15"/>
                <w:b w:val="1"/>
                <w:bCs w:val="1"/>
                <w:color w:val="auto"/>
                <w:w w:val="88"/>
              </w:rPr>
              <w:t>Series C Preferred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160"/>
              <w:spacing w:after="0"/>
              <w:rPr>
                <w:sz w:val="20"/>
                <w:szCs w:val="20"/>
                <w:color w:val="auto"/>
              </w:rPr>
            </w:pPr>
            <w:r>
              <w:rPr>
                <w:rFonts w:ascii="Arial" w:cs="Arial" w:eastAsia="Arial" w:hAnsi="Arial"/>
                <w:sz w:val="15"/>
                <w:szCs w:val="15"/>
                <w:b w:val="1"/>
                <w:bCs w:val="1"/>
                <w:color w:val="auto"/>
              </w:rPr>
              <w:t>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Paid-in</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94"/>
              </w:rPr>
              <w:t>Treasury</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w w:val="95"/>
              </w:rPr>
              <w:t>Accumulated</w:t>
            </w:r>
          </w:p>
        </w:tc>
        <w:tc>
          <w:tcPr>
            <w:tcW w:w="900" w:type="dxa"/>
            <w:vAlign w:val="bottom"/>
            <w:gridSpan w:val="3"/>
          </w:tcPr>
          <w:p>
            <w:pPr>
              <w:ind w:left="40"/>
              <w:spacing w:after="0"/>
              <w:rPr>
                <w:sz w:val="20"/>
                <w:szCs w:val="20"/>
                <w:color w:val="auto"/>
              </w:rPr>
            </w:pPr>
            <w:r>
              <w:rPr>
                <w:rFonts w:ascii="Arial" w:cs="Arial" w:eastAsia="Arial" w:hAnsi="Arial"/>
                <w:sz w:val="15"/>
                <w:szCs w:val="15"/>
                <w:b w:val="1"/>
                <w:bCs w:val="1"/>
                <w:color w:val="auto"/>
                <w:w w:val="84"/>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ind w:right="46"/>
              <w:spacing w:after="0" w:line="162" w:lineRule="exact"/>
              <w:rPr>
                <w:sz w:val="20"/>
                <w:szCs w:val="20"/>
                <w:color w:val="auto"/>
              </w:rPr>
            </w:pPr>
            <w:r>
              <w:rPr>
                <w:rFonts w:ascii="Arial" w:cs="Arial" w:eastAsia="Arial" w:hAnsi="Arial"/>
                <w:sz w:val="15"/>
                <w:szCs w:val="15"/>
                <w:b w:val="1"/>
                <w:bCs w:val="1"/>
                <w:color w:val="auto"/>
              </w:rPr>
              <w:t>Shares</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6"/>
              <w:spacing w:after="0" w:line="162" w:lineRule="exact"/>
              <w:rPr>
                <w:sz w:val="20"/>
                <w:szCs w:val="20"/>
                <w:color w:val="auto"/>
              </w:rPr>
            </w:pPr>
            <w:r>
              <w:rPr>
                <w:rFonts w:ascii="Arial" w:cs="Arial" w:eastAsia="Arial" w:hAnsi="Arial"/>
                <w:sz w:val="15"/>
                <w:szCs w:val="15"/>
                <w:b w:val="1"/>
                <w:bCs w:val="1"/>
                <w:color w:val="auto"/>
                <w:w w:val="88"/>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46"/>
              <w:spacing w:after="0" w:line="162" w:lineRule="exact"/>
              <w:rPr>
                <w:sz w:val="20"/>
                <w:szCs w:val="20"/>
                <w:color w:val="auto"/>
              </w:rPr>
            </w:pPr>
            <w:r>
              <w:rPr>
                <w:rFonts w:ascii="Arial" w:cs="Arial" w:eastAsia="Arial" w:hAnsi="Arial"/>
                <w:sz w:val="15"/>
                <w:szCs w:val="15"/>
                <w:b w:val="1"/>
                <w:bCs w:val="1"/>
                <w:color w:val="auto"/>
              </w:rPr>
              <w:t>Shares</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6"/>
              <w:spacing w:after="0" w:line="162" w:lineRule="exact"/>
              <w:rPr>
                <w:sz w:val="20"/>
                <w:szCs w:val="20"/>
                <w:color w:val="auto"/>
              </w:rPr>
            </w:pPr>
            <w:r>
              <w:rPr>
                <w:rFonts w:ascii="Arial" w:cs="Arial" w:eastAsia="Arial" w:hAnsi="Arial"/>
                <w:sz w:val="15"/>
                <w:szCs w:val="15"/>
                <w:b w:val="1"/>
                <w:bCs w:val="1"/>
                <w:color w:val="auto"/>
                <w:w w:val="88"/>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46"/>
              <w:spacing w:after="0" w:line="162" w:lineRule="exact"/>
              <w:rPr>
                <w:sz w:val="20"/>
                <w:szCs w:val="20"/>
                <w:color w:val="auto"/>
              </w:rPr>
            </w:pPr>
            <w:r>
              <w:rPr>
                <w:rFonts w:ascii="Arial" w:cs="Arial" w:eastAsia="Arial" w:hAnsi="Arial"/>
                <w:sz w:val="15"/>
                <w:szCs w:val="15"/>
                <w:b w:val="1"/>
                <w:bCs w:val="1"/>
                <w:color w:val="auto"/>
              </w:rPr>
              <w:t>Shares</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6"/>
              <w:spacing w:after="0" w:line="162" w:lineRule="exact"/>
              <w:rPr>
                <w:sz w:val="20"/>
                <w:szCs w:val="20"/>
                <w:color w:val="auto"/>
              </w:rPr>
            </w:pPr>
            <w:r>
              <w:rPr>
                <w:rFonts w:ascii="Arial" w:cs="Arial" w:eastAsia="Arial" w:hAnsi="Arial"/>
                <w:sz w:val="15"/>
                <w:szCs w:val="15"/>
                <w:b w:val="1"/>
                <w:bCs w:val="1"/>
                <w:color w:val="auto"/>
                <w:w w:val="88"/>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jc w:val="right"/>
              <w:ind w:right="46"/>
              <w:spacing w:after="0" w:line="162" w:lineRule="exact"/>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88"/>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Capital</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Stock</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line="162" w:lineRule="exact"/>
              <w:rPr>
                <w:sz w:val="20"/>
                <w:szCs w:val="20"/>
                <w:color w:val="auto"/>
              </w:rPr>
            </w:pPr>
            <w:r>
              <w:rPr>
                <w:rFonts w:ascii="Arial" w:cs="Arial" w:eastAsia="Arial" w:hAnsi="Arial"/>
                <w:sz w:val="15"/>
                <w:szCs w:val="15"/>
                <w:b w:val="1"/>
                <w:bCs w:val="1"/>
                <w:color w:val="auto"/>
              </w:rPr>
              <w:t>Deficit</w:t>
            </w:r>
          </w:p>
        </w:tc>
        <w:tc>
          <w:tcPr>
            <w:tcW w:w="900" w:type="dxa"/>
            <w:vAlign w:val="bottom"/>
            <w:gridSpan w:val="3"/>
          </w:tcPr>
          <w:p>
            <w:pPr>
              <w:jc w:val="center"/>
              <w:ind w:right="180"/>
              <w:spacing w:after="0" w:line="162" w:lineRule="exact"/>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Balances at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March 31,</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500,000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1,160,240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1,200</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2,318,012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8,974,386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9,000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$146,569,600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96"/>
              </w:rPr>
              <w:t>$(3,968,100)</w:t>
            </w:r>
          </w:p>
        </w:tc>
        <w:tc>
          <w:tcPr>
            <w:tcW w:w="10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2"/>
              </w:rPr>
              <w:t>$(141,998,700)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98"/>
              </w:rPr>
              <w:t>$  615,800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6"/>
              </w:rPr>
              <w:t>Proceeds from</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sale of</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w w:val="97"/>
              </w:rPr>
              <w:t>common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and warrants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for cash in</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September</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2017 Public</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Offering, net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of</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underwriting</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discount and</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expenses</w:t>
            </w: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5"/>
                <w:szCs w:val="15"/>
                <w:color w:val="auto"/>
              </w:rPr>
              <w:t>1,371,430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1,400</w:t>
            </w:r>
          </w:p>
        </w:tc>
        <w:tc>
          <w:tcPr>
            <w:tcW w:w="980" w:type="dxa"/>
            <w:vAlign w:val="bottom"/>
            <w:gridSpan w:val="4"/>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2,023,000</w:t>
            </w:r>
          </w:p>
        </w:tc>
        <w:tc>
          <w:tcPr>
            <w:tcW w:w="8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2,024,400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5"/>
                <w:szCs w:val="15"/>
                <w:color w:val="auto"/>
                <w:w w:val="96"/>
              </w:rPr>
              <w:t>Proceeds from</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sale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w w:val="99"/>
              </w:rPr>
              <w:t>common stock</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and warrants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for cash in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December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2017 Public</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Offering, 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underwriting</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discount and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line="172" w:lineRule="exact"/>
              <w:rPr>
                <w:sz w:val="20"/>
                <w:szCs w:val="20"/>
                <w:color w:val="auto"/>
              </w:rPr>
            </w:pPr>
            <w:r>
              <w:rPr>
                <w:rFonts w:ascii="Arial" w:cs="Arial" w:eastAsia="Arial" w:hAnsi="Arial"/>
                <w:sz w:val="15"/>
                <w:szCs w:val="15"/>
                <w:color w:val="auto"/>
              </w:rPr>
              <w:t>expenses</w:t>
            </w: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960" w:type="dxa"/>
            <w:vAlign w:val="bottom"/>
            <w:gridSpan w:val="4"/>
          </w:tcPr>
          <w:p>
            <w:pPr>
              <w:jc w:val="right"/>
              <w:ind w:right="80"/>
              <w:spacing w:after="0" w:line="172" w:lineRule="exact"/>
              <w:rPr>
                <w:sz w:val="20"/>
                <w:szCs w:val="20"/>
                <w:color w:val="auto"/>
              </w:rPr>
            </w:pPr>
            <w:r>
              <w:rPr>
                <w:rFonts w:ascii="Arial" w:cs="Arial" w:eastAsia="Arial" w:hAnsi="Arial"/>
                <w:sz w:val="15"/>
                <w:szCs w:val="15"/>
                <w:color w:val="auto"/>
              </w:rPr>
              <w:t>10,000,000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10,000</w:t>
            </w:r>
          </w:p>
        </w:tc>
        <w:tc>
          <w:tcPr>
            <w:tcW w:w="980" w:type="dxa"/>
            <w:vAlign w:val="bottom"/>
            <w:gridSpan w:val="4"/>
          </w:tcPr>
          <w:p>
            <w:pPr>
              <w:jc w:val="right"/>
              <w:ind w:right="100"/>
              <w:spacing w:after="0" w:line="172" w:lineRule="exact"/>
              <w:rPr>
                <w:sz w:val="20"/>
                <w:szCs w:val="20"/>
                <w:color w:val="auto"/>
              </w:rPr>
            </w:pPr>
            <w:r>
              <w:rPr>
                <w:rFonts w:ascii="Arial" w:cs="Arial" w:eastAsia="Arial" w:hAnsi="Arial"/>
                <w:sz w:val="15"/>
                <w:szCs w:val="15"/>
                <w:color w:val="auto"/>
              </w:rPr>
              <w:t>13,614,000</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w w:val="93"/>
              </w:rPr>
              <w:t>13,624,000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6"/>
              </w:rPr>
              <w:t>Proceeds from</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sale of</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w w:val="97"/>
              </w:rPr>
              <w:t>common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and warrants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for cash in</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private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placement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offerings</w:t>
            </w: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5"/>
                <w:szCs w:val="15"/>
                <w:color w:val="auto"/>
              </w:rPr>
              <w:t>616,323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600</w:t>
            </w:r>
          </w:p>
        </w:tc>
        <w:tc>
          <w:tcPr>
            <w:tcW w:w="980" w:type="dxa"/>
            <w:vAlign w:val="bottom"/>
            <w:gridSpan w:val="4"/>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1,072,600</w:t>
            </w:r>
          </w:p>
        </w:tc>
        <w:tc>
          <w:tcPr>
            <w:tcW w:w="8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1,073,200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5"/>
                <w:szCs w:val="15"/>
                <w:color w:val="auto"/>
                <w:w w:val="96"/>
              </w:rPr>
              <w:t>Proceeds from</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exercise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line="172" w:lineRule="exact"/>
              <w:rPr>
                <w:sz w:val="20"/>
                <w:szCs w:val="20"/>
                <w:color w:val="auto"/>
              </w:rPr>
            </w:pPr>
            <w:r>
              <w:rPr>
                <w:rFonts w:ascii="Arial" w:cs="Arial" w:eastAsia="Arial" w:hAnsi="Arial"/>
                <w:sz w:val="15"/>
                <w:szCs w:val="15"/>
                <w:color w:val="auto"/>
              </w:rPr>
              <w:t>warrants</w:t>
            </w: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503,641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500</w:t>
            </w:r>
          </w:p>
        </w:tc>
        <w:tc>
          <w:tcPr>
            <w:tcW w:w="980" w:type="dxa"/>
            <w:vAlign w:val="bottom"/>
            <w:gridSpan w:val="4"/>
          </w:tcPr>
          <w:p>
            <w:pPr>
              <w:jc w:val="right"/>
              <w:ind w:right="100"/>
              <w:spacing w:after="0" w:line="17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Accrued</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dividends on</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Series B</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Preferred</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stock</w:t>
            </w: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40"/>
              <w:spacing w:after="0" w:line="172" w:lineRule="exact"/>
              <w:rPr>
                <w:sz w:val="20"/>
                <w:szCs w:val="20"/>
                <w:color w:val="auto"/>
              </w:rPr>
            </w:pPr>
            <w:r>
              <w:rPr>
                <w:rFonts w:ascii="Arial" w:cs="Arial" w:eastAsia="Arial" w:hAnsi="Arial"/>
                <w:sz w:val="15"/>
                <w:szCs w:val="15"/>
                <w:color w:val="auto"/>
              </w:rPr>
              <w:t>(1,030,400)</w:t>
            </w:r>
          </w:p>
        </w:tc>
        <w:tc>
          <w:tcPr>
            <w:tcW w:w="8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5"/>
                <w:szCs w:val="15"/>
                <w:color w:val="auto"/>
                <w:w w:val="99"/>
              </w:rPr>
              <w:t>(1,030,400)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5"/>
                <w:szCs w:val="15"/>
                <w:color w:val="auto"/>
              </w:rPr>
              <w:t>Stock-based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compensation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line="172" w:lineRule="exact"/>
              <w:rPr>
                <w:sz w:val="20"/>
                <w:szCs w:val="20"/>
                <w:color w:val="auto"/>
              </w:rPr>
            </w:pPr>
            <w:r>
              <w:rPr>
                <w:rFonts w:ascii="Arial" w:cs="Arial" w:eastAsia="Arial" w:hAnsi="Arial"/>
                <w:sz w:val="15"/>
                <w:szCs w:val="15"/>
                <w:color w:val="auto"/>
              </w:rPr>
              <w:t>expense</w:t>
            </w: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4"/>
          </w:tcPr>
          <w:p>
            <w:pPr>
              <w:jc w:val="right"/>
              <w:ind w:right="100"/>
              <w:spacing w:after="0" w:line="172" w:lineRule="exact"/>
              <w:rPr>
                <w:sz w:val="20"/>
                <w:szCs w:val="20"/>
                <w:color w:val="auto"/>
              </w:rPr>
            </w:pPr>
            <w:r>
              <w:rPr>
                <w:rFonts w:ascii="Arial" w:cs="Arial" w:eastAsia="Arial" w:hAnsi="Arial"/>
                <w:sz w:val="15"/>
                <w:szCs w:val="15"/>
                <w:color w:val="auto"/>
              </w:rPr>
              <w:t>2,344,100</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2,344,100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Fair value of</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w w:val="97"/>
              </w:rPr>
              <w:t>common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granted for</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services</w:t>
            </w: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5"/>
                <w:szCs w:val="15"/>
                <w:color w:val="auto"/>
              </w:rPr>
              <w:t>1,102,500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1,100</w:t>
            </w:r>
          </w:p>
        </w:tc>
        <w:tc>
          <w:tcPr>
            <w:tcW w:w="980" w:type="dxa"/>
            <w:vAlign w:val="bottom"/>
            <w:gridSpan w:val="4"/>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1,732,100</w:t>
            </w:r>
          </w:p>
        </w:tc>
        <w:tc>
          <w:tcPr>
            <w:tcW w:w="8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1,733,200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5"/>
                <w:szCs w:val="15"/>
                <w:color w:val="auto"/>
              </w:rPr>
              <w:t>Fair value of</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w w:val="99"/>
              </w:rPr>
              <w:t>common stock</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granted in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settlement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accounts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line="172" w:lineRule="exact"/>
              <w:rPr>
                <w:sz w:val="20"/>
                <w:szCs w:val="20"/>
                <w:color w:val="auto"/>
              </w:rPr>
            </w:pPr>
            <w:r>
              <w:rPr>
                <w:rFonts w:ascii="Arial" w:cs="Arial" w:eastAsia="Arial" w:hAnsi="Arial"/>
                <w:sz w:val="15"/>
                <w:szCs w:val="15"/>
                <w:color w:val="auto"/>
              </w:rPr>
              <w:t>payable</w:t>
            </w: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500,000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500</w:t>
            </w:r>
          </w:p>
        </w:tc>
        <w:tc>
          <w:tcPr>
            <w:tcW w:w="980" w:type="dxa"/>
            <w:vAlign w:val="bottom"/>
            <w:gridSpan w:val="4"/>
          </w:tcPr>
          <w:p>
            <w:pPr>
              <w:jc w:val="right"/>
              <w:ind w:right="100"/>
              <w:spacing w:after="0" w:line="172" w:lineRule="exact"/>
              <w:rPr>
                <w:sz w:val="20"/>
                <w:szCs w:val="20"/>
                <w:color w:val="auto"/>
              </w:rPr>
            </w:pPr>
            <w:r>
              <w:rPr>
                <w:rFonts w:ascii="Arial" w:cs="Arial" w:eastAsia="Arial" w:hAnsi="Arial"/>
                <w:sz w:val="15"/>
                <w:szCs w:val="15"/>
                <w:color w:val="auto"/>
              </w:rPr>
              <w:t>584,500</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585,000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5"/>
              </w:rPr>
              <w:t>Increase in fair</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value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attributable to</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warrant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modifications</w:t>
            </w: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292,700</w:t>
            </w:r>
          </w:p>
        </w:tc>
        <w:tc>
          <w:tcPr>
            <w:tcW w:w="8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292,700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5"/>
                <w:szCs w:val="15"/>
                <w:color w:val="auto"/>
              </w:rPr>
              <w:t>Deemed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dividend from</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trigger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down round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provision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line="172" w:lineRule="exact"/>
              <w:rPr>
                <w:sz w:val="20"/>
                <w:szCs w:val="20"/>
                <w:color w:val="auto"/>
              </w:rPr>
            </w:pPr>
            <w:r>
              <w:rPr>
                <w:rFonts w:ascii="Arial" w:cs="Arial" w:eastAsia="Arial" w:hAnsi="Arial"/>
                <w:sz w:val="15"/>
                <w:szCs w:val="15"/>
                <w:color w:val="auto"/>
              </w:rPr>
              <w:t>feature</w:t>
            </w: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4"/>
          </w:tcPr>
          <w:p>
            <w:pPr>
              <w:jc w:val="right"/>
              <w:ind w:right="100"/>
              <w:spacing w:after="0" w:line="172" w:lineRule="exact"/>
              <w:rPr>
                <w:sz w:val="20"/>
                <w:szCs w:val="20"/>
                <w:color w:val="auto"/>
              </w:rPr>
            </w:pPr>
            <w:r>
              <w:rPr>
                <w:rFonts w:ascii="Arial" w:cs="Arial" w:eastAsia="Arial" w:hAnsi="Arial"/>
                <w:sz w:val="15"/>
                <w:szCs w:val="15"/>
                <w:color w:val="auto"/>
              </w:rPr>
              <w:t>199,200</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3"/>
          </w:tcPr>
          <w:p>
            <w:pPr>
              <w:jc w:val="right"/>
              <w:ind w:right="140"/>
              <w:spacing w:after="0" w:line="172" w:lineRule="exact"/>
              <w:rPr>
                <w:sz w:val="20"/>
                <w:szCs w:val="20"/>
                <w:color w:val="auto"/>
              </w:rPr>
            </w:pPr>
            <w:r>
              <w:rPr>
                <w:rFonts w:ascii="Arial" w:cs="Arial" w:eastAsia="Arial" w:hAnsi="Arial"/>
                <w:sz w:val="15"/>
                <w:szCs w:val="15"/>
                <w:color w:val="auto"/>
              </w:rPr>
              <w:t>(199,200)</w:t>
            </w:r>
          </w:p>
        </w:tc>
        <w:tc>
          <w:tcPr>
            <w:tcW w:w="8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Net loss for</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the fiscal year</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ended March</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31, 2018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4"/>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40"/>
              <w:spacing w:after="0" w:line="172" w:lineRule="exact"/>
              <w:rPr>
                <w:sz w:val="20"/>
                <w:szCs w:val="20"/>
                <w:color w:val="auto"/>
              </w:rPr>
            </w:pPr>
            <w:r>
              <w:rPr>
                <w:rFonts w:ascii="Arial" w:cs="Arial" w:eastAsia="Arial" w:hAnsi="Arial"/>
                <w:sz w:val="15"/>
                <w:szCs w:val="15"/>
                <w:color w:val="auto"/>
                <w:w w:val="98"/>
              </w:rPr>
              <w:t>(14,345,900)</w:t>
            </w:r>
          </w:p>
        </w:tc>
        <w:tc>
          <w:tcPr>
            <w:tcW w:w="82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5"/>
                <w:szCs w:val="15"/>
                <w:color w:val="auto"/>
                <w:w w:val="89"/>
              </w:rPr>
              <w:t>(14,345,900)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Balances at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March 31,</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500,000</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w:t>
            </w: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1,160,240</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1,200</w:t>
            </w: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2,318,012</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2,300</w:t>
            </w: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23,068,280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23,100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167,401,400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u w:val="single" w:color="auto"/>
                <w:color w:val="auto"/>
                <w:w w:val="96"/>
              </w:rPr>
              <w:t>$</w:t>
            </w:r>
            <w:r>
              <w:rPr>
                <w:rFonts w:ascii="Arial" w:cs="Arial" w:eastAsia="Arial" w:hAnsi="Arial"/>
                <w:sz w:val="15"/>
                <w:szCs w:val="15"/>
                <w:b w:val="1"/>
                <w:bCs w:val="1"/>
                <w:color w:val="auto"/>
                <w:w w:val="96"/>
              </w:rPr>
              <w:t>(3,968,100)</w:t>
            </w:r>
          </w:p>
        </w:tc>
        <w:tc>
          <w:tcPr>
            <w:tcW w:w="1820" w:type="dxa"/>
            <w:vAlign w:val="bottom"/>
            <w:gridSpan w:val="5"/>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(156,543,800) $ 6,916,600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980" w:type="dxa"/>
            <w:vAlign w:val="bottom"/>
            <w:gridSpan w:val="3"/>
          </w:tcPr>
          <w:p>
            <w:pPr>
              <w:spacing w:after="0"/>
              <w:rPr>
                <w:sz w:val="20"/>
                <w:szCs w:val="20"/>
                <w:color w:val="auto"/>
              </w:rPr>
            </w:pPr>
            <w:r>
              <w:rPr>
                <w:rFonts w:ascii="Arial" w:cs="Arial" w:eastAsia="Arial" w:hAnsi="Arial"/>
                <w:sz w:val="15"/>
                <w:szCs w:val="15"/>
                <w:color w:val="auto"/>
                <w:w w:val="98"/>
              </w:rPr>
              <w:t>Proceeds from</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color w:val="auto"/>
              </w:rPr>
              <w:t>11,500,000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11,500</w:t>
            </w:r>
          </w:p>
        </w:tc>
        <w:tc>
          <w:tcPr>
            <w:tcW w:w="980" w:type="dxa"/>
            <w:vAlign w:val="bottom"/>
            <w:gridSpan w:val="4"/>
          </w:tcPr>
          <w:p>
            <w:pPr>
              <w:jc w:val="right"/>
              <w:ind w:right="100"/>
              <w:spacing w:after="0"/>
              <w:rPr>
                <w:sz w:val="20"/>
                <w:szCs w:val="20"/>
                <w:color w:val="auto"/>
              </w:rPr>
            </w:pPr>
            <w:r>
              <w:rPr>
                <w:rFonts w:ascii="Arial" w:cs="Arial" w:eastAsia="Arial" w:hAnsi="Arial"/>
                <w:sz w:val="15"/>
                <w:szCs w:val="15"/>
                <w:color w:val="auto"/>
              </w:rPr>
              <w:t>10,376,900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10,388,400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gridSpan w:val="3"/>
          </w:tcPr>
          <w:p>
            <w:pPr>
              <w:spacing w:after="0" w:line="162" w:lineRule="exact"/>
              <w:rPr>
                <w:sz w:val="20"/>
                <w:szCs w:val="20"/>
                <w:color w:val="auto"/>
              </w:rPr>
            </w:pPr>
            <w:r>
              <w:rPr>
                <w:rFonts w:ascii="Arial" w:cs="Arial" w:eastAsia="Arial" w:hAnsi="Arial"/>
                <w:sz w:val="15"/>
                <w:szCs w:val="15"/>
                <w:color w:val="auto"/>
              </w:rPr>
              <w:t>sale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gridSpan w:val="3"/>
          </w:tcPr>
          <w:p>
            <w:pPr>
              <w:spacing w:after="0"/>
              <w:rPr>
                <w:sz w:val="20"/>
                <w:szCs w:val="20"/>
                <w:color w:val="auto"/>
              </w:rPr>
            </w:pPr>
            <w:r>
              <w:rPr>
                <w:rFonts w:ascii="Arial" w:cs="Arial" w:eastAsia="Arial" w:hAnsi="Arial"/>
                <w:sz w:val="15"/>
                <w:szCs w:val="15"/>
                <w:color w:val="auto"/>
                <w:w w:val="99"/>
              </w:rPr>
              <w:t>common stock</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739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73914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5"/>
          <w:szCs w:val="15"/>
          <w:color w:val="auto"/>
        </w:rPr>
        <w:t>for cash in</w:t>
      </w:r>
    </w:p>
    <w:p>
      <w:pPr>
        <w:spacing w:after="0" w:line="226" w:lineRule="auto"/>
        <w:rPr>
          <w:sz w:val="20"/>
          <w:szCs w:val="20"/>
          <w:color w:val="auto"/>
        </w:rPr>
      </w:pPr>
      <w:r>
        <w:rPr>
          <w:rFonts w:ascii="Arial" w:cs="Arial" w:eastAsia="Arial" w:hAnsi="Arial"/>
          <w:sz w:val="15"/>
          <w:szCs w:val="15"/>
          <w:color w:val="auto"/>
        </w:rPr>
        <w:t>February 2019</w:t>
      </w:r>
    </w:p>
    <w:p>
      <w:pPr>
        <w:spacing w:after="0" w:line="225" w:lineRule="auto"/>
        <w:rPr>
          <w:sz w:val="20"/>
          <w:szCs w:val="20"/>
          <w:color w:val="auto"/>
        </w:rPr>
      </w:pPr>
      <w:r>
        <w:rPr>
          <w:rFonts w:ascii="Arial" w:cs="Arial" w:eastAsia="Arial" w:hAnsi="Arial"/>
          <w:sz w:val="15"/>
          <w:szCs w:val="15"/>
          <w:color w:val="auto"/>
        </w:rPr>
        <w:t>Public</w:t>
      </w:r>
    </w:p>
    <w:p>
      <w:pPr>
        <w:spacing w:after="0"/>
        <w:rPr>
          <w:sz w:val="20"/>
          <w:szCs w:val="20"/>
          <w:color w:val="auto"/>
        </w:rPr>
      </w:pPr>
      <w:r>
        <w:rPr>
          <w:rFonts w:ascii="Arial" w:cs="Arial" w:eastAsia="Arial" w:hAnsi="Arial"/>
          <w:sz w:val="15"/>
          <w:szCs w:val="15"/>
          <w:color w:val="auto"/>
        </w:rPr>
        <w:t>Offering, net</w:t>
      </w:r>
    </w:p>
    <w:p>
      <w:pPr>
        <w:sectPr>
          <w:pgSz w:w="11900" w:h="16883" w:orient="portrait"/>
          <w:cols w:equalWidth="0" w:num="1">
            <w:col w:w="11500"/>
          </w:cols>
          <w:pgMar w:left="240" w:top="131" w:right="159" w:bottom="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15"/>
          <w:szCs w:val="15"/>
          <w:color w:val="auto"/>
        </w:rPr>
        <w:t>underwriting</w:t>
      </w:r>
    </w:p>
    <w:p>
      <w:pPr>
        <w:spacing w:after="0" w:line="226" w:lineRule="auto"/>
        <w:rPr>
          <w:sz w:val="20"/>
          <w:szCs w:val="20"/>
          <w:color w:val="auto"/>
        </w:rPr>
      </w:pPr>
      <w:r>
        <w:rPr>
          <w:rFonts w:ascii="Arial" w:cs="Arial" w:eastAsia="Arial" w:hAnsi="Arial"/>
          <w:sz w:val="15"/>
          <w:szCs w:val="15"/>
          <w:color w:val="auto"/>
        </w:rPr>
        <w:t>discount and</w:t>
      </w:r>
    </w:p>
    <w:p>
      <w:pPr>
        <w:spacing w:after="0" w:line="225" w:lineRule="auto"/>
        <w:rPr>
          <w:sz w:val="20"/>
          <w:szCs w:val="20"/>
          <w:color w:val="auto"/>
        </w:rPr>
      </w:pPr>
      <w:r>
        <w:rPr>
          <w:rFonts w:ascii="Arial" w:cs="Arial" w:eastAsia="Arial" w:hAnsi="Arial"/>
          <w:sz w:val="15"/>
          <w:szCs w:val="15"/>
          <w:color w:val="auto"/>
        </w:rPr>
        <w:t>expenses</w:t>
      </w:r>
    </w:p>
    <w:tbl>
      <w:tblPr>
        <w:tblLayout w:type="fixed"/>
        <w:tblInd w:w="0" w:type="dxa"/>
        <w:tblCellMar>
          <w:top w:w="0" w:type="dxa"/>
          <w:left w:w="0" w:type="dxa"/>
          <w:bottom w:w="0" w:type="dxa"/>
          <w:right w:w="0" w:type="dxa"/>
        </w:tblCellMar>
      </w:tblPr>
      <w:tr>
        <w:trPr>
          <w:trHeight w:val="151"/>
        </w:trPr>
        <w:tc>
          <w:tcPr>
            <w:tcW w:w="900" w:type="dxa"/>
            <w:vAlign w:val="bottom"/>
            <w:gridSpan w:val="2"/>
          </w:tcPr>
          <w:p>
            <w:pPr>
              <w:spacing w:after="0" w:line="151" w:lineRule="exact"/>
              <w:rPr>
                <w:sz w:val="20"/>
                <w:szCs w:val="20"/>
                <w:color w:val="auto"/>
              </w:rPr>
            </w:pPr>
            <w:r>
              <w:rPr>
                <w:rFonts w:ascii="Arial" w:cs="Arial" w:eastAsia="Arial" w:hAnsi="Arial"/>
                <w:sz w:val="15"/>
                <w:szCs w:val="15"/>
                <w:color w:val="auto"/>
                <w:w w:val="90"/>
              </w:rPr>
              <w:t>Proceeds from</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sale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w w:val="90"/>
              </w:rPr>
              <w:t>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and warrants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for cash and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settlement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professional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services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payable in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private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placement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00" w:type="dxa"/>
            <w:vAlign w:val="bottom"/>
            <w:gridSpan w:val="2"/>
          </w:tcPr>
          <w:p>
            <w:pPr>
              <w:spacing w:after="0" w:line="172" w:lineRule="exact"/>
              <w:rPr>
                <w:sz w:val="20"/>
                <w:szCs w:val="20"/>
                <w:color w:val="auto"/>
              </w:rPr>
            </w:pPr>
            <w:r>
              <w:rPr>
                <w:rFonts w:ascii="Arial" w:cs="Arial" w:eastAsia="Arial" w:hAnsi="Arial"/>
                <w:sz w:val="15"/>
                <w:szCs w:val="15"/>
                <w:color w:val="auto"/>
              </w:rPr>
              <w:t>offerings</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5,025,939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Arial" w:cs="Arial" w:eastAsia="Arial" w:hAnsi="Arial"/>
                <w:sz w:val="15"/>
                <w:szCs w:val="15"/>
                <w:color w:val="auto"/>
              </w:rPr>
              <w:t>5,000</w:t>
            </w:r>
          </w:p>
        </w:tc>
        <w:tc>
          <w:tcPr>
            <w:tcW w:w="980" w:type="dxa"/>
            <w:vAlign w:val="bottom"/>
            <w:gridSpan w:val="3"/>
          </w:tcPr>
          <w:p>
            <w:pPr>
              <w:jc w:val="right"/>
              <w:ind w:right="100"/>
              <w:spacing w:after="0" w:line="172" w:lineRule="exact"/>
              <w:rPr>
                <w:sz w:val="20"/>
                <w:szCs w:val="20"/>
                <w:color w:val="auto"/>
              </w:rPr>
            </w:pPr>
            <w:r>
              <w:rPr>
                <w:rFonts w:ascii="Arial" w:cs="Arial" w:eastAsia="Arial" w:hAnsi="Arial"/>
                <w:sz w:val="15"/>
                <w:szCs w:val="15"/>
                <w:color w:val="auto"/>
              </w:rPr>
              <w:t>6,626,400</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6,631,400</w:t>
            </w: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88"/>
              </w:rPr>
              <w:t>Proceeds from</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warrants</w:t>
            </w: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403,800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400</w:t>
            </w:r>
          </w:p>
        </w:tc>
        <w:tc>
          <w:tcPr>
            <w:tcW w:w="980" w:type="dxa"/>
            <w:vAlign w:val="bottom"/>
            <w:gridSpan w:val="3"/>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605,300</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605,700</w:t>
            </w:r>
          </w:p>
        </w:tc>
      </w:tr>
      <w:tr>
        <w:trPr>
          <w:trHeight w:val="153"/>
        </w:trPr>
        <w:tc>
          <w:tcPr>
            <w:tcW w:w="20" w:type="dxa"/>
            <w:vAlign w:val="bottom"/>
          </w:tcPr>
          <w:p>
            <w:pPr>
              <w:spacing w:after="0"/>
              <w:rPr>
                <w:sz w:val="13"/>
                <w:szCs w:val="13"/>
                <w:color w:val="auto"/>
              </w:rPr>
            </w:pPr>
          </w:p>
        </w:tc>
        <w:tc>
          <w:tcPr>
            <w:tcW w:w="880" w:type="dxa"/>
            <w:vAlign w:val="bottom"/>
          </w:tcPr>
          <w:p>
            <w:pPr>
              <w:spacing w:after="0" w:line="153" w:lineRule="exact"/>
              <w:rPr>
                <w:sz w:val="20"/>
                <w:szCs w:val="20"/>
                <w:color w:val="auto"/>
              </w:rPr>
            </w:pPr>
            <w:r>
              <w:rPr>
                <w:rFonts w:ascii="Arial" w:cs="Arial" w:eastAsia="Arial" w:hAnsi="Arial"/>
                <w:sz w:val="15"/>
                <w:szCs w:val="15"/>
                <w:color w:val="auto"/>
                <w:w w:val="88"/>
              </w:rPr>
              <w:t>Proceeds from</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exercise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00" w:type="dxa"/>
            <w:vAlign w:val="bottom"/>
            <w:gridSpan w:val="2"/>
          </w:tcPr>
          <w:p>
            <w:pPr>
              <w:spacing w:after="0" w:line="172" w:lineRule="exact"/>
              <w:rPr>
                <w:sz w:val="20"/>
                <w:szCs w:val="20"/>
                <w:color w:val="auto"/>
              </w:rPr>
            </w:pPr>
            <w:r>
              <w:rPr>
                <w:rFonts w:ascii="Arial" w:cs="Arial" w:eastAsia="Arial" w:hAnsi="Arial"/>
                <w:sz w:val="15"/>
                <w:szCs w:val="15"/>
                <w:color w:val="auto"/>
              </w:rPr>
              <w:t>stock options</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29,250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00"/>
              <w:spacing w:after="0" w:line="172" w:lineRule="exact"/>
              <w:rPr>
                <w:sz w:val="20"/>
                <w:szCs w:val="20"/>
                <w:color w:val="auto"/>
              </w:rPr>
            </w:pPr>
            <w:r>
              <w:rPr>
                <w:rFonts w:ascii="Arial" w:cs="Arial" w:eastAsia="Arial" w:hAnsi="Arial"/>
                <w:sz w:val="15"/>
                <w:szCs w:val="15"/>
                <w:color w:val="auto"/>
              </w:rPr>
              <w:t>43,900</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43,900</w:t>
            </w: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Accrued</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dividends on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Series B</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Preferred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stock</w:t>
            </w: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40"/>
              <w:spacing w:after="0" w:line="172" w:lineRule="exact"/>
              <w:rPr>
                <w:sz w:val="20"/>
                <w:szCs w:val="20"/>
                <w:color w:val="auto"/>
              </w:rPr>
            </w:pPr>
            <w:r>
              <w:rPr>
                <w:rFonts w:ascii="Arial" w:cs="Arial" w:eastAsia="Arial" w:hAnsi="Arial"/>
                <w:sz w:val="15"/>
                <w:szCs w:val="15"/>
                <w:color w:val="auto"/>
              </w:rPr>
              <w:t>(1,139,900)</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5"/>
                <w:szCs w:val="15"/>
                <w:color w:val="auto"/>
              </w:rPr>
              <w:t>(1,139,900)</w:t>
            </w:r>
          </w:p>
        </w:tc>
      </w:tr>
      <w:tr>
        <w:trPr>
          <w:trHeight w:val="153"/>
        </w:trPr>
        <w:tc>
          <w:tcPr>
            <w:tcW w:w="20" w:type="dxa"/>
            <w:vAlign w:val="bottom"/>
          </w:tcPr>
          <w:p>
            <w:pPr>
              <w:spacing w:after="0"/>
              <w:rPr>
                <w:sz w:val="13"/>
                <w:szCs w:val="13"/>
                <w:color w:val="auto"/>
              </w:rPr>
            </w:pPr>
          </w:p>
        </w:tc>
        <w:tc>
          <w:tcPr>
            <w:tcW w:w="880" w:type="dxa"/>
            <w:vAlign w:val="bottom"/>
          </w:tcPr>
          <w:p>
            <w:pPr>
              <w:spacing w:after="0" w:line="153" w:lineRule="exact"/>
              <w:rPr>
                <w:sz w:val="20"/>
                <w:szCs w:val="20"/>
                <w:color w:val="auto"/>
              </w:rPr>
            </w:pPr>
            <w:r>
              <w:rPr>
                <w:rFonts w:ascii="Arial" w:cs="Arial" w:eastAsia="Arial" w:hAnsi="Arial"/>
                <w:sz w:val="15"/>
                <w:szCs w:val="15"/>
                <w:color w:val="auto"/>
              </w:rPr>
              <w:t>Stock-based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w w:val="94"/>
              </w:rPr>
              <w:t>compensation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00" w:type="dxa"/>
            <w:vAlign w:val="bottom"/>
            <w:gridSpan w:val="2"/>
          </w:tcPr>
          <w:p>
            <w:pPr>
              <w:spacing w:after="0" w:line="172" w:lineRule="exact"/>
              <w:rPr>
                <w:sz w:val="20"/>
                <w:szCs w:val="20"/>
                <w:color w:val="auto"/>
              </w:rPr>
            </w:pPr>
            <w:r>
              <w:rPr>
                <w:rFonts w:ascii="Arial" w:cs="Arial" w:eastAsia="Arial" w:hAnsi="Arial"/>
                <w:sz w:val="15"/>
                <w:szCs w:val="15"/>
                <w:color w:val="auto"/>
              </w:rPr>
              <w:t>expense</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00"/>
              <w:spacing w:after="0" w:line="172" w:lineRule="exact"/>
              <w:rPr>
                <w:sz w:val="20"/>
                <w:szCs w:val="20"/>
                <w:color w:val="auto"/>
              </w:rPr>
            </w:pPr>
            <w:r>
              <w:rPr>
                <w:rFonts w:ascii="Arial" w:cs="Arial" w:eastAsia="Arial" w:hAnsi="Arial"/>
                <w:sz w:val="15"/>
                <w:szCs w:val="15"/>
                <w:color w:val="auto"/>
              </w:rPr>
              <w:t>3,443,400</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3,443,400</w:t>
            </w: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Fair value of</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88"/>
              </w:rPr>
              <w:t>common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issued for</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87"/>
              </w:rPr>
              <w:t>PH94B license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and PH10</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option and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license</w:t>
            </w: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2,556,361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2,600</w:t>
            </w:r>
          </w:p>
        </w:tc>
        <w:tc>
          <w:tcPr>
            <w:tcW w:w="980" w:type="dxa"/>
            <w:vAlign w:val="bottom"/>
            <w:gridSpan w:val="3"/>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4,247,400</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4,250,000</w:t>
            </w:r>
          </w:p>
        </w:tc>
      </w:tr>
      <w:tr>
        <w:trPr>
          <w:trHeight w:val="153"/>
        </w:trPr>
        <w:tc>
          <w:tcPr>
            <w:tcW w:w="20" w:type="dxa"/>
            <w:vAlign w:val="bottom"/>
          </w:tcPr>
          <w:p>
            <w:pPr>
              <w:spacing w:after="0"/>
              <w:rPr>
                <w:sz w:val="13"/>
                <w:szCs w:val="13"/>
                <w:color w:val="auto"/>
              </w:rPr>
            </w:pPr>
          </w:p>
        </w:tc>
        <w:tc>
          <w:tcPr>
            <w:tcW w:w="880" w:type="dxa"/>
            <w:vAlign w:val="bottom"/>
          </w:tcPr>
          <w:p>
            <w:pPr>
              <w:spacing w:after="0" w:line="153" w:lineRule="exact"/>
              <w:rPr>
                <w:sz w:val="20"/>
                <w:szCs w:val="20"/>
                <w:color w:val="auto"/>
              </w:rPr>
            </w:pPr>
            <w:r>
              <w:rPr>
                <w:rFonts w:ascii="Arial" w:cs="Arial" w:eastAsia="Arial" w:hAnsi="Arial"/>
                <w:sz w:val="15"/>
                <w:szCs w:val="15"/>
                <w:color w:val="auto"/>
              </w:rPr>
              <w:t>Fair value of</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w w:val="90"/>
              </w:rPr>
              <w:t>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and warrants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issued for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00" w:type="dxa"/>
            <w:vAlign w:val="bottom"/>
            <w:gridSpan w:val="2"/>
          </w:tcPr>
          <w:p>
            <w:pPr>
              <w:spacing w:after="0" w:line="172" w:lineRule="exact"/>
              <w:rPr>
                <w:sz w:val="20"/>
                <w:szCs w:val="20"/>
                <w:color w:val="auto"/>
              </w:rPr>
            </w:pPr>
            <w:r>
              <w:rPr>
                <w:rFonts w:ascii="Arial" w:cs="Arial" w:eastAsia="Arial" w:hAnsi="Arial"/>
                <w:sz w:val="15"/>
                <w:szCs w:val="15"/>
                <w:color w:val="auto"/>
              </w:rPr>
              <w:t>services</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175,000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Arial" w:cs="Arial" w:eastAsia="Arial" w:hAnsi="Arial"/>
                <w:sz w:val="15"/>
                <w:szCs w:val="15"/>
                <w:color w:val="auto"/>
              </w:rPr>
              <w:t>200</w:t>
            </w:r>
          </w:p>
        </w:tc>
        <w:tc>
          <w:tcPr>
            <w:tcW w:w="980" w:type="dxa"/>
            <w:vAlign w:val="bottom"/>
            <w:gridSpan w:val="3"/>
          </w:tcPr>
          <w:p>
            <w:pPr>
              <w:jc w:val="right"/>
              <w:ind w:right="100"/>
              <w:spacing w:after="0" w:line="172" w:lineRule="exact"/>
              <w:rPr>
                <w:sz w:val="20"/>
                <w:szCs w:val="20"/>
                <w:color w:val="auto"/>
              </w:rPr>
            </w:pPr>
            <w:r>
              <w:rPr>
                <w:rFonts w:ascii="Arial" w:cs="Arial" w:eastAsia="Arial" w:hAnsi="Arial"/>
                <w:sz w:val="15"/>
                <w:szCs w:val="15"/>
                <w:color w:val="auto"/>
              </w:rPr>
              <w:t>499,300</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499,500</w:t>
            </w: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87"/>
              </w:rPr>
              <w:t>Increase in fair</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value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4"/>
              </w:rPr>
              <w:t>attributable to</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warrant</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w w:val="98"/>
              </w:rPr>
              <w:t>modifications</w:t>
            </w: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25,800</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5"/>
                <w:szCs w:val="15"/>
                <w:color w:val="auto"/>
              </w:rPr>
              <w:t>25,800</w:t>
            </w:r>
          </w:p>
        </w:tc>
      </w:tr>
      <w:tr>
        <w:trPr>
          <w:trHeight w:val="153"/>
        </w:trPr>
        <w:tc>
          <w:tcPr>
            <w:tcW w:w="20" w:type="dxa"/>
            <w:vAlign w:val="bottom"/>
          </w:tcPr>
          <w:p>
            <w:pPr>
              <w:spacing w:after="0"/>
              <w:rPr>
                <w:sz w:val="13"/>
                <w:szCs w:val="13"/>
                <w:color w:val="auto"/>
              </w:rPr>
            </w:pPr>
          </w:p>
        </w:tc>
        <w:tc>
          <w:tcPr>
            <w:tcW w:w="880" w:type="dxa"/>
            <w:vAlign w:val="bottom"/>
          </w:tcPr>
          <w:p>
            <w:pPr>
              <w:spacing w:after="0" w:line="153" w:lineRule="exact"/>
              <w:rPr>
                <w:sz w:val="20"/>
                <w:szCs w:val="20"/>
                <w:color w:val="auto"/>
              </w:rPr>
            </w:pPr>
            <w:r>
              <w:rPr>
                <w:rFonts w:ascii="Arial" w:cs="Arial" w:eastAsia="Arial" w:hAnsi="Arial"/>
                <w:sz w:val="15"/>
                <w:szCs w:val="15"/>
                <w:color w:val="auto"/>
              </w:rPr>
              <w:t>Net loss for</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w w:val="95"/>
              </w:rPr>
              <w:t>the fiscal year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rPr>
              <w:t>ended March</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00" w:type="dxa"/>
            <w:vAlign w:val="bottom"/>
            <w:gridSpan w:val="2"/>
          </w:tcPr>
          <w:p>
            <w:pPr>
              <w:spacing w:after="0" w:line="172" w:lineRule="exact"/>
              <w:rPr>
                <w:sz w:val="20"/>
                <w:szCs w:val="20"/>
                <w:color w:val="auto"/>
              </w:rPr>
            </w:pPr>
            <w:r>
              <w:rPr>
                <w:rFonts w:ascii="Arial" w:cs="Arial" w:eastAsia="Arial" w:hAnsi="Arial"/>
                <w:sz w:val="15"/>
                <w:szCs w:val="15"/>
                <w:color w:val="auto"/>
              </w:rPr>
              <w:t>31, 2019</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00"/>
              <w:spacing w:after="0" w:line="172"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40"/>
              <w:spacing w:after="0" w:line="172" w:lineRule="exact"/>
              <w:rPr>
                <w:sz w:val="20"/>
                <w:szCs w:val="20"/>
                <w:color w:val="auto"/>
              </w:rPr>
            </w:pPr>
            <w:r>
              <w:rPr>
                <w:rFonts w:ascii="Arial" w:cs="Arial" w:eastAsia="Arial" w:hAnsi="Arial"/>
                <w:sz w:val="15"/>
                <w:szCs w:val="15"/>
                <w:color w:val="auto"/>
                <w:w w:val="98"/>
              </w:rPr>
              <w:t>(24,589,600)</w:t>
            </w:r>
          </w:p>
        </w:tc>
        <w:tc>
          <w:tcPr>
            <w:tcW w:w="920" w:type="dxa"/>
            <w:vAlign w:val="bottom"/>
            <w:gridSpan w:val="2"/>
          </w:tcPr>
          <w:p>
            <w:pPr>
              <w:jc w:val="right"/>
              <w:ind w:right="40"/>
              <w:spacing w:after="0" w:line="172" w:lineRule="exact"/>
              <w:rPr>
                <w:sz w:val="20"/>
                <w:szCs w:val="20"/>
                <w:color w:val="auto"/>
              </w:rPr>
            </w:pPr>
            <w:r>
              <w:rPr>
                <w:rFonts w:ascii="Arial" w:cs="Arial" w:eastAsia="Arial" w:hAnsi="Arial"/>
                <w:sz w:val="15"/>
                <w:szCs w:val="15"/>
                <w:color w:val="auto"/>
              </w:rPr>
              <w:t>(24,589,600)</w:t>
            </w:r>
          </w:p>
        </w:tc>
      </w:tr>
      <w:tr>
        <w:trPr>
          <w:trHeight w:val="169"/>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5"/>
                <w:szCs w:val="15"/>
                <w:b w:val="1"/>
                <w:bCs w:val="1"/>
                <w:color w:val="auto"/>
              </w:rPr>
              <w:t>Balances at</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March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900" w:type="dxa"/>
            <w:vAlign w:val="bottom"/>
            <w:gridSpan w:val="2"/>
          </w:tcPr>
          <w:p>
            <w:pPr>
              <w:spacing w:after="0"/>
              <w:rPr>
                <w:sz w:val="20"/>
                <w:szCs w:val="20"/>
                <w:color w:val="auto"/>
              </w:rPr>
            </w:pPr>
            <w:r>
              <w:rPr>
                <w:rFonts w:ascii="Arial" w:cs="Arial" w:eastAsia="Arial" w:hAnsi="Arial"/>
                <w:sz w:val="15"/>
                <w:szCs w:val="15"/>
                <w:b w:val="1"/>
                <w:bCs w:val="1"/>
                <w:color w:val="auto"/>
              </w:rPr>
              <w:t>2019</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500,000</w:t>
            </w:r>
          </w:p>
        </w:tc>
        <w:tc>
          <w:tcPr>
            <w:tcW w:w="4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500</w:t>
            </w: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1,160,240</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1,200</w:t>
            </w: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2,318,012</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2,300</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42,758,630</w:t>
            </w:r>
          </w:p>
        </w:tc>
        <w:tc>
          <w:tcPr>
            <w:tcW w:w="26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42,800</w:t>
            </w:r>
          </w:p>
        </w:tc>
        <w:tc>
          <w:tcPr>
            <w:tcW w:w="980" w:type="dxa"/>
            <w:vAlign w:val="bottom"/>
            <w:gridSpan w:val="3"/>
          </w:tcPr>
          <w:p>
            <w:pPr>
              <w:jc w:val="right"/>
              <w:ind w:right="2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192,129,900</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b w:val="1"/>
                <w:bCs w:val="1"/>
                <w:u w:val="single" w:color="auto"/>
                <w:color w:val="auto"/>
                <w:w w:val="96"/>
              </w:rPr>
              <w:t>$</w:t>
            </w:r>
            <w:r>
              <w:rPr>
                <w:rFonts w:ascii="Arial" w:cs="Arial" w:eastAsia="Arial" w:hAnsi="Arial"/>
                <w:sz w:val="15"/>
                <w:szCs w:val="15"/>
                <w:b w:val="1"/>
                <w:bCs w:val="1"/>
                <w:color w:val="auto"/>
                <w:w w:val="96"/>
              </w:rPr>
              <w:t>(3,968,100)</w:t>
            </w:r>
          </w:p>
        </w:tc>
        <w:tc>
          <w:tcPr>
            <w:tcW w:w="900" w:type="dxa"/>
            <w:vAlign w:val="bottom"/>
            <w:gridSpan w:val="2"/>
          </w:tcPr>
          <w:p>
            <w:pPr>
              <w:jc w:val="center"/>
              <w:spacing w:after="0"/>
              <w:rPr>
                <w:sz w:val="20"/>
                <w:szCs w:val="20"/>
                <w:color w:val="auto"/>
              </w:rPr>
            </w:pPr>
            <w:r>
              <w:rPr>
                <w:rFonts w:ascii="Arial" w:cs="Arial" w:eastAsia="Arial" w:hAnsi="Arial"/>
                <w:sz w:val="15"/>
                <w:szCs w:val="15"/>
                <w:b w:val="1"/>
                <w:bCs w:val="1"/>
                <w:u w:val="single" w:color="auto"/>
                <w:color w:val="auto"/>
                <w:w w:val="86"/>
              </w:rPr>
              <w:t>$</w:t>
            </w:r>
            <w:r>
              <w:rPr>
                <w:rFonts w:ascii="Arial" w:cs="Arial" w:eastAsia="Arial" w:hAnsi="Arial"/>
                <w:sz w:val="15"/>
                <w:szCs w:val="15"/>
                <w:b w:val="1"/>
                <w:bCs w:val="1"/>
                <w:color w:val="auto"/>
                <w:w w:val="86"/>
              </w:rPr>
              <w:t>(181,133,400)</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$ 7,075,200</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9440" w:firstLine="8"/>
        <w:spacing w:after="0" w:line="504" w:lineRule="auto"/>
        <w:tabs>
          <w:tab w:leader="none" w:pos="2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Overview</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clinical-stage biopharmaceutical company committed to developing and commercializing new generation medicines to treat diseases and disorders of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with high unmet need. Our portfolio of three clinical-stage product candidates is currently focused predominantly on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MDD is a serious neurobiologically-based mood disorder, affecting approximately 16 million adults in the United States, according to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SAD affects as many as 15 million Americans and is the third most common psychiatric condition after depression and substance abuse, according to the Anxiety and Depression Association of America..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for treatment of SAD. However, for treatment of both MDD and SAD, current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have slow onset of effect (often several weeks to months) and significant side effects that may make them inadequate treatment alternatives for many individuals affected by MDD and SAD.</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most advanced product candidate, PH94B neuroactive nasal spray, is fundamentally different from all current treatments for SAD. Developed from proprietary compounds called pherines and administered as a nasal spray, PH94B activates nasal chemosensory receptors that trigger neural circuits in the brain that suppress fear and anxiety. In a published double-blind, placebo-controlled Phase 2 clinical trial, PH94B neuroactive nasal spray was significantly more effective than placebo in reducing public-speaking and social interaction anxiety on laboratory challenges of individuals with SAD. Its novel mechanism of pharmacological action, rapid-onset of therapeutic effects and exceptional safety and tolerability profile in clinical trials to date make PH94B neuroactive nasal spray an excellent product candidate with potential to become the first FDA-approved on-demand, as-needed, or PRN, treatment for SAD.</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(4-Cl-KYN), one of our two product candidates for MDD,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MDD, chronic neuropathic pain, epilepsy, Parkinson's disease levodopa-induced dyskinesia and many others. AV-101 is an oral prodrug of 7-Cl-KYNA which binds uniquely at the glycine site of the NMDA receptor and has potential to be a new at-home treatment for MDD. AV-101 is currently in Phase 2 development in the U.S. for MDD. ELEVATE is our Phase 2 multicenter, multi-dose, double blind, placebo-controlled clinical study to evaluate the efficacy and safety of AV-101 as an add-on treatment for MDD in adult patients with an inadequate therapeutic response to current FDA-approved ADs (the </w:t>
      </w:r>
      <w:r>
        <w:rPr>
          <w:rFonts w:ascii="Arial" w:cs="Arial" w:eastAsia="Arial" w:hAnsi="Arial"/>
          <w:sz w:val="16"/>
          <w:szCs w:val="16"/>
          <w:i w:val="1"/>
          <w:iCs w:val="1"/>
          <w:color w:val="auto"/>
        </w:rPr>
        <w:t>ELEVATE Study</w:t>
      </w:r>
      <w:r>
        <w:rPr>
          <w:rFonts w:ascii="Arial" w:cs="Arial" w:eastAsia="Arial" w:hAnsi="Arial"/>
          <w:sz w:val="16"/>
          <w:szCs w:val="16"/>
          <w:color w:val="auto"/>
        </w:rPr>
        <w:t>). We currently anticipate top line results from the ELEVATE Study in the second half of 2019. The FDA has granted Fast Track designation for development of AV-101 both as a potential add-on treatment of MDD and as a non-opioid treatment for neuropathic pain.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other product candidate for MDD in Phase 2 development for MDD is PH10 neuroactive nasal spray. PH10 is a potential first-in-class, CNS neurosteroid nasal spray administered in microgram doses for MDD. PH10 nasal spray activates nasal chemosensory receptors that, in turn, engage GABA (gamma-aminobutyric acid) and CRH (corticotropin-releasing hormone) neurons in the limbic amygdala system. The activation of these neural circuits is believed to have the potential to lead to rapid antidepressant effects without psychological side effects, systemic exposure or safety concerns often associated with current antidepressants. Based on positive results of a small exploratory Phase 2a study in MDD in which rapid-onset antidepressant effects were observed without psychological side effects or systemic exposure, we are preparing for planned Phase 2b clinical development of PH10 as a first-line treatment for MDD.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potential indications for PH94B include post-traumatic stress disorder (</w:t>
      </w:r>
      <w:r>
        <w:rPr>
          <w:rFonts w:ascii="Arial" w:cs="Arial" w:eastAsia="Arial" w:hAnsi="Arial"/>
          <w:sz w:val="18"/>
          <w:szCs w:val="18"/>
          <w:i w:val="1"/>
          <w:iCs w:val="1"/>
          <w:color w:val="auto"/>
        </w:rPr>
        <w:t>PTSD</w:t>
      </w:r>
      <w:r>
        <w:rPr>
          <w:rFonts w:ascii="Arial" w:cs="Arial" w:eastAsia="Arial" w:hAnsi="Arial"/>
          <w:sz w:val="18"/>
          <w:szCs w:val="18"/>
          <w:color w:val="auto"/>
        </w:rPr>
        <w:t>) and general anxiety disorder (</w:t>
      </w:r>
      <w:r>
        <w:rPr>
          <w:rFonts w:ascii="Arial" w:cs="Arial" w:eastAsia="Arial" w:hAnsi="Arial"/>
          <w:sz w:val="18"/>
          <w:szCs w:val="18"/>
          <w:i w:val="1"/>
          <w:iCs w:val="1"/>
          <w:color w:val="auto"/>
        </w:rPr>
        <w:t>GAD</w:t>
      </w:r>
      <w:r>
        <w:rPr>
          <w:rFonts w:ascii="Arial" w:cs="Arial" w:eastAsia="Arial" w:hAnsi="Arial"/>
          <w:sz w:val="18"/>
          <w:szCs w:val="18"/>
          <w:color w:val="auto"/>
        </w:rPr>
        <w:t>) and others neuropsychiatric indications. Additional potential indications for AV-101 include as a non-addictive, non-sedating treatment of chronic neuropathic pain (</w:t>
      </w:r>
      <w:r>
        <w:rPr>
          <w:rFonts w:ascii="Arial" w:cs="Arial" w:eastAsia="Arial" w:hAnsi="Arial"/>
          <w:sz w:val="18"/>
          <w:szCs w:val="18"/>
          <w:i w:val="1"/>
          <w:iCs w:val="1"/>
          <w:color w:val="auto"/>
        </w:rPr>
        <w:t>CNP</w:t>
      </w:r>
      <w:r>
        <w:rPr>
          <w:rFonts w:ascii="Arial" w:cs="Arial" w:eastAsia="Arial" w:hAnsi="Arial"/>
          <w:sz w:val="18"/>
          <w:szCs w:val="18"/>
          <w:color w:val="auto"/>
        </w:rPr>
        <w:t>), epilepsy, and to reduce dyskinesia induced by levodopa therapy for Parkinson’s disease (</w:t>
      </w:r>
      <w:r>
        <w:rPr>
          <w:rFonts w:ascii="Arial" w:cs="Arial" w:eastAsia="Arial" w:hAnsi="Arial"/>
          <w:sz w:val="18"/>
          <w:szCs w:val="18"/>
          <w:i w:val="1"/>
          <w:iCs w:val="1"/>
          <w:color w:val="auto"/>
        </w:rPr>
        <w:t>PD LID</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CNS business, we have two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discover and develop small molecule NCEs for our CNS pipeline or for out-licensing. To advance potential RM applications of our cardiac stem cell technology, we have sublicensed to BlueRock Therapeutics LP, a next generation cell therapy and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collaborations or licensing transactions involving blood, cartilage, and/or liver cells derived from hPSCs for cell-based therapy, cell repair therapy, RM and/or tissue engineering.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Consolidated Financial Statements in this Annual Report on Form 10-K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negative cash flows from operations and recurring losses resulting in a deficit of $181.1 million accumulated from inception through March 31, 2019. We expect losses and negative cash flows from operations to continue for the foreseeable future as we engage in further development of AV-101, PH94B and PH10, execute our drug rescue programs and pursue potential drug development and regenerative medicine opportunities.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2019, we have financed our operations and technology acquisitions primarily through the issuance and sale of our equity and debt securities for cash proceeds of approximately $79.0 million, as well as from an aggregate of approximately $17.7 million of government research grant awards (excluding the fair market value of government sponsored and funded clinical trials such as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had cash and cash equivalents of approximately $13.1 million.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cash position at March 31, 2019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complete our ELEVATE study, prepare for and launch a pivotal Phase 3 clinical trial of PH94B, prepare for additional Phase 2 clinical studies and certain nonclinical studies involving AV-101 and prepare for a Phase 2b clinical trial of PH10, and raises substantial doubt that we can continue as a going concern. Nevertheless,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for example, to our recent CRADA with the NIMH, which provided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provide non-dilutive funding for development of AV-101, PH94B, PH10 or other product candidates, as well as new government grant awards and/or agreements, no assurance can be provided that any such collaborations, awards or agreements will occur in the future.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research and development expenses and the assumptions used to value warrants, warrant modifications and warrant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accompanying consolidated financial statements include the Company’s accounts, VistaStem’s accounts and the accounts of VistaStem’s two wholly-owned inactive subsidiaries, Artemis Neurosciences and VistaStem Canada. All material intercompany accounts and transactions have been eliminated in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three to seven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transfer agreements, including strategic licenses or sublicenses, and government grants.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and its related amendments, collectively referred to as ASC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Topic 606, as of April 1, 2018,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modified retrospective transition method. At adoption and currently, we have only the BlueRock Agreement as a potential revenue generating arrangement. Upon adoption of ASC Topic 606, there was no change to the units of accounting previously identified with respect to the BlueRock Agreement under legacy GAAP, which are now considered performance obligations under ASC Topic 606, and there was no change to the revenue recognition pattern for the performance obligation. Accordingly, there was no cumulative effect change to our opening accumulated deficit upon the adoption of ASC Topic 606.</w:t>
      </w:r>
    </w:p>
    <w:p>
      <w:pPr>
        <w:sectPr>
          <w:pgSz w:w="11900" w:h="16838" w:orient="portrait"/>
          <w:cols w:equalWidth="0" w:num="1">
            <w:col w:w="11420"/>
          </w:cols>
          <w:pgMar w:left="240" w:top="131" w:right="239" w:bottom="6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57"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Once a contract is determined to be within the scope of Topic 606, we assesses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31" w:right="17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PH94B and PH10, stem cell research and development costs, and costs related to the application and prosecution of patents related to AV-101 and our stem cell technology platform. All such costs are charged to expense as incurred.</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will require significant additional development and expense, we recorded the costs related to acquiring the licenses and the option as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stock-based compensation expense over the period during which the employee is required to perform services in exchange for the award, which generally represents the scheduled vesting period. We have not granted restricted stock awards to employees nor do we have any awards with market or performance conditions. For option grants to non-employees, we have historically re-measured the fair value of the awards as they vest and any resulting increase in value has been recognized as an expense during the period over which the services are performed. Noncash expense attributable to compensatory grants of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use derivative instruments for hedging of market risks or for trading or speculative purposes. When applicable, 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72" w:lineRule="exact"/>
        <w:rPr>
          <w:sz w:val="20"/>
          <w:szCs w:val="20"/>
          <w:color w:val="auto"/>
        </w:rPr>
      </w:pPr>
    </w:p>
    <w:p>
      <w:pPr>
        <w:ind w:left="660" w:hanging="328"/>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that are observable or can be corroborated by observable market data for substantially the full term of the assets or liabilities.</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 use</w:t>
      </w:r>
      <w:r>
        <w:rPr>
          <w:rFonts w:ascii="Arial" w:cs="Arial" w:eastAsia="Arial" w:hAnsi="Arial"/>
          <w:sz w:val="18"/>
          <w:szCs w:val="18"/>
          <w:i w:val="1"/>
          <w:iCs w:val="1"/>
          <w:color w:val="auto"/>
        </w:rPr>
        <w:t xml:space="preserve"> </w:t>
      </w:r>
      <w:r>
        <w:rPr>
          <w:rFonts w:ascii="Arial" w:cs="Arial" w:eastAsia="Arial" w:hAnsi="Arial"/>
          <w:sz w:val="18"/>
          <w:szCs w:val="18"/>
          <w:color w:val="auto"/>
        </w:rPr>
        <w:t>in estimating the fair value of an asset or liability) are used when little or no market data is available. The fair value hierarchy gives the lowest priority to Level 3 inputs.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carried no assets or liabilities that are measured on a recurring basis at fair value at March 31,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Connection with Equity Financing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 Attributable to Common Stockholders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Basic net loss attributable to common stockholders per share of common stock excludes the effect of dilution and is computed by dividing net loss increased by the accrual for dividends on our Series B Preferred and, for the fiscal year ended March 31, 2018, the deemed dividend attributable to the trigger of a down-round provision feature (refer to Note 9, </w:t>
      </w:r>
      <w:r>
        <w:rPr>
          <w:rFonts w:ascii="Arial" w:cs="Arial" w:eastAsia="Arial" w:hAnsi="Arial"/>
          <w:sz w:val="16"/>
          <w:szCs w:val="16"/>
          <w:i w:val="1"/>
          <w:iCs w:val="1"/>
          <w:color w:val="auto"/>
        </w:rPr>
        <w:t>Capital Stock</w:t>
      </w:r>
      <w:r>
        <w:rPr>
          <w:rFonts w:ascii="Arial" w:cs="Arial" w:eastAsia="Arial" w:hAnsi="Arial"/>
          <w:sz w:val="16"/>
          <w:szCs w:val="16"/>
          <w:color w:val="auto"/>
        </w:rPr>
        <w:t>, for a description of this adjustment),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our net loss for both years presented, potentially dilutive securities were excluded from the computation of diluted loss per share,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15"/>
        </w:trPr>
        <w:tc>
          <w:tcPr>
            <w:tcW w:w="8700" w:type="dxa"/>
            <w:vAlign w:val="bottom"/>
            <w:gridSpan w:val="2"/>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8"/>
        </w:trPr>
        <w:tc>
          <w:tcPr>
            <w:tcW w:w="1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124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485"/>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2"/>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loss attributable to common stockholders for basic and diluted earnings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59"/>
        </w:trPr>
        <w:tc>
          <w:tcPr>
            <w:tcW w:w="8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per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(25,729,500)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(15,575,500)</w:t>
            </w:r>
          </w:p>
        </w:tc>
      </w:tr>
      <w:tr>
        <w:trPr>
          <w:trHeight w:val="210"/>
        </w:trPr>
        <w:tc>
          <w:tcPr>
            <w:tcW w:w="1240" w:type="dxa"/>
            <w:vAlign w:val="bottom"/>
            <w:tcBorders>
              <w:top w:val="single" w:sz="8" w:color="CCEEFF"/>
            </w:tcBorders>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700" w:type="dxa"/>
            <w:vAlign w:val="bottom"/>
            <w:gridSpan w:val="2"/>
          </w:tcPr>
          <w:p>
            <w:pPr>
              <w:ind w:left="540"/>
              <w:spacing w:after="0"/>
              <w:rPr>
                <w:sz w:val="20"/>
                <w:szCs w:val="20"/>
                <w:color w:val="auto"/>
              </w:rPr>
            </w:pPr>
            <w:r>
              <w:rPr>
                <w:rFonts w:ascii="Arial" w:cs="Arial" w:eastAsia="Arial" w:hAnsi="Arial"/>
                <w:sz w:val="18"/>
                <w:szCs w:val="18"/>
                <w:color w:val="auto"/>
              </w:rPr>
              <w:t>Weighted average basic and diluted common shares outstanding</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28,562,490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13,890,041</w:t>
            </w:r>
          </w:p>
        </w:tc>
        <w:tc>
          <w:tcPr>
            <w:tcW w:w="140" w:type="dxa"/>
            <w:vAlign w:val="bottom"/>
          </w:tcPr>
          <w:p>
            <w:pPr>
              <w:spacing w:after="0"/>
              <w:rPr>
                <w:sz w:val="19"/>
                <w:szCs w:val="19"/>
                <w:color w:val="auto"/>
              </w:rPr>
            </w:pPr>
          </w:p>
        </w:tc>
      </w:tr>
      <w:tr>
        <w:trPr>
          <w:trHeight w:val="216"/>
        </w:trPr>
        <w:tc>
          <w:tcPr>
            <w:tcW w:w="1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r>
      <w:tr>
        <w:trPr>
          <w:trHeight w:val="21"/>
        </w:trPr>
        <w:tc>
          <w:tcPr>
            <w:tcW w:w="1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2019 and 2018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64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Outstanding options under the Amended and Restated 2016 (formerly 2008) Stock Incentive Plan</w:t>
            </w:r>
          </w:p>
        </w:tc>
        <w:tc>
          <w:tcPr>
            <w:tcW w:w="1100" w:type="dxa"/>
            <w:vAlign w:val="bottom"/>
          </w:tcPr>
          <w:p>
            <w:pPr>
              <w:jc w:val="right"/>
              <w:spacing w:after="0"/>
              <w:rPr>
                <w:sz w:val="20"/>
                <w:szCs w:val="20"/>
                <w:color w:val="auto"/>
              </w:rPr>
            </w:pPr>
            <w:r>
              <w:rPr>
                <w:rFonts w:ascii="Arial" w:cs="Arial" w:eastAsia="Arial" w:hAnsi="Arial"/>
                <w:sz w:val="18"/>
                <w:szCs w:val="18"/>
                <w:color w:val="auto"/>
              </w:rPr>
              <w:t>6,626,088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5,300,338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21,453,402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16,603,516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32,307,742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26,132,106</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42"/>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 excludes common shares issuable in payment of dividends on Series B Preferred upon conversion</w:t>
      </w:r>
    </w:p>
    <w:p>
      <w:pPr>
        <w:ind w:right="560" w:firstLine="8"/>
        <w:spacing w:after="0" w:line="248" w:lineRule="auto"/>
        <w:tabs>
          <w:tab w:leader="none" w:pos="187"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February 2016, the Financial Accounting Standards Board (</w:t>
      </w:r>
      <w:r>
        <w:rPr>
          <w:rFonts w:ascii="Arial" w:cs="Arial" w:eastAsia="Arial" w:hAnsi="Arial"/>
          <w:sz w:val="15"/>
          <w:szCs w:val="15"/>
          <w:i w:val="1"/>
          <w:i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i w:val="1"/>
          <w:iCs w:val="1"/>
          <w:color w:val="auto"/>
        </w:rPr>
        <w:t>ASU</w:t>
      </w:r>
      <w:r>
        <w:rPr>
          <w:rFonts w:ascii="Arial" w:cs="Arial" w:eastAsia="Arial" w:hAnsi="Arial"/>
          <w:sz w:val="15"/>
          <w:szCs w:val="15"/>
          <w:color w:val="auto"/>
        </w:rPr>
        <w:t xml:space="preserve">)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ASC 842</w:t>
      </w:r>
      <w:r>
        <w:rPr>
          <w:rFonts w:ascii="Arial" w:cs="Arial" w:eastAsia="Arial" w:hAnsi="Arial"/>
          <w:sz w:val="15"/>
          <w:szCs w:val="15"/>
          <w:color w:val="auto"/>
        </w:rPr>
        <w:t xml:space="preserve">), which will replace the existing guidance in ASC 840, </w:t>
      </w:r>
      <w:r>
        <w:rPr>
          <w:rFonts w:ascii="Arial" w:cs="Arial" w:eastAsia="Arial" w:hAnsi="Arial"/>
          <w:sz w:val="15"/>
          <w:szCs w:val="15"/>
          <w:i w:val="1"/>
          <w:iCs w:val="1"/>
          <w:color w:val="auto"/>
        </w:rPr>
        <w:t>Leases</w:t>
      </w:r>
      <w:r>
        <w:rPr>
          <w:rFonts w:ascii="Arial" w:cs="Arial" w:eastAsia="Arial" w:hAnsi="Arial"/>
          <w:sz w:val="15"/>
          <w:szCs w:val="15"/>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This standard becomes effective for our fiscal year beginning April 1, 2019. We estimate that we will record lease liabilities of approximately $4.5 million and right-of-use assets approximating $4.1 million upon implementation of ASC 842. We have evaluated our contracts with clinical research and manufacturing organizations and determined that such contracts do not contain embedded leases.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 Share-Based Payment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ASU 2018-07</w:t>
      </w:r>
      <w:r>
        <w:rPr>
          <w:rFonts w:ascii="Arial" w:cs="Arial" w:eastAsia="Arial" w:hAnsi="Arial"/>
          <w:sz w:val="16"/>
          <w:szCs w:val="16"/>
          <w:color w:val="auto"/>
        </w:rPr>
        <w:t>). ASU 2018-07 expands the scope of Topic 718 to include share-based payment transactions for acquiring goods and services from nonemployees. ASU 2018-07 aligns the accounting for share-based payment awards issued to employees and non-employees. Under ASU 2018-07, the existing guidance regarding share-based transactions with employees will apply to share-based transactions with non-employees,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may be used in lieu of an expected term in the option-pricing model for non-employee awards. ASU 2018-07 is effective for our fiscal year beginning April 1, 2019. We are evaluating the impact of this new guidance, but we do not believe that our adoption of ASU 2018-17 will have a material impact on our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98" w:name="page99"/>
    <w:bookmarkEnd w:id="9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July 2017,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2017-11, “</w:t>
      </w:r>
      <w:r>
        <w:rPr>
          <w:rFonts w:ascii="Arial" w:cs="Arial" w:eastAsia="Arial" w:hAnsi="Arial"/>
          <w:sz w:val="16"/>
          <w:szCs w:val="16"/>
          <w:i w:val="1"/>
          <w:iCs w:val="1"/>
          <w:color w:val="auto"/>
        </w:rPr>
        <w:t>Earnings Per Share (Topic 260)</w:t>
      </w:r>
      <w:r>
        <w:rPr>
          <w:rFonts w:ascii="Arial" w:cs="Arial" w:eastAsia="Arial" w:hAnsi="Arial"/>
          <w:sz w:val="16"/>
          <w:szCs w:val="16"/>
          <w:color w:val="auto"/>
        </w:rPr>
        <w:t xml:space="preserve">; </w:t>
      </w:r>
      <w:r>
        <w:rPr>
          <w:rFonts w:ascii="Arial" w:cs="Arial" w:eastAsia="Arial" w:hAnsi="Arial"/>
          <w:sz w:val="16"/>
          <w:szCs w:val="16"/>
          <w:i w:val="1"/>
          <w:iCs w:val="1"/>
          <w:color w:val="auto"/>
        </w:rPr>
        <w:t>Distinguishing Liabilities from Equity (Topic 480)</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w:t>
      </w:r>
      <w:r>
        <w:rPr>
          <w:rFonts w:ascii="Arial" w:cs="Arial" w:eastAsia="Arial" w:hAnsi="Arial"/>
          <w:sz w:val="16"/>
          <w:szCs w:val="16"/>
          <w:color w:val="auto"/>
        </w:rPr>
        <w:t>. Part I of this ASU provides that an entity will no longer have to</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“down round” features (i.e., a provision in an equity-linked financial instrument, such as a free-standing warrant, or an embedded feature, such as a conversion option in a convertible instrument, that reduces the exercise price of such instrument if the entity subsequently sells stock for a lower price or issues an equity-linked instrument with a lower exercise price) when determining whether certain equity-linked financial instruments or embedded features are indexed to its own stock. The definition of a down round feature in ASU 2017-11 excludes standard antidilution provisions related to changes in an entity’s capital structure. Accounting Standards Codification Topic 815-40, “Derivatives and Hedging–Contracts in Entity’s Own Equity” (</w:t>
      </w:r>
      <w:r>
        <w:rPr>
          <w:rFonts w:ascii="Arial" w:cs="Arial" w:eastAsia="Arial" w:hAnsi="Arial"/>
          <w:sz w:val="16"/>
          <w:szCs w:val="16"/>
          <w:i w:val="1"/>
          <w:iCs w:val="1"/>
          <w:color w:val="auto"/>
        </w:rPr>
        <w:t>ASC 815-40</w:t>
      </w:r>
      <w:r>
        <w:rPr>
          <w:rFonts w:ascii="Arial" w:cs="Arial" w:eastAsia="Arial" w:hAnsi="Arial"/>
          <w:sz w:val="16"/>
          <w:szCs w:val="16"/>
          <w:color w:val="auto"/>
        </w:rPr>
        <w:t>) requires that a freestanding equity-linked financial instrument be indexed to the issuer’s own stock to be classified as equity. An equity-linked embedded feature that meets the definition of a derivative may avoid bifurcation and derivative accounting if it is indexed to the issuer’s own stock. Under the terms of prior guidance, a freestanding financial instrument or embedded feature was not considered indexed to the issuer’s own stock if it had a down round provision. Consequently, the freestanding financial instrument was classified as a liability (or asset), and if it met the definition of a derivative, was measured at fair value with changes in fair value recorded through earnings. Similarly, an embedded feature was bifurcated and separately accounted for as a derivative if it met all other criteria for bifurcation under ASC 815-40. The bifurcated embedded feature was also measured at fair value through earnings. Under the provisions of ASU 2017-11, an entity that presents earnings per share (</w:t>
      </w:r>
      <w:r>
        <w:rPr>
          <w:rFonts w:ascii="Arial" w:cs="Arial" w:eastAsia="Arial" w:hAnsi="Arial"/>
          <w:sz w:val="16"/>
          <w:szCs w:val="16"/>
          <w:i w:val="1"/>
          <w:iCs w:val="1"/>
          <w:color w:val="auto"/>
        </w:rPr>
        <w:t>EPS</w:t>
      </w:r>
      <w:r>
        <w:rPr>
          <w:rFonts w:ascii="Arial" w:cs="Arial" w:eastAsia="Arial" w:hAnsi="Arial"/>
          <w:sz w:val="16"/>
          <w:szCs w:val="16"/>
          <w:color w:val="auto"/>
        </w:rPr>
        <w:t xml:space="preserve">) under Accounting Standards Codification Topic 260, “Earnings Per Share” will recognize the effect of a down round feature in a freestanding equity-classified financial instrument only when it is triggered. The effect of triggering such a feature will be recognized as a dividend and a reduction to income available to common shareholders in basic EPS. The new guidance requires new disclosures for financial instruments with down round features and other terms that change conversion or exercise prices. Part I of ASU 2017-11 became effective for fiscal years beginning after December 15, 2018, however early adoption was permitted. We early-adopted ASU 2017-11 effective for our fiscal quarter ended September 30, 2017 and applied its guidance to certain of the warrants issued in the September 2017 Public Offering, as described more completely in Note 9, </w:t>
      </w:r>
      <w:r>
        <w:rPr>
          <w:rFonts w:ascii="Arial" w:cs="Arial" w:eastAsia="Arial" w:hAnsi="Arial"/>
          <w:sz w:val="16"/>
          <w:szCs w:val="16"/>
          <w:i w:val="1"/>
          <w:iCs w:val="1"/>
          <w:color w:val="auto"/>
        </w:rPr>
        <w:t>Capital Stock</w:t>
      </w:r>
      <w:r>
        <w:rPr>
          <w:rFonts w:ascii="Arial" w:cs="Arial" w:eastAsia="Arial" w:hAnsi="Arial"/>
          <w:sz w:val="16"/>
          <w:szCs w:val="16"/>
          <w:color w:val="auto"/>
        </w:rPr>
        <w:t>. No retrospective adjustment to our consolidated financial statements was required as a result of our adoption of ASU 2017-11.</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to provide guidance on revenue recognition. In August 2015 and March, April, May and December 2016, the FASB issued additional amendments to the new revenue guidance relating to reporting revenue on a gross versus net basis, identifying performance obligations, licensing arrangements, collectability, noncash consideration, presentation of sales tax, transition, and clarifying examples. Collectively these are referred to as ASC Topic 606, which replaces all legacy GAAP guidance on revenue recognition and eliminates all industry-specific guidance. The new revenue recognition guidance provides a unified model to determine how revenue is recognized. The core principal of the guidance is that an entity should recognize revenue when it transfers promised goods or services to customers in an amount that reflects the consideration to which the company expects to be entitled in exchange for those goods or services. ASC Topic 606 defines a five-step process to achieve this core principal which may require entities to use more judgment and make more estimates than under legacy guidance. These estimates and judgments include identifying performance obligations in the contract, estimating the amount of variable consideration to include in the transaction price and allocating the transaction price to each distinct performance obligation. We adopted ASC Topic 606 as of April 1, 2018, using the modified retrospective transition method, applying the new guidance to the most current period presented. At adoption and currently, we have only the BlueRock Agreement as a potential revenue generating arrangement. We identified no change to the units of accounting previously identified with respect to that contract under legacy GAAP, which are now considered performance obligations under ASC Topic 606, nor did we identify any change to the revenue recognition pattern for the performance obligation. Accordingly, we did not recognize a cumulative effect change to our opening accumulated deficit upon our adoption of ASC Topic 606.</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to clarify which changes to the terms or conditions of a share-based payment award require an entity to apply modification accounting under ASC 718. Under this guidance, an entity will not apply modification accounting to a share-based payment award if all of the following remain unchanged immediately before and after the change of terms and conditions:</w:t>
      </w:r>
    </w:p>
    <w:p>
      <w:pPr>
        <w:spacing w:after="0" w:line="19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award’s fair value (or calculated value or intrinsic value, if those measurement methods are used),</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award’s vesting conditions,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award’s classification as an equity or liability instrument.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adopted ASU 2017-09 effective for our fiscal year beginning April 1, 2018. Our adoption of ASU 2017-09 did not have a material impact on our financial statements.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 from Supplier</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amount reflects the balance of a prepayment made to a supplier that is to be refunded due to the termination of the underlying contract prior to March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8"/>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AV-101 and PH94B materials and contract services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Fair value of securities issued for professional 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Public offering filing fees and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8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24"/>
        </w:trPr>
        <w:tc>
          <w:tcPr>
            <w:tcW w:w="882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Property and equipment consists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8"/>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1,049,500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(933,400)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(842,100)</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tenant improvements reflects recently completed construction at our South San Francisco, California offices. Under the terms of our November 2016 lease extension agreement, our landlord has provided a cash reimbursement of $158,600 of such tenant improvement costs. Such reimbursement is a component of the deferred rent liability shown on our Consolidated Balance Sheet at March 31, 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depreciation and amortization expense attributable to owned and leased property and equipment for the fiscal years ended March 31,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50"/>
        </w:trPr>
        <w:tc>
          <w:tcPr>
            <w:tcW w:w="88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Owned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Leased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Total depreciation and amortization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91,200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than certain leased office equipment, none of our assets were subject to third party security interests at March 31, 2019 or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8820" w:type="dxa"/>
            <w:vAlign w:val="bottom"/>
          </w:tcPr>
          <w:p>
            <w:pPr>
              <w:ind w:left="40"/>
              <w:spacing w:after="0"/>
              <w:rPr>
                <w:sz w:val="20"/>
                <w:szCs w:val="20"/>
                <w:color w:val="auto"/>
              </w:rPr>
            </w:pPr>
            <w:r>
              <w:rPr>
                <w:rFonts w:ascii="Arial" w:cs="Arial" w:eastAsia="Arial" w:hAnsi="Arial"/>
                <w:sz w:val="18"/>
                <w:szCs w:val="18"/>
                <w:color w:val="auto"/>
              </w:rPr>
              <w:t>Accrued AV-101 clinical trial, development, and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related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439,200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1,685,600</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8. Notes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The following table summarizes our notes payable: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20326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49" w:lineRule="exact"/>
        <w:rPr>
          <w:sz w:val="20"/>
          <w:szCs w:val="20"/>
          <w:color w:val="auto"/>
        </w:rPr>
      </w:pPr>
    </w:p>
    <w:p>
      <w:pPr>
        <w:ind w:left="4840"/>
        <w:spacing w:after="0"/>
        <w:tabs>
          <w:tab w:leader="none" w:pos="5940" w:val="left"/>
        </w:tabs>
        <w:rPr>
          <w:sz w:val="20"/>
          <w:szCs w:val="20"/>
          <w:color w:val="auto"/>
        </w:rPr>
      </w:pPr>
      <w:r>
        <w:rPr>
          <w:rFonts w:ascii="Arial" w:cs="Arial" w:eastAsia="Arial" w:hAnsi="Arial"/>
          <w:sz w:val="18"/>
          <w:szCs w:val="18"/>
          <w:color w:val="auto"/>
        </w:rPr>
        <w:t>Principal</w:t>
      </w:r>
      <w:r>
        <w:rPr>
          <w:sz w:val="20"/>
          <w:szCs w:val="20"/>
          <w:color w:val="auto"/>
        </w:rPr>
        <w:tab/>
      </w:r>
      <w:r>
        <w:rPr>
          <w:rFonts w:ascii="Arial" w:cs="Arial" w:eastAsia="Arial" w:hAnsi="Arial"/>
          <w:sz w:val="18"/>
          <w:szCs w:val="18"/>
          <w:color w:val="auto"/>
        </w:rPr>
        <w:t>Accrued</w:t>
      </w:r>
    </w:p>
    <w:p>
      <w:pPr>
        <w:spacing w:after="0" w:line="15" w:lineRule="exact"/>
        <w:rPr>
          <w:sz w:val="20"/>
          <w:szCs w:val="20"/>
          <w:color w:val="auto"/>
        </w:rPr>
      </w:pPr>
    </w:p>
    <w:p>
      <w:pPr>
        <w:ind w:left="4880"/>
        <w:spacing w:after="0"/>
        <w:tabs>
          <w:tab w:leader="none" w:pos="5960" w:val="left"/>
          <w:tab w:leader="none" w:pos="7080" w:val="left"/>
        </w:tabs>
        <w:rPr>
          <w:sz w:val="20"/>
          <w:szCs w:val="20"/>
          <w:color w:val="auto"/>
        </w:rPr>
      </w:pPr>
      <w:r>
        <w:rPr>
          <w:rFonts w:ascii="Arial" w:cs="Arial" w:eastAsia="Arial" w:hAnsi="Arial"/>
          <w:sz w:val="18"/>
          <w:szCs w:val="18"/>
          <w:color w:val="auto"/>
        </w:rPr>
        <w:t>Balance</w:t>
      </w:r>
      <w:r>
        <w:rPr>
          <w:sz w:val="20"/>
          <w:szCs w:val="20"/>
          <w:color w:val="auto"/>
        </w:rPr>
        <w:tab/>
      </w:r>
      <w:r>
        <w:rPr>
          <w:rFonts w:ascii="Arial" w:cs="Arial" w:eastAsia="Arial" w:hAnsi="Arial"/>
          <w:sz w:val="18"/>
          <w:szCs w:val="18"/>
          <w:color w:val="auto"/>
        </w:rPr>
        <w:t>Interest</w:t>
      </w:r>
      <w:r>
        <w:rPr>
          <w:sz w:val="20"/>
          <w:szCs w:val="20"/>
          <w:color w:val="auto"/>
        </w:rPr>
        <w:tab/>
      </w: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6985</wp:posOffset>
            </wp:positionV>
            <wp:extent cx="20326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20923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2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Principal</w:t>
      </w:r>
      <w:r>
        <w:rPr>
          <w:sz w:val="20"/>
          <w:szCs w:val="20"/>
          <w:color w:val="auto"/>
        </w:rPr>
        <w:tab/>
      </w:r>
      <w:r>
        <w:rPr>
          <w:rFonts w:ascii="Arial" w:cs="Arial" w:eastAsia="Arial" w:hAnsi="Arial"/>
          <w:sz w:val="18"/>
          <w:szCs w:val="18"/>
          <w:color w:val="auto"/>
        </w:rPr>
        <w:t>Accrued</w:t>
      </w:r>
    </w:p>
    <w:p>
      <w:pPr>
        <w:spacing w:after="0" w:line="15" w:lineRule="exact"/>
        <w:rPr>
          <w:sz w:val="20"/>
          <w:szCs w:val="20"/>
          <w:color w:val="auto"/>
        </w:rPr>
      </w:pPr>
    </w:p>
    <w:p>
      <w:pPr>
        <w:ind w:left="20"/>
        <w:spacing w:after="0"/>
        <w:tabs>
          <w:tab w:leader="none" w:pos="1100" w:val="left"/>
          <w:tab w:leader="none" w:pos="2280" w:val="left"/>
        </w:tabs>
        <w:rPr>
          <w:sz w:val="20"/>
          <w:szCs w:val="20"/>
          <w:color w:val="auto"/>
        </w:rPr>
      </w:pPr>
      <w:r>
        <w:rPr>
          <w:rFonts w:ascii="Arial" w:cs="Arial" w:eastAsia="Arial" w:hAnsi="Arial"/>
          <w:sz w:val="18"/>
          <w:szCs w:val="18"/>
          <w:color w:val="auto"/>
        </w:rPr>
        <w:t>Balance</w:t>
      </w:r>
      <w:r>
        <w:rPr>
          <w:sz w:val="20"/>
          <w:szCs w:val="20"/>
          <w:color w:val="auto"/>
        </w:rPr>
        <w:tab/>
      </w:r>
      <w:r>
        <w:rPr>
          <w:rFonts w:ascii="Arial" w:cs="Arial" w:eastAsia="Arial" w:hAnsi="Arial"/>
          <w:sz w:val="18"/>
          <w:szCs w:val="18"/>
          <w:color w:val="auto"/>
        </w:rPr>
        <w:t>Interest</w:t>
      </w:r>
      <w:r>
        <w:rPr>
          <w:sz w:val="20"/>
          <w:szCs w:val="20"/>
          <w:color w:val="auto"/>
        </w:rPr>
        <w:tab/>
      </w: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6985</wp:posOffset>
            </wp:positionV>
            <wp:extent cx="20923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60" w:space="720"/>
            <w:col w:w="3040"/>
          </w:cols>
          <w:pgMar w:left="240" w:top="131" w:right="23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7.75% (2019) and 7.15% (2018) Notes payable</w:t>
            </w:r>
          </w:p>
        </w:tc>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to insurance premium financing company (current)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$ 57,300</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$ 57,300</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$ 53,900</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$ 53,900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2018, we executed a 7.15% promissory note in the principal amount of $59,700 in connection with certain insurance policy premiums. That note was payable in monthly installments of $6,200, including principal and interest, through December 2018, when it was paid in full. In May 2018, we executed a 6.50% promissory note in the principal amount of $160,500 in connection with other insurance policy premiums. That note was payable in monthly installments of $16,500, including principal and interest, through March 2019, when it was paid in full. In February 2019, we executed a 7.75% promissory note in the face amount of $63,500 in connection with other insurance policy premiums. The note is payable in monthly installments of $6,600, including principal and interest, through December 2019, and has an outstanding balance of $57,300 at March 31,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1" w:name="page102"/>
    <w:bookmarkEnd w:id="10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our Annual Meeting of Stockholders on September 15, 2017, as approved by and recommended to our stockholders by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our stockholders approved an amendment to our Restated Articles of Incorporation to increase the authorized number of shares of common stock that we may issue from 30.0 million shares to 100.0 million shares. The amendment became effective on September 15, 2017, upon our filing of a certificate of amendment with the Nevada Secretary of State. In connection with the underwritten public offering of our common stock and warrants in May 2016, our common stock was approved for listing on the Nasdaq Capital Market. Our common stock has been trading on the Nasdaq Capital Market under the symbol “VTGN” since May 11,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authorized the creation of a series of up to 500,000 shares of Series A Preferred, par value $0.001 (</w:t>
      </w:r>
      <w:r>
        <w:rPr>
          <w:rFonts w:ascii="Arial" w:cs="Arial" w:eastAsia="Arial" w:hAnsi="Arial"/>
          <w:sz w:val="18"/>
          <w:szCs w:val="18"/>
          <w:i w:val="1"/>
          <w:iCs w:val="1"/>
          <w:color w:val="auto"/>
        </w:rPr>
        <w:t>Series A Preferred</w:t>
      </w:r>
      <w:r>
        <w:rPr>
          <w:rFonts w:ascii="Arial" w:cs="Arial" w:eastAsia="Arial" w:hAnsi="Arial"/>
          <w:sz w:val="18"/>
          <w:szCs w:val="18"/>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Series A Preferred has no separate dividend rights, however, whenever the Board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applicable record date.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distributions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2019 and 2018, there were 500,000 restricted shares of Series A Preferred outstanding, convertible into 750,000 shares of our common stock at the option of the two respective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subject to adjustment only for customary stock dividends, reclassifications, splits and similar transactions set forth in the Certificate of Designation. Outstanding shares of Series B Preferred are also convertible automatically on a one-to-one basis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 Following the completion of our underwritten public offering in May 2016,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 There have been no conversions of Series B Preferred since August 2016.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Conversion, shares of Series B Preferred accrue in-kind dividends (payable only in unregistered shares of our common stock) at a rate of 10% per annum (</w:t>
      </w:r>
      <w:r>
        <w:rPr>
          <w:rFonts w:ascii="Arial" w:cs="Arial" w:eastAsia="Arial" w:hAnsi="Arial"/>
          <w:sz w:val="16"/>
          <w:szCs w:val="16"/>
          <w:i w:val="1"/>
          <w:iCs w:val="1"/>
          <w:color w:val="auto"/>
        </w:rPr>
        <w:t>Accrued Dividends</w:t>
      </w:r>
      <w:r>
        <w:rPr>
          <w:rFonts w:ascii="Arial" w:cs="Arial" w:eastAsia="Arial" w:hAnsi="Arial"/>
          <w:sz w:val="16"/>
          <w:szCs w:val="16"/>
          <w:color w:val="auto"/>
        </w:rPr>
        <w:t>). The Accrued Dividends are payable on the date of either a Voluntary Conversion or Automatic Conversion in that number of shares of common stock equal to the Accrued Dividends. At March 31, 2019, we have recognized a liability in the amount of $3,748,200 for Accrued Dividends in the accompanying Consolidated Balance Sheet at March 31, 2019, based on the Series B Preferred issued and outstanding through that date. We have recognized a deduction from net loss of $1,139,900 and $1,030,400 related to dividends on Series B Preferred in arriving at net loss attributable to common stockholders in the accompanying Consolidated Statement of Operations and Comprehensive Loss for the fiscal years ended March 31, 2019 and 2018, respectively.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of the liquidation, dissolution or winding-up of our affairs, after payment or provision for payment of our debts and other liabilities, the Holders of the Series B Preferred then outstanding shall be entitled to receive distributions out of our assets, if any, an amount equal to the Stated Value of the Series B Preferred ($7.00 per share), plus any accrued and unpaid dividends thereon, before any distribution or payment shall be made to the holders of any junior securities, including holders of our common stock. If our assets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 Upon liquidation, each share of Series B Preferred ranks pari-passu with our Series A Preferred and our Series C Preferred (defined below).The liquidation value of the Series B Preferred at March 31, 2019 is approximately $11,869,800.</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March 31, 2019 and 2018, there were 1,160,240 shares of Series B Preferred outstanding, which shares are subject to beneficial ownership blockers and are exchangeable at the option of the two respective holders by Voluntary Conversion, or pursuant to Automatic Conversion to the extent not otherwise subject to beneficial ownership blockers, into an aggregate of 1,160,240 shares of our common stock, excluding shares of our common stock which may be issued in payment of Accrued Dividends upon conversion.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 Upon liquidation, each share of Series C Preferred ranks pari-passu with our Series B Preferred and our Series A Preferred.</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Each share of Series C Preferred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At March 31, 2019 and 2018, one holder and its affiliates held all 2,318,012 outstanding shares of Series C Preferred.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September 2017 Public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September 6, 2017, we completed a public offering of units consisting of shares of common stock and Series A1 and A2 common stock purchase warrants to two of our existing institutional investors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xml:space="preserve">), resulting in gross proceeds of approximately $2.4 million. We issued an aggregate of 1,371,430 shares of our common stock, Series A1 Warrants to purchase up to 1,388,931 shares of common stock and Series A2 Warrants to purchase up to 503,641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each exercisable for $1.82 per share. The Series A1 Warrants became exercisable by the investors for a five-year period commencing on March 7, 2018, and the Series A2 Warrants were immediately exercisable at any time through September 6, 2022. The common stock and the shares of common stock underlying the Warrants issued in the September 2017 Public Offering were offered, issued and sold pursuant to our S-3 Registration Statement (Registration No. 333-215671) that had previously been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this and potential future sales of our equity securities in one or more public offerings from time to time. We received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million from the September 2017 Public Offering, after deducting underwriter’s commission and other expenses related to the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Series A1 Warrants to purchase an aggregate of 1,388,931 shares of our common stock issued in the September 2017 Public Offering have no anti-dilution or other exercise price or share reset features, except as is customary with respect to a change in our capital structure in the event of a stock split or dividend, and, accordingly, we accounted for them as equity warrants. The Series A2 Warrants to purchase an aggregate of 503,641 shares of our common stock contained anti-dilution protection provisions that would take effect upon the issuance of any common stock, securities convertible into common stock or certain other issuances at a price below the then-current ($1.82 per share) exercise price of the Series A2 Warrants, with certain exceptions; provided, however, that such anti-dilution protection would terminate automatically on the trading day following the date on which we raised at least $20.0 million in aggregate gross proceeds through one or more issuances of common stock or equity-linked securities. The anti-dilution protection provisions in the Series A2 Warrants constituted a down round feature subject to the guidance in ASU 2017-11. Since the Series A2 Warrants contained no other provisions which required their treatment as liability warrants rather than equity warrants, including exercise price or share reset features, except as is customary with respect to a change in our capital structure in the event of a stock split or dividend and which are also present in the Series A1 Warrants, we also accounted for the Series A2 Warrants as equity warrants. The anti-dilution protection provisions of the Series A2 Warrants were triggered upon our issuance of common stock and warrants in the December 2017 Public Offering (defined below) at a price below the Series A2 Warrants’ then-current $1.82 per share exercise price.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Common Stock and Warrants Issued in December 2017 Public Offering and Trigger of Anti-Dilution Protection Provisions of Series A2 Warrants Issued in September 2017 Public Offering</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December 13, 2017, we completed a public offering of units consisting of shares of common stock and common stock purchase warrants at a combined public offering price of $1.50 per share and related warrant (the </w:t>
      </w:r>
      <w:r>
        <w:rPr>
          <w:rFonts w:ascii="Arial" w:cs="Arial" w:eastAsia="Arial" w:hAnsi="Arial"/>
          <w:sz w:val="16"/>
          <w:szCs w:val="16"/>
          <w:i w:val="1"/>
          <w:iCs w:val="1"/>
          <w:color w:val="auto"/>
        </w:rPr>
        <w:t>December 2017 Public Offering</w:t>
      </w:r>
      <w:r>
        <w:rPr>
          <w:rFonts w:ascii="Arial" w:cs="Arial" w:eastAsia="Arial" w:hAnsi="Arial"/>
          <w:sz w:val="16"/>
          <w:szCs w:val="16"/>
          <w:color w:val="auto"/>
        </w:rPr>
        <w:t xml:space="preserve">), resulting in gross proceeds of $15.0 million. We issued an aggregate of 10,000,000 shares of our common stock and warrants to purchase up to 10,000,000 shares of our common stock at an exercise price of $1.50 per share (the </w:t>
      </w:r>
      <w:r>
        <w:rPr>
          <w:rFonts w:ascii="Arial" w:cs="Arial" w:eastAsia="Arial" w:hAnsi="Arial"/>
          <w:sz w:val="16"/>
          <w:szCs w:val="16"/>
          <w:i w:val="1"/>
          <w:iCs w:val="1"/>
          <w:color w:val="auto"/>
        </w:rPr>
        <w:t>December 2017 Offering Warrants</w:t>
      </w:r>
      <w:r>
        <w:rPr>
          <w:rFonts w:ascii="Arial" w:cs="Arial" w:eastAsia="Arial" w:hAnsi="Arial"/>
          <w:sz w:val="16"/>
          <w:szCs w:val="16"/>
          <w:color w:val="auto"/>
        </w:rPr>
        <w:t>). The common stock and the shares of common stock underlying the December 2017 Offering Warrants issued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2017 Public Offering were offered, issued and sold pursuant to our Registration Statement on Form S-1 (Registration No. 333-221009) that was declared effective by the Commission on December 11, 2017. The December 2017 Offering Warrants are exercisable at any time through December 13, 2022, have no anti-dilution or other exercise price or share reset features, except as is customary with respect to a change in our capital structure in the event of a stock split or dividend, and do not contain any cashless exercise features as long as our Registration Statement on Form S-1 (Registration No. 333-221009) is effective. Accordingly, we accounted for the December 2017 Offering Warrants as equity warrants. We received net proceeds of approximately $13.6 million from the December 2017 Public Offering, after deducting underwriter’s commission and other expenses related to the offering.</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sale of units consisting of common stock and warrants in the December 2017 Public Offering at an offering price of $1.50 per unit triggered the anti-dilution provisions of the Series A2 Warrants. In accordance with the anti-dilution terms and formula contained in the Series A2 warrants, the exercise price of the Series A2 Warrants was reduced to $0.001 per share. In December 2017 and January 2018, the holders exercised the reset Series A2 warrants to purchase an aggregate of 503,641 shares of our common stock from which we received nominal cash proceeds. In accordance with the guidance in ASU 2017-11, we recognized the effect of triggering the down round feature as a deemed dividend in our Consolidated Statements of Stockholders’ Equity for the fiscal year ended March 31, 2018 and as an increase in net loss attributable to common stockholders and in our calculation of basic and fully diluted earnings per share in our Consolidated Statements of Operations and Comprehensive Loss for the fiscal year ended March 31, 2018.</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calculated the deemed dividend from the trigger of the down round provision feature, $199,200, using the Black-Scholes Option Pricing Model and the assumptions indicated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Pre-reset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Post-reset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503,641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503,641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in Spring 2019 Public Offering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quarter ended March 31, 2019, we completed an underwritten public offering of 11,500,000 shares of our common stock, including the overallotment option, at a public offering price of $1.00 per share, resulting in gross proceeds to us of $11,500,000, pursuant to our shelf registration statement on Form S-3 (File No. 333-215671), previously filed with the Commission (the </w:t>
      </w:r>
      <w:r>
        <w:rPr>
          <w:rFonts w:ascii="Arial" w:cs="Arial" w:eastAsia="Arial" w:hAnsi="Arial"/>
          <w:sz w:val="18"/>
          <w:szCs w:val="18"/>
          <w:i w:val="1"/>
          <w:iCs w:val="1"/>
          <w:color w:val="auto"/>
        </w:rPr>
        <w:t>Spring 2019 Public Offering</w:t>
      </w:r>
      <w:r>
        <w:rPr>
          <w:rFonts w:ascii="Arial" w:cs="Arial" w:eastAsia="Arial" w:hAnsi="Arial"/>
          <w:sz w:val="18"/>
          <w:szCs w:val="18"/>
          <w:color w:val="auto"/>
        </w:rPr>
        <w:t>). We received net proceeds of approximately $10.4 million after deducting underwriter’s commission and offering expenses.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4" w:name="page105"/>
    <w:bookmarkEnd w:id="10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Placements in our Fiscal Year Ended March 31, 2018</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quarter ended June 30, 2017, in self-placed private placement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these self-placed private placement transactions, and the entire amount of the proceeds was credited to stockholders’ equity.</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September 30,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December 31, 2017, in a self-placed private placement transaction, we sold to an accredited investor units consisting of 150,000 shares of our unregistered common stock and warrants exercisable through November 30, 2021 to purchase 150,000 unregistered shares of our common stock at an exercise price of $2.00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$150,000 from this sale of our securities, and the entire amount of the proceeds was credited to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6"/>
          <w:szCs w:val="16"/>
          <w:i w:val="1"/>
          <w:iCs w:val="1"/>
          <w:color w:val="auto"/>
        </w:rPr>
        <w:t>Summer 2018 Private Placement</w:t>
      </w:r>
      <w:r>
        <w:rPr>
          <w:rFonts w:ascii="Arial" w:cs="Arial" w:eastAsia="Arial" w:hAnsi="Arial"/>
          <w:sz w:val="16"/>
          <w:szCs w:val="16"/>
          <w:color w:val="auto"/>
        </w:rPr>
        <w:t>). The purchasers of the units have no registration rights with respect to the shares of common stock, warrants or the shares of common stock issuable upon exercise of the warrants comprising the units sold. The warrants are not exercisable until at least six months and one day following the date of issuance. We received aggregate cash proceeds of $5,756,200 in connection with the Summer 2018 Private Placement and the entire amount of the proceeds was credited to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6"/>
          <w:szCs w:val="16"/>
          <w:i w:val="1"/>
          <w:iCs w:val="1"/>
          <w:color w:val="auto"/>
        </w:rPr>
        <w:t>Fall 2018 Private Placement</w:t>
      </w:r>
      <w:r>
        <w:rPr>
          <w:rFonts w:ascii="Arial" w:cs="Arial" w:eastAsia="Arial" w:hAnsi="Arial"/>
          <w:sz w:val="16"/>
          <w:szCs w:val="16"/>
          <w:color w:val="auto"/>
        </w:rPr>
        <w:t>).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 The entire amount of the proceeds of the Fall 2018 Private Placement was credited to stockholders’ equity. The fair value of the common stock and warrant issued in the Fall 2018 Private Placement in settlement of the professional services payable was determined to be $62,700 on the effective date of the agreement. Accordingly, we recognized a loss on extinguishment of accounts payable in the amount of $22,700 in our Consolidated Statement of Operations and Comprehensive Loss for the fiscal year ended March 31,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issued in Summer 2018 Private Placement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Subsequent to the completion of the Summer 2018 Private Placement, we amended warrants to purchase an aggregate of 304,000 shares of our common stock issued to investors who submitted Summer 2018 Private Placement subscription agreements between October 3, 2018 and October 5, 2018 to increase the exercise price of their warrants from $1.50 per share to $1.59 per share or $1.69 per share, depending on the effective date of the related subscription agreement, to comply with certain provisions of The Nasdaq Stock Market Rules applicable to the private placement. As additional consideration for agreeing to the increase in the warrant exercise price, we granted the investors additional warrants to purchase an aggregate of 23,800 unregistered shares of our common stock at an exercise price of $1.75 per share through February 28, 2022. We calculated the fair value of the modified warrants immediately before and after the modification using the Black Scholes Option Pricing Model and determined that the increase in the exercise price resulted in a decrease in the fair value of the warrants, which decrease is not recognized. We calculated the fair value of the new warrants using the Black-Scholes Option Pricing Model and the weighted average assumptions indicated in the table below, recognizing $25,800 as the fair value of the new warrants and as warrant modification expense, included as a component of general and administrative expenses, in our Consolidated Statement of Operations and Comprehensive Loss for the fiscal year ended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New</w:t>
            </w:r>
          </w:p>
        </w:tc>
        <w:tc>
          <w:tcPr>
            <w:tcW w:w="0" w:type="dxa"/>
            <w:vAlign w:val="bottom"/>
          </w:tcPr>
          <w:p>
            <w:pPr>
              <w:spacing w:after="0"/>
              <w:rPr>
                <w:sz w:val="1"/>
                <w:szCs w:val="1"/>
                <w:color w:val="auto"/>
              </w:rPr>
            </w:pPr>
          </w:p>
        </w:tc>
      </w:tr>
      <w:tr>
        <w:trPr>
          <w:trHeight w:val="229"/>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Warrants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Product Licenses and Option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indicated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September 2018 we issued an aggregate of 1,630,435 shares of our unregistered common stock having a fair market value of $2,250,000, based on the $1.38 per share quoted closing market price of our common stock on the Nasdaq Capital Market, to Pherin to acquire an exclusive worldwide license to develop and commercialize PH94B and an option to acquire a similar license for PH10. In October 2018, we exercised our option to acquire an exclusive worldwide license to develop and commercialize PH10 by issuing 925,926 shares of our unregistered common stock having a fair market value of $2,000,000, based on the $2.16 per share closing quoted market price of our common stock on the Nasdaq Capital Market,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license agreements, we are obligated to pay to Pherin monthly support payments of $10,000 for a term of the earlier of 18 months or the termination of the license agreement, however no monthly support payment is required under the 18-month period identified in the PH10 license agreement if support payments are being made under the terms of the PH94B license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and Warrants to Professional Services Providers and in Settlement of Accounts Payable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our fiscal years ended March 31, 2018 and 2019, we issued the following securities in private placement transactions as compensation for various professional services. Unless otherwise noted, we recorded the related noncash expense as a component of general and administrative expense in the Consolidated Statement of Operations and Comprehensive Loss for the fiscal years ended March 31, 2018 and 2019, as appropriate.</w:t>
      </w:r>
    </w:p>
    <w:p>
      <w:pPr>
        <w:spacing w:after="0" w:line="161" w:lineRule="exact"/>
        <w:rPr>
          <w:sz w:val="20"/>
          <w:szCs w:val="20"/>
          <w:color w:val="auto"/>
        </w:rPr>
      </w:pPr>
    </w:p>
    <w:p>
      <w:pPr>
        <w:jc w:val="both"/>
        <w:ind w:left="66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quarter ended September 30, 2017, we issued an aggregate of 927,500 unregistered shares of our common stock, of which 477,500 shares were issued from our 2016 Plan, for various professional services, including contract research, legal, investor relations and financial advisory services. The common stock issued had an aggregate fair value of $1,503,600 on the dates issued, of which all but $117,300 has been recognized as noncash expense through March 31, 2018. The un-expensed portion at March 31, 2018, which is included in prepaid expenses in our accompanying Consolidated Balance Sheet, is being recognized in expense ratably through July 2019 in accordance with the terms of work orders for certain contract research services to be provided through that period.</w:t>
      </w:r>
    </w:p>
    <w:p>
      <w:pPr>
        <w:spacing w:after="0" w:line="19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quarter ended December 31, 2017, we issued an aggregate of 70,000 unregistered shares of our common stock, all of which were issued from our Amended and Restated 2016 Stock Incentive Plan for additional investor relations and financial advisory services. The common stock issued had an aggregate fair value of $140,800 on the dates issued.</w:t>
      </w:r>
    </w:p>
    <w:p>
      <w:pPr>
        <w:spacing w:after="0" w:line="194"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quarter ended December 31, 2017, we also issued 500,000 unregistered shares of our common stock having a fair value at the time of issuance of $585,000 and a cash payment of $76,500 to our contract manufacturing organization (</w:t>
      </w:r>
      <w:r>
        <w:rPr>
          <w:rFonts w:ascii="Arial" w:cs="Arial" w:eastAsia="Arial" w:hAnsi="Arial"/>
          <w:sz w:val="18"/>
          <w:szCs w:val="18"/>
          <w:i w:val="1"/>
          <w:iCs w:val="1"/>
          <w:color w:val="auto"/>
        </w:rPr>
        <w:t>CMO</w:t>
      </w:r>
      <w:r>
        <w:rPr>
          <w:rFonts w:ascii="Arial" w:cs="Arial" w:eastAsia="Arial" w:hAnsi="Arial"/>
          <w:sz w:val="18"/>
          <w:szCs w:val="18"/>
          <w:color w:val="auto"/>
        </w:rPr>
        <w:t>) in exchange for and settlement of $526,500 of open accounts payable for services provided by the CMO relating to production of AV-101 drug substance. We recognized a corresponding loss on settlement of accounts payable in the amount of $135,000 in the Consolidated Statement of Operations and Comprehensive Loss for the fiscal year ended March 31, 2018.</w:t>
      </w:r>
    </w:p>
    <w:p>
      <w:pPr>
        <w:spacing w:after="0" w:line="196"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quarter ended March 31, 2018, we issued 30,000 unregistered shares of our common stock to a provider of investor relations and financial advisory services. The common stock issued had an aggregate fair value of $39,000 on the date issued.</w:t>
      </w:r>
    </w:p>
    <w:p>
      <w:pPr>
        <w:spacing w:after="0" w:line="18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quarter ended June 30, 2018, we issued an aggregate of 100,000 unregistered shares of our common stock having a fair value on the dates of issuance of $123,000 as full or partial compensation to an investor relations service provider and under a financial advisory agreement.</w:t>
      </w:r>
    </w:p>
    <w:p>
      <w:pPr>
        <w:spacing w:after="0" w:line="139"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quarter ended September 30, 2018, we issued 50,000 shares of our unregistered common stock having a fair value on the date of issuance of $68,000 as partial compensation to a corporate awareness service provider.</w:t>
      </w:r>
    </w:p>
    <w:p>
      <w:pPr>
        <w:spacing w:after="0" w:line="185"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quarter ended September 30, 2018, we also issued four-year warrants to three service providers to purchase an aggregate of 288,000 unregistered shares of our common stock at an exercise price of $1.50 per share as full or partial compensation for investor relations and corporate awareness services. We valued the warrants at an aggregate fair value of $266,900 using the Black-Scholes Option Pricing Model and the following grant date weighted average assumptions: exercise price per share: $1.50; market price per share: $1.40; risk-free interest rate: 2.71%; contractual term: 4 years; volatility: 94.17%; dividend rate: 0%; deriving a value per warrant share of $0.93. The fair value of the common stock and warrants is being recognized in expense ratably over the term of the underlying contracts.</w:t>
      </w:r>
    </w:p>
    <w:p>
      <w:pPr>
        <w:spacing w:after="0" w:line="17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quarter ended March 31, 2019, we issued 25,000 registered shares of our common stock having a fair value of $41,500 on the date of issuance from our Amended and Restated 2016 Stock Incentive Plan to an investor relations and social media service provider. The fair value of the common stock is being recognized in expense ratably over the term of the underlying contract.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quarter ended March 31, 2019, our Chief Executive Officer and Chief Scientific Officer and a member of our Board exercised outstanding stock options to purchase an aggregate of 29,250 shares of our common stock and we received cash proceeds of $43,900.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Modifications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Summer 2018 Private Placement warrants modified during our fiscal year ended March 31, 2019, we modified other outstanding warrants during our fiscal year ended March 31, 2018.</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September 30, 2017, the Board authorized the modification of outstanding warrants issued in private placement transactions between March 2017 and June 2017 to reduce the exercise prices and increase the number of shares issuable thereunder. We calculated the fair value of the warrant immediately before and after the modification using the Black-Scholes Option Pricing Model and the weighted average assumptions indicated in the table below. We recognized the incremental fair value, $279,700, as warrant modification expense, included as a component of general and administrative expenses, in our Consolidated Statement of Operations and Comprehensive Loss for the fiscal year ended March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December 31, 2017, the Board authorized the modification of outstanding warrants issued in private placement transactions between August 2017 and November 2017 to reduce the exercise prices of the warrants. We calculated the fair value of the warrants immediately before and after the modification using the Black Scholes Option Pricing Model and the weighted average assumptions indicated in the table below. We recognized the incremental fair value, $13,000, as warrant modification expense, included as a component of general and administrative expenses, in our Consolidated Statement of Operations and Comprehensive Loss for the fiscal year ended March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8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 rate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8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jc w:val="right"/>
              <w:ind w:right="27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3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following table summarizes outstanding and exercisable warrants to purchase shares of our common stock as of March 31, 2019. The weighted average exercise price of outstanding and exercisable warrants at March 31, 2019 was $2.53 per share and $2.57 per share,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b w:val="1"/>
                <w:bCs w:val="1"/>
                <w:color w:val="auto"/>
              </w:rPr>
              <w:t>Exercise Price</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tcPr>
          <w:p>
            <w:pPr>
              <w:ind w:left="1060"/>
              <w:spacing w:after="0"/>
              <w:rPr>
                <w:sz w:val="20"/>
                <w:szCs w:val="20"/>
                <w:color w:val="auto"/>
              </w:rPr>
            </w:pPr>
            <w:r>
              <w:rPr>
                <w:rFonts w:ascii="Arial" w:cs="Arial" w:eastAsia="Arial" w:hAnsi="Arial"/>
                <w:sz w:val="18"/>
                <w:szCs w:val="18"/>
                <w:b w:val="1"/>
                <w:bCs w:val="1"/>
                <w:color w:val="auto"/>
              </w:rPr>
              <w:t>Expiration</w:t>
            </w:r>
          </w:p>
        </w:tc>
        <w:tc>
          <w:tcPr>
            <w:tcW w:w="2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3"/>
              </w:rPr>
              <w:t>Warrants Outstanding at</w:t>
            </w:r>
          </w:p>
        </w:tc>
        <w:tc>
          <w:tcPr>
            <w:tcW w:w="580" w:type="dxa"/>
            <w:vAlign w:val="bottom"/>
          </w:tcPr>
          <w:p>
            <w:pPr>
              <w:spacing w:after="0"/>
              <w:rPr>
                <w:sz w:val="19"/>
                <w:szCs w:val="19"/>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Warrants Exercisable at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92"/>
              <w:spacing w:after="0"/>
              <w:rPr>
                <w:sz w:val="20"/>
                <w:szCs w:val="20"/>
                <w:color w:val="auto"/>
              </w:rPr>
            </w:pPr>
            <w:r>
              <w:rPr>
                <w:rFonts w:ascii="Arial" w:cs="Arial" w:eastAsia="Arial" w:hAnsi="Arial"/>
                <w:sz w:val="18"/>
                <w:szCs w:val="18"/>
                <w:b w:val="1"/>
                <w:bCs w:val="1"/>
                <w:color w:val="auto"/>
              </w:rPr>
              <w:t>per Share</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1"/>
                <w:szCs w:val="21"/>
                <w:color w:val="auto"/>
              </w:rPr>
            </w:pPr>
          </w:p>
        </w:tc>
        <w:tc>
          <w:tcPr>
            <w:tcW w:w="1980" w:type="dxa"/>
            <w:vAlign w:val="bottom"/>
          </w:tcPr>
          <w:p>
            <w:pPr>
              <w:jc w:val="right"/>
              <w:ind w:right="472"/>
              <w:spacing w:after="0"/>
              <w:rPr>
                <w:sz w:val="20"/>
                <w:szCs w:val="20"/>
                <w:color w:val="auto"/>
              </w:rPr>
            </w:pPr>
            <w:r>
              <w:rPr>
                <w:rFonts w:ascii="Arial" w:cs="Arial" w:eastAsia="Arial" w:hAnsi="Arial"/>
                <w:sz w:val="18"/>
                <w:szCs w:val="18"/>
                <w:b w:val="1"/>
                <w:bCs w:val="1"/>
                <w:color w:val="auto"/>
              </w:rPr>
              <w:t>March 31, 2019</w:t>
            </w:r>
          </w:p>
        </w:tc>
        <w:tc>
          <w:tcPr>
            <w:tcW w:w="580" w:type="dxa"/>
            <w:vAlign w:val="bottom"/>
          </w:tcPr>
          <w:p>
            <w:pPr>
              <w:spacing w:after="0"/>
              <w:rPr>
                <w:sz w:val="21"/>
                <w:szCs w:val="21"/>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March 31, 2019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8"/>
              </w:rPr>
              <w:t>11/30/2021 to 12/13/2022</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14,335,200</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13,857,200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2/28/2022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292,000</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2/28/2022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10/5/2022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182,434</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182,434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2/28/2022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10/10/2022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115,385</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115,385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3/7/2023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4/30/2021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523,573</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523,573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10/19/2022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106,383</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106,383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10/16/2022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16,737</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16,737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9/26/2019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25,000</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5/16/2021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324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9/26/2019 to 11/30/2019</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97,750</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97,750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9"/>
              </w:rPr>
              <w:t>1/11/2020 to 3/3/2023</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1,262,878</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1,262,878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3/25/2021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185,000</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1/11/2020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jc w:val="right"/>
              <w:ind w:right="16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9/15/2019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110,448</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110,448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21,453,402</w:t>
            </w:r>
          </w:p>
        </w:tc>
        <w:tc>
          <w:tcPr>
            <w:tcW w:w="58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20,647,602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Reserved Shares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0"/>
          </w:tcPr>
          <w:p>
            <w:pPr>
              <w:spacing w:after="0"/>
              <w:rPr>
                <w:sz w:val="20"/>
                <w:szCs w:val="20"/>
                <w:color w:val="auto"/>
              </w:rPr>
            </w:pPr>
            <w:r>
              <w:rPr>
                <w:rFonts w:ascii="Arial" w:cs="Arial" w:eastAsia="Arial" w:hAnsi="Arial"/>
                <w:sz w:val="18"/>
                <w:szCs w:val="18"/>
                <w:color w:val="auto"/>
              </w:rPr>
              <w:t>At March 31, 2019, we have reserved shares of our common stock for future issuance as follows:</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7"/>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A Preferred currently issued and outstanding </w:t>
            </w:r>
            <w:r>
              <w:rPr>
                <w:rFonts w:ascii="Arial" w:cs="Arial" w:eastAsia="Arial" w:hAnsi="Arial"/>
                <w:sz w:val="24"/>
                <w:szCs w:val="24"/>
                <w:color w:val="auto"/>
                <w:w w:val="88"/>
                <w:vertAlign w:val="superscript"/>
              </w:rPr>
              <w:t>(1)</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7"/>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B Preferred currently issued and outstanding </w:t>
            </w:r>
            <w:r>
              <w:rPr>
                <w:rFonts w:ascii="Arial" w:cs="Arial" w:eastAsia="Arial" w:hAnsi="Arial"/>
                <w:sz w:val="24"/>
                <w:szCs w:val="24"/>
                <w:color w:val="auto"/>
                <w:w w:val="88"/>
                <w:vertAlign w:val="superscript"/>
              </w:rPr>
              <w:t>(2)</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5,096,738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7"/>
            <w:shd w:val="clear" w:color="auto" w:fill="CCEEFF"/>
          </w:tcPr>
          <w:p>
            <w:pPr>
              <w:spacing w:after="0" w:line="216" w:lineRule="exact"/>
              <w:rPr>
                <w:sz w:val="20"/>
                <w:szCs w:val="20"/>
                <w:color w:val="auto"/>
              </w:rPr>
            </w:pPr>
            <w:r>
              <w:rPr>
                <w:rFonts w:ascii="Arial" w:cs="Arial" w:eastAsia="Arial" w:hAnsi="Arial"/>
                <w:sz w:val="18"/>
                <w:szCs w:val="18"/>
                <w:color w:val="auto"/>
                <w:w w:val="87"/>
              </w:rPr>
              <w:t xml:space="preserve">Upon exchange of all shares of Series C Preferred currently issued and outstanding </w:t>
            </w:r>
            <w:r>
              <w:rPr>
                <w:rFonts w:ascii="Arial" w:cs="Arial" w:eastAsia="Arial" w:hAnsi="Arial"/>
                <w:sz w:val="24"/>
                <w:szCs w:val="24"/>
                <w:color w:val="auto"/>
                <w:w w:val="87"/>
                <w:vertAlign w:val="superscript"/>
              </w:rPr>
              <w:t>(3)</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7"/>
          </w:tcPr>
          <w:p>
            <w:pPr>
              <w:spacing w:after="0"/>
              <w:rPr>
                <w:sz w:val="20"/>
                <w:szCs w:val="20"/>
                <w:color w:val="auto"/>
              </w:rPr>
            </w:pPr>
            <w:r>
              <w:rPr>
                <w:rFonts w:ascii="Arial" w:cs="Arial" w:eastAsia="Arial" w:hAnsi="Arial"/>
                <w:sz w:val="18"/>
                <w:szCs w:val="18"/>
                <w:color w:val="auto"/>
              </w:rPr>
              <w:t>Pursuant to warrants to purchase common stock:</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Subject to outstanding warrants</w:t>
            </w: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21,453,402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rPr>
              <w:t>Pursuant to stock incentive plan:</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w w:val="88"/>
              </w:rPr>
              <w:t>Subject to outstanding options under the Amended and Restated 2016 Stock Incentive</w:t>
            </w:r>
          </w:p>
        </w:tc>
        <w:tc>
          <w:tcPr>
            <w:tcW w:w="198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w w:val="83"/>
              </w:rPr>
              <w:t>Plan</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gridSpan w:val="8"/>
          </w:tcPr>
          <w:p>
            <w:pPr>
              <w:ind w:left="160"/>
              <w:spacing w:after="0"/>
              <w:rPr>
                <w:sz w:val="20"/>
                <w:szCs w:val="20"/>
                <w:color w:val="auto"/>
              </w:rPr>
            </w:pPr>
            <w:r>
              <w:rPr>
                <w:rFonts w:ascii="Arial" w:cs="Arial" w:eastAsia="Arial" w:hAnsi="Arial"/>
                <w:sz w:val="18"/>
                <w:szCs w:val="18"/>
                <w:color w:val="auto"/>
                <w:w w:val="87"/>
              </w:rPr>
              <w:t>Available for future grants under the Amended and Restated 2016 Stock Incentive Plan</w:t>
            </w:r>
          </w:p>
        </w:tc>
        <w:tc>
          <w:tcPr>
            <w:tcW w:w="1980" w:type="dxa"/>
            <w:vAlign w:val="bottom"/>
          </w:tcPr>
          <w:p>
            <w:pPr>
              <w:spacing w:after="0"/>
              <w:rPr>
                <w:sz w:val="19"/>
                <w:szCs w:val="19"/>
                <w:color w:val="auto"/>
              </w:rPr>
            </w:pPr>
          </w:p>
        </w:tc>
        <w:tc>
          <w:tcPr>
            <w:tcW w:w="1920" w:type="dxa"/>
            <w:vAlign w:val="bottom"/>
            <w:gridSpan w:val="2"/>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2,607,162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9,233,250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38,851,402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gridSpan w:val="3"/>
            <w:vMerge w:val="restart"/>
          </w:tcPr>
          <w:p>
            <w:pPr>
              <w:spacing w:after="0"/>
              <w:rPr>
                <w:sz w:val="20"/>
                <w:szCs w:val="20"/>
                <w:color w:val="auto"/>
              </w:rPr>
            </w:pPr>
            <w:r>
              <w:rPr>
                <w:rFonts w:ascii="Arial" w:cs="Arial" w:eastAsia="Arial" w:hAnsi="Arial"/>
                <w:sz w:val="18"/>
                <w:szCs w:val="18"/>
                <w:color w:val="auto"/>
              </w:rPr>
              <w:t>____________</w:t>
            </w: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8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6" w:lineRule="auto"/>
        <w:tabs>
          <w:tab w:leader="none" w:pos="20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w:t>
      </w:r>
    </w:p>
    <w:p>
      <w:pPr>
        <w:spacing w:after="0" w:line="7"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 includes 3,936,498 shares of common stock issuable in payment of dividends on Series B Preferred upon conversion</w:t>
      </w:r>
    </w:p>
    <w:p>
      <w:pPr>
        <w:ind w:right="560" w:firstLine="8"/>
        <w:spacing w:after="0" w:line="248" w:lineRule="auto"/>
        <w:tabs>
          <w:tab w:leader="none" w:pos="187"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have 18,525,633 authorized shares of our common stock not subject to reserves and available for future issuance.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recorded research and development expenses of approximately $17.1 million (including approximately $5.6 million of non-cash expense) and $7.8 million in the fiscal years ended March 31, 2019 and 2018, respectively. Research and development expense is composed of employee compensation expenses, including stock–based compensation, direct project expenses, notably including costs attributable to our AV-101 ELEVATE clinical trial and other preclinical and nonclinical projects, and costs to maintain and prosecute our intellectual property suite, including new patent applications for AV-101 for various indications. As indicated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research and development expense for the fiscal year ended March 31, 2019 also includes non-cash expense of $4.25 million attributable to the acquisition of the PH94B and PH10 licenses and the PH10 option.</w:t>
      </w:r>
    </w:p>
    <w:p>
      <w:pPr>
        <w:sectPr>
          <w:pgSz w:w="11900" w:h="16838" w:orient="portrait"/>
          <w:cols w:equalWidth="0" w:num="1">
            <w:col w:w="11420"/>
          </w:cols>
          <w:pgMar w:left="240" w:top="13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9" w:name="page110"/>
    <w:bookmarkEnd w:id="10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 and North Carolina income tax.</w:t>
      </w:r>
    </w:p>
    <w:p>
      <w:pPr>
        <w:spacing w:after="0" w:line="21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 xml:space="preserve">On December 22, 2017, the Tax Cuts and Jobs Act (the </w:t>
      </w:r>
      <w:r>
        <w:rPr>
          <w:rFonts w:ascii="Arial" w:cs="Arial" w:eastAsia="Arial" w:hAnsi="Arial"/>
          <w:sz w:val="18"/>
          <w:szCs w:val="18"/>
          <w:i w:val="1"/>
          <w:iCs w:val="1"/>
          <w:color w:val="auto"/>
        </w:rPr>
        <w:t>Tax Act</w:t>
      </w:r>
      <w:r>
        <w:rPr>
          <w:rFonts w:ascii="Arial" w:cs="Arial" w:eastAsia="Arial" w:hAnsi="Arial"/>
          <w:sz w:val="18"/>
          <w:szCs w:val="18"/>
          <w:color w:val="auto"/>
        </w:rPr>
        <w:t>) was enacted into law, significantly changing the fundamentals of U.S. corporate income taxation by, among many other things, reducing the U.S. federal corporate income tax rate to 21%, converting to a territorial tax system, and creating various income inclusion and expense limitation provisions. The reduction of the U.S. federal statutory tax rate from 34% to 21% became effective January 1, 2018. Income tax expense for the fiscal year ended March 31, 2018 was computed by applying the U.S. federal income tax rate of 34% for April 1, 2017 to December 31, 2017 and 21% for January 1, 2018 to March 31, 2018 (prorated basis 30.75%) to pretax losses. Income tax expense differed from the amounts computed by applying the U.S. federal income tax rate of 21% and the prorated rate of 30.75% for the fiscal years ended March 31, 2019 and 2018, respectively, to pretax losses as a result of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6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warrant modifications and other non-deductible items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research and development credits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Effect of U.S. tax law change (federal and state)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operating loss carryovers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27,190,900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21,402,600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Basis differences in fixed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2,504,500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Accruals and reserves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1,352,900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32,752,300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25,252,400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(32,752,300)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(25,252,400)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$7,499,900 and decreased by $9,529,300 during the fiscal years ended March 31, 2019 and 2018, respectively.</w:t>
      </w:r>
    </w:p>
    <w:p>
      <w:pPr>
        <w:spacing w:after="0" w:line="194"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At March 31, 2019 we had U.S. federal net operating loss carryforwards of approximately $109,032,500, which will expire in fiscal years 2020 through 2038. At March 31, 2019, we had state net operating loss carryforwards of approximately $63,574,300, which will expire in fiscal years 2029 through 2039. Federal net operating losses incurred in our fiscal year ended March 31, 2019 and thereafter will not expire. We also have federal and state research and development tax credit carryforwards of approximately $1,624,700 and $1,049,500, respectively. The federal tax credits will expire at various dates beginning in the year 2029, unless previously utilized. The state tax credits do not expire and will carry forward indefinitely until utilized.</w:t>
      </w:r>
    </w:p>
    <w:p>
      <w:pPr>
        <w:spacing w:after="0" w:line="318"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On December 22, 2017, the SEC staff issued Staff Accounting Bulletin No. 118 (</w:t>
      </w:r>
      <w:r>
        <w:rPr>
          <w:rFonts w:ascii="Arial" w:cs="Arial" w:eastAsia="Arial" w:hAnsi="Arial"/>
          <w:sz w:val="18"/>
          <w:szCs w:val="18"/>
          <w:i w:val="1"/>
          <w:iCs w:val="1"/>
          <w:color w:val="auto"/>
        </w:rPr>
        <w:t>SAB 118</w:t>
      </w:r>
      <w:r>
        <w:rPr>
          <w:rFonts w:ascii="Arial" w:cs="Arial" w:eastAsia="Arial" w:hAnsi="Arial"/>
          <w:sz w:val="18"/>
          <w:szCs w:val="18"/>
          <w:color w:val="auto"/>
        </w:rPr>
        <w:t>) to provide guidance for companies that are not able to complete their accounting for the income tax effects of the Tax Act in the period of enactment. SAB 118 provides for a measurement period of up to one year from the date of enactment. During the measurement period, companies need to reflect adjustments to any provisional amounts if it obtains, prepares or analyzes additional information about facts and circumstances that existed as of the enactment date that, if known, would have affected the income tax effects initially reported as provisional amounts.</w:t>
      </w:r>
    </w:p>
    <w:p>
      <w:pPr>
        <w:sectPr>
          <w:pgSz w:w="11900" w:h="16838" w:orient="portrait"/>
          <w:cols w:equalWidth="0" w:num="1">
            <w:col w:w="11480"/>
          </w:cols>
          <w:pgMar w:left="240" w:top="131" w:right="1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31" w:right="179" w:bottom="1440" w:gutter="0" w:footer="0" w:header="0"/>
          <w:type w:val="continuous"/>
        </w:sectPr>
      </w:pPr>
    </w:p>
    <w:bookmarkStart w:id="110" w:name="page111"/>
    <w:bookmarkEnd w:id="1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we have completed our analysis of the Tax Act. The Act required us to re-measure our net U.S. deferred tax assets reducing the U.S. federal corporate rate to 21%, which was offset by our valuation allowance. During our fiscal year ended March 31, 2019, this amount was finalized and no additional adjustment was required to be made due to the change in corporate tax rate.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effective for our fiscal year ended March 31, 2019 is a new Global Intangible Low-Taxed Income inclusion (</w:t>
      </w:r>
      <w:r>
        <w:rPr>
          <w:rFonts w:ascii="Arial" w:cs="Arial" w:eastAsia="Arial" w:hAnsi="Arial"/>
          <w:sz w:val="18"/>
          <w:szCs w:val="18"/>
          <w:i w:val="1"/>
          <w:iCs w:val="1"/>
          <w:color w:val="auto"/>
        </w:rPr>
        <w:t>GILTI</w:t>
      </w:r>
      <w:r>
        <w:rPr>
          <w:rFonts w:ascii="Arial" w:cs="Arial" w:eastAsia="Arial" w:hAnsi="Arial"/>
          <w:sz w:val="18"/>
          <w:szCs w:val="18"/>
          <w:color w:val="auto"/>
        </w:rPr>
        <w:t>). The GILTI income inclusion did not impact our current loss and valuation allowance as our Canadian subsidiary is an inactive entity. The Company has elected to account for GILTI as a period cost in the year the income or tax is incurred.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Canada and various U.S. state jurisdictions. We are subject to U.S. federal and state income tax examinations by tax authorities for tax years 1998 through 2018 due to net operating losses that are being carried forward for tax purposes, but we are not currently under examination by tax authorities in any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unrecognized tax benefits at March 31, 2019 and 2018 relate entirely to research and development tax credits. The total amount of unrecognized tax benefits at March 31, 2019 and 2018 is $668,700 and $451,600, respectively. If recognized, none of the unrecognized tax benefits would impact our effective tax rate. The following table summarizes the activity related to our unrecognized tax benefits.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period tax position increases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period tax position increases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Unrecognized benefit -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668,700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2019 or 2018. We do not anticipate any significant changes of our uncertain tax positions within twelve months of this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Pherin Pharmaceuticals, Inc. (Pherin)</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September 2018 we issued an aggregate of 1,630,435 shares of our unregistered common stock having a fair market value of $2,250,000 to Pherin to acquire an exclusive worldwide license to develop and commercialize PH94B for social anxiety disorder and an option to acquire a similar license for PH10 for MDD. In October 2018, we exercised our option to acquire an exclusive worldwide license to develop and commercialize PH10 by issuing 925,926 shares of our unregistered common stock having a fair market value of $2,000,000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license agreements, we are obligated to pay to Pherin monthly support payments of $10,000 for a term of the earlier of 18 months or the termination of the license agreement, however no monthly support payment is required under the 18-month period identified in the PH10 license agreement if support payments are being made under the terms of the PH94B license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2016, we entered into an Exclusive License and Sublicense Agreement (</w:t>
      </w:r>
      <w:r>
        <w:rPr>
          <w:rFonts w:ascii="Arial" w:cs="Arial" w:eastAsia="Arial" w:hAnsi="Arial"/>
          <w:sz w:val="18"/>
          <w:szCs w:val="18"/>
          <w:i w:val="1"/>
          <w:iCs w:val="1"/>
          <w:color w:val="auto"/>
        </w:rPr>
        <w:t>BlueRock Agreement</w:t>
      </w:r>
      <w:r>
        <w:rPr>
          <w:rFonts w:ascii="Arial" w:cs="Arial" w:eastAsia="Arial" w:hAnsi="Arial"/>
          <w:sz w:val="18"/>
          <w:szCs w:val="18"/>
          <w:color w:val="auto"/>
        </w:rPr>
        <w:t>) with BlueRock Therapeutics, LP, a next generation regenerative medicine company established in December 2016 by Bayer AG and Versant Ventures (</w:t>
      </w:r>
      <w:r>
        <w:rPr>
          <w:rFonts w:ascii="Arial" w:cs="Arial" w:eastAsia="Arial" w:hAnsi="Arial"/>
          <w:sz w:val="18"/>
          <w:szCs w:val="18"/>
          <w:i w:val="1"/>
          <w:iCs w:val="1"/>
          <w:color w:val="auto"/>
        </w:rPr>
        <w:t>BlueRock Therapeutics</w:t>
      </w:r>
      <w:r>
        <w:rPr>
          <w:rFonts w:ascii="Arial" w:cs="Arial" w:eastAsia="Arial" w:hAnsi="Arial"/>
          <w:sz w:val="18"/>
          <w:szCs w:val="18"/>
          <w:color w:val="auto"/>
        </w:rPr>
        <w:t>), pursuant to which BlueRock Therapeutics received exclusive rights to utilize certain technologies exclusively licensed by us from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 To date, we have recognized $1.25 million in sublicense revenue, in our fiscal year ended March 31, 2017, under the BlueRock Agreement.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1" w:name="page112"/>
    <w:bookmarkEnd w:id="1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built a long-term strategic development relationship with Cato Research Ltd. (</w:t>
      </w:r>
      <w:r>
        <w:rPr>
          <w:rFonts w:ascii="Arial" w:cs="Arial" w:eastAsia="Arial" w:hAnsi="Arial"/>
          <w:sz w:val="18"/>
          <w:szCs w:val="18"/>
          <w:i w:val="1"/>
          <w:iCs w:val="1"/>
          <w:color w:val="auto"/>
        </w:rPr>
        <w:t>CRL</w:t>
      </w:r>
      <w:r>
        <w:rPr>
          <w:rFonts w:ascii="Arial" w:cs="Arial" w:eastAsia="Arial" w:hAnsi="Arial"/>
          <w:sz w:val="18"/>
          <w:szCs w:val="18"/>
          <w:color w:val="auto"/>
        </w:rPr>
        <w:t>), a global contract research and development organization, or CRO, and an affiliate of one of our largest institutional stockholders. CRL has provided us with access to essential CRO services and regulatory expertise supporting our AV-101 preclinical and clinical development programs, including our ELEVATE Study, and other projects, including projects related to PH94B and PH10. We recorded research and development expenses for CRO services provided by CRL in the amounts of $3,969,100 and $1,390,700 for the fiscal years ended March 31, 2019 and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and 401(k)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have the following share-based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on July 26, 2016, and the 2016 Plan was approved by our stockholders at our 2016 Annual Meeting of Stockholders on September 26, 2016,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at our 2017 Annual Meeting of Stockholders on September 15, 2017. 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 A total of 10.0 million shares of our common stock were initially authorized for issuance under the 2016 Plan, of which approximately 9.2 million shares remain authorized and approximately 2.6 million registered shares remain available for future equity grants under the plan at March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The Compensation Committee of the Board of Directors (the </w:t>
      </w:r>
      <w:r>
        <w:rPr>
          <w:rFonts w:ascii="Arial" w:cs="Arial" w:eastAsia="Arial" w:hAnsi="Arial"/>
          <w:sz w:val="16"/>
          <w:szCs w:val="16"/>
          <w:i w:val="1"/>
          <w:iCs w:val="1"/>
          <w:color w:val="auto"/>
        </w:rPr>
        <w:t>Committee</w:t>
      </w:r>
      <w:r>
        <w:rPr>
          <w:rFonts w:ascii="Arial" w:cs="Arial" w:eastAsia="Arial" w:hAnsi="Arial"/>
          <w:sz w:val="16"/>
          <w:szCs w:val="16"/>
          <w:color w:val="auto"/>
        </w:rPr>
        <w:t>), administers the 2016 Plan, including selecting the Award recipients, determining the number of shares to be subject to each Award, the exercise or purchase price of each Award and the vesting and exercise periods of each Award.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exercise price of all incentive stock options granted under the 2016 Plan must be at least equal to 100% of the fair market value of the shares on the date of grant. The maximum term of an incentive stock option granted to any other participant may not exceed 10 years. The Committee determines the term and exercise or purchase price of all other Awards granted under the 2016 Plan.</w:t>
      </w:r>
    </w:p>
    <w:p>
      <w:pPr>
        <w:spacing w:after="0" w:line="19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15" w:lineRule="exact"/>
        <w:rPr>
          <w:rFonts w:ascii="Arial" w:cs="Arial" w:eastAsia="Arial" w:hAnsi="Arial"/>
          <w:sz w:val="18"/>
          <w:szCs w:val="18"/>
          <w:color w:val="auto"/>
        </w:rPr>
      </w:pPr>
    </w:p>
    <w:p>
      <w:pPr>
        <w:ind w:left="500" w:right="20" w:hanging="330"/>
        <w:spacing w:after="0" w:line="261"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is 300,000 shares of common stock. In connection with a participant’s commencement of service with the Company, a participant may be granted options and/or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is 300,000 shares of common stock. The limits described in this paragraph are subject to adjustment in the event of any change in our capital structure as described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a combination of, a number of financial measurements.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earlier termination of the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500" w:hanging="330"/>
        <w:spacing w:after="0" w:line="25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jc w:val="both"/>
        <w:ind w:left="500" w:hanging="330"/>
        <w:spacing w:after="0" w:line="25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(who have served on our board for at least 12 months) do not recommend our stockholders accept; (ii) or a change in the composition of our Board over a period of 12 months or less.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2019, we granted from the 2016 Plan:</w:t>
      </w:r>
    </w:p>
    <w:p>
      <w:pPr>
        <w:spacing w:after="0" w:line="225" w:lineRule="exact"/>
        <w:rPr>
          <w:sz w:val="20"/>
          <w:szCs w:val="20"/>
          <w:color w:val="auto"/>
        </w:rPr>
      </w:pPr>
    </w:p>
    <w:p>
      <w:pPr>
        <w:ind w:left="500" w:right="20" w:hanging="330"/>
        <w:spacing w:after="0" w:line="254"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to purchase an aggregate of 860,000 shares of our common stock at an exercise price of $1.27 per share to the independent members of our Board, to all of our officers except our Chief Executive Officer, and to all non-officer employees in August 2018;</w:t>
      </w:r>
    </w:p>
    <w:p>
      <w:pPr>
        <w:ind w:left="500" w:hanging="330"/>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to purchase an aggregate of 250,000 shares of our common stock at exercise prices ranging from $1.52 per share to $2.20 per share to various scientific, legal, investor relations, and financial and strategic advisory consultants in October 2018;</w:t>
      </w:r>
    </w:p>
    <w:p>
      <w:pPr>
        <w:ind w:left="500" w:hanging="330"/>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option to purchase 25,000 shares of our common stock at an exercise price of $1.74 per share to a new independent member of our Board in January 2019;</w:t>
      </w:r>
    </w:p>
    <w:p>
      <w:pPr>
        <w:ind w:left="500" w:hanging="330"/>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option to purchase 220,000 shares of our common stock at an exercise price of $1.70 per share to our Chief Executive Officer in January 2019; and</w:t>
      </w:r>
    </w:p>
    <w:p>
      <w:pPr>
        <w:spacing w:after="0" w:line="32" w:lineRule="exact"/>
        <w:rPr>
          <w:rFonts w:ascii="Arial" w:cs="Arial" w:eastAsia="Arial" w:hAnsi="Arial"/>
          <w:sz w:val="16"/>
          <w:szCs w:val="16"/>
          <w:color w:val="auto"/>
        </w:rPr>
      </w:pPr>
    </w:p>
    <w:p>
      <w:pPr>
        <w:jc w:val="both"/>
        <w:ind w:left="500" w:right="20" w:hanging="330"/>
        <w:spacing w:after="0" w:line="255"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25,000 shares of registered common stock having a fair value of $41,500 on the date of grant to an investor relations and social media consultant. Noncash expense related to this grant is being amortized ratably over the contractual period as a component of general and administrative expense not included in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2018, we granted from the 2016 Plan:</w:t>
      </w:r>
    </w:p>
    <w:p>
      <w:pPr>
        <w:spacing w:after="0" w:line="225" w:lineRule="exact"/>
        <w:rPr>
          <w:sz w:val="20"/>
          <w:szCs w:val="20"/>
          <w:color w:val="auto"/>
        </w:rPr>
      </w:pPr>
    </w:p>
    <w:p>
      <w:pPr>
        <w:ind w:left="500" w:hanging="330"/>
        <w:spacing w:after="0" w:line="254"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options to purchase an aggregate of 880,000 shares of our common stock at an exercise price of $1.96 per share to the independent members of our Board and to our officers and all non-officer employees in April 2017;</w:t>
      </w:r>
    </w:p>
    <w:p>
      <w:pPr>
        <w:ind w:left="500" w:right="20" w:hanging="330"/>
        <w:spacing w:after="0" w:line="25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options to purchase an aggregate of 770,000 shares of our common stock at an exercise price of $1.56 per share to the independent members of our Board, officers, non-officer employees and two consultants in September 2017;</w:t>
      </w:r>
    </w:p>
    <w:p>
      <w:pPr>
        <w:ind w:left="500" w:hanging="330"/>
        <w:spacing w:after="0" w:line="25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options to purchase an aggregate of 2,000,000 shares of our common stock at an exercise price of $1.16 per share to the independent members of our Board, officers, non-officer employees and ten consultants in February 2018;</w:t>
      </w:r>
    </w:p>
    <w:p>
      <w:pPr>
        <w:ind w:left="500" w:hanging="330"/>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options to purchase 25,000 shares of our common stock at an exercise price of $1.21 per share to a legal services consultant in February 2018; and</w:t>
      </w:r>
    </w:p>
    <w:p>
      <w:pPr>
        <w:spacing w:after="0" w:line="32" w:lineRule="exact"/>
        <w:rPr>
          <w:rFonts w:ascii="Arial" w:cs="Arial" w:eastAsia="Arial" w:hAnsi="Arial"/>
          <w:sz w:val="16"/>
          <w:szCs w:val="16"/>
          <w:color w:val="auto"/>
        </w:rPr>
      </w:pPr>
    </w:p>
    <w:p>
      <w:pPr>
        <w:jc w:val="both"/>
        <w:ind w:left="500" w:hanging="330"/>
        <w:spacing w:after="0" w:line="255"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aggregate of 547,500 shares of unregistered common stock to various legal, investor relations, and financial and strategic advisory consultants in September and October 2017 pursuant to which we recognized an aggregate of $827,900 as a noncash component of general and administrative expense not included in stock compensation expense for the fiscal year.</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following table summarizes stock-based compensation expense related to option grants to our officers, independent directors, consultants and service providers, included in the accompanying Consolidated Statement of Operations and Comprehensive Loss for the years ended March 31, 2019 and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50"/>
        </w:trPr>
        <w:tc>
          <w:tcPr>
            <w:tcW w:w="88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2"/>
        </w:trPr>
        <w:tc>
          <w:tcPr>
            <w:tcW w:w="88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4"/>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 grants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1,259,400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969,200</w:t>
            </w:r>
          </w:p>
        </w:tc>
        <w:tc>
          <w:tcPr>
            <w:tcW w:w="140" w:type="dxa"/>
            <w:vAlign w:val="bottom"/>
            <w:shd w:val="clear" w:color="auto" w:fill="CCEEFF"/>
          </w:tcPr>
          <w:p>
            <w:pPr>
              <w:spacing w:after="0"/>
              <w:rPr>
                <w:sz w:val="19"/>
                <w:szCs w:val="19"/>
                <w:color w:val="auto"/>
              </w:rPr>
            </w:pPr>
          </w:p>
        </w:tc>
      </w:tr>
      <w:tr>
        <w:trPr>
          <w:trHeight w:val="223"/>
        </w:trPr>
        <w:tc>
          <w:tcPr>
            <w:tcW w:w="882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4"/>
              </w:rPr>
              <w:t>1,259,400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969,200</w:t>
            </w:r>
          </w:p>
        </w:tc>
        <w:tc>
          <w:tcPr>
            <w:tcW w:w="140" w:type="dxa"/>
            <w:vAlign w:val="bottom"/>
            <w:tcBorders>
              <w:top w:val="single" w:sz="8" w:color="CCEEFF"/>
            </w:tcBorders>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 grants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4"/>
              </w:rPr>
              <w:t>2,184,000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4"/>
              </w:rPr>
              <w:t>2,184,000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1,375,000</w:t>
            </w:r>
          </w:p>
        </w:tc>
        <w:tc>
          <w:tcPr>
            <w:tcW w:w="140" w:type="dxa"/>
            <w:vAlign w:val="bottom"/>
          </w:tcPr>
          <w:p>
            <w:pPr>
              <w:spacing w:after="0"/>
              <w:rPr>
                <w:sz w:val="19"/>
                <w:szCs w:val="19"/>
                <w:color w:val="auto"/>
              </w:rPr>
            </w:pPr>
          </w:p>
        </w:tc>
      </w:tr>
      <w:tr>
        <w:trPr>
          <w:trHeight w:val="237"/>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3,443,400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2,344,200</w:t>
            </w:r>
          </w:p>
        </w:tc>
        <w:tc>
          <w:tcPr>
            <w:tcW w:w="140" w:type="dxa"/>
            <w:vAlign w:val="bottom"/>
            <w:shd w:val="clear" w:color="auto" w:fill="CCEEFF"/>
          </w:tcPr>
          <w:p>
            <w:pPr>
              <w:spacing w:after="0"/>
              <w:rPr>
                <w:sz w:val="20"/>
                <w:szCs w:val="20"/>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the Black-Scholes Option Pricing model with the following weighted average assumptions to determine share-based compensation expense related to option grants during the fiscal years ended March 31,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average)</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option exercises and relevant historical data due to our limited experience as a publicly traded company and the historical lack of liquidity in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recognize the effect of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2019 and 2018 under the 2016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88"/>
              </w:rPr>
              <w:t>Fiscal Years Ended March 31,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06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spacing w:after="0"/>
              <w:rPr>
                <w:sz w:val="21"/>
                <w:szCs w:val="21"/>
                <w:color w:val="auto"/>
              </w:rPr>
            </w:pPr>
          </w:p>
        </w:tc>
        <w:tc>
          <w:tcPr>
            <w:tcW w:w="18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2"/>
        </w:trPr>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2"/>
              <w:spacing w:after="0" w:line="201" w:lineRule="exact"/>
              <w:rPr>
                <w:sz w:val="20"/>
                <w:szCs w:val="20"/>
                <w:color w:val="auto"/>
              </w:rPr>
            </w:pPr>
            <w:r>
              <w:rPr>
                <w:rFonts w:ascii="Arial" w:cs="Arial" w:eastAsia="Arial" w:hAnsi="Arial"/>
                <w:sz w:val="18"/>
                <w:szCs w:val="18"/>
                <w:b w:val="1"/>
                <w:bCs w:val="1"/>
                <w:color w:val="auto"/>
                <w:w w:val="86"/>
              </w:rPr>
              <w:t>Weighted</w:t>
            </w:r>
          </w:p>
        </w:tc>
        <w:tc>
          <w:tcPr>
            <w:tcW w:w="2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6"/>
              </w:rPr>
              <w:t>Weighted</w:t>
            </w:r>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3"/>
              </w:rPr>
              <w:t>Exercise</w:t>
            </w: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r>
      <w:tr>
        <w:trPr>
          <w:trHeight w:val="237"/>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Price</w:t>
            </w: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6"/>
              </w:rPr>
              <w:t>Price</w:t>
            </w:r>
          </w:p>
        </w:tc>
      </w:tr>
      <w:tr>
        <w:trPr>
          <w:trHeight w:val="243"/>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5,300,338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1,355,000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3,675,000</w:t>
            </w:r>
          </w:p>
        </w:tc>
        <w:tc>
          <w:tcPr>
            <w:tcW w:w="28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(12,154)</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(21,832)</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60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Options outstanding at end of period</w:t>
            </w: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6,626,088</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5,300,338</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2.43</w:t>
            </w: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exercisable at end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4,303,972</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1,818,962</w:t>
            </w:r>
          </w:p>
        </w:tc>
        <w:tc>
          <w:tcPr>
            <w:tcW w:w="2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08"/>
        </w:trPr>
        <w:tc>
          <w:tcPr>
            <w:tcW w:w="60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Weighted average grant-date fair value of</w:t>
            </w: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6060" w:type="dxa"/>
            <w:vAlign w:val="bottom"/>
          </w:tcPr>
          <w:p>
            <w:pPr>
              <w:ind w:left="380"/>
              <w:spacing w:after="0"/>
              <w:rPr>
                <w:sz w:val="20"/>
                <w:szCs w:val="20"/>
                <w:color w:val="auto"/>
              </w:rPr>
            </w:pPr>
            <w:r>
              <w:rPr>
                <w:rFonts w:ascii="Arial" w:cs="Arial" w:eastAsia="Arial" w:hAnsi="Arial"/>
                <w:sz w:val="18"/>
                <w:szCs w:val="18"/>
                <w:color w:val="auto"/>
              </w:rPr>
              <w:t>options granted during the period</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in accordance with the terms of the 2016 Plan, the Board approved the modification of outstanding options held by independent members of our Board, our officers and our employees that had exercise prices higher than $1.56 per share to reduce the exercise prices thereof to $1.50 per share. We calculated the fair value of such options immediately before and after the modification using the Black-Scholes Option Pricing Model and the weighted average assumptions indicated in the table below. We immediately recognized the additional fair value attributable to vested options, $258,100, as stock compensation expense, which is included in the expense reported above. The additional fair value resulting from the modification, approximately $142,200, is being expensed over the remaining vesting period of the modified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6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Remaining expected term in years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 rate</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2832"/>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information on stock options outstanding and exercisable under the 2016 Plan as of March 31, 2019, including the results of the exercise price modification noted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Options Outstanding</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5"/>
          </w:tcPr>
          <w:p>
            <w:pPr>
              <w:ind w:left="960"/>
              <w:spacing w:after="0"/>
              <w:rPr>
                <w:sz w:val="20"/>
                <w:szCs w:val="20"/>
                <w:color w:val="auto"/>
              </w:rPr>
            </w:pPr>
            <w:r>
              <w:rPr>
                <w:rFonts w:ascii="Arial" w:cs="Arial" w:eastAsia="Arial" w:hAnsi="Arial"/>
                <w:sz w:val="18"/>
                <w:szCs w:val="18"/>
                <w:b w:val="1"/>
                <w:bCs w:val="1"/>
                <w:color w:val="auto"/>
              </w:rPr>
              <w:t>Options Exercisable</w:t>
            </w:r>
          </w:p>
        </w:tc>
      </w:tr>
      <w:tr>
        <w:trPr>
          <w:trHeight w:val="241"/>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Weighted</w:t>
            </w: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Remaining</w:t>
            </w:r>
          </w:p>
        </w:tc>
        <w:tc>
          <w:tcPr>
            <w:tcW w:w="2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Exercise</w:t>
            </w:r>
          </w:p>
        </w:tc>
        <w:tc>
          <w:tcPr>
            <w:tcW w:w="1540" w:type="dxa"/>
            <w:vAlign w:val="bottom"/>
          </w:tcPr>
          <w:p>
            <w:pPr>
              <w:jc w:val="right"/>
              <w:ind w:right="352"/>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1"/>
                <w:szCs w:val="21"/>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Years until</w:t>
            </w:r>
          </w:p>
        </w:tc>
        <w:tc>
          <w:tcPr>
            <w:tcW w:w="2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360" w:type="dxa"/>
            <w:vAlign w:val="bottom"/>
          </w:tcPr>
          <w:p>
            <w:pPr>
              <w:spacing w:after="0"/>
              <w:rPr>
                <w:sz w:val="21"/>
                <w:szCs w:val="21"/>
                <w:color w:val="auto"/>
              </w:rPr>
            </w:pP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Exercise</w:t>
            </w:r>
          </w:p>
        </w:tc>
      </w:tr>
      <w:tr>
        <w:trPr>
          <w:trHeight w:val="279"/>
        </w:trPr>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Price</w:t>
            </w:r>
          </w:p>
        </w:tc>
        <w:tc>
          <w:tcPr>
            <w:tcW w:w="1540" w:type="dxa"/>
            <w:vAlign w:val="bottom"/>
          </w:tcPr>
          <w:p>
            <w:pPr>
              <w:jc w:val="right"/>
              <w:ind w:right="192"/>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Expiration</w:t>
            </w:r>
          </w:p>
        </w:tc>
        <w:tc>
          <w:tcPr>
            <w:tcW w:w="26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360" w:type="dxa"/>
            <w:vAlign w:val="bottom"/>
          </w:tcPr>
          <w:p>
            <w:pPr>
              <w:spacing w:after="0"/>
              <w:rPr>
                <w:sz w:val="24"/>
                <w:szCs w:val="24"/>
                <w:color w:val="auto"/>
              </w:rPr>
            </w:pPr>
          </w:p>
        </w:tc>
        <w:tc>
          <w:tcPr>
            <w:tcW w:w="1520" w:type="dxa"/>
            <w:vAlign w:val="bottom"/>
          </w:tcPr>
          <w:p>
            <w:pPr>
              <w:jc w:val="right"/>
              <w:ind w:right="212"/>
              <w:spacing w:after="0"/>
              <w:rPr>
                <w:sz w:val="20"/>
                <w:szCs w:val="20"/>
                <w:color w:val="auto"/>
              </w:rPr>
            </w:pPr>
            <w:r>
              <w:rPr>
                <w:rFonts w:ascii="Arial" w:cs="Arial" w:eastAsia="Arial" w:hAnsi="Arial"/>
                <w:sz w:val="18"/>
                <w:szCs w:val="18"/>
                <w:b w:val="1"/>
                <w:bCs w:val="1"/>
                <w:color w:val="auto"/>
              </w:rPr>
              <w:t>Exercisable</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Price</w:t>
            </w:r>
          </w:p>
        </w:tc>
      </w:tr>
      <w:tr>
        <w:trPr>
          <w:trHeight w:val="243"/>
        </w:trPr>
        <w:tc>
          <w:tcPr>
            <w:tcW w:w="2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1,312,493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r>
      <w:tr>
        <w:trPr>
          <w:trHeight w:val="216"/>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1.21 to $1.27</w:t>
            </w:r>
          </w:p>
        </w:tc>
        <w:tc>
          <w:tcPr>
            <w:tcW w:w="1540" w:type="dxa"/>
            <w:vAlign w:val="bottom"/>
          </w:tcPr>
          <w:p>
            <w:pPr>
              <w:jc w:val="right"/>
              <w:spacing w:after="0"/>
              <w:rPr>
                <w:sz w:val="20"/>
                <w:szCs w:val="20"/>
                <w:color w:val="auto"/>
              </w:rPr>
            </w:pPr>
            <w:r>
              <w:rPr>
                <w:rFonts w:ascii="Arial" w:cs="Arial" w:eastAsia="Arial" w:hAnsi="Arial"/>
                <w:sz w:val="18"/>
                <w:szCs w:val="18"/>
                <w:color w:val="auto"/>
              </w:rPr>
              <w:t>885,000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38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419,529</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2,390,253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1,699,753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r>
      <w:tr>
        <w:trPr>
          <w:trHeight w:val="216"/>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1.52 to $1.99</w:t>
            </w:r>
          </w:p>
        </w:tc>
        <w:tc>
          <w:tcPr>
            <w:tcW w:w="1540" w:type="dxa"/>
            <w:vAlign w:val="bottom"/>
          </w:tcPr>
          <w:p>
            <w:pPr>
              <w:jc w:val="right"/>
              <w:spacing w:after="0"/>
              <w:rPr>
                <w:sz w:val="20"/>
                <w:szCs w:val="20"/>
                <w:color w:val="auto"/>
              </w:rPr>
            </w:pPr>
            <w:r>
              <w:rPr>
                <w:rFonts w:ascii="Arial" w:cs="Arial" w:eastAsia="Arial" w:hAnsi="Arial"/>
                <w:sz w:val="18"/>
                <w:szCs w:val="18"/>
                <w:color w:val="auto"/>
              </w:rPr>
              <w:t>1,215,000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38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777,058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 to $3.80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r>
      <w:tr>
        <w:trPr>
          <w:trHeight w:val="223"/>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8.00 to $15.00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9"/>
                <w:szCs w:val="19"/>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4,303,972</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there were 2,607,162 registered shares of our common stock remaining available for grant under the 2016 Plan. Two officers and a member of our Board exercised outstanding stock options to purchase an aggregate of 29,250 shares of our common stock during the fiscal year ended March 31, 2019. There were no option exercises during the fiscal year ended March 31, 2018.</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Aggregate intrinsic value is the sum of the amount by which the fair value of the underlying common stock exceeds the aggregate exercise price of the outstanding options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$1.29 per share quoted closing market price of our common stock on March 31, 2019, outstanding options to purchase an aggregate of 2,885,000 shares had aggregate intrinsic value of approximately $250,300 and exercisable options to purchase an aggregate of 1,732,022 shares had aggregate intrinsic value of approximately $162,700 at that date.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2019, there was approximately $3,089,300 of unrecognized compensation cost related to non-vested share-based compensation awards from the 2016 Plan, which is expected to be recognized through January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that we have engaged for a wide range of material aspects related to the nonclinical and clinical development and regulatory affairs associated with our efforts to develop and commercialize AV-101 for MDD, including our ELEVATE Study, and other potential CNS indications, PH94B, PH10, and other potential product candidates. At March 31, 2019, CBV held approximately 2% of our outstanding common stock.</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2017, we entered into a Master Services Agreement (</w:t>
      </w:r>
      <w:r>
        <w:rPr>
          <w:rFonts w:ascii="Arial" w:cs="Arial" w:eastAsia="Arial" w:hAnsi="Arial"/>
          <w:sz w:val="18"/>
          <w:szCs w:val="18"/>
          <w:i w:val="1"/>
          <w:iCs w:val="1"/>
          <w:color w:val="auto"/>
        </w:rPr>
        <w:t>MSA</w:t>
      </w:r>
      <w:r>
        <w:rPr>
          <w:rFonts w:ascii="Arial" w:cs="Arial" w:eastAsia="Arial" w:hAnsi="Arial"/>
          <w:sz w:val="18"/>
          <w:szCs w:val="18"/>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$3,969,100 and $1,390,700 for the fiscal years ended March 31, 2019 and 2018, respectively. We anticipate periodic expenses for CRO services from CRL related to nonclinical and clinical development of, and regulatory affairs related to, AV-101, PH94B, PH10 and other potential product candidates will increase in future periods.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disclosed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in September 2018, we issued an aggregate of 1,630,435 shares of our unregistered common stock having a fair market value of $2,250,000 to acquire an exclusive worldwide license to develop and commercialize PH94B and an option to acquire a similar license for PH10. In October 2018, we issued an additional 925,926 shares of our unregistered common stock having a fair market value of $2,000,000 to exercise the option to acquire an exclusive worldwide license to develop and commercialize PH10. The acquisition of the licenses and option was recorded as research and development expense. Additionally, between the acquisition of the PH94B license in September 2018 and March 31, 2019, we expensed $70,000 of monthly cash support payments to Pherin under the terms of the PH94B license agreement as research and development expense. At March 31, 2019, Pherin held approximately 6% of our outstanding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2019 or 2018.</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2019 or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and or 2018, the following assets are subject to capital lease obligations and included in property and equipment: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(3,600)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r>
      <w:tr>
        <w:trPr>
          <w:trHeight w:val="237"/>
        </w:trPr>
        <w:tc>
          <w:tcPr>
            <w:tcW w:w="10200" w:type="dxa"/>
            <w:vAlign w:val="bottom"/>
            <w:gridSpan w:val="3"/>
          </w:tcPr>
          <w:p>
            <w:pPr>
              <w:spacing w:after="0"/>
              <w:rPr>
                <w:sz w:val="20"/>
                <w:szCs w:val="20"/>
                <w:color w:val="auto"/>
              </w:rPr>
            </w:pPr>
            <w:r>
              <w:rPr>
                <w:rFonts w:ascii="Arial" w:cs="Arial" w:eastAsia="Arial" w:hAnsi="Arial"/>
                <w:sz w:val="18"/>
                <w:szCs w:val="18"/>
                <w:color w:val="auto"/>
              </w:rPr>
              <w:t>Fiscal Years Ending March 31,</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Leases</w:t>
            </w: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8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2021</w:t>
            </w:r>
          </w:p>
        </w:tc>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8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Future minimum lease payments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imputed interest included in minimum lease payments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r>
      <w:tr>
        <w:trPr>
          <w:trHeight w:val="216"/>
        </w:trPr>
        <w:tc>
          <w:tcPr>
            <w:tcW w:w="20" w:type="dxa"/>
            <w:vAlign w:val="bottom"/>
          </w:tcPr>
          <w:p>
            <w:pPr>
              <w:spacing w:after="0"/>
              <w:rPr>
                <w:sz w:val="18"/>
                <w:szCs w:val="18"/>
                <w:color w:val="auto"/>
              </w:rPr>
            </w:pPr>
          </w:p>
        </w:tc>
        <w:tc>
          <w:tcPr>
            <w:tcW w:w="10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Present value of minimum lease payments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14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10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Non-current capital lease obligation</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2019, future minimum payments under operating leases relate to our facility lease in South San Francisco, California through July 31, 2022 and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gridSpan w:val="3"/>
          </w:tcPr>
          <w:p>
            <w:pPr>
              <w:spacing w:after="0"/>
              <w:rPr>
                <w:sz w:val="20"/>
                <w:szCs w:val="20"/>
                <w:color w:val="auto"/>
              </w:rPr>
            </w:pPr>
            <w:r>
              <w:rPr>
                <w:rFonts w:ascii="Arial" w:cs="Arial" w:eastAsia="Arial" w:hAnsi="Arial"/>
                <w:sz w:val="18"/>
                <w:szCs w:val="18"/>
                <w:color w:val="auto"/>
              </w:rPr>
              <w:t>Fiscal Years Ending March 31,</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jc w:val="right"/>
              <w:ind w:right="1572"/>
              <w:spacing w:after="0"/>
              <w:rPr>
                <w:sz w:val="20"/>
                <w:szCs w:val="20"/>
                <w:color w:val="auto"/>
              </w:rPr>
            </w:pPr>
            <w:r>
              <w:rPr>
                <w:rFonts w:ascii="Arial" w:cs="Arial" w:eastAsia="Arial" w:hAnsi="Arial"/>
                <w:sz w:val="18"/>
                <w:szCs w:val="18"/>
                <w:color w:val="auto"/>
              </w:rPr>
              <w:t>2020</w:t>
            </w:r>
          </w:p>
        </w:tc>
        <w:tc>
          <w:tcPr>
            <w:tcW w:w="8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right"/>
              <w:ind w:right="1572"/>
              <w:spacing w:after="0"/>
              <w:rPr>
                <w:sz w:val="20"/>
                <w:szCs w:val="20"/>
                <w:color w:val="auto"/>
              </w:rPr>
            </w:pPr>
            <w:r>
              <w:rPr>
                <w:rFonts w:ascii="Arial" w:cs="Arial" w:eastAsia="Arial" w:hAnsi="Arial"/>
                <w:sz w:val="18"/>
                <w:szCs w:val="18"/>
                <w:color w:val="auto"/>
              </w:rPr>
              <w:t>2021</w:t>
            </w:r>
          </w:p>
        </w:tc>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2022</w:t>
            </w:r>
          </w:p>
        </w:tc>
        <w:tc>
          <w:tcPr>
            <w:tcW w:w="8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60" w:type="dxa"/>
            <w:vAlign w:val="bottom"/>
          </w:tcPr>
          <w:p>
            <w:pPr>
              <w:jc w:val="right"/>
              <w:ind w:right="1572"/>
              <w:spacing w:after="0"/>
              <w:rPr>
                <w:sz w:val="20"/>
                <w:szCs w:val="20"/>
                <w:color w:val="auto"/>
              </w:rPr>
            </w:pPr>
            <w:r>
              <w:rPr>
                <w:rFonts w:ascii="Arial" w:cs="Arial" w:eastAsia="Arial" w:hAnsi="Arial"/>
                <w:sz w:val="18"/>
                <w:szCs w:val="18"/>
                <w:color w:val="auto"/>
              </w:rPr>
              <w:t>2023</w:t>
            </w:r>
          </w:p>
        </w:tc>
        <w:tc>
          <w:tcPr>
            <w:tcW w:w="8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225,300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8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2,163,400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2019 and 2018 of $657,900 and $645,800,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2019, future minimum principal payments on outstanding notes related to an insurance premium financing arrangement in the remaining principal amount of $57,300, which will be repaid in monthly principal and interest installments of $6,600 through December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We have evaluated subsequent events through the date of this Annual Report and have identified the following material events and transactions that occurred after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 and Adoption of 2019 Stock Incentive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23, 2019, when the quoted market price of our common stock was $0.80 per share, the Compensation Committee of the Board granted options from our 2016 Plan to our independent directors, officers and employees and to certain consultants to purchase an aggregate of 1,210,000 shares of our common stock at an exercise price of $1.00 per share. The options were vested 25% upon grant with the remaining shares vesting over three years for independent directors, officers and employees, and over two years for consultants. On May 30, 2019, when the quoted market price of our common stock was $0.91 per share, we granted options to purchase 10,000 shares of our common stock to another consultant. The options were vested 25% upon grant with the remaining shares vesting over two years.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On May 27, 2019, the Board approved, subject to subsequent stockholder approval at our 2019 Annual Meeting of Stockholders expected to be held in September 2019, the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and designated 7.5 million shares of our authorized common stock to be reserved thereunder. On May 28, 2019, when the quoted market price of our common stock was $0.82 per share, the Compensation Committee granted options from the 2019 Plan to one of our officers to purchase 170,000 shares of our common stock at an exercise price of $1.00 per share, which grant is contingent upon the approval of the 2019 Plan by our stockholders. The option will vest 25% upon approval of the 2019 Plan with the remaining shares vesting over three years.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8" w:name="page119"/>
    <w:bookmarkEnd w:id="1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 (Unaudited)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2019.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8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1120" w:type="dxa"/>
            <w:vAlign w:val="bottom"/>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17"/>
                <w:szCs w:val="17"/>
                <w:color w:val="auto"/>
              </w:rPr>
            </w:pPr>
          </w:p>
        </w:tc>
        <w:tc>
          <w:tcPr>
            <w:tcW w:w="1020" w:type="dxa"/>
            <w:vAlign w:val="bottom"/>
            <w:gridSpan w:val="3"/>
          </w:tcPr>
          <w:p>
            <w:pPr>
              <w:jc w:val="center"/>
              <w:ind w:right="120"/>
              <w:spacing w:after="0" w:line="201" w:lineRule="exact"/>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30, 2018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31, 2018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expenses,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Loss on extinguishment of accounts 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(7,435)</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(7,435)</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22,987,066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25,815,245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30,696,312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35,113,753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28,562,490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7"/>
                <w:szCs w:val="17"/>
                <w:color w:val="auto"/>
              </w:rPr>
            </w:pPr>
          </w:p>
        </w:tc>
        <w:tc>
          <w:tcPr>
            <w:tcW w:w="1120" w:type="dxa"/>
            <w:vAlign w:val="bottom"/>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940" w:type="dxa"/>
            <w:vAlign w:val="bottom"/>
            <w:gridSpan w:val="2"/>
          </w:tcPr>
          <w:p>
            <w:pPr>
              <w:jc w:val="right"/>
              <w:ind w:right="12"/>
              <w:spacing w:after="0" w:line="201" w:lineRule="exact"/>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7"/>
                <w:szCs w:val="17"/>
                <w:color w:val="auto"/>
              </w:rPr>
            </w:pPr>
          </w:p>
        </w:tc>
        <w:tc>
          <w:tcPr>
            <w:tcW w:w="1020" w:type="dxa"/>
            <w:vAlign w:val="bottom"/>
            <w:gridSpan w:val="3"/>
          </w:tcPr>
          <w:p>
            <w:pPr>
              <w:jc w:val="center"/>
              <w:ind w:right="120"/>
              <w:spacing w:after="0" w:line="201" w:lineRule="exact"/>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30, 2017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31, 2017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expenses, net: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Loss on extinguishment of accounts payable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Deemed dividend from trigger of down round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feature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9,034,213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9,892,016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13,895,642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22,880,968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13,890,041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120" w:name="page121"/>
    <w:bookmarkEnd w:id="1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required by Rule 13a-15(b) under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our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conducted an evaluation as of the end of the period covered by this Annual Report on Form 10-K, of the effectiveness of our disclosure controls and procedures as defined in Rules 13a-15(e) and 15d-15(e) under the Exchange Act. Based on that evaluation, our CEO and our CFO each concluded that our disclosure controls and procedures are effective to provide reasonable assurance that information required to be disclosed in the reports that we file or submit under the Exchange Act, (i) is recorded, processed, summarized and reported within the time periods specified in the Securities and Exchange Commission's rules and forms and (ii) is accumulated and communicated to our management, including our CEO and our CFO,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system is designed to provide reasonable assurance to our management and Board of Directors regarding the reliability of financial reporting and the preparation and fair presentation of financial statements for external purposes in accordance with U.S. generally accepted accounting principles.</w:t>
      </w:r>
    </w:p>
    <w:p>
      <w:pPr>
        <w:spacing w:after="0" w:line="197"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individuals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Management has assessed the effectiveness of our internal control over financial reporting for our fiscal year ended March 31, 2019. Management's assessment was based on criteria set forth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issued by the Committee of Sponsoring Organizations of the Treadway Commission (</w:t>
      </w:r>
      <w:r>
        <w:rPr>
          <w:rFonts w:ascii="Arial" w:cs="Arial" w:eastAsia="Arial" w:hAnsi="Arial"/>
          <w:sz w:val="16"/>
          <w:szCs w:val="16"/>
          <w:i w:val="1"/>
          <w:iCs w:val="1"/>
          <w:color w:val="auto"/>
        </w:rPr>
        <w:t>COSO</w:t>
      </w:r>
      <w:r>
        <w:rPr>
          <w:rFonts w:ascii="Arial" w:cs="Arial" w:eastAsia="Arial" w:hAnsi="Arial"/>
          <w:sz w:val="16"/>
          <w:szCs w:val="16"/>
          <w:color w:val="auto"/>
        </w:rPr>
        <w:t>). Based upon this assessment, management concluded that, as of March 31, 2019, our internal control over financial reporting was not effective, based upon those criteria, as a result of the material weaknesses identified below.</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Specifically, management identified the following control weaknesses: (i) the size of the Company’s staff does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 trail of entries made in the accounting software. The Company does not believe that these control weaknesses have resulted in any deficient financial reporting because each of our CEO and CFO is aware of his responsibilities under the SEC's reporting requirements and personally certifies our financial reports. Further, the Company has implemented a series of manual checks and balances to verify that no previous reporting period has been improperly modified and that no unauthorized entries have been made in the current reporting period.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while the Company has identified certain material weaknesses in its system of internal control over financial reporting, it believes that it has taken reasonable and sufficient steps to ascertain that the financial information contained in this Annual Report is in accordance with U.S. generally accepted accounting principles. Management has determined that current resources would be more appropriately applied elsewhere and when resources permit, they will alleviate the material weaknesses through various steps, which may include the addition of qualified financial personnel and/or the acquisition and implementation of alternative accounting software.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enactment of the Dodd-Frank Wall Street Reform and Consumer Protection Act of 2010, and the resulting amendment of Section 404 of the Sarbanes-Oxley Act of 2002, as a smaller reporting company, we are not required to provide an attestation report by our independent registered public accounting firm regarding internal control over financial reporting for the fiscal year ended March 31, 2019 or thereafter, until such time as we are no longer eligible for the exemption for smaller issuers set forth within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1" w:name="page122"/>
    <w:bookmarkEnd w:id="1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2019 Annual Meeting of Stockholders, which we intend to file with the Securities and Exchange Commission on or before July 29, 2019 pursuant to General Instruction G(3) of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2019 Annual Meeting of Stockholders, which we intend to file with the Securities and Exchange Commission on or before July 29, 2019 pursuant to General Instruction G(3) of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2019 Annual Meeting of Stockholders, which we intend to file with the Securities and Exchange Commission on or before July 29, 2019 pursuant to General Instruction G(3) of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2019 Annual Meeting of Stockholders, which we intend to file with the Securities and Exchange Commission on or before July 29, 2019 pursuant to General Instruction G(3) of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2019 Annual Meeting of Stockholders, which we intend to file with the Securities and Exchange Commission on or before July 29, 2019 pursuant to General Instruction G(3) of Form 10-K.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under Item 8 on page 64.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Consolidated Financial Statement Schedules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260" w:type="dxa"/>
            <w:vAlign w:val="bottom"/>
            <w:gridSpan w:val="13"/>
          </w:tcPr>
          <w:p>
            <w:pPr>
              <w:jc w:val="center"/>
              <w:ind w:right="20"/>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c>
          <w:tcPr>
            <w:tcW w:w="8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5"/>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40" w:type="dxa"/>
            <w:vAlign w:val="bottom"/>
          </w:tcPr>
          <w:p>
            <w:pPr>
              <w:ind w:left="3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240" w:type="dxa"/>
            <w:vAlign w:val="bottom"/>
            <w:gridSpan w:val="12"/>
          </w:tcPr>
          <w:p>
            <w:pPr>
              <w:jc w:val="center"/>
              <w:ind w:right="20"/>
              <w:spacing w:after="0"/>
              <w:rPr>
                <w:sz w:val="20"/>
                <w:szCs w:val="20"/>
                <w:color w:val="auto"/>
              </w:rPr>
            </w:pPr>
            <w:r>
              <w:rPr>
                <w:rFonts w:ascii="Arial" w:cs="Arial" w:eastAsia="Arial" w:hAnsi="Arial"/>
                <w:sz w:val="18"/>
                <w:szCs w:val="18"/>
                <w:color w:val="auto"/>
                <w:w w:val="94"/>
              </w:rPr>
              <w:t>Exhibit No.</w:t>
            </w:r>
          </w:p>
        </w:tc>
        <w:tc>
          <w:tcPr>
            <w:tcW w:w="101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 w:type="dxa"/>
            <w:vAlign w:val="bottom"/>
            <w:tcBorders>
              <w:bottom w:val="single" w:sz="8" w:color="CCEEFF"/>
            </w:tcBorders>
            <w:gridSpan w:val="4"/>
            <w:shd w:val="clear" w:color="auto" w:fill="CCEEFF"/>
          </w:tcPr>
          <w:p>
            <w:pPr>
              <w:spacing w:after="0"/>
              <w:rPr>
                <w:sz w:val="17"/>
                <w:szCs w:val="17"/>
                <w:color w:val="auto"/>
              </w:rPr>
            </w:pPr>
          </w:p>
        </w:tc>
        <w:tc>
          <w:tcPr>
            <w:tcW w:w="30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2.</w:t>
              </w:r>
              <w:r>
                <w:rPr>
                  <w:rFonts w:ascii="Arial" w:cs="Arial" w:eastAsia="Arial" w:hAnsi="Arial"/>
                  <w:sz w:val="18"/>
                  <w:szCs w:val="18"/>
                  <w:u w:val="single" w:color="auto"/>
                  <w:color w:val="0000EE"/>
                  <w:w w:val="93"/>
                </w:rPr>
                <w:t>1*</w:t>
              </w:r>
            </w:hyperlink>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Agreement and Plan of Merger by and among Excaliber Enterprises, Ltd., VistaGen Therapeutics, Inc. and Excaliber Merger Subsidiary,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7"/>
          </w:tcPr>
          <w:p>
            <w:pPr>
              <w:jc w:val="center"/>
              <w:ind w:left="372"/>
              <w:spacing w:after="0" w:line="17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92"/>
              </w:rPr>
              <w:t>Articles of Merger filed with the Nevada Secretary of State on May 24, 2011, incorporated by reference from Exhibit 3.1 to the Company’s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Current Report on Form 8-K filed on May 31,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7"/>
            <w:shd w:val="clear" w:color="auto" w:fill="CCEEFF"/>
          </w:tcPr>
          <w:p>
            <w:pPr>
              <w:jc w:val="center"/>
              <w:ind w:left="372"/>
              <w:spacing w:after="0" w:line="177" w:lineRule="exact"/>
              <w:rPr>
                <w:rFonts w:ascii="Arial" w:cs="Arial" w:eastAsia="Arial" w:hAnsi="Arial"/>
                <w:sz w:val="18"/>
                <w:szCs w:val="18"/>
                <w:color w:val="0000EE"/>
                <w:w w:val="87"/>
              </w:rPr>
            </w:pPr>
            <w:hyperlink r:id="rId13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90"/>
              </w:rPr>
              <w:t>Certificate of Designations Series A Preferred, incorporated by reference from Exhibit 3.1 to the Company’s Current Report on Form 8-K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 December 23,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7"/>
          </w:tcPr>
          <w:p>
            <w:pPr>
              <w:jc w:val="center"/>
              <w:ind w:left="372"/>
              <w:spacing w:after="0" w:line="17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89"/>
              </w:rPr>
              <w:t>Certificate of Change filed with the Nevada Secretary of State on August 11, 2014 incorporated by reference from Exhibit 3.1 to the Company’s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Current Report on Form 8-K filed on August 14, 2014.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7"/>
            <w:shd w:val="clear" w:color="auto" w:fill="CCEEFF"/>
          </w:tcPr>
          <w:p>
            <w:pPr>
              <w:jc w:val="center"/>
              <w:ind w:left="372"/>
              <w:spacing w:after="0" w:line="177" w:lineRule="exact"/>
              <w:rPr>
                <w:rFonts w:ascii="Arial" w:cs="Arial" w:eastAsia="Arial" w:hAnsi="Arial"/>
                <w:sz w:val="18"/>
                <w:szCs w:val="18"/>
                <w:color w:val="0000EE"/>
                <w:w w:val="87"/>
              </w:rPr>
            </w:pPr>
            <w:hyperlink r:id="rId14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90"/>
              </w:rPr>
              <w:t>Certificate of Designation of the Relative Rights and Preferences of the Series B 10% Convertible Preferred Stock of VistaGen Therapeutics,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 filed with the Nevada Secretary of State on May 7, 2015, incorporated by reference from Exhibit 3.1 to the Company’s Current Report 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8-K filed on May 13, 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7"/>
          </w:tcPr>
          <w:p>
            <w:pPr>
              <w:jc w:val="center"/>
              <w:ind w:left="372"/>
              <w:spacing w:after="0" w:line="176" w:lineRule="exact"/>
              <w:rPr>
                <w:rFonts w:ascii="Arial" w:cs="Arial" w:eastAsia="Arial" w:hAnsi="Arial"/>
                <w:sz w:val="18"/>
                <w:szCs w:val="18"/>
                <w:color w:val="0000EE"/>
                <w:w w:val="87"/>
              </w:rPr>
            </w:pPr>
            <w:hyperlink r:id="rId14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9</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90"/>
              </w:rPr>
              <w:t>Certificate of Designation of the Relative Rights and Preferences of the Series C Convertible Preferred Stock of VistaGen Therapeutics, Inc.,</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dated January 25, 2016, incorporated by reference from Exhibit 3.1 to the Company’s Current Report on Form 8-K filed on January 29,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7"/>
            <w:shd w:val="clear" w:color="auto" w:fill="CCEEFF"/>
          </w:tcPr>
          <w:p>
            <w:pPr>
              <w:jc w:val="center"/>
              <w:ind w:left="372"/>
              <w:spacing w:after="0" w:line="177" w:lineRule="exact"/>
              <w:rPr>
                <w:rFonts w:ascii="Arial" w:cs="Arial" w:eastAsia="Arial" w:hAnsi="Arial"/>
                <w:sz w:val="18"/>
                <w:szCs w:val="18"/>
                <w:color w:val="0000EE"/>
                <w:w w:val="85"/>
              </w:rPr>
            </w:pPr>
            <w:hyperlink r:id="rId142">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10</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92"/>
              </w:rPr>
              <w:t>Restated Articles of Incorporation of VistaGen Therapeutics, Inc., dated August 16, 2016, incorporated by reference from Exhibit 3.1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Company’s Current Report on Form 8-K, filed on August 17, 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7"/>
          </w:tcPr>
          <w:p>
            <w:pPr>
              <w:jc w:val="center"/>
              <w:ind w:left="372"/>
              <w:spacing w:after="0" w:line="176" w:lineRule="exact"/>
              <w:rPr>
                <w:rFonts w:ascii="Arial" w:cs="Arial" w:eastAsia="Arial" w:hAnsi="Arial"/>
                <w:sz w:val="18"/>
                <w:szCs w:val="18"/>
                <w:color w:val="0000EE"/>
                <w:w w:val="85"/>
              </w:rPr>
            </w:pPr>
            <w:hyperlink r:id="rId143">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11</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88"/>
              </w:rPr>
              <w:t>Second Amended and Restated Bylaws of VistaGen Therapeutics, Inc., dated August 16, 2016, incorporated by reference from Exhibit 3.2 to the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on August 16,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7"/>
            <w:shd w:val="clear" w:color="auto" w:fill="CCEEFF"/>
          </w:tcPr>
          <w:p>
            <w:pPr>
              <w:jc w:val="center"/>
              <w:ind w:left="372"/>
              <w:spacing w:after="0" w:line="177" w:lineRule="exact"/>
              <w:rPr>
                <w:rFonts w:ascii="Arial" w:cs="Arial" w:eastAsia="Arial" w:hAnsi="Arial"/>
                <w:sz w:val="18"/>
                <w:szCs w:val="18"/>
                <w:color w:val="auto"/>
                <w:w w:val="85"/>
              </w:rPr>
            </w:pPr>
            <w:hyperlink r:id="rId144">
              <w:r>
                <w:rPr>
                  <w:rFonts w:ascii="Arial" w:cs="Arial" w:eastAsia="Arial" w:hAnsi="Arial"/>
                  <w:sz w:val="18"/>
                  <w:szCs w:val="18"/>
                  <w:color w:val="auto"/>
                  <w:w w:val="85"/>
                </w:rPr>
                <w:t>3.</w:t>
              </w:r>
              <w:r>
                <w:rPr>
                  <w:rFonts w:ascii="Arial" w:cs="Arial" w:eastAsia="Arial" w:hAnsi="Arial"/>
                  <w:sz w:val="18"/>
                  <w:szCs w:val="18"/>
                  <w:u w:val="single" w:color="auto"/>
                  <w:color w:val="auto"/>
                  <w:w w:val="85"/>
                </w:rPr>
                <w:t>12</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90"/>
              </w:rPr>
              <w:t>Certificate of Amendment to the Restated and Amended Articles of Incorporation of VistaGen Therapeutics, Inc., dated September 15,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incorporated by reference from Exhibit 3.1 to the Company’s Current Report on Form 8-K, filed on September 20,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9"/>
          </w:tcPr>
          <w:p>
            <w:pPr>
              <w:jc w:val="center"/>
              <w:ind w:left="292"/>
              <w:spacing w:after="0" w:line="17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22*</w:t>
              </w:r>
            </w:hyperlink>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94"/>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gridSpan w:val="9"/>
            <w:shd w:val="clear" w:color="auto" w:fill="CCEEFF"/>
          </w:tcPr>
          <w:p>
            <w:pPr>
              <w:jc w:val="center"/>
              <w:ind w:left="292"/>
              <w:spacing w:after="0" w:line="17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23*</w:t>
              </w:r>
            </w:hyperlink>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9"/>
          </w:tcPr>
          <w:p>
            <w:pPr>
              <w:jc w:val="center"/>
              <w:ind w:left="292"/>
              <w:spacing w:after="0" w:line="17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24*</w:t>
              </w:r>
            </w:hyperlink>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89"/>
              </w:rPr>
              <w:t>Sponsored Research Collaboration Agreement, dated September 18, 2007, between VistaGen and University Health Network, as amended by</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that certain Amendment No. 1 and Amendment No. 2, dated April 19, 2010 and December 15, 2010, respectively.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9"/>
            <w:shd w:val="clear" w:color="auto" w:fill="CCEEFF"/>
          </w:tcPr>
          <w:p>
            <w:pPr>
              <w:jc w:val="center"/>
              <w:ind w:left="292"/>
              <w:spacing w:after="0" w:line="177"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26*</w:t>
              </w:r>
            </w:hyperlink>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89"/>
              </w:rPr>
              <w:t>License Agreement, dated October 24, 2001, by and between the University of Maryland, Baltimore, Cornell Research Foundation and Artemis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Neuroscience,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9"/>
          </w:tcPr>
          <w:p>
            <w:pPr>
              <w:jc w:val="center"/>
              <w:ind w:left="292"/>
              <w:spacing w:after="0" w:line="17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40*</w:t>
              </w:r>
            </w:hyperlink>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9"/>
            <w:shd w:val="clear" w:color="auto" w:fill="CCEEFF"/>
          </w:tcPr>
          <w:p>
            <w:pPr>
              <w:jc w:val="center"/>
              <w:ind w:left="292"/>
              <w:spacing w:after="0" w:line="17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41*</w:t>
              </w:r>
            </w:hyperlink>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Employment Agreement, by and between, VistaGen and H. Ralph Snodgrass, PhD, dated April 28, 2010, as amended May 9,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tcBorders>
            <w:gridSpan w:val="2"/>
          </w:tcPr>
          <w:p>
            <w:pPr>
              <w:spacing w:after="0"/>
              <w:rPr>
                <w:sz w:val="15"/>
                <w:szCs w:val="15"/>
                <w:color w:val="auto"/>
              </w:rPr>
            </w:pPr>
          </w:p>
        </w:tc>
        <w:tc>
          <w:tcPr>
            <w:tcW w:w="4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49</w:t>
              </w:r>
            </w:hyperlink>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16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89"/>
              </w:rPr>
              <w:t>License Agreement No. 1, dated as of October 24, 2011 between University Health Network and VistaGen Therapeutics, Inc., incorporated by</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reference from Exhibit 10.1 to the Company’s Current Report on Form 8-K filed on November 30,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9"/>
            <w:shd w:val="clear" w:color="auto" w:fill="CCEEFF"/>
          </w:tcPr>
          <w:p>
            <w:pPr>
              <w:jc w:val="center"/>
              <w:ind w:left="292"/>
              <w:spacing w:after="0" w:line="177"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57</w:t>
              </w:r>
            </w:hyperlink>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91"/>
              </w:rPr>
              <w:t>License Agreement No. 2, dated as of March 19, 2012 between University Health Network and VistaGen Therapeutics, Inc.,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from Exhibit 10.57 to the Company’s Annual Report on Form 10-K filed on July 2, 2012.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9"/>
          </w:tcPr>
          <w:p>
            <w:pPr>
              <w:jc w:val="center"/>
              <w:ind w:left="292"/>
              <w:spacing w:after="0" w:line="17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67</w:t>
              </w:r>
            </w:hyperlink>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89"/>
              </w:rPr>
              <w:t>Note Exchange and Purchase Agreement dated as of October 11, 2012 by and between VistaGen Therapeutics, Inc. and Platinum Long Term</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Growth VII, LLP, incorporated by reference from Exhibit 10.1 to the Company’s Current Report on Form 8-K filed on October 16, 2012.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9"/>
            <w:shd w:val="clear" w:color="auto" w:fill="CCEEFF"/>
          </w:tcPr>
          <w:p>
            <w:pPr>
              <w:jc w:val="center"/>
              <w:ind w:left="292"/>
              <w:spacing w:after="0" w:line="177"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73</w:t>
              </w:r>
            </w:hyperlink>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91"/>
              </w:rPr>
              <w:t>Amendment to Note Exchange and Purchase Agreement as of November 14, 2012 between VistaGen Therapeutics Inc. and Platinum Long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Term Growth VII, LLP, incorporated by reference from Exhibit 10.1 to the Company’s Current Report on Form 8-K filed on November 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9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9"/>
          </w:tcPr>
          <w:p>
            <w:pPr>
              <w:jc w:val="center"/>
              <w:ind w:left="292"/>
              <w:spacing w:after="0" w:line="176"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75</w:t>
              </w:r>
            </w:hyperlink>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Arial" w:cs="Arial" w:eastAsia="Arial" w:hAnsi="Arial"/>
                <w:sz w:val="18"/>
                <w:szCs w:val="18"/>
                <w:color w:val="auto"/>
                <w:w w:val="88"/>
              </w:rPr>
              <w:t>Amendment No. 2 to Note Exchange and Purchase Agreement as of January 31, 2013 between VistaGen Therapeutics Inc. and Platinum Long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Term Growth VII, LLP, incorporated by reference from Exhibit 10.1 to the Company’s Quarterly Report on Form 10-Q filed on February 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2013.</w:t>
            </w:r>
          </w:p>
        </w:tc>
        <w:tc>
          <w:tcPr>
            <w:tcW w:w="9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9"/>
            <w:shd w:val="clear" w:color="auto" w:fill="CCEEFF"/>
          </w:tcPr>
          <w:p>
            <w:pPr>
              <w:jc w:val="center"/>
              <w:ind w:left="292"/>
              <w:spacing w:after="0" w:line="177" w:lineRule="exact"/>
              <w:rPr>
                <w:rFonts w:ascii="Arial" w:cs="Arial" w:eastAsia="Arial" w:hAnsi="Arial"/>
                <w:sz w:val="18"/>
                <w:szCs w:val="18"/>
                <w:color w:val="0000EE"/>
                <w:w w:val="88"/>
              </w:rPr>
            </w:pPr>
            <w:hyperlink r:id="rId15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76</w:t>
              </w:r>
            </w:hyperlink>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w w:val="88"/>
              </w:rPr>
              <w:t>Amendment No. 3 to Note Exchange and Purchase Agreement as of February 22, 2013 between VistaGen Therapeutics Inc. and Platinum Long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Term Growth VII, LLP, incorporated by reference from Exhibit 10.1 to the Company’s Current Report on Form 8-K filed on February 28, 2013.</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gridSpan w:val="2"/>
          </w:tcPr>
          <w:p>
            <w:pPr>
              <w:ind w:left="42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24" w:name="page125"/>
    <w:bookmarkEnd w:id="1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left="680"/>
        <w:spacing w:after="0" w:line="286" w:lineRule="auto"/>
        <w:rPr>
          <w:rFonts w:ascii="Arial" w:cs="Arial" w:eastAsia="Arial" w:hAnsi="Arial"/>
          <w:sz w:val="16"/>
          <w:szCs w:val="16"/>
          <w:color w:val="0000EE"/>
        </w:rPr>
      </w:pPr>
      <w:hyperlink r:id="rId157">
        <w:r>
          <w:rPr>
            <w:rFonts w:ascii="Arial" w:cs="Arial" w:eastAsia="Arial" w:hAnsi="Arial"/>
            <w:sz w:val="16"/>
            <w:szCs w:val="16"/>
            <w:u w:val="single" w:color="auto"/>
            <w:color w:val="0000EE"/>
          </w:rPr>
          <w:t>10.77</w:t>
        </w:r>
        <w:r>
          <w:rPr>
            <w:rFonts w:ascii="Arial" w:cs="Arial" w:eastAsia="Arial" w:hAnsi="Arial"/>
            <w:sz w:val="16"/>
            <w:szCs w:val="16"/>
            <w:color w:val="0000EE"/>
          </w:rPr>
          <w:t xml:space="preserve">     </w:t>
        </w:r>
      </w:hyperlink>
      <w:r>
        <w:rPr>
          <w:rFonts w:ascii="Arial" w:cs="Arial" w:eastAsia="Arial" w:hAnsi="Arial"/>
          <w:sz w:val="16"/>
          <w:szCs w:val="16"/>
          <w:color w:val="000000"/>
        </w:rPr>
        <w:t>Form</w:t>
      </w:r>
      <w:r>
        <w:rPr>
          <w:rFonts w:ascii="Arial" w:cs="Arial" w:eastAsia="Arial" w:hAnsi="Arial"/>
          <w:sz w:val="16"/>
          <w:szCs w:val="16"/>
          <w:color w:val="0000EE"/>
        </w:rPr>
        <w:t xml:space="preserve"> </w:t>
      </w:r>
      <w:r>
        <w:rPr>
          <w:rFonts w:ascii="Arial" w:cs="Arial" w:eastAsia="Arial" w:hAnsi="Arial"/>
          <w:sz w:val="16"/>
          <w:szCs w:val="16"/>
          <w:color w:val="000000"/>
        </w:rPr>
        <w:t>of Warrant to Purchase Common Stock issued to independent members of the Company’s Board of Directors and its executive officers on</w:t>
      </w:r>
      <w:r>
        <w:rPr>
          <w:rFonts w:ascii="Arial" w:cs="Arial" w:eastAsia="Arial" w:hAnsi="Arial"/>
          <w:sz w:val="16"/>
          <w:szCs w:val="16"/>
          <w:color w:val="0000EE"/>
        </w:rPr>
        <w:t xml:space="preserve"> </w:t>
      </w:r>
      <w:r>
        <w:rPr>
          <w:rFonts w:ascii="Arial" w:cs="Arial" w:eastAsia="Arial" w:hAnsi="Arial"/>
          <w:sz w:val="16"/>
          <w:szCs w:val="16"/>
          <w:color w:val="000000"/>
        </w:rPr>
        <w:t>March 3, 2013, incorporated by reference from Exhibit 10.1 to the Company’s Current Report on Form 8-K filed on March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hanging="824"/>
        <w:spacing w:after="0" w:line="250" w:lineRule="auto"/>
        <w:tabs>
          <w:tab w:leader="none" w:pos="1240" w:val="left"/>
        </w:tabs>
        <w:rPr>
          <w:rFonts w:ascii="Arial" w:cs="Arial" w:eastAsia="Arial" w:hAnsi="Arial"/>
          <w:sz w:val="18"/>
          <w:szCs w:val="18"/>
          <w:color w:val="0000EE"/>
        </w:rPr>
      </w:pPr>
      <w:hyperlink r:id="rId159">
        <w:r>
          <w:rPr>
            <w:rFonts w:ascii="Arial" w:cs="Arial" w:eastAsia="Arial" w:hAnsi="Arial"/>
            <w:sz w:val="18"/>
            <w:szCs w:val="18"/>
            <w:u w:val="single" w:color="auto"/>
            <w:color w:val="0000EE"/>
          </w:rPr>
          <w:t>10.83</w:t>
        </w:r>
      </w:hyperlink>
      <w:r>
        <w:rPr>
          <w:rFonts w:ascii="Arial" w:cs="Arial" w:eastAsia="Arial" w:hAnsi="Arial"/>
          <w:sz w:val="18"/>
          <w:szCs w:val="18"/>
          <w:color w:val="0000EE"/>
        </w:rPr>
        <w:tab/>
        <w:t>Lease between Bayside Area Development, LLC and VistaGen Therapeutics, Inc. (California) dated April 24, 2013, incorporated by reference from Exhibit 10.83 to the Company’s Annual Report on Form 10-K filed July 18, 2013.</w:t>
      </w:r>
    </w:p>
    <w:p>
      <w:pPr>
        <w:spacing w:after="0" w:line="1" w:lineRule="exact"/>
        <w:rPr>
          <w:sz w:val="20"/>
          <w:szCs w:val="20"/>
          <w:color w:val="auto"/>
        </w:rPr>
      </w:pPr>
    </w:p>
    <w:p>
      <w:pPr>
        <w:ind w:left="1260" w:hanging="824"/>
        <w:spacing w:after="0" w:line="250" w:lineRule="auto"/>
        <w:tabs>
          <w:tab w:leader="none" w:pos="1240" w:val="left"/>
        </w:tabs>
        <w:rPr>
          <w:rFonts w:ascii="Arial" w:cs="Arial" w:eastAsia="Arial" w:hAnsi="Arial"/>
          <w:sz w:val="18"/>
          <w:szCs w:val="18"/>
          <w:color w:val="0000EE"/>
        </w:rPr>
      </w:pPr>
      <w:hyperlink r:id="rId160">
        <w:r>
          <w:rPr>
            <w:rFonts w:ascii="Arial" w:cs="Arial" w:eastAsia="Arial" w:hAnsi="Arial"/>
            <w:sz w:val="18"/>
            <w:szCs w:val="18"/>
            <w:u w:val="single" w:color="auto"/>
            <w:color w:val="0000EE"/>
          </w:rPr>
          <w:t>10.84</w:t>
        </w:r>
      </w:hyperlink>
      <w:r>
        <w:rPr>
          <w:rFonts w:ascii="Arial" w:cs="Arial" w:eastAsia="Arial" w:hAnsi="Arial"/>
          <w:sz w:val="18"/>
          <w:szCs w:val="18"/>
          <w:color w:val="0000EE"/>
        </w:rPr>
        <w:tab/>
        <w:t>Indemnification Agreement effective May 20, 2013 between the Company and Jon S. Saxe, incorporated by reference from Exhibit 10.84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hanging="824"/>
        <w:spacing w:after="0" w:line="250" w:lineRule="auto"/>
        <w:tabs>
          <w:tab w:leader="none" w:pos="1240" w:val="left"/>
        </w:tabs>
        <w:rPr>
          <w:rFonts w:ascii="Arial" w:cs="Arial" w:eastAsia="Arial" w:hAnsi="Arial"/>
          <w:sz w:val="18"/>
          <w:szCs w:val="18"/>
          <w:color w:val="0000EE"/>
        </w:rPr>
      </w:pPr>
      <w:hyperlink r:id="rId162">
        <w:r>
          <w:rPr>
            <w:rFonts w:ascii="Arial" w:cs="Arial" w:eastAsia="Arial" w:hAnsi="Arial"/>
            <w:sz w:val="18"/>
            <w:szCs w:val="18"/>
            <w:u w:val="single" w:color="auto"/>
            <w:color w:val="0000EE"/>
          </w:rPr>
          <w:t>10.85</w:t>
        </w:r>
      </w:hyperlink>
      <w:r>
        <w:rPr>
          <w:rFonts w:ascii="Arial" w:cs="Arial" w:eastAsia="Arial" w:hAnsi="Arial"/>
          <w:sz w:val="18"/>
          <w:szCs w:val="18"/>
          <w:color w:val="0000EE"/>
        </w:rPr>
        <w:tab/>
        <w:t>Indemnification Agreement effective May 20, 2013 between the Company and Shawn K. Singh, incorporated by reference from Exhibit 10.85 to the Company’s Annual Report on Form 10-K filed on July 18, 2013.</w:t>
      </w:r>
    </w:p>
    <w:p>
      <w:pPr>
        <w:spacing w:after="0" w:line="1"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63">
        <w:r>
          <w:rPr>
            <w:rFonts w:ascii="Arial" w:cs="Arial" w:eastAsia="Arial" w:hAnsi="Arial"/>
            <w:sz w:val="18"/>
            <w:szCs w:val="18"/>
            <w:u w:val="single" w:color="auto"/>
            <w:color w:val="0000EE"/>
          </w:rPr>
          <w:t>10.86</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H. Ralph Snodgrass,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10.86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65">
        <w:r>
          <w:rPr>
            <w:rFonts w:ascii="Arial" w:cs="Arial" w:eastAsia="Arial" w:hAnsi="Arial"/>
            <w:sz w:val="18"/>
            <w:szCs w:val="18"/>
            <w:u w:val="single" w:color="auto"/>
            <w:color w:val="0000EE"/>
          </w:rPr>
          <w:t>10.87</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Brian J. Underdown,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10.87 to the Company’s Annual Report on Form 10-K filed on July 18, 2013.</w:t>
      </w:r>
    </w:p>
    <w:p>
      <w:pPr>
        <w:spacing w:after="0" w:line="9" w:lineRule="exact"/>
        <w:rPr>
          <w:sz w:val="20"/>
          <w:szCs w:val="20"/>
          <w:color w:val="auto"/>
        </w:rPr>
      </w:pPr>
    </w:p>
    <w:p>
      <w:pPr>
        <w:ind w:left="1260" w:hanging="824"/>
        <w:spacing w:after="0" w:line="250" w:lineRule="auto"/>
        <w:tabs>
          <w:tab w:leader="none" w:pos="1240" w:val="left"/>
        </w:tabs>
        <w:rPr>
          <w:rFonts w:ascii="Arial" w:cs="Arial" w:eastAsia="Arial" w:hAnsi="Arial"/>
          <w:sz w:val="18"/>
          <w:szCs w:val="18"/>
          <w:color w:val="0000EE"/>
        </w:rPr>
      </w:pPr>
      <w:hyperlink r:id="rId166">
        <w:r>
          <w:rPr>
            <w:rFonts w:ascii="Arial" w:cs="Arial" w:eastAsia="Arial" w:hAnsi="Arial"/>
            <w:sz w:val="18"/>
            <w:szCs w:val="18"/>
            <w:u w:val="single" w:color="auto"/>
            <w:color w:val="0000EE"/>
          </w:rPr>
          <w:t>10.88</w:t>
        </w:r>
      </w:hyperlink>
      <w:r>
        <w:rPr>
          <w:rFonts w:ascii="Arial" w:cs="Arial" w:eastAsia="Arial" w:hAnsi="Arial"/>
          <w:sz w:val="18"/>
          <w:szCs w:val="18"/>
          <w:color w:val="0000EE"/>
        </w:rPr>
        <w:tab/>
        <w:t>Indemnification Agreement effective May 20, 2013 between the Company and Jerrold D. Dotson, incorporated by reference from Exhibit 10.88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left="1260" w:hanging="862"/>
        <w:spacing w:after="0" w:line="281" w:lineRule="auto"/>
        <w:tabs>
          <w:tab w:leader="none" w:pos="1240" w:val="left"/>
        </w:tabs>
        <w:rPr>
          <w:rFonts w:ascii="Arial" w:cs="Arial" w:eastAsia="Arial" w:hAnsi="Arial"/>
          <w:sz w:val="18"/>
          <w:szCs w:val="18"/>
          <w:color w:val="0000EE"/>
        </w:rPr>
      </w:pPr>
      <w:hyperlink r:id="rId168">
        <w:r>
          <w:rPr>
            <w:rFonts w:ascii="Arial" w:cs="Arial" w:eastAsia="Arial" w:hAnsi="Arial"/>
            <w:sz w:val="18"/>
            <w:szCs w:val="18"/>
            <w:u w:val="single" w:color="auto"/>
            <w:color w:val="0000EE"/>
          </w:rPr>
          <w:t>10.111</w:t>
        </w:r>
      </w:hyperlink>
      <w:r>
        <w:rPr>
          <w:rFonts w:ascii="Arial" w:cs="Arial" w:eastAsia="Arial" w:hAnsi="Arial"/>
          <w:sz w:val="18"/>
          <w:szCs w:val="18"/>
          <w:color w:val="0000EE"/>
        </w:rPr>
        <w:tab/>
      </w:r>
      <w:r>
        <w:rPr>
          <w:rFonts w:ascii="Arial" w:cs="Arial" w:eastAsia="Arial" w:hAnsi="Arial"/>
          <w:sz w:val="16"/>
          <w:szCs w:val="16"/>
          <w:color w:val="0000EE"/>
        </w:rPr>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1" w:lineRule="exact"/>
        <w:rPr>
          <w:sz w:val="20"/>
          <w:szCs w:val="20"/>
          <w:color w:val="auto"/>
        </w:rPr>
      </w:pPr>
    </w:p>
    <w:p>
      <w:pPr>
        <w:jc w:val="both"/>
        <w:ind w:left="1260" w:hanging="865"/>
        <w:spacing w:after="0" w:line="250" w:lineRule="auto"/>
        <w:tabs>
          <w:tab w:leader="none" w:pos="1240" w:val="left"/>
        </w:tabs>
        <w:rPr>
          <w:rFonts w:ascii="Arial" w:cs="Arial" w:eastAsia="Arial" w:hAnsi="Arial"/>
          <w:sz w:val="18"/>
          <w:szCs w:val="18"/>
          <w:color w:val="0000EE"/>
        </w:rPr>
      </w:pPr>
      <w:hyperlink r:id="rId169">
        <w:r>
          <w:rPr>
            <w:rFonts w:ascii="Arial" w:cs="Arial" w:eastAsia="Arial" w:hAnsi="Arial"/>
            <w:sz w:val="18"/>
            <w:szCs w:val="18"/>
            <w:u w:val="single" w:color="auto"/>
            <w:color w:val="0000EE"/>
          </w:rPr>
          <w:t>10.112</w:t>
        </w:r>
      </w:hyperlink>
      <w:r>
        <w:rPr>
          <w:rFonts w:ascii="Arial" w:cs="Arial" w:eastAsia="Arial" w:hAnsi="Arial"/>
          <w:sz w:val="18"/>
          <w:szCs w:val="18"/>
          <w:color w:val="0000EE"/>
        </w:rPr>
        <w:tab/>
        <w:t>Indemnification Agreement effective April 8, 2016 between the Company and Jerry B. Gin, incorporated by reference from Exhibit 10.112 to the Company’s Annual Report on Form 10-K filed on 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left="1260" w:hanging="865"/>
        <w:spacing w:after="0" w:line="250" w:lineRule="auto"/>
        <w:tabs>
          <w:tab w:leader="none" w:pos="1240" w:val="left"/>
        </w:tabs>
        <w:rPr>
          <w:rFonts w:ascii="Arial" w:cs="Arial" w:eastAsia="Arial" w:hAnsi="Arial"/>
          <w:sz w:val="18"/>
          <w:szCs w:val="18"/>
          <w:color w:val="0000EE"/>
        </w:rPr>
      </w:pPr>
      <w:hyperlink r:id="rId171">
        <w:r>
          <w:rPr>
            <w:rFonts w:ascii="Arial" w:cs="Arial" w:eastAsia="Arial" w:hAnsi="Arial"/>
            <w:sz w:val="18"/>
            <w:szCs w:val="18"/>
            <w:u w:val="single" w:color="auto"/>
            <w:color w:val="0000EE"/>
          </w:rPr>
          <w:t>10.113</w:t>
        </w:r>
      </w:hyperlink>
      <w:r>
        <w:rPr>
          <w:rFonts w:ascii="Arial" w:cs="Arial" w:eastAsia="Arial" w:hAnsi="Arial"/>
          <w:sz w:val="18"/>
          <w:szCs w:val="18"/>
          <w:color w:val="0000EE"/>
        </w:rPr>
        <w:tab/>
        <w:t>Underwriting Agreement, by and between Chardan Capital Markets, LLC and WallachBeth Capital, LLC, as representatives of the several underwriters, and VistaGen Therapeutics, Inc., dated May 10, 2016, incorporated by reference from Exhibit 1.1 to the Company’s Current Report on Form 8-K filed on May 16, 2016.</w:t>
      </w:r>
    </w:p>
    <w:p>
      <w:pPr>
        <w:spacing w:after="0" w:line="1" w:lineRule="exact"/>
        <w:rPr>
          <w:sz w:val="20"/>
          <w:szCs w:val="20"/>
          <w:color w:val="auto"/>
        </w:rPr>
      </w:pPr>
    </w:p>
    <w:p>
      <w:pPr>
        <w:jc w:val="both"/>
        <w:ind w:left="1260" w:hanging="865"/>
        <w:spacing w:after="0" w:line="250" w:lineRule="auto"/>
        <w:tabs>
          <w:tab w:leader="none" w:pos="1240" w:val="left"/>
        </w:tabs>
        <w:rPr>
          <w:rFonts w:ascii="Arial" w:cs="Arial" w:eastAsia="Arial" w:hAnsi="Arial"/>
          <w:sz w:val="18"/>
          <w:szCs w:val="18"/>
          <w:color w:val="0000EE"/>
        </w:rPr>
      </w:pPr>
      <w:hyperlink r:id="rId172">
        <w:r>
          <w:rPr>
            <w:rFonts w:ascii="Arial" w:cs="Arial" w:eastAsia="Arial" w:hAnsi="Arial"/>
            <w:sz w:val="18"/>
            <w:szCs w:val="18"/>
            <w:u w:val="single" w:color="auto"/>
            <w:color w:val="0000EE"/>
          </w:rPr>
          <w:t>10.114</w:t>
        </w:r>
      </w:hyperlink>
      <w:r>
        <w:rPr>
          <w:rFonts w:ascii="Arial" w:cs="Arial" w:eastAsia="Arial" w:hAnsi="Arial"/>
          <w:sz w:val="18"/>
          <w:szCs w:val="18"/>
          <w:color w:val="0000EE"/>
        </w:rPr>
        <w:tab/>
        <w:t>Warrant Agency Agreement, by and between Computershare, Inc. and VistaGen Therapeutics, Inc., dated May 16, 2016, incorporated by reference from Exhibit 4.1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00"/>
        <w:spacing w:after="0"/>
        <w:tabs>
          <w:tab w:leader="none" w:pos="1240" w:val="left"/>
        </w:tabs>
        <w:rPr>
          <w:rFonts w:ascii="Arial" w:cs="Arial" w:eastAsia="Arial" w:hAnsi="Arial"/>
          <w:sz w:val="18"/>
          <w:szCs w:val="18"/>
          <w:color w:val="0000EE"/>
        </w:rPr>
      </w:pPr>
      <w:hyperlink r:id="rId174">
        <w:r>
          <w:rPr>
            <w:rFonts w:ascii="Arial" w:cs="Arial" w:eastAsia="Arial" w:hAnsi="Arial"/>
            <w:sz w:val="18"/>
            <w:szCs w:val="18"/>
            <w:u w:val="single" w:color="auto"/>
            <w:color w:val="0000EE"/>
          </w:rPr>
          <w:t>10.115</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4.2 to the Company’s Current Report on Form 8-K filed on May 16, 2016.</w:t>
      </w:r>
    </w:p>
    <w:p>
      <w:pPr>
        <w:spacing w:after="0" w:line="9" w:lineRule="exact"/>
        <w:rPr>
          <w:sz w:val="20"/>
          <w:szCs w:val="20"/>
          <w:color w:val="auto"/>
        </w:rPr>
      </w:pPr>
    </w:p>
    <w:p>
      <w:pPr>
        <w:jc w:val="both"/>
        <w:ind w:left="1260" w:hanging="865"/>
        <w:spacing w:after="0" w:line="250" w:lineRule="auto"/>
        <w:tabs>
          <w:tab w:leader="none" w:pos="1240" w:val="left"/>
        </w:tabs>
        <w:rPr>
          <w:rFonts w:ascii="Arial" w:cs="Arial" w:eastAsia="Arial" w:hAnsi="Arial"/>
          <w:sz w:val="18"/>
          <w:szCs w:val="18"/>
          <w:color w:val="0000EE"/>
        </w:rPr>
      </w:pPr>
      <w:hyperlink r:id="rId175">
        <w:r>
          <w:rPr>
            <w:rFonts w:ascii="Arial" w:cs="Arial" w:eastAsia="Arial" w:hAnsi="Arial"/>
            <w:sz w:val="18"/>
            <w:szCs w:val="18"/>
            <w:u w:val="single" w:color="auto"/>
            <w:color w:val="0000EE"/>
          </w:rPr>
          <w:t>10.116</w:t>
        </w:r>
      </w:hyperlink>
      <w:r>
        <w:rPr>
          <w:rFonts w:ascii="Arial" w:cs="Arial" w:eastAsia="Arial" w:hAnsi="Arial"/>
          <w:sz w:val="18"/>
          <w:szCs w:val="18"/>
          <w:color w:val="0000EE"/>
        </w:rPr>
        <w:tab/>
        <w:t>Second Amendment to Employment Agreement by and between VistaGen Therapeutics, Inc. and Shawn K. Singh, dated June 22, 2016, incorporated by reference from Exhibit 10.116 to the Company’s Annual Report on Form 10-K filed on 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00"/>
        <w:spacing w:after="0"/>
        <w:tabs>
          <w:tab w:leader="none" w:pos="1240" w:val="left"/>
        </w:tabs>
        <w:rPr>
          <w:rFonts w:ascii="Arial" w:cs="Arial" w:eastAsia="Arial" w:hAnsi="Arial"/>
          <w:sz w:val="18"/>
          <w:szCs w:val="18"/>
          <w:color w:val="0000EE"/>
        </w:rPr>
      </w:pPr>
      <w:hyperlink r:id="rId177">
        <w:r>
          <w:rPr>
            <w:rFonts w:ascii="Arial" w:cs="Arial" w:eastAsia="Arial" w:hAnsi="Arial"/>
            <w:sz w:val="18"/>
            <w:szCs w:val="18"/>
            <w:u w:val="single" w:color="auto"/>
            <w:color w:val="0000EE"/>
          </w:rPr>
          <w:t>10.117</w:t>
        </w:r>
      </w:hyperlink>
      <w:r>
        <w:rPr>
          <w:rFonts w:ascii="Arial" w:cs="Arial" w:eastAsia="Arial" w:hAnsi="Arial"/>
          <w:sz w:val="18"/>
          <w:szCs w:val="18"/>
          <w:color w:val="0000EE"/>
        </w:rPr>
        <w:tab/>
      </w:r>
      <w:r>
        <w:rPr>
          <w:rFonts w:ascii="Arial" w:cs="Arial" w:eastAsia="Arial" w:hAnsi="Arial"/>
          <w:sz w:val="16"/>
          <w:szCs w:val="16"/>
          <w:color w:val="0000EE"/>
        </w:rPr>
        <w:t>Second Amendment to Employment Agreement by and between VistaGen Therapeutics, Inc. and H. Ralph Snodgrass, Ph.D., dated June 22,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p>
      <w:pPr>
        <w:spacing w:after="0" w:line="9" w:lineRule="exact"/>
        <w:rPr>
          <w:sz w:val="20"/>
          <w:szCs w:val="20"/>
          <w:color w:val="auto"/>
        </w:rPr>
      </w:pPr>
    </w:p>
    <w:p>
      <w:pPr>
        <w:jc w:val="both"/>
        <w:ind w:left="1260" w:right="20" w:hanging="865"/>
        <w:spacing w:after="0" w:line="250" w:lineRule="auto"/>
        <w:tabs>
          <w:tab w:leader="none" w:pos="1240" w:val="left"/>
        </w:tabs>
        <w:rPr>
          <w:rFonts w:ascii="Arial" w:cs="Arial" w:eastAsia="Arial" w:hAnsi="Arial"/>
          <w:sz w:val="18"/>
          <w:szCs w:val="18"/>
          <w:color w:val="0000EE"/>
        </w:rPr>
      </w:pPr>
      <w:hyperlink r:id="rId178">
        <w:r>
          <w:rPr>
            <w:rFonts w:ascii="Arial" w:cs="Arial" w:eastAsia="Arial" w:hAnsi="Arial"/>
            <w:sz w:val="18"/>
            <w:szCs w:val="18"/>
            <w:u w:val="single" w:color="auto"/>
            <w:color w:val="0000EE"/>
          </w:rPr>
          <w:t>10.118</w:t>
        </w:r>
      </w:hyperlink>
      <w:r>
        <w:rPr>
          <w:rFonts w:ascii="Arial" w:cs="Arial" w:eastAsia="Arial" w:hAnsi="Arial"/>
          <w:sz w:val="18"/>
          <w:szCs w:val="18"/>
          <w:color w:val="0000EE"/>
        </w:rPr>
        <w:tab/>
        <w:t>Second Amendment to Lease between Bayside Area Development and the Company, effective November 10, 2016, incorporated by reference from Exhibit 10.1 to the Company’s Quarterly report on Form 10-Q filed on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00"/>
        <w:spacing w:after="0"/>
        <w:tabs>
          <w:tab w:leader="none" w:pos="1240" w:val="left"/>
        </w:tabs>
        <w:rPr>
          <w:rFonts w:ascii="Arial" w:cs="Arial" w:eastAsia="Arial" w:hAnsi="Arial"/>
          <w:sz w:val="18"/>
          <w:szCs w:val="18"/>
          <w:color w:val="0000EE"/>
        </w:rPr>
      </w:pPr>
      <w:hyperlink r:id="rId180">
        <w:r>
          <w:rPr>
            <w:rFonts w:ascii="Arial" w:cs="Arial" w:eastAsia="Arial" w:hAnsi="Arial"/>
            <w:sz w:val="18"/>
            <w:szCs w:val="18"/>
            <w:u w:val="single" w:color="auto"/>
            <w:color w:val="0000EE"/>
          </w:rPr>
          <w:t>10.119</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November 10, 2016 between the Company and Mark A. Smith,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10.2 to the Company’s Quarterly report on Form 10-Q filed on November 15, 2016.</w:t>
      </w:r>
    </w:p>
    <w:p>
      <w:pPr>
        <w:spacing w:after="0" w:line="9" w:lineRule="exact"/>
        <w:rPr>
          <w:sz w:val="20"/>
          <w:szCs w:val="20"/>
          <w:color w:val="auto"/>
        </w:rPr>
      </w:pPr>
    </w:p>
    <w:p>
      <w:pPr>
        <w:ind w:left="340"/>
        <w:spacing w:after="0"/>
        <w:tabs>
          <w:tab w:leader="none" w:pos="1240" w:val="left"/>
        </w:tabs>
        <w:rPr>
          <w:rFonts w:ascii="Arial" w:cs="Arial" w:eastAsia="Arial" w:hAnsi="Arial"/>
          <w:sz w:val="18"/>
          <w:szCs w:val="18"/>
          <w:color w:val="0000EE"/>
        </w:rPr>
      </w:pPr>
      <w:hyperlink r:id="rId181">
        <w:r>
          <w:rPr>
            <w:rFonts w:ascii="Arial" w:cs="Arial" w:eastAsia="Arial" w:hAnsi="Arial"/>
            <w:sz w:val="18"/>
            <w:szCs w:val="18"/>
            <w:u w:val="single" w:color="auto"/>
            <w:color w:val="0000EE"/>
          </w:rPr>
          <w:t>10.120+</w:t>
        </w:r>
      </w:hyperlink>
      <w:r>
        <w:rPr>
          <w:rFonts w:ascii="Arial" w:cs="Arial" w:eastAsia="Arial" w:hAnsi="Arial"/>
          <w:sz w:val="18"/>
          <w:szCs w:val="18"/>
          <w:color w:val="0000EE"/>
        </w:rPr>
        <w:tab/>
      </w:r>
      <w:r>
        <w:rPr>
          <w:rFonts w:ascii="Arial" w:cs="Arial" w:eastAsia="Arial" w:hAnsi="Arial"/>
          <w:sz w:val="16"/>
          <w:szCs w:val="16"/>
          <w:color w:val="0000EE"/>
        </w:rPr>
        <w:t>Exclusive License and Sublicense Agreement by and between VistaGen Therapeutics, Inc. and Apollo Biologics LP, effective December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p>
      <w:pPr>
        <w:spacing w:after="0" w:line="9" w:lineRule="exact"/>
        <w:rPr>
          <w:sz w:val="20"/>
          <w:szCs w:val="20"/>
          <w:color w:val="auto"/>
        </w:rPr>
      </w:pPr>
    </w:p>
    <w:p>
      <w:pPr>
        <w:ind w:left="1260" w:hanging="918"/>
        <w:spacing w:after="0" w:line="281" w:lineRule="auto"/>
        <w:tabs>
          <w:tab w:leader="none" w:pos="1240" w:val="left"/>
        </w:tabs>
        <w:rPr>
          <w:rFonts w:ascii="Arial" w:cs="Arial" w:eastAsia="Arial" w:hAnsi="Arial"/>
          <w:sz w:val="18"/>
          <w:szCs w:val="18"/>
          <w:color w:val="0000EE"/>
        </w:rPr>
      </w:pPr>
      <w:hyperlink r:id="rId183">
        <w:r>
          <w:rPr>
            <w:rFonts w:ascii="Arial" w:cs="Arial" w:eastAsia="Arial" w:hAnsi="Arial"/>
            <w:sz w:val="18"/>
            <w:szCs w:val="18"/>
            <w:u w:val="single" w:color="auto"/>
            <w:color w:val="0000EE"/>
          </w:rPr>
          <w:t>10.121+</w:t>
        </w:r>
      </w:hyperlink>
      <w:r>
        <w:rPr>
          <w:rFonts w:ascii="Arial" w:cs="Arial" w:eastAsia="Arial" w:hAnsi="Arial"/>
          <w:sz w:val="18"/>
          <w:szCs w:val="18"/>
          <w:color w:val="0000EE"/>
        </w:rPr>
        <w:tab/>
      </w:r>
      <w:r>
        <w:rPr>
          <w:rFonts w:ascii="Arial" w:cs="Arial" w:eastAsia="Arial" w:hAnsi="Arial"/>
          <w:sz w:val="16"/>
          <w:szCs w:val="16"/>
          <w:color w:val="0000EE"/>
        </w:rPr>
        <w:t>Patent License Amendment Agreement between VistaGen Therapeutics Inc. and University Health Network effective December 9, 2016, incorporated by reference from Exhibit 10.2 to the Company’s Quarterly Report on Form 10-Q/A filed on May 1, 2017.</w:t>
      </w:r>
    </w:p>
    <w:p>
      <w:pPr>
        <w:spacing w:after="0" w:line="1" w:lineRule="exact"/>
        <w:rPr>
          <w:sz w:val="20"/>
          <w:szCs w:val="20"/>
          <w:color w:val="auto"/>
        </w:rPr>
      </w:pPr>
    </w:p>
    <w:p>
      <w:pPr>
        <w:ind w:left="1260" w:hanging="868"/>
        <w:spacing w:after="0" w:line="261" w:lineRule="auto"/>
        <w:tabs>
          <w:tab w:leader="none" w:pos="1240" w:val="left"/>
        </w:tabs>
        <w:rPr>
          <w:rFonts w:ascii="Arial" w:cs="Arial" w:eastAsia="Arial" w:hAnsi="Arial"/>
          <w:sz w:val="18"/>
          <w:szCs w:val="18"/>
          <w:color w:val="auto"/>
        </w:rPr>
      </w:pPr>
      <w:hyperlink r:id="rId184">
        <w:r>
          <w:rPr>
            <w:rFonts w:ascii="Arial" w:cs="Arial" w:eastAsia="Arial" w:hAnsi="Arial"/>
            <w:sz w:val="18"/>
            <w:szCs w:val="18"/>
            <w:u w:val="single" w:color="auto"/>
            <w:color w:val="auto"/>
          </w:rPr>
          <w:t>10.122</w:t>
        </w:r>
      </w:hyperlink>
      <w:r>
        <w:rPr>
          <w:rFonts w:ascii="Arial" w:cs="Arial" w:eastAsia="Arial" w:hAnsi="Arial"/>
          <w:sz w:val="18"/>
          <w:szCs w:val="18"/>
          <w:color w:val="auto"/>
        </w:rPr>
        <w:tab/>
        <w:t>Amended and Restated 2016 Stock Incentive Plan (formerly the VistaGen Therapeutics, Inc. 2008 Stock Incentive Plan), incorporated by reference from Exhibit 10.122 to the Company’s Annual Report on Form 10-K filed on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5"/>
            <w:shd w:val="clear" w:color="auto" w:fill="CCEEFF"/>
          </w:tcPr>
          <w:p>
            <w:pPr>
              <w:jc w:val="center"/>
              <w:ind w:left="312"/>
              <w:spacing w:after="0"/>
              <w:rPr>
                <w:rFonts w:ascii="Arial" w:cs="Arial" w:eastAsia="Arial" w:hAnsi="Arial"/>
                <w:sz w:val="18"/>
                <w:szCs w:val="18"/>
                <w:color w:val="0000EE"/>
                <w:w w:val="87"/>
              </w:rPr>
            </w:pPr>
            <w:hyperlink r:id="rId18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123</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Underwriting Agreement, dated as of August 31, 2017, by and between VistaGen Therapeutics, Inc. and Oppenheimer &amp; Co. Inc., incorporated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by reference from Exhibit 1.1 to the Company’s Current Report on Form 8-K filed on August 31,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80" w:type="dxa"/>
            <w:vAlign w:val="bottom"/>
            <w:gridSpan w:val="5"/>
          </w:tcPr>
          <w:p>
            <w:pPr>
              <w:jc w:val="center"/>
              <w:ind w:left="312"/>
              <w:spacing w:after="0" w:line="176" w:lineRule="exact"/>
              <w:rPr>
                <w:rFonts w:ascii="Arial" w:cs="Arial" w:eastAsia="Arial" w:hAnsi="Arial"/>
                <w:sz w:val="18"/>
                <w:szCs w:val="18"/>
                <w:color w:val="0000EE"/>
                <w:w w:val="87"/>
              </w:rPr>
            </w:pPr>
            <w:hyperlink r:id="rId18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124</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3"/>
              </w:rPr>
              <w:t>Form of Series A1 Warrant, incorporated by reference from Exhibit 4.1 to the Company’s Current Report on Form 8-K filed on August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gridSpan w:val="5"/>
            <w:shd w:val="clear" w:color="auto" w:fill="CCEEFF"/>
          </w:tcPr>
          <w:p>
            <w:pPr>
              <w:jc w:val="center"/>
              <w:ind w:left="312"/>
              <w:spacing w:after="0" w:line="177" w:lineRule="exact"/>
              <w:rPr>
                <w:rFonts w:ascii="Arial" w:cs="Arial" w:eastAsia="Arial" w:hAnsi="Arial"/>
                <w:sz w:val="18"/>
                <w:szCs w:val="18"/>
                <w:color w:val="0000EE"/>
                <w:w w:val="87"/>
              </w:rPr>
            </w:pPr>
            <w:hyperlink r:id="rId18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125</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93"/>
              </w:rPr>
              <w:t>Form of Series A2 Warrant, incorporated by reference from Exhibit 4.2 to the Company’s Current Report on Form 8-K filed on August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80" w:type="dxa"/>
            <w:vAlign w:val="bottom"/>
            <w:gridSpan w:val="5"/>
          </w:tcPr>
          <w:p>
            <w:pPr>
              <w:jc w:val="center"/>
              <w:ind w:left="312"/>
              <w:spacing w:after="0" w:line="176" w:lineRule="exact"/>
              <w:rPr>
                <w:rFonts w:ascii="Arial" w:cs="Arial" w:eastAsia="Arial" w:hAnsi="Arial"/>
                <w:sz w:val="18"/>
                <w:szCs w:val="18"/>
                <w:color w:val="0000EE"/>
                <w:w w:val="87"/>
              </w:rPr>
            </w:pPr>
            <w:hyperlink r:id="rId19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126</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5"/>
              </w:rPr>
              <w:t>Underwriting Agreement, dated as of December 11, 2017, by and between VistaGen Therapeutics, Inc. and Oppenheimer &amp; Co.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incorporated by reference from Exhibit 1.1 to the Company’s Current Report on Form 8-K filed on December 13, 2017.</w:t>
            </w:r>
          </w:p>
        </w:tc>
        <w:tc>
          <w:tcPr>
            <w:tcW w:w="0" w:type="dxa"/>
            <w:vAlign w:val="bottom"/>
          </w:tcPr>
          <w:p>
            <w:pPr>
              <w:spacing w:after="0"/>
              <w:rPr>
                <w:sz w:val="1"/>
                <w:szCs w:val="1"/>
                <w:color w:val="auto"/>
              </w:rPr>
            </w:pPr>
          </w:p>
        </w:tc>
      </w:tr>
      <w:tr>
        <w:trPr>
          <w:trHeight w:val="178"/>
        </w:trPr>
        <w:tc>
          <w:tcPr>
            <w:tcW w:w="880" w:type="dxa"/>
            <w:vAlign w:val="bottom"/>
            <w:gridSpan w:val="5"/>
            <w:shd w:val="clear" w:color="auto" w:fill="CCEEFF"/>
          </w:tcPr>
          <w:p>
            <w:pPr>
              <w:jc w:val="center"/>
              <w:ind w:left="312"/>
              <w:spacing w:after="0" w:line="177" w:lineRule="exact"/>
              <w:rPr>
                <w:rFonts w:ascii="Arial" w:cs="Arial" w:eastAsia="Arial" w:hAnsi="Arial"/>
                <w:sz w:val="18"/>
                <w:szCs w:val="18"/>
                <w:color w:val="0000EE"/>
                <w:w w:val="87"/>
              </w:rPr>
            </w:pPr>
            <w:hyperlink r:id="rId19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127</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93"/>
              </w:rPr>
              <w:t>Form of Warrant, incorporated by reference from Exhibit 4.1 to the Company’s Current Report on Form 8-K filed on December 13,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5"/>
          </w:tcPr>
          <w:p>
            <w:pPr>
              <w:jc w:val="center"/>
              <w:ind w:left="312"/>
              <w:spacing w:after="0" w:line="176" w:lineRule="exact"/>
              <w:rPr>
                <w:rFonts w:ascii="Arial" w:cs="Arial" w:eastAsia="Arial" w:hAnsi="Arial"/>
                <w:sz w:val="18"/>
                <w:szCs w:val="18"/>
                <w:color w:val="0000EE"/>
                <w:w w:val="87"/>
              </w:rPr>
            </w:pPr>
            <w:hyperlink r:id="rId191">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128</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89"/>
              </w:rPr>
              <w:t>Form of Summer 2018 Private Placement Subscription Agreement, incorporated by reference from the Company’s Current Report on Form 8-K</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filed on August 9, 2018.</w:t>
            </w:r>
          </w:p>
        </w:tc>
        <w:tc>
          <w:tcPr>
            <w:tcW w:w="0" w:type="dxa"/>
            <w:vAlign w:val="bottom"/>
          </w:tcPr>
          <w:p>
            <w:pPr>
              <w:spacing w:after="0"/>
              <w:rPr>
                <w:sz w:val="1"/>
                <w:szCs w:val="1"/>
                <w:color w:val="auto"/>
              </w:rPr>
            </w:pPr>
          </w:p>
        </w:tc>
      </w:tr>
      <w:tr>
        <w:trPr>
          <w:trHeight w:val="178"/>
        </w:trPr>
        <w:tc>
          <w:tcPr>
            <w:tcW w:w="880" w:type="dxa"/>
            <w:vAlign w:val="bottom"/>
            <w:gridSpan w:val="5"/>
            <w:shd w:val="clear" w:color="auto" w:fill="CCEEFF"/>
          </w:tcPr>
          <w:p>
            <w:pPr>
              <w:jc w:val="center"/>
              <w:ind w:left="312"/>
              <w:spacing w:after="0" w:line="177" w:lineRule="exact"/>
              <w:rPr>
                <w:rFonts w:ascii="Arial" w:cs="Arial" w:eastAsia="Arial" w:hAnsi="Arial"/>
                <w:sz w:val="18"/>
                <w:szCs w:val="18"/>
                <w:color w:val="0000EE"/>
                <w:w w:val="87"/>
              </w:rPr>
            </w:pPr>
            <w:hyperlink r:id="rId192">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129</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89"/>
              </w:rPr>
              <w:t>Form of Summer 2018 Private Placement Warrant, incorporated by reference from the Company’s Current Report on Form 8-K filed on August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9, 2018.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gridSpan w:val="6"/>
          </w:tcPr>
          <w:p>
            <w:pPr>
              <w:jc w:val="center"/>
              <w:ind w:left="252"/>
              <w:spacing w:after="0" w:line="176" w:lineRule="exact"/>
              <w:rPr>
                <w:rFonts w:ascii="Arial" w:cs="Arial" w:eastAsia="Arial" w:hAnsi="Arial"/>
                <w:sz w:val="18"/>
                <w:szCs w:val="18"/>
                <w:color w:val="0000EE"/>
                <w:w w:val="88"/>
              </w:rPr>
            </w:pPr>
            <w:hyperlink r:id="rId1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130+</w:t>
              </w:r>
            </w:hyperlink>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2"/>
              </w:rPr>
              <w:t>License Agreement (PH94B), by and between VistaGen Therapeutics, Inc. and Pherin Pharmaceuticals, Inc., dated September 11,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incorporated by reference from Exhibit 10.1 to the Company’s Current Report on Form 8-K filed on September 13, 2018</w:t>
            </w:r>
          </w:p>
        </w:tc>
        <w:tc>
          <w:tcPr>
            <w:tcW w:w="0" w:type="dxa"/>
            <w:vAlign w:val="bottom"/>
          </w:tcPr>
          <w:p>
            <w:pPr>
              <w:spacing w:after="0"/>
              <w:rPr>
                <w:sz w:val="1"/>
                <w:szCs w:val="1"/>
                <w:color w:val="auto"/>
              </w:rPr>
            </w:pPr>
          </w:p>
        </w:tc>
      </w:tr>
      <w:tr>
        <w:trPr>
          <w:trHeight w:val="178"/>
        </w:trPr>
        <w:tc>
          <w:tcPr>
            <w:tcW w:w="920" w:type="dxa"/>
            <w:vAlign w:val="bottom"/>
            <w:gridSpan w:val="6"/>
            <w:shd w:val="clear" w:color="auto" w:fill="CCEEFF"/>
          </w:tcPr>
          <w:p>
            <w:pPr>
              <w:jc w:val="center"/>
              <w:ind w:left="252"/>
              <w:spacing w:after="0" w:line="177" w:lineRule="exact"/>
              <w:rPr>
                <w:rFonts w:ascii="Arial" w:cs="Arial" w:eastAsia="Arial" w:hAnsi="Arial"/>
                <w:sz w:val="18"/>
                <w:szCs w:val="18"/>
                <w:color w:val="0000EE"/>
                <w:w w:val="88"/>
              </w:rPr>
            </w:pPr>
            <w:hyperlink r:id="rId1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131+</w:t>
              </w:r>
            </w:hyperlink>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89"/>
              </w:rPr>
              <w:t>Option Agreement, by and between VistaGen Therapeutics, Inc. and Pherin Pharmaceuticals, Inc., dated September 11, 2018,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reference from Exhibit 10.2 to the Company’s Current Report on Form 8-K filed on September 13,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gridSpan w:val="6"/>
          </w:tcPr>
          <w:p>
            <w:pPr>
              <w:jc w:val="center"/>
              <w:ind w:left="252"/>
              <w:spacing w:after="0" w:line="176" w:lineRule="exact"/>
              <w:rPr>
                <w:rFonts w:ascii="Arial" w:cs="Arial" w:eastAsia="Arial" w:hAnsi="Arial"/>
                <w:sz w:val="18"/>
                <w:szCs w:val="18"/>
                <w:color w:val="0000EE"/>
                <w:w w:val="88"/>
              </w:rPr>
            </w:pPr>
            <w:hyperlink r:id="rId19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132+</w:t>
              </w:r>
            </w:hyperlink>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6"/>
              </w:rPr>
              <w:t>License Agreement (PH10), by and between VistaGen Therapeutics, Inc. and Pherin Pharmaceuticals, Inc., dated October 24,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incorporated by reference from Exhibit 10.3 to the Company’s Quarterly Report on Form 10-Q/A filed on October 30, 2018.</w:t>
            </w:r>
          </w:p>
        </w:tc>
        <w:tc>
          <w:tcPr>
            <w:tcW w:w="0" w:type="dxa"/>
            <w:vAlign w:val="bottom"/>
          </w:tcPr>
          <w:p>
            <w:pPr>
              <w:spacing w:after="0"/>
              <w:rPr>
                <w:sz w:val="1"/>
                <w:szCs w:val="1"/>
                <w:color w:val="auto"/>
              </w:rPr>
            </w:pPr>
          </w:p>
        </w:tc>
      </w:tr>
      <w:tr>
        <w:trPr>
          <w:trHeight w:val="178"/>
        </w:trPr>
        <w:tc>
          <w:tcPr>
            <w:tcW w:w="880" w:type="dxa"/>
            <w:vAlign w:val="bottom"/>
            <w:gridSpan w:val="5"/>
            <w:shd w:val="clear" w:color="auto" w:fill="CCEEFF"/>
          </w:tcPr>
          <w:p>
            <w:pPr>
              <w:jc w:val="center"/>
              <w:ind w:left="312"/>
              <w:spacing w:after="0" w:line="177"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133</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89"/>
              </w:rPr>
              <w:t>Form of Fall 2018 Private Placement Subscription Agreement, incorporated by reference from Exhibit 10.4 to the Company’s Quarterly Report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on Form 10-Q filed on October 29,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80" w:type="dxa"/>
            <w:vAlign w:val="bottom"/>
            <w:gridSpan w:val="5"/>
          </w:tcPr>
          <w:p>
            <w:pPr>
              <w:jc w:val="center"/>
              <w:ind w:left="312"/>
              <w:spacing w:after="0" w:line="176" w:lineRule="exact"/>
              <w:rPr>
                <w:rFonts w:ascii="Arial" w:cs="Arial" w:eastAsia="Arial" w:hAnsi="Arial"/>
                <w:sz w:val="18"/>
                <w:szCs w:val="18"/>
                <w:color w:val="0000EE"/>
                <w:w w:val="87"/>
              </w:rPr>
            </w:pPr>
            <w:hyperlink r:id="rId19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134</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0"/>
              </w:rPr>
              <w:t>Form of Fall 2018 Private Placement Warrant, incorporated by reference from Exhibit 10.5 to the Company’s Quarterly Report on Form 10-Q</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filed on October 29, 2018.</w:t>
            </w:r>
          </w:p>
        </w:tc>
        <w:tc>
          <w:tcPr>
            <w:tcW w:w="0" w:type="dxa"/>
            <w:vAlign w:val="bottom"/>
          </w:tcPr>
          <w:p>
            <w:pPr>
              <w:spacing w:after="0"/>
              <w:rPr>
                <w:sz w:val="1"/>
                <w:szCs w:val="1"/>
                <w:color w:val="auto"/>
              </w:rPr>
            </w:pPr>
          </w:p>
        </w:tc>
      </w:tr>
      <w:tr>
        <w:trPr>
          <w:trHeight w:val="178"/>
        </w:trPr>
        <w:tc>
          <w:tcPr>
            <w:tcW w:w="880" w:type="dxa"/>
            <w:vAlign w:val="bottom"/>
            <w:gridSpan w:val="5"/>
            <w:shd w:val="clear" w:color="auto" w:fill="CCEEFF"/>
          </w:tcPr>
          <w:p>
            <w:pPr>
              <w:jc w:val="center"/>
              <w:ind w:left="312"/>
              <w:spacing w:after="0" w:line="177" w:lineRule="exact"/>
              <w:rPr>
                <w:rFonts w:ascii="Arial" w:cs="Arial" w:eastAsia="Arial" w:hAnsi="Arial"/>
                <w:sz w:val="18"/>
                <w:szCs w:val="18"/>
                <w:color w:val="0000EE"/>
                <w:w w:val="87"/>
              </w:rPr>
            </w:pPr>
            <w:hyperlink r:id="rId19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135</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92"/>
              </w:rPr>
              <w:t>Indemnification Agreement, dated January 10, 2019, by and between VistaGen Therapeutics, Inc. and Ann Cunningham,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reference from Exhibit 10.1 to the Company’s Current Report on Form 8-K filed on January 15,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80" w:type="dxa"/>
            <w:vAlign w:val="bottom"/>
            <w:gridSpan w:val="5"/>
          </w:tcPr>
          <w:p>
            <w:pPr>
              <w:jc w:val="center"/>
              <w:ind w:left="312"/>
              <w:spacing w:after="0" w:line="176" w:lineRule="exact"/>
              <w:rPr>
                <w:sz w:val="20"/>
                <w:szCs w:val="20"/>
                <w:color w:val="auto"/>
              </w:rPr>
            </w:pPr>
            <w:r>
              <w:rPr>
                <w:rFonts w:ascii="Arial" w:cs="Arial" w:eastAsia="Arial" w:hAnsi="Arial"/>
                <w:sz w:val="18"/>
                <w:szCs w:val="18"/>
                <w:color w:val="auto"/>
                <w:w w:val="87"/>
              </w:rPr>
              <w:t>10.</w:t>
            </w:r>
            <w:r>
              <w:rPr>
                <w:rFonts w:ascii="Arial" w:cs="Arial" w:eastAsia="Arial" w:hAnsi="Arial"/>
                <w:sz w:val="18"/>
                <w:szCs w:val="18"/>
                <w:u w:val="single" w:color="auto"/>
                <w:color w:val="auto"/>
                <w:w w:val="87"/>
              </w:rPr>
              <w:t>136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0"/>
              </w:rPr>
              <w:t>Indemnification Agreement, dated November 10, 2016, by and between VistaGen Therapeutics, Inc. and Mark A. McPartland, 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5"/>
            <w:shd w:val="clear" w:color="auto" w:fill="CCEEFF"/>
          </w:tcPr>
          <w:p>
            <w:pPr>
              <w:jc w:val="center"/>
              <w:ind w:left="312"/>
              <w:spacing w:after="0" w:line="176" w:lineRule="exact"/>
              <w:rPr>
                <w:rFonts w:ascii="Arial" w:cs="Arial" w:eastAsia="Arial" w:hAnsi="Arial"/>
                <w:sz w:val="18"/>
                <w:szCs w:val="18"/>
                <w:color w:val="0000EE"/>
                <w:w w:val="87"/>
              </w:rPr>
            </w:pPr>
            <w:hyperlink r:id="rId19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137</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Underwriting Agreement, dated as of February 26, 2019, by and between VistaGen Therapeutics, Inc. and William Blair &amp; Company, LLC,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incorporated by reference from Exhibit 1.1 to the Company’s Current Report on Form 8-K filed on March 4,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80" w:type="dxa"/>
            <w:vAlign w:val="bottom"/>
            <w:gridSpan w:val="5"/>
          </w:tcPr>
          <w:p>
            <w:pPr>
              <w:jc w:val="center"/>
              <w:ind w:left="312"/>
              <w:spacing w:after="0" w:line="176" w:lineRule="exact"/>
              <w:rPr>
                <w:sz w:val="20"/>
                <w:szCs w:val="20"/>
                <w:color w:val="auto"/>
              </w:rPr>
            </w:pPr>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4"/>
              </w:rPr>
              <w:t>Master Services Agreement, dated July 11, 2017, by and between VistaGen Therapeutics, Inc. and Cato Research Ltd., 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3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Consent of Independent Registered Public Accounting Firm,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gridSpan w:val="4"/>
          </w:tcPr>
          <w:p>
            <w:pPr>
              <w:jc w:val="center"/>
              <w:ind w:left="392"/>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8"/>
              </w:rPr>
              <w:t>Certification of the Company’s Chief Executive Officer pursuant to Section 302 of the Sarbanes-Oxley Act of 2002, 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3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Certification of the Company’s Chief Financial Officer pursuant to Section 302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gridSpan w:val="4"/>
          </w:tcPr>
          <w:p>
            <w:pPr>
              <w:jc w:val="center"/>
              <w:ind w:left="392"/>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Pr>
          <w:p>
            <w:pPr>
              <w:ind w:left="140"/>
              <w:spacing w:after="0" w:line="176" w:lineRule="exact"/>
              <w:rPr>
                <w:sz w:val="20"/>
                <w:szCs w:val="20"/>
                <w:color w:val="auto"/>
              </w:rPr>
            </w:pPr>
            <w:r>
              <w:rPr>
                <w:rFonts w:ascii="Arial" w:cs="Arial" w:eastAsia="Arial" w:hAnsi="Arial"/>
                <w:sz w:val="18"/>
                <w:szCs w:val="18"/>
                <w:color w:val="auto"/>
                <w:w w:val="90"/>
              </w:rPr>
              <w:t>Certification of the Company’s Chief Executive Officer and Chief Financial Officer pursuant to Section 906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8"/>
        </w:trPr>
        <w:tc>
          <w:tcPr>
            <w:tcW w:w="1120" w:type="dxa"/>
            <w:vAlign w:val="bottom"/>
            <w:gridSpan w:val="7"/>
            <w:shd w:val="clear" w:color="auto" w:fill="CCEEFF"/>
          </w:tcPr>
          <w:p>
            <w:pPr>
              <w:jc w:val="center"/>
              <w:ind w:left="72"/>
              <w:spacing w:after="0"/>
              <w:rPr>
                <w:sz w:val="20"/>
                <w:szCs w:val="20"/>
                <w:color w:val="auto"/>
              </w:rPr>
            </w:pPr>
            <w:r>
              <w:rPr>
                <w:rFonts w:ascii="Arial" w:cs="Arial" w:eastAsia="Arial" w:hAnsi="Arial"/>
                <w:sz w:val="18"/>
                <w:szCs w:val="18"/>
                <w:color w:val="auto"/>
                <w:w w:val="92"/>
              </w:rPr>
              <w:t>101.INS</w:t>
            </w:r>
          </w:p>
        </w:tc>
        <w:tc>
          <w:tcPr>
            <w:tcW w:w="10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Instance Document, filed 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7"/>
          </w:tcPr>
          <w:p>
            <w:pPr>
              <w:jc w:val="center"/>
              <w:ind w:left="72"/>
              <w:spacing w:after="0"/>
              <w:rPr>
                <w:sz w:val="20"/>
                <w:szCs w:val="20"/>
                <w:color w:val="auto"/>
              </w:rPr>
            </w:pPr>
            <w:r>
              <w:rPr>
                <w:rFonts w:ascii="Arial" w:cs="Arial" w:eastAsia="Arial" w:hAnsi="Arial"/>
                <w:sz w:val="18"/>
                <w:szCs w:val="18"/>
                <w:color w:val="auto"/>
                <w:w w:val="87"/>
              </w:rPr>
              <w:t>101.SCH</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Extension Schema, filed 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7"/>
            <w:shd w:val="clear" w:color="auto" w:fill="CCEEFF"/>
          </w:tcPr>
          <w:p>
            <w:pPr>
              <w:jc w:val="center"/>
              <w:ind w:left="52"/>
              <w:spacing w:after="0"/>
              <w:rPr>
                <w:sz w:val="20"/>
                <w:szCs w:val="20"/>
                <w:color w:val="auto"/>
              </w:rPr>
            </w:pPr>
            <w:r>
              <w:rPr>
                <w:rFonts w:ascii="Arial" w:cs="Arial" w:eastAsia="Arial" w:hAnsi="Arial"/>
                <w:sz w:val="18"/>
                <w:szCs w:val="18"/>
                <w:color w:val="auto"/>
                <w:w w:val="94"/>
              </w:rPr>
              <w:t>101.CAL</w:t>
            </w:r>
          </w:p>
        </w:tc>
        <w:tc>
          <w:tcPr>
            <w:tcW w:w="10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filed 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7"/>
          </w:tcPr>
          <w:p>
            <w:pPr>
              <w:jc w:val="center"/>
              <w:ind w:left="72"/>
              <w:spacing w:after="0"/>
              <w:rPr>
                <w:sz w:val="20"/>
                <w:szCs w:val="20"/>
                <w:color w:val="auto"/>
              </w:rPr>
            </w:pPr>
            <w:r>
              <w:rPr>
                <w:rFonts w:ascii="Arial" w:cs="Arial" w:eastAsia="Arial" w:hAnsi="Arial"/>
                <w:sz w:val="18"/>
                <w:szCs w:val="18"/>
                <w:color w:val="auto"/>
                <w:w w:val="90"/>
              </w:rPr>
              <w:t>101.DEF</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filed 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7"/>
            <w:shd w:val="clear" w:color="auto" w:fill="CCEEFF"/>
          </w:tcPr>
          <w:p>
            <w:pPr>
              <w:jc w:val="center"/>
              <w:ind w:left="52"/>
              <w:spacing w:after="0"/>
              <w:rPr>
                <w:sz w:val="20"/>
                <w:szCs w:val="20"/>
                <w:color w:val="auto"/>
              </w:rPr>
            </w:pPr>
            <w:r>
              <w:rPr>
                <w:rFonts w:ascii="Arial" w:cs="Arial" w:eastAsia="Arial" w:hAnsi="Arial"/>
                <w:sz w:val="18"/>
                <w:szCs w:val="18"/>
                <w:color w:val="auto"/>
                <w:w w:val="95"/>
              </w:rPr>
              <w:t>101.LAB</w:t>
            </w:r>
          </w:p>
        </w:tc>
        <w:tc>
          <w:tcPr>
            <w:tcW w:w="10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filed 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gridSpan w:val="7"/>
          </w:tcPr>
          <w:p>
            <w:pPr>
              <w:jc w:val="center"/>
              <w:ind w:left="72"/>
              <w:spacing w:after="0"/>
              <w:rPr>
                <w:sz w:val="20"/>
                <w:szCs w:val="20"/>
                <w:color w:val="auto"/>
              </w:rPr>
            </w:pPr>
            <w:r>
              <w:rPr>
                <w:rFonts w:ascii="Arial" w:cs="Arial" w:eastAsia="Arial" w:hAnsi="Arial"/>
                <w:sz w:val="18"/>
                <w:szCs w:val="18"/>
                <w:color w:val="auto"/>
                <w:w w:val="88"/>
              </w:rPr>
              <w:t>101.PRE</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right="284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 + Confidential treatment has been granted for certain confidential portions of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25th day of June, 2019.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6500" w:type="dxa"/>
            <w:vAlign w:val="bottom"/>
            <w:gridSpan w:val="2"/>
          </w:tcPr>
          <w:p>
            <w:pPr>
              <w:ind w:left="2160"/>
              <w:spacing w:after="0"/>
              <w:rPr>
                <w:sz w:val="20"/>
                <w:szCs w:val="20"/>
                <w:color w:val="auto"/>
              </w:rPr>
            </w:pPr>
            <w:r>
              <w:rPr>
                <w:rFonts w:ascii="Arial" w:cs="Arial" w:eastAsia="Arial" w:hAnsi="Arial"/>
                <w:sz w:val="18"/>
                <w:szCs w:val="18"/>
                <w:b w:val="1"/>
                <w:bCs w:val="1"/>
                <w:color w:val="auto"/>
              </w:rPr>
              <w:t>VistaGen Therapeutics, Inc.</w:t>
            </w:r>
          </w:p>
        </w:tc>
      </w:tr>
      <w:tr>
        <w:trPr>
          <w:trHeight w:val="468"/>
        </w:trPr>
        <w:tc>
          <w:tcPr>
            <w:tcW w:w="3560" w:type="dxa"/>
            <w:vAlign w:val="bottom"/>
          </w:tcPr>
          <w:p>
            <w:pPr>
              <w:spacing w:after="0"/>
              <w:rPr>
                <w:sz w:val="20"/>
                <w:szCs w:val="20"/>
                <w:color w:val="auto"/>
              </w:rPr>
            </w:pPr>
            <w:r>
              <w:rPr>
                <w:rFonts w:ascii="Arial" w:cs="Arial" w:eastAsia="Arial" w:hAnsi="Arial"/>
                <w:sz w:val="18"/>
                <w:szCs w:val="18"/>
                <w:color w:val="auto"/>
              </w:rPr>
              <w:t>Date: June 25, 2019</w:t>
            </w:r>
          </w:p>
        </w:tc>
        <w:tc>
          <w:tcPr>
            <w:tcW w:w="6500" w:type="dxa"/>
            <w:vAlign w:val="bottom"/>
            <w:gridSpan w:val="2"/>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Shawn K. Singh</w:t>
            </w:r>
          </w:p>
        </w:tc>
      </w:tr>
      <w:tr>
        <w:trPr>
          <w:trHeight w:val="208"/>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Shawn K. Singh, J.D.</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Chief Executive Officer</w:t>
            </w:r>
          </w:p>
        </w:tc>
      </w:tr>
    </w:tbl>
    <w:p>
      <w:pPr>
        <w:spacing w:after="0" w:line="200" w:lineRule="exact"/>
        <w:rPr>
          <w:sz w:val="20"/>
          <w:szCs w:val="20"/>
          <w:color w:val="auto"/>
        </w:rPr>
      </w:pPr>
    </w:p>
    <w:p>
      <w:pPr>
        <w:spacing w:after="0" w:line="2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5"/>
          </w:tcPr>
          <w:p>
            <w:pPr>
              <w:ind w:left="40"/>
              <w:spacing w:after="0"/>
              <w:rPr>
                <w:sz w:val="20"/>
                <w:szCs w:val="20"/>
                <w:color w:val="auto"/>
              </w:rPr>
            </w:pPr>
            <w:r>
              <w:rPr>
                <w:rFonts w:ascii="Arial" w:cs="Arial" w:eastAsia="Arial" w:hAnsi="Arial"/>
                <w:sz w:val="18"/>
                <w:szCs w:val="18"/>
                <w:b w:val="1"/>
                <w:bCs w:val="1"/>
                <w:color w:val="auto"/>
              </w:rPr>
              <w:t>Signature</w:t>
            </w:r>
          </w:p>
        </w:tc>
        <w:tc>
          <w:tcPr>
            <w:tcW w:w="5380" w:type="dxa"/>
            <w:vAlign w:val="bottom"/>
          </w:tcPr>
          <w:p>
            <w:pPr>
              <w:ind w:left="3120"/>
              <w:spacing w:after="0"/>
              <w:rPr>
                <w:sz w:val="20"/>
                <w:szCs w:val="20"/>
                <w:color w:val="auto"/>
              </w:rPr>
            </w:pPr>
            <w:r>
              <w:rPr>
                <w:rFonts w:ascii="Arial" w:cs="Arial" w:eastAsia="Arial" w:hAnsi="Arial"/>
                <w:sz w:val="18"/>
                <w:szCs w:val="18"/>
                <w:b w:val="1"/>
                <w:bCs w:val="1"/>
                <w:color w:val="auto"/>
              </w:rPr>
              <w:t>Title</w:t>
            </w:r>
          </w:p>
        </w:tc>
        <w:tc>
          <w:tcPr>
            <w:tcW w:w="2040" w:type="dxa"/>
            <w:vAlign w:val="bottom"/>
          </w:tcPr>
          <w:p>
            <w:pPr>
              <w:jc w:val="center"/>
              <w:ind w:left="972"/>
              <w:spacing w:after="0"/>
              <w:rPr>
                <w:sz w:val="20"/>
                <w:szCs w:val="20"/>
                <w:color w:val="auto"/>
              </w:rPr>
            </w:pPr>
            <w:r>
              <w:rPr>
                <w:rFonts w:ascii="Arial" w:cs="Arial" w:eastAsia="Arial" w:hAnsi="Arial"/>
                <w:sz w:val="18"/>
                <w:szCs w:val="18"/>
                <w:b w:val="1"/>
                <w:bCs w:val="1"/>
                <w:color w:val="auto"/>
                <w:w w:val="87"/>
              </w:rPr>
              <w:t>Date</w:t>
            </w:r>
          </w:p>
        </w:tc>
      </w:tr>
      <w:tr>
        <w:trPr>
          <w:trHeight w:val="394"/>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K. Singh</w:t>
            </w:r>
          </w:p>
        </w:tc>
        <w:tc>
          <w:tcPr>
            <w:tcW w:w="1780" w:type="dxa"/>
            <w:vAlign w:val="bottom"/>
            <w:gridSpan w:val="6"/>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Shawn K. Singh, JD</w:t>
            </w:r>
          </w:p>
        </w:tc>
        <w:tc>
          <w:tcPr>
            <w:tcW w:w="5380" w:type="dxa"/>
            <w:vAlign w:val="bottom"/>
          </w:tcPr>
          <w:p>
            <w:pPr>
              <w:ind w:left="1000"/>
              <w:spacing w:after="0"/>
              <w:rPr>
                <w:sz w:val="20"/>
                <w:szCs w:val="20"/>
                <w:color w:val="auto"/>
              </w:rPr>
            </w:pPr>
            <w:r>
              <w:rPr>
                <w:rFonts w:ascii="Arial" w:cs="Arial" w:eastAsia="Arial" w:hAnsi="Arial"/>
                <w:sz w:val="18"/>
                <w:szCs w:val="18"/>
                <w:i w:val="1"/>
                <w:iCs w:val="1"/>
                <w:color w:val="auto"/>
              </w:rPr>
              <w:t>(Principal Executive Officer)</w:t>
            </w:r>
          </w:p>
        </w:tc>
        <w:tc>
          <w:tcPr>
            <w:tcW w:w="2040" w:type="dxa"/>
            <w:vAlign w:val="bottom"/>
          </w:tcPr>
          <w:p>
            <w:pPr>
              <w:spacing w:after="0"/>
              <w:rPr>
                <w:sz w:val="20"/>
                <w:szCs w:val="20"/>
                <w:color w:val="auto"/>
              </w:rPr>
            </w:pPr>
          </w:p>
        </w:tc>
      </w:tr>
      <w:tr>
        <w:trPr>
          <w:trHeight w:val="394"/>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Jerrold D. Dotson</w:t>
            </w:r>
          </w:p>
        </w:tc>
        <w:tc>
          <w:tcPr>
            <w:tcW w:w="1680" w:type="dxa"/>
            <w:vAlign w:val="bottom"/>
            <w:gridSpan w:val="4"/>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Vice President and Chief Financial Officer</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Jerrold D. Dotson</w:t>
            </w:r>
          </w:p>
        </w:tc>
        <w:tc>
          <w:tcPr>
            <w:tcW w:w="5380" w:type="dxa"/>
            <w:vAlign w:val="bottom"/>
          </w:tcPr>
          <w:p>
            <w:pPr>
              <w:ind w:left="1000"/>
              <w:spacing w:after="0"/>
              <w:rPr>
                <w:sz w:val="20"/>
                <w:szCs w:val="20"/>
                <w:color w:val="auto"/>
              </w:rPr>
            </w:pPr>
            <w:r>
              <w:rPr>
                <w:rFonts w:ascii="Arial" w:cs="Arial" w:eastAsia="Arial" w:hAnsi="Arial"/>
                <w:sz w:val="18"/>
                <w:szCs w:val="18"/>
                <w:i w:val="1"/>
                <w:iCs w:val="1"/>
                <w:color w:val="auto"/>
              </w:rPr>
              <w:t>(Principal Financial and Accounting Officer)</w:t>
            </w:r>
          </w:p>
        </w:tc>
        <w:tc>
          <w:tcPr>
            <w:tcW w:w="2040" w:type="dxa"/>
            <w:vAlign w:val="bottom"/>
          </w:tcPr>
          <w:p>
            <w:pPr>
              <w:spacing w:after="0"/>
              <w:rPr>
                <w:sz w:val="20"/>
                <w:szCs w:val="20"/>
                <w:color w:val="auto"/>
              </w:rPr>
            </w:pPr>
          </w:p>
        </w:tc>
      </w:tr>
      <w:tr>
        <w:trPr>
          <w:trHeight w:val="394"/>
        </w:trPr>
        <w:tc>
          <w:tcPr>
            <w:tcW w:w="19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H. Ralph Snodgrass</w:t>
            </w:r>
          </w:p>
        </w:tc>
        <w:tc>
          <w:tcPr>
            <w:tcW w:w="1540" w:type="dxa"/>
            <w:vAlign w:val="bottom"/>
            <w:gridSpan w:val="2"/>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President, Chief Scientific Officer and Director</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H. Ralph Snodgrass, Ph.D</w:t>
            </w:r>
          </w:p>
        </w:tc>
        <w:tc>
          <w:tcPr>
            <w:tcW w:w="5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 Saxe</w:t>
            </w:r>
          </w:p>
        </w:tc>
        <w:tc>
          <w:tcPr>
            <w:tcW w:w="2120" w:type="dxa"/>
            <w:vAlign w:val="bottom"/>
            <w:gridSpan w:val="7"/>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Chairman of the Board of Directors</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Jon S. Saxe</w:t>
            </w:r>
          </w:p>
        </w:tc>
        <w:tc>
          <w:tcPr>
            <w:tcW w:w="5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4"/>
        </w:trPr>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 Brian J. Underdown</w:t>
            </w:r>
          </w:p>
        </w:tc>
        <w:tc>
          <w:tcPr>
            <w:tcW w:w="1520" w:type="dxa"/>
            <w:vAlign w:val="bottom"/>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Brian J. Underdown, Ph. D</w:t>
            </w:r>
          </w:p>
        </w:tc>
        <w:tc>
          <w:tcPr>
            <w:tcW w:w="5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4"/>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Jerry B. Gin, Ph.D</w:t>
            </w:r>
          </w:p>
        </w:tc>
        <w:tc>
          <w:tcPr>
            <w:tcW w:w="1760" w:type="dxa"/>
            <w:vAlign w:val="bottom"/>
            <w:gridSpan w:val="5"/>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Jerry B. Gin, Ph.D.</w:t>
            </w:r>
          </w:p>
        </w:tc>
        <w:tc>
          <w:tcPr>
            <w:tcW w:w="5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4"/>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Ann M. Cunningham</w:t>
            </w:r>
          </w:p>
        </w:tc>
        <w:tc>
          <w:tcPr>
            <w:tcW w:w="1560" w:type="dxa"/>
            <w:vAlign w:val="bottom"/>
            <w:gridSpan w:val="3"/>
          </w:tcPr>
          <w:p>
            <w:pPr>
              <w:spacing w:after="0"/>
              <w:rPr>
                <w:sz w:val="24"/>
                <w:szCs w:val="24"/>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972"/>
              <w:spacing w:after="0"/>
              <w:rPr>
                <w:sz w:val="20"/>
                <w:szCs w:val="20"/>
                <w:color w:val="auto"/>
              </w:rPr>
            </w:pPr>
            <w:r>
              <w:rPr>
                <w:rFonts w:ascii="Arial" w:cs="Arial" w:eastAsia="Arial" w:hAnsi="Arial"/>
                <w:sz w:val="18"/>
                <w:szCs w:val="18"/>
                <w:color w:val="auto"/>
                <w:w w:val="85"/>
              </w:rPr>
              <w:t>June 25, 2019</w:t>
            </w:r>
          </w:p>
        </w:tc>
      </w:tr>
      <w:tr>
        <w:trPr>
          <w:trHeight w:val="235"/>
        </w:trPr>
        <w:tc>
          <w:tcPr>
            <w:tcW w:w="3500" w:type="dxa"/>
            <w:vAlign w:val="bottom"/>
            <w:gridSpan w:val="8"/>
          </w:tcPr>
          <w:p>
            <w:pPr>
              <w:spacing w:after="0"/>
              <w:rPr>
                <w:sz w:val="20"/>
                <w:szCs w:val="20"/>
                <w:color w:val="auto"/>
              </w:rPr>
            </w:pPr>
            <w:r>
              <w:rPr>
                <w:rFonts w:ascii="Arial" w:cs="Arial" w:eastAsia="Arial" w:hAnsi="Arial"/>
                <w:sz w:val="18"/>
                <w:szCs w:val="18"/>
                <w:b w:val="1"/>
                <w:bCs w:val="1"/>
                <w:color w:val="auto"/>
              </w:rPr>
              <w:t>Ann M. Cunningham</w:t>
            </w:r>
          </w:p>
        </w:tc>
        <w:tc>
          <w:tcPr>
            <w:tcW w:w="53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10.136</w:t>
      </w: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VISTAGEN THERAPEUTICS, INC. INDEMNIFICATION AGREEMENT</w:t>
      </w:r>
    </w:p>
    <w:p>
      <w:pPr>
        <w:spacing w:after="0" w:line="164"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THIS AGREEMENT is entered into, effective as of November 10, 2016 between VistaGen Therapeutics, Inc., a Nevada corporation (the "Company"), and Mark A. McPartland (“Indemnitee”).</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Indemnitee is an officer of the Company;</w:t>
      </w:r>
    </w:p>
    <w:p>
      <w:pPr>
        <w:spacing w:after="0" w:line="252"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currently being asserted against directors and officers of corporations; and</w:t>
      </w:r>
    </w:p>
    <w:p>
      <w:pPr>
        <w:spacing w:after="0" w:line="213"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WHEREAS, in recognition of Indemnitee's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24"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NOW, THEREFORE, in consideration of the above premises and of Indemnitee's continuing to serve the Company directly or, at its request, with another enterprise, and intending to be legally bound hereby, the parties agree as follows:</w:t>
      </w:r>
    </w:p>
    <w:p>
      <w:pPr>
        <w:spacing w:after="0" w:line="240" w:lineRule="exact"/>
        <w:rPr>
          <w:sz w:val="20"/>
          <w:szCs w:val="20"/>
          <w:color w:val="auto"/>
        </w:rPr>
      </w:pPr>
    </w:p>
    <w:p>
      <w:pPr>
        <w:ind w:left="1140" w:hanging="340"/>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79" w:lineRule="exact"/>
        <w:rPr>
          <w:rFonts w:ascii="Arial" w:cs="Arial" w:eastAsia="Arial" w:hAnsi="Arial"/>
          <w:sz w:val="18"/>
          <w:szCs w:val="18"/>
          <w:color w:val="auto"/>
        </w:rPr>
      </w:pPr>
    </w:p>
    <w:p>
      <w:pPr>
        <w:ind w:left="1860" w:hanging="411"/>
        <w:spacing w:after="0"/>
        <w:tabs>
          <w:tab w:leader="none" w:pos="18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79" w:lineRule="exact"/>
        <w:rPr>
          <w:rFonts w:ascii="Arial" w:cs="Arial" w:eastAsia="Arial" w:hAnsi="Arial"/>
          <w:sz w:val="18"/>
          <w:szCs w:val="18"/>
          <w:color w:val="auto"/>
        </w:rPr>
      </w:pPr>
    </w:p>
    <w:p>
      <w:pPr>
        <w:ind w:right="80" w:firstLine="1449"/>
        <w:spacing w:after="0" w:line="286" w:lineRule="auto"/>
        <w:tabs>
          <w:tab w:leader="none" w:pos="1879"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228" w:lineRule="exact"/>
        <w:rPr>
          <w:rFonts w:ascii="Arial" w:cs="Arial" w:eastAsia="Arial" w:hAnsi="Arial"/>
          <w:sz w:val="16"/>
          <w:szCs w:val="16"/>
          <w:color w:val="auto"/>
        </w:rPr>
      </w:pPr>
    </w:p>
    <w:p>
      <w:pPr>
        <w:jc w:val="both"/>
        <w:ind w:right="60" w:firstLine="1449"/>
        <w:spacing w:after="0" w:line="319" w:lineRule="auto"/>
        <w:tabs>
          <w:tab w:leader="none" w:pos="1869"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w:t>
      </w:r>
    </w:p>
    <w:p>
      <w:pPr>
        <w:ind w:right="880"/>
        <w:spacing w:after="0" w:line="332" w:lineRule="auto"/>
        <w:rPr>
          <w:rFonts w:ascii="Arial" w:cs="Arial" w:eastAsia="Arial" w:hAnsi="Arial"/>
          <w:sz w:val="15"/>
          <w:szCs w:val="15"/>
          <w:color w:val="auto"/>
        </w:rPr>
      </w:pPr>
      <w:r>
        <w:rPr>
          <w:rFonts w:ascii="Arial" w:cs="Arial" w:eastAsia="Arial" w:hAnsi="Arial"/>
          <w:sz w:val="16"/>
          <w:szCs w:val="16"/>
          <w:color w:val="auto"/>
        </w:rPr>
        <w:t>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128" w:name="page129"/>
    <w:bookmarkEnd w:id="128"/>
    <w:p>
      <w:pPr>
        <w:ind w:left="160" w:right="60" w:firstLine="1449"/>
        <w:spacing w:after="0" w:line="290" w:lineRule="auto"/>
        <w:tabs>
          <w:tab w:leader="none" w:pos="2039" w:val="left"/>
        </w:tabs>
        <w:numPr>
          <w:ilvl w:val="3"/>
          <w:numId w:val="52"/>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any event or occurrence that takes place either prior to or after the execution of this Agreement, related to the fact that Indemnitee is or was an officer of the Company, or while an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99" w:lineRule="exact"/>
        <w:rPr>
          <w:rFonts w:ascii="Arial" w:cs="Arial" w:eastAsia="Arial" w:hAnsi="Arial"/>
          <w:sz w:val="16"/>
          <w:szCs w:val="16"/>
          <w:color w:val="auto"/>
        </w:rPr>
      </w:pPr>
    </w:p>
    <w:p>
      <w:pPr>
        <w:ind w:left="1940" w:hanging="406"/>
        <w:spacing w:after="0"/>
        <w:tabs>
          <w:tab w:leader="none" w:pos="1940" w:val="left"/>
        </w:tabs>
        <w:numPr>
          <w:ilvl w:val="2"/>
          <w:numId w:val="5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184" w:lineRule="exact"/>
        <w:rPr>
          <w:rFonts w:ascii="Arial" w:cs="Arial" w:eastAsia="Arial" w:hAnsi="Arial"/>
          <w:sz w:val="18"/>
          <w:szCs w:val="18"/>
          <w:color w:val="auto"/>
        </w:rPr>
      </w:pPr>
    </w:p>
    <w:p>
      <w:pPr>
        <w:ind w:left="-20" w:right="60" w:firstLine="1554"/>
        <w:spacing w:after="0" w:line="259" w:lineRule="auto"/>
        <w:tabs>
          <w:tab w:leader="none" w:pos="1918" w:val="left"/>
        </w:tabs>
        <w:numPr>
          <w:ilvl w:val="2"/>
          <w:numId w:val="5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221" w:lineRule="exact"/>
        <w:rPr>
          <w:rFonts w:ascii="Arial" w:cs="Arial" w:eastAsia="Arial" w:hAnsi="Arial"/>
          <w:sz w:val="18"/>
          <w:szCs w:val="18"/>
          <w:color w:val="auto"/>
        </w:rPr>
      </w:pPr>
    </w:p>
    <w:p>
      <w:pPr>
        <w:ind w:left="1780" w:hanging="333"/>
        <w:spacing w:after="0"/>
        <w:tabs>
          <w:tab w:leader="none" w:pos="178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157" w:lineRule="exact"/>
        <w:rPr>
          <w:rFonts w:ascii="Arial" w:cs="Arial" w:eastAsia="Arial" w:hAnsi="Arial"/>
          <w:sz w:val="18"/>
          <w:szCs w:val="18"/>
          <w:color w:val="auto"/>
        </w:rPr>
      </w:pPr>
    </w:p>
    <w:p>
      <w:pPr>
        <w:ind w:left="1700" w:hanging="253"/>
        <w:spacing w:after="0"/>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pacing w:after="0" w:line="157" w:lineRule="exact"/>
        <w:rPr>
          <w:rFonts w:ascii="Arial" w:cs="Arial" w:eastAsia="Arial" w:hAnsi="Arial"/>
          <w:sz w:val="18"/>
          <w:szCs w:val="18"/>
          <w:color w:val="auto"/>
        </w:rPr>
      </w:pPr>
    </w:p>
    <w:p>
      <w:pPr>
        <w:ind w:left="960" w:hanging="16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60" w:right="140" w:firstLine="1449"/>
        <w:spacing w:after="0" w:line="290" w:lineRule="auto"/>
        <w:tabs>
          <w:tab w:leader="none" w:pos="2029" w:val="left"/>
        </w:tabs>
        <w:numPr>
          <w:ilvl w:val="3"/>
          <w:numId w:val="55"/>
        </w:numPr>
        <w:rPr>
          <w:rFonts w:ascii="Arial" w:cs="Arial" w:eastAsia="Arial" w:hAnsi="Arial"/>
          <w:sz w:val="16"/>
          <w:szCs w:val="16"/>
          <w:color w:val="auto"/>
        </w:rPr>
      </w:pPr>
      <w:r>
        <w:rPr>
          <w:rFonts w:ascii="Arial" w:cs="Arial" w:eastAsia="Arial" w:hAnsi="Arial"/>
          <w:sz w:val="16"/>
          <w:szCs w:val="16"/>
          <w:u w:val="single" w:color="auto"/>
          <w:color w:val="auto"/>
        </w:rPr>
        <w:t>General Agreement</w:t>
      </w:r>
      <w:r>
        <w:rPr>
          <w:rFonts w:ascii="Arial" w:cs="Arial" w:eastAsia="Arial" w:hAnsi="Arial"/>
          <w:sz w:val="16"/>
          <w:szCs w:val="16"/>
          <w:color w:val="auto"/>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99" w:lineRule="exact"/>
        <w:rPr>
          <w:rFonts w:ascii="Arial" w:cs="Arial" w:eastAsia="Arial" w:hAnsi="Arial"/>
          <w:sz w:val="16"/>
          <w:szCs w:val="16"/>
          <w:color w:val="auto"/>
        </w:rPr>
      </w:pPr>
    </w:p>
    <w:p>
      <w:pPr>
        <w:ind w:left="160" w:firstLine="1449"/>
        <w:spacing w:after="0" w:line="294" w:lineRule="auto"/>
        <w:tabs>
          <w:tab w:leader="none" w:pos="2039" w:val="left"/>
        </w:tabs>
        <w:numPr>
          <w:ilvl w:val="3"/>
          <w:numId w:val="55"/>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223" w:lineRule="exact"/>
        <w:rPr>
          <w:rFonts w:ascii="Arial" w:cs="Arial" w:eastAsia="Arial" w:hAnsi="Arial"/>
          <w:sz w:val="16"/>
          <w:szCs w:val="16"/>
          <w:color w:val="auto"/>
        </w:rPr>
      </w:pPr>
    </w:p>
    <w:p>
      <w:pPr>
        <w:ind w:left="160" w:firstLine="1449"/>
        <w:spacing w:after="0" w:line="289" w:lineRule="auto"/>
        <w:tabs>
          <w:tab w:leader="none" w:pos="2029" w:val="left"/>
        </w:tabs>
        <w:numPr>
          <w:ilvl w:val="3"/>
          <w:numId w:val="55"/>
        </w:numPr>
        <w:rPr>
          <w:rFonts w:ascii="Arial" w:cs="Arial" w:eastAsia="Arial" w:hAnsi="Arial"/>
          <w:sz w:val="16"/>
          <w:szCs w:val="16"/>
          <w:color w:val="auto"/>
        </w:rPr>
      </w:pPr>
      <w:r>
        <w:rPr>
          <w:rFonts w:ascii="Arial" w:cs="Arial" w:eastAsia="Arial" w:hAnsi="Arial"/>
          <w:sz w:val="16"/>
          <w:szCs w:val="16"/>
          <w:u w:val="single" w:color="auto"/>
          <w:color w:val="auto"/>
        </w:rPr>
        <w:t>Expense Advances</w:t>
      </w:r>
      <w:r>
        <w:rPr>
          <w:rFonts w:ascii="Arial" w:cs="Arial" w:eastAsia="Arial" w:hAnsi="Arial"/>
          <w:sz w:val="16"/>
          <w:szCs w:val="16"/>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226" w:lineRule="exact"/>
        <w:rPr>
          <w:rFonts w:ascii="Arial" w:cs="Arial" w:eastAsia="Arial" w:hAnsi="Arial"/>
          <w:sz w:val="16"/>
          <w:szCs w:val="16"/>
          <w:color w:val="auto"/>
        </w:rPr>
      </w:pPr>
    </w:p>
    <w:p>
      <w:pPr>
        <w:ind w:left="160" w:right="580" w:firstLine="1449"/>
        <w:spacing w:after="0" w:line="259" w:lineRule="auto"/>
        <w:tabs>
          <w:tab w:leader="none" w:pos="2039" w:val="left"/>
        </w:tabs>
        <w:numPr>
          <w:ilvl w:val="3"/>
          <w:numId w:val="55"/>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129" w:name="page130"/>
    <w:bookmarkEnd w:id="129"/>
    <w:p>
      <w:pPr>
        <w:jc w:val="both"/>
        <w:ind w:right="40" w:firstLine="1449"/>
        <w:spacing w:after="0" w:line="259" w:lineRule="auto"/>
        <w:tabs>
          <w:tab w:leader="none" w:pos="1869"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248" w:lineRule="exact"/>
        <w:rPr>
          <w:rFonts w:ascii="Arial" w:cs="Arial" w:eastAsia="Arial" w:hAnsi="Arial"/>
          <w:sz w:val="18"/>
          <w:szCs w:val="18"/>
          <w:color w:val="auto"/>
        </w:rPr>
      </w:pPr>
    </w:p>
    <w:p>
      <w:pPr>
        <w:ind w:right="100" w:firstLine="1449"/>
        <w:spacing w:after="0" w:line="256" w:lineRule="auto"/>
        <w:tabs>
          <w:tab w:leader="none" w:pos="1850"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251" w:lineRule="exact"/>
        <w:rPr>
          <w:rFonts w:ascii="Arial" w:cs="Arial" w:eastAsia="Arial" w:hAnsi="Arial"/>
          <w:sz w:val="18"/>
          <w:szCs w:val="18"/>
          <w:color w:val="auto"/>
        </w:rPr>
      </w:pPr>
    </w:p>
    <w:p>
      <w:pPr>
        <w:ind w:right="40" w:firstLine="800"/>
        <w:spacing w:after="0" w:line="285" w:lineRule="auto"/>
        <w:tabs>
          <w:tab w:leader="none" w:pos="1158"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09" w:lineRule="exact"/>
        <w:rPr>
          <w:rFonts w:ascii="Arial" w:cs="Arial" w:eastAsia="Arial" w:hAnsi="Arial"/>
          <w:sz w:val="16"/>
          <w:szCs w:val="16"/>
          <w:color w:val="auto"/>
        </w:rPr>
      </w:pPr>
    </w:p>
    <w:p>
      <w:pPr>
        <w:ind w:left="800" w:hanging="16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60" w:firstLine="1482"/>
        <w:spacing w:after="0" w:line="306" w:lineRule="auto"/>
        <w:tabs>
          <w:tab w:leader="none" w:pos="1903" w:val="left"/>
        </w:tabs>
        <w:numPr>
          <w:ilvl w:val="3"/>
          <w:numId w:val="58"/>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14" w:lineRule="exact"/>
        <w:rPr>
          <w:rFonts w:ascii="Arial" w:cs="Arial" w:eastAsia="Arial" w:hAnsi="Arial"/>
          <w:sz w:val="16"/>
          <w:szCs w:val="16"/>
          <w:color w:val="auto"/>
        </w:rPr>
      </w:pPr>
    </w:p>
    <w:p>
      <w:pPr>
        <w:ind w:right="80" w:firstLine="1449"/>
        <w:spacing w:after="0" w:line="291" w:lineRule="auto"/>
        <w:tabs>
          <w:tab w:leader="none" w:pos="1879"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1" w:lineRule="exact"/>
        <w:rPr>
          <w:rFonts w:ascii="Arial" w:cs="Arial" w:eastAsia="Arial" w:hAnsi="Arial"/>
          <w:sz w:val="16"/>
          <w:szCs w:val="16"/>
          <w:color w:val="auto"/>
        </w:rPr>
      </w:pPr>
    </w:p>
    <w:p>
      <w:pPr>
        <w:ind w:right="20" w:firstLine="1449"/>
        <w:spacing w:after="0" w:line="310" w:lineRule="auto"/>
        <w:tabs>
          <w:tab w:leader="none" w:pos="1869" w:val="left"/>
        </w:tabs>
        <w:numPr>
          <w:ilvl w:val="2"/>
          <w:numId w:val="58"/>
        </w:numPr>
        <w:rPr>
          <w:rFonts w:ascii="Arial" w:cs="Arial" w:eastAsia="Arial" w:hAnsi="Arial"/>
          <w:sz w:val="15"/>
          <w:szCs w:val="15"/>
          <w:color w:val="auto"/>
        </w:rPr>
      </w:pPr>
      <w:r>
        <w:rPr>
          <w:rFonts w:ascii="Arial" w:cs="Arial" w:eastAsia="Arial" w:hAnsi="Arial"/>
          <w:sz w:val="15"/>
          <w:szCs w:val="15"/>
          <w:u w:val="single" w:color="auto"/>
          <w:color w:val="auto"/>
        </w:rPr>
        <w:t>Defense to Indemnification, Burden of Proof, and Presumptions</w:t>
      </w:r>
      <w:r>
        <w:rPr>
          <w:rFonts w:ascii="Arial" w:cs="Arial" w:eastAsia="Arial" w:hAnsi="Arial"/>
          <w:sz w:val="15"/>
          <w:szCs w:val="15"/>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w:t>
      </w:r>
    </w:p>
    <w:p>
      <w:pPr>
        <w:spacing w:after="0" w:line="289" w:lineRule="auto"/>
        <w:rPr>
          <w:rFonts w:ascii="Arial" w:cs="Arial" w:eastAsia="Arial" w:hAnsi="Arial"/>
          <w:sz w:val="15"/>
          <w:szCs w:val="15"/>
          <w:color w:val="auto"/>
        </w:rPr>
      </w:pPr>
      <w:r>
        <w:rPr>
          <w:rFonts w:ascii="Arial" w:cs="Arial" w:eastAsia="Arial" w:hAnsi="Arial"/>
          <w:sz w:val="16"/>
          <w:szCs w:val="16"/>
          <w:color w:val="auto"/>
        </w:rPr>
        <w:t>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130" w:name="page131"/>
    <w:bookmarkEnd w:id="130"/>
    <w:p>
      <w:pPr>
        <w:ind w:right="260" w:firstLine="800"/>
        <w:spacing w:after="0" w:line="268" w:lineRule="auto"/>
        <w:tabs>
          <w:tab w:leader="none" w:pos="115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45" w:lineRule="exact"/>
        <w:rPr>
          <w:rFonts w:ascii="Arial" w:cs="Arial" w:eastAsia="Arial" w:hAnsi="Arial"/>
          <w:sz w:val="18"/>
          <w:szCs w:val="18"/>
          <w:color w:val="auto"/>
        </w:rPr>
      </w:pPr>
    </w:p>
    <w:p>
      <w:pPr>
        <w:ind w:left="1280" w:right="100" w:firstLine="2221"/>
        <w:spacing w:after="0" w:line="259" w:lineRule="auto"/>
        <w:tabs>
          <w:tab w:leader="none" w:pos="3877" w:val="left"/>
        </w:tabs>
        <w:numPr>
          <w:ilvl w:val="4"/>
          <w:numId w:val="59"/>
        </w:numPr>
        <w:rPr>
          <w:rFonts w:ascii="Arial" w:cs="Arial" w:eastAsia="Arial" w:hAnsi="Arial"/>
          <w:sz w:val="18"/>
          <w:szCs w:val="18"/>
          <w:color w:val="auto"/>
        </w:rPr>
      </w:pPr>
      <w:r>
        <w:rPr>
          <w:rFonts w:ascii="Arial" w:cs="Arial" w:eastAsia="Arial" w:hAnsi="Arial"/>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248" w:lineRule="exact"/>
        <w:rPr>
          <w:rFonts w:ascii="Arial" w:cs="Arial" w:eastAsia="Arial" w:hAnsi="Arial"/>
          <w:sz w:val="18"/>
          <w:szCs w:val="18"/>
          <w:color w:val="auto"/>
        </w:rPr>
      </w:pPr>
    </w:p>
    <w:p>
      <w:pPr>
        <w:ind w:left="1280" w:firstLine="2113"/>
        <w:spacing w:after="0" w:line="256" w:lineRule="auto"/>
        <w:tabs>
          <w:tab w:leader="none" w:pos="3817" w:val="left"/>
        </w:tabs>
        <w:numPr>
          <w:ilvl w:val="3"/>
          <w:numId w:val="59"/>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224" w:lineRule="exact"/>
        <w:rPr>
          <w:rFonts w:ascii="Arial" w:cs="Arial" w:eastAsia="Arial" w:hAnsi="Arial"/>
          <w:sz w:val="18"/>
          <w:szCs w:val="18"/>
          <w:color w:val="auto"/>
        </w:rPr>
      </w:pPr>
    </w:p>
    <w:p>
      <w:pPr>
        <w:ind w:left="800" w:hanging="162"/>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60" w:firstLine="1449"/>
        <w:spacing w:after="0" w:line="259" w:lineRule="auto"/>
        <w:tabs>
          <w:tab w:leader="none" w:pos="1869"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248" w:lineRule="exact"/>
        <w:rPr>
          <w:rFonts w:ascii="Arial" w:cs="Arial" w:eastAsia="Arial" w:hAnsi="Arial"/>
          <w:sz w:val="18"/>
          <w:szCs w:val="18"/>
          <w:color w:val="auto"/>
        </w:rPr>
      </w:pPr>
    </w:p>
    <w:p>
      <w:pPr>
        <w:ind w:firstLine="1449"/>
        <w:spacing w:after="0" w:line="306" w:lineRule="auto"/>
        <w:tabs>
          <w:tab w:leader="none" w:pos="1879" w:val="left"/>
        </w:tabs>
        <w:numPr>
          <w:ilvl w:val="2"/>
          <w:numId w:val="60"/>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197" w:lineRule="exact"/>
        <w:rPr>
          <w:rFonts w:ascii="Arial" w:cs="Arial" w:eastAsia="Arial" w:hAnsi="Arial"/>
          <w:sz w:val="15"/>
          <w:szCs w:val="15"/>
          <w:color w:val="auto"/>
        </w:rPr>
      </w:pPr>
    </w:p>
    <w:p>
      <w:pPr>
        <w:jc w:val="both"/>
        <w:ind w:right="60" w:firstLine="1449"/>
        <w:spacing w:after="0" w:line="290" w:lineRule="auto"/>
        <w:tabs>
          <w:tab w:leader="none" w:pos="1869" w:val="left"/>
        </w:tabs>
        <w:numPr>
          <w:ilvl w:val="2"/>
          <w:numId w:val="60"/>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w:t>
      </w:r>
    </w:p>
    <w:p>
      <w:pPr>
        <w:spacing w:after="0" w:line="2" w:lineRule="exact"/>
        <w:rPr>
          <w:rFonts w:ascii="Arial" w:cs="Arial" w:eastAsia="Arial" w:hAnsi="Arial"/>
          <w:sz w:val="16"/>
          <w:szCs w:val="16"/>
          <w:color w:val="auto"/>
        </w:rPr>
      </w:pPr>
    </w:p>
    <w:p>
      <w:pPr>
        <w:spacing w:after="0" w:line="298" w:lineRule="auto"/>
        <w:rPr>
          <w:rFonts w:ascii="Arial" w:cs="Arial" w:eastAsia="Arial" w:hAnsi="Arial"/>
          <w:sz w:val="16"/>
          <w:szCs w:val="16"/>
          <w:color w:val="auto"/>
        </w:rPr>
      </w:pPr>
      <w:r>
        <w:rPr>
          <w:rFonts w:ascii="Arial" w:cs="Arial" w:eastAsia="Arial" w:hAnsi="Arial"/>
          <w:sz w:val="16"/>
          <w:szCs w:val="16"/>
          <w:color w:val="auto"/>
        </w:rPr>
        <w:t>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131" w:name="page132"/>
    <w:bookmarkEnd w:id="131"/>
    <w:p>
      <w:pPr>
        <w:ind w:right="40" w:firstLine="800"/>
        <w:spacing w:after="0" w:line="285" w:lineRule="auto"/>
        <w:tabs>
          <w:tab w:leader="none" w:pos="115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31" w:lineRule="exact"/>
        <w:rPr>
          <w:rFonts w:ascii="Arial" w:cs="Arial" w:eastAsia="Arial" w:hAnsi="Arial"/>
          <w:sz w:val="16"/>
          <w:szCs w:val="16"/>
          <w:color w:val="auto"/>
        </w:rPr>
      </w:pPr>
    </w:p>
    <w:p>
      <w:pPr>
        <w:ind w:right="200" w:firstLine="800"/>
        <w:spacing w:after="0" w:line="298" w:lineRule="auto"/>
        <w:tabs>
          <w:tab w:leader="none" w:pos="115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220" w:lineRule="exact"/>
        <w:rPr>
          <w:rFonts w:ascii="Arial" w:cs="Arial" w:eastAsia="Arial" w:hAnsi="Arial"/>
          <w:sz w:val="16"/>
          <w:szCs w:val="16"/>
          <w:color w:val="auto"/>
        </w:rPr>
      </w:pPr>
    </w:p>
    <w:p>
      <w:pPr>
        <w:ind w:firstLine="800"/>
        <w:spacing w:after="0" w:line="259"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48" w:lineRule="exact"/>
        <w:rPr>
          <w:rFonts w:ascii="Arial" w:cs="Arial" w:eastAsia="Arial" w:hAnsi="Arial"/>
          <w:sz w:val="18"/>
          <w:szCs w:val="18"/>
          <w:color w:val="auto"/>
        </w:rPr>
      </w:pPr>
    </w:p>
    <w:p>
      <w:pPr>
        <w:ind w:right="20" w:firstLine="800"/>
        <w:spacing w:after="0" w:line="294" w:lineRule="auto"/>
        <w:tabs>
          <w:tab w:leader="none" w:pos="124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23" w:lineRule="exact"/>
        <w:rPr>
          <w:rFonts w:ascii="Arial" w:cs="Arial" w:eastAsia="Arial" w:hAnsi="Arial"/>
          <w:sz w:val="16"/>
          <w:szCs w:val="16"/>
          <w:color w:val="auto"/>
        </w:rPr>
      </w:pPr>
    </w:p>
    <w:p>
      <w:pPr>
        <w:ind w:firstLine="800"/>
        <w:spacing w:after="0" w:line="255" w:lineRule="auto"/>
        <w:tabs>
          <w:tab w:leader="none" w:pos="123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50" w:lineRule="exact"/>
        <w:rPr>
          <w:rFonts w:ascii="Arial" w:cs="Arial" w:eastAsia="Arial" w:hAnsi="Arial"/>
          <w:sz w:val="18"/>
          <w:szCs w:val="18"/>
          <w:color w:val="auto"/>
        </w:rPr>
      </w:pPr>
    </w:p>
    <w:p>
      <w:pPr>
        <w:ind w:right="420" w:firstLine="800"/>
        <w:spacing w:after="0" w:line="306" w:lineRule="auto"/>
        <w:tabs>
          <w:tab w:leader="none" w:pos="124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420" w:top="590" w:right="259" w:bottom="1440" w:gutter="0" w:footer="0" w:header="0"/>
        </w:sectPr>
      </w:pPr>
    </w:p>
    <w:bookmarkStart w:id="132" w:name="page133"/>
    <w:bookmarkEnd w:id="132"/>
    <w:p>
      <w:pPr>
        <w:ind w:firstLine="800"/>
        <w:spacing w:after="0" w:line="259"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48" w:lineRule="exact"/>
        <w:rPr>
          <w:rFonts w:ascii="Arial" w:cs="Arial" w:eastAsia="Arial" w:hAnsi="Arial"/>
          <w:sz w:val="18"/>
          <w:szCs w:val="18"/>
          <w:color w:val="auto"/>
        </w:rPr>
      </w:pPr>
    </w:p>
    <w:p>
      <w:pPr>
        <w:ind w:right="60" w:firstLine="800"/>
        <w:spacing w:after="0" w:line="289"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99" w:lineRule="exact"/>
        <w:rPr>
          <w:rFonts w:ascii="Arial" w:cs="Arial" w:eastAsia="Arial" w:hAnsi="Arial"/>
          <w:sz w:val="16"/>
          <w:szCs w:val="16"/>
          <w:color w:val="auto"/>
        </w:rPr>
      </w:pPr>
    </w:p>
    <w:p>
      <w:pPr>
        <w:ind w:right="140" w:firstLine="800"/>
        <w:spacing w:after="0" w:line="255"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50" w:lineRule="exact"/>
        <w:rPr>
          <w:rFonts w:ascii="Arial" w:cs="Arial" w:eastAsia="Arial" w:hAnsi="Arial"/>
          <w:sz w:val="18"/>
          <w:szCs w:val="18"/>
          <w:color w:val="auto"/>
        </w:rPr>
      </w:pPr>
    </w:p>
    <w:p>
      <w:pPr>
        <w:ind w:right="400" w:firstLine="800"/>
        <w:spacing w:after="0" w:line="332"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93" w:lineRule="exact"/>
        <w:rPr>
          <w:rFonts w:ascii="Arial" w:cs="Arial" w:eastAsia="Arial" w:hAnsi="Arial"/>
          <w:sz w:val="16"/>
          <w:szCs w:val="16"/>
          <w:color w:val="auto"/>
        </w:rPr>
      </w:pPr>
    </w:p>
    <w:p>
      <w:pPr>
        <w:ind w:right="20" w:firstLine="800"/>
        <w:spacing w:after="0" w:line="259"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3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South San Francisco, CA 94080 Attention: CEO</w:t>
      </w:r>
    </w:p>
    <w:p>
      <w:pPr>
        <w:spacing w:after="0" w:line="36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Mark A. McPartland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405 Marsh Oaks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Wilmington, NC 28411</w:t>
      </w:r>
    </w:p>
    <w:p>
      <w:pPr>
        <w:spacing w:after="0" w:line="200" w:lineRule="exact"/>
        <w:rPr>
          <w:sz w:val="20"/>
          <w:szCs w:val="20"/>
          <w:color w:val="auto"/>
        </w:rPr>
      </w:pPr>
    </w:p>
    <w:p>
      <w:pPr>
        <w:spacing w:after="0" w:line="383"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133" w:name="page134"/>
    <w:bookmarkEnd w:id="133"/>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ectPr>
          <w:pgSz w:w="11900" w:h="16838" w:orient="portrait"/>
          <w:cols w:equalWidth="0" w:num="1">
            <w:col w:w="9399"/>
          </w:cols>
          <w:pgMar w:left="1060" w:top="860" w:right="1440" w:bottom="1440" w:gutter="0" w:footer="0" w:header="0"/>
        </w:sectPr>
      </w:pPr>
    </w:p>
    <w:p>
      <w:pPr>
        <w:spacing w:after="0" w:line="26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VISTAGEN THERAPEUTICS, INC.</w:t>
      </w:r>
    </w:p>
    <w:p>
      <w:pPr>
        <w:spacing w:after="0" w:line="39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Singh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MARK A. MCPARTLAND</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Mark A. McPartland</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10795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99"/>
          </w:cols>
          <w:pgMar w:left="1060" w:top="860" w:right="1440"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10.138</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MASTER SERVICES AGREEMENT</w:t>
      </w:r>
    </w:p>
    <w:p>
      <w:pPr>
        <w:spacing w:after="0" w:line="4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All CRO Services</w:t>
      </w:r>
      <w:r>
        <w:rPr>
          <w:rFonts w:ascii="Arial" w:cs="Arial" w:eastAsia="Arial" w:hAnsi="Arial"/>
          <w:sz w:val="18"/>
          <w:szCs w:val="18"/>
          <w:color w:val="auto"/>
        </w:rPr>
        <w:t>)</w:t>
      </w:r>
    </w:p>
    <w:p>
      <w:pPr>
        <w:spacing w:after="0" w:line="211" w:lineRule="exact"/>
        <w:rPr>
          <w:sz w:val="20"/>
          <w:szCs w:val="20"/>
          <w:color w:val="auto"/>
        </w:rPr>
      </w:pPr>
    </w:p>
    <w:p>
      <w:pPr>
        <w:jc w:val="both"/>
        <w:ind w:right="60" w:firstLine="41"/>
        <w:spacing w:after="0" w:line="290" w:lineRule="auto"/>
        <w:rPr>
          <w:sz w:val="20"/>
          <w:szCs w:val="20"/>
          <w:color w:val="auto"/>
        </w:rPr>
      </w:pPr>
      <w:r>
        <w:rPr>
          <w:rFonts w:ascii="Arial" w:cs="Arial" w:eastAsia="Arial" w:hAnsi="Arial"/>
          <w:sz w:val="16"/>
          <w:szCs w:val="16"/>
          <w:color w:val="auto"/>
        </w:rPr>
        <w:t>This Master Services Agreement (this “Agreement”) is made as of the 11th day of July, 2017 (the “Effective Date”) by and between Cato Research Ltd., a North Carolina corporation headquartered at 4364 South Alston Avenue, Durham, North Carolina, USA 27713 (“CRL”), and VistaGen Therapeutics, Inc., a Nevada corporation headquartered at 343 Allerton Avenue, South San Francisco, California 94080, USA (“VistaGen”). Each of CRL and VistaGen may be referred to herein separately as a “Party” and collectively as the “Parties.” As used in this Agreement, “Affiliate(s)” means any corporation, firm, partnership, or other entity which controls, is controlled by or is under common control with a Party. For the purpose of this definition, “control” shall mean the power to direct, or cause the direction of, the management and policies of an entity through the ownership, directly or indirectly, of at least fifty percent (50%) of the voting share capital of such entity or any other comparable equity, by contract, or by ownership interest.</w:t>
      </w:r>
    </w:p>
    <w:p>
      <w:pPr>
        <w:spacing w:after="0" w:line="193"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VistaGen is engaged in the evaluation, development, commercialization and/or marketing of biologics, pharmaceutical agents,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devices and/or other life sciences technologies (collectively, “Products”); and</w:t>
      </w:r>
    </w:p>
    <w:p>
      <w:pPr>
        <w:spacing w:after="0" w:line="322" w:lineRule="exact"/>
        <w:rPr>
          <w:sz w:val="20"/>
          <w:szCs w:val="20"/>
          <w:color w:val="auto"/>
        </w:rPr>
      </w:pPr>
    </w:p>
    <w:p>
      <w:pPr>
        <w:jc w:val="both"/>
        <w:ind w:right="80" w:firstLine="648"/>
        <w:spacing w:after="0" w:line="37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CRL is an independent contract research and development organization (“CRO”) providing a broad range of services relating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evaluation, development, commercialization and marketing of new biologics, pharmaceutical agents, medical devices and/or other life sciences technologies; and</w:t>
      </w:r>
    </w:p>
    <w:p>
      <w:pPr>
        <w:spacing w:after="0" w:line="132" w:lineRule="exact"/>
        <w:rPr>
          <w:sz w:val="20"/>
          <w:szCs w:val="20"/>
          <w:color w:val="auto"/>
        </w:rPr>
      </w:pPr>
    </w:p>
    <w:p>
      <w:pPr>
        <w:jc w:val="both"/>
        <w:ind w:right="80" w:firstLine="648"/>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VistaGen wishes to retain CRL, and CRL wishes to be retained by VistaGen, to assist VistaGen with certain aspects of the evaluation,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commercialization or marketing of VistaGen Products or otherwise to provide certain regulatory or other strategic consulting services as specified by VistaGen from time to time; and</w:t>
      </w:r>
    </w:p>
    <w:p>
      <w:pPr>
        <w:spacing w:after="0" w:line="213" w:lineRule="exact"/>
        <w:rPr>
          <w:sz w:val="20"/>
          <w:szCs w:val="20"/>
          <w:color w:val="auto"/>
        </w:rPr>
      </w:pPr>
    </w:p>
    <w:p>
      <w:pPr>
        <w:jc w:val="both"/>
        <w:ind w:right="80" w:firstLine="64"/>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the promises, benefits, rights, and obligations set forth below, the Parties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0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Work Orders for CRO Services</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300" w:hanging="648"/>
        <w:spacing w:after="0" w:line="30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CRL shall provide CRO services to VistaGen, as requested by VistaGen from time to time in accordance with the terms of this Agreement (the “CRO Services”). Requested CRO Services may include any area of services customarily undertaken by CRL, including without limitation the areas of nonclinical development, clinical development, regulatory affairs, medical monitoring and pharmacovigilance or safety services.</w:t>
      </w:r>
    </w:p>
    <w:p>
      <w:pPr>
        <w:spacing w:after="0" w:line="187" w:lineRule="exact"/>
        <w:rPr>
          <w:rFonts w:ascii="Arial" w:cs="Arial" w:eastAsia="Arial" w:hAnsi="Arial"/>
          <w:sz w:val="18"/>
          <w:szCs w:val="18"/>
          <w:color w:val="auto"/>
        </w:rPr>
      </w:pPr>
    </w:p>
    <w:p>
      <w:pPr>
        <w:ind w:left="1300" w:hanging="648"/>
        <w:spacing w:after="0" w:line="288"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 xml:space="preserve">Whenever VistaGen requests CRL to perform CRO Services, and CRL wishes to perform CRO Services requested by VistaGen, CRL shall prepare a Work Order, in a form acceptable to both Parties and containing, at a minimum, the CRO Services to be performed and the compensation to be paid by VistaGen for the CRO Services covered by the Work Order. It may also include any other requirements or obligations agreed upon by the Parties and not set forth herein. Each such Work Order, to be binding an effective on the Parties, shall be executed and delivered by the Parties </w:t>
      </w:r>
      <w:r>
        <w:rPr>
          <w:rFonts w:ascii="Arial" w:cs="Arial" w:eastAsia="Arial" w:hAnsi="Arial"/>
          <w:sz w:val="16"/>
          <w:szCs w:val="16"/>
          <w:b w:val="1"/>
          <w:bCs w:val="1"/>
          <w:u w:val="single" w:color="auto"/>
          <w:color w:val="auto"/>
        </w:rPr>
        <w:t>before</w:t>
      </w:r>
      <w:r>
        <w:rPr>
          <w:rFonts w:ascii="Arial" w:cs="Arial" w:eastAsia="Arial" w:hAnsi="Arial"/>
          <w:sz w:val="16"/>
          <w:szCs w:val="16"/>
          <w:color w:val="auto"/>
        </w:rPr>
        <w:t xml:space="preserve"> any CRO Services are rendered thereunder. If CRL submits a project proposal for CRO Services to VistaGen, and such project proposal is executed and delivered by both Parties with the expressed intent reflected in writing therein that it be performed as a Work Order, then it shall be deemed a Work Order for purposes of this Agreement. Each Work Order shall be deemed a part of this Agreement and incorporated into it, but no Work Order shall be deemed part of another Work Order, unless specifically so stated in the applicable Work Order executed and delivered by both Parties.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35" w:name="page136"/>
    <w:bookmarkEnd w:id="135"/>
    <w:p>
      <w:pPr>
        <w:jc w:val="both"/>
        <w:ind w:left="100" w:hanging="647"/>
        <w:spacing w:after="0" w:line="259" w:lineRule="auto"/>
        <w:tabs>
          <w:tab w:leader="none" w:pos="80" w:val="left"/>
        </w:tabs>
        <w:rPr>
          <w:sz w:val="20"/>
          <w:szCs w:val="20"/>
          <w:color w:val="auto"/>
        </w:rPr>
      </w:pPr>
      <w:r>
        <w:rPr>
          <w:rFonts w:ascii="Arial" w:cs="Arial" w:eastAsia="Arial" w:hAnsi="Arial"/>
          <w:sz w:val="22"/>
          <w:szCs w:val="22"/>
          <w:color w:val="auto"/>
        </w:rPr>
        <w:t>1.</w:t>
      </w:r>
      <w:r>
        <w:rPr>
          <w:rFonts w:ascii="Arial" w:cs="Arial" w:eastAsia="Arial" w:hAnsi="Arial"/>
          <w:sz w:val="17"/>
          <w:szCs w:val="17"/>
          <w:color w:val="auto"/>
        </w:rPr>
        <w:t>3</w:t>
      </w:r>
      <w:r>
        <w:rPr>
          <w:sz w:val="20"/>
          <w:szCs w:val="20"/>
          <w:color w:val="auto"/>
        </w:rPr>
        <w:tab/>
      </w:r>
      <w:r>
        <w:rPr>
          <w:rFonts w:ascii="Arial" w:cs="Arial" w:eastAsia="Arial" w:hAnsi="Arial"/>
          <w:sz w:val="18"/>
          <w:szCs w:val="18"/>
          <w:color w:val="auto"/>
        </w:rPr>
        <w:t>CRL shall not be obligated to perform, and VistaGen shall not be obligated to pay for, the CRO Services described in any proposal, draft work order or similar document unless and until such time as the Work Order related to such CRO Services has been signed and delivered by both Parties.</w:t>
      </w:r>
    </w:p>
    <w:p>
      <w:pPr>
        <w:spacing w:after="0" w:line="234" w:lineRule="exact"/>
        <w:rPr>
          <w:sz w:val="20"/>
          <w:szCs w:val="20"/>
          <w:color w:val="auto"/>
        </w:rPr>
      </w:pPr>
    </w:p>
    <w:p>
      <w:pPr>
        <w:jc w:val="both"/>
        <w:ind w:left="100" w:hanging="647"/>
        <w:spacing w:after="0" w:line="256" w:lineRule="auto"/>
        <w:tabs>
          <w:tab w:leader="none" w:pos="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terms of a Work Order conflict with those of this Agreement, then the terms of this Agreement shall control unless otherwise specifically stated in the Work Order. If either Party sends a purchase order, confirmation, or similar form, then the terms of this Agreement and not those in such additional document shall control; the Parties agree that any additional or different terms in such form, now or in the future, are void even if the form indicates that it shall control.</w:t>
      </w:r>
    </w:p>
    <w:p>
      <w:pPr>
        <w:spacing w:after="0" w:line="197" w:lineRule="exact"/>
        <w:rPr>
          <w:sz w:val="20"/>
          <w:szCs w:val="20"/>
          <w:color w:val="auto"/>
        </w:rPr>
      </w:pPr>
    </w:p>
    <w:p>
      <w:pPr>
        <w:jc w:val="both"/>
        <w:ind w:left="100" w:hanging="647"/>
        <w:spacing w:after="0" w:line="254" w:lineRule="auto"/>
        <w:tabs>
          <w:tab w:leader="none" w:pos="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Unless a Work Order specifies to the contrary, CRL may subcontract some or all of its obligations under such Work Order to an Affiliate provided that such Affiliate is bound by confidentiality obligations at least as protective of VistaGen’s confidential information as those in this Agreement. CRL shall be equally responsible for the performance of such Affiliate as CRL would be if it performed such obligations itself. CRL may use individuals engaged as independent contractors to perform CRO Services hereunder provided that CRL remains equally liable for their conduct as if they were employees. Except for such individuals and Affiliates, CRL shall not subcontract any of its obligations under a Work Order to a third party without Vistagen’s consent.</w:t>
      </w:r>
    </w:p>
    <w:p>
      <w:pPr>
        <w:spacing w:after="0" w:line="198" w:lineRule="exact"/>
        <w:rPr>
          <w:sz w:val="20"/>
          <w:szCs w:val="20"/>
          <w:color w:val="auto"/>
        </w:rPr>
      </w:pPr>
    </w:p>
    <w:p>
      <w:pPr>
        <w:jc w:val="both"/>
        <w:ind w:left="100" w:right="20" w:hanging="647"/>
        <w:spacing w:after="0" w:line="332" w:lineRule="auto"/>
        <w:tabs>
          <w:tab w:leader="none" w:pos="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If a Work Order is unclear, ambiguous, or permits different understandings of the CRO Services to be performed, the Parties shall use good faith efforts to resolve such ambiguity in writing, it being understood that such resolution may result in an adjustment to the budgeted costs.</w:t>
      </w:r>
    </w:p>
    <w:p>
      <w:pPr>
        <w:spacing w:after="0" w:line="139" w:lineRule="exact"/>
        <w:rPr>
          <w:sz w:val="20"/>
          <w:szCs w:val="20"/>
          <w:color w:val="auto"/>
        </w:rPr>
      </w:pPr>
    </w:p>
    <w:p>
      <w:pPr>
        <w:jc w:val="both"/>
        <w:ind w:left="100" w:hanging="647"/>
        <w:spacing w:after="0" w:line="301" w:lineRule="auto"/>
        <w:tabs>
          <w:tab w:leader="none" w:pos="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If the scope or definition of the CRO Services in a Work Order changes, including without limitation a change in the number of units of any CRO Services as specified in the budget for the applicable Work Order, and the additional cost of such additional CRO Services does not exceed the lesser of (x) ten percent (10%) of the budget for the CRO Services as set forth in the applicable Work Order or (y) $50,000, CRL will notify VistaGen of the changes and, upon VistaGen’s written authorization (which may be by email), will commence performance of the additional CRO Services without a formal Work Order amendment. CRL will thereafter formalize the changes by providing to VistaGen a formal amendment to the Work Order reflecting the authorized changes. The Parties shall then timely sign such amendment, but Vistagen shall nevertheless be obligated to pay for the changed CRO Services based on the previously- given authorization to proceed even if Vistagen does not sign the relevant amendment. With respect to changes requested in excess of the lesser of (x) ten percent (10%) of the applicable budget or</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(y) $50,000, neither party shall be obligated unless and until a prior written Work Order amendment is signed and delivered by the Parties.</w:t>
      </w:r>
    </w:p>
    <w:p>
      <w:pPr>
        <w:spacing w:after="0" w:line="242" w:lineRule="exact"/>
        <w:rPr>
          <w:sz w:val="20"/>
          <w:szCs w:val="20"/>
          <w:color w:val="auto"/>
        </w:rPr>
      </w:pPr>
    </w:p>
    <w:p>
      <w:pPr>
        <w:jc w:val="both"/>
        <w:ind w:left="100" w:hanging="647"/>
        <w:spacing w:after="0" w:line="306" w:lineRule="auto"/>
        <w:tabs>
          <w:tab w:leader="none" w:pos="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parties acknowledge that any change in regulations to which the CRO Services are subject may require an amendment to the relevant Work Order, and that some changes to regulations may render the underlying project economically or practically infeasible and, in such instances, the parties will work together to negotiate an appropriate amendment to the Work Order to wind-down the CRO Services efficiently.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9" w:right="239" w:bottom="1440" w:gutter="0" w:footer="0" w:header="0"/>
        </w:sectPr>
      </w:pPr>
    </w:p>
    <w:bookmarkStart w:id="136" w:name="page137"/>
    <w:bookmarkEnd w:id="136"/>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Unless specifically included in an applicable Work Order, CRL will not collect or report to VistaGen any payments made which may be reportable under the Physicians Payment Sunshine Act. If collection and reporting obligations are specified in an applicable Work Order, CRL shall report the required information based no payments made by CRL, and CRL shall have no obligations with respect to any payments made by VistaGen; VistaGen shall aggregate its own information from all sources and make its report to the Centers for Medicare and Medicaid Services.</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color w:val="auto"/>
        </w:rPr>
        <w:t>Subject to the terms of Section 1.7 or 1.8, a Work Order may only be amended in writing with the signature of both Parties.</w:t>
      </w:r>
    </w:p>
    <w:p>
      <w:pPr>
        <w:spacing w:after="0" w:line="152"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Performance of CRO Services</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2.1CRL shall use commercially reasonable efforts to perform the CRO Services in accordance with the specifications, instructions, and guidelines in each Work Order and this Agreement in all material respects. CRL shall use its own protocols in the performance of CRO Services unless specified to the contrary in the applicable Work Order.</w:t>
      </w:r>
    </w:p>
    <w:p>
      <w:pPr>
        <w:spacing w:after="0" w:line="221"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2.2All CRO Services performed by CRL shall be performed in conformity with all applicable international, federal, state and local laws and regulations, including without limitation, as applicable, current Good Laboratory Practices, Good Manufacturing Practices, Good Clinical Practices, ICH Guidelines, and all applicable FDA regulations.</w:t>
      </w:r>
    </w:p>
    <w:p>
      <w:pPr>
        <w:spacing w:after="0" w:line="215" w:lineRule="exact"/>
        <w:rPr>
          <w:rFonts w:ascii="Arial" w:cs="Arial" w:eastAsia="Arial" w:hAnsi="Arial"/>
          <w:sz w:val="18"/>
          <w:szCs w:val="18"/>
          <w:color w:val="auto"/>
        </w:rPr>
      </w:pPr>
    </w:p>
    <w:p>
      <w:pPr>
        <w:ind w:left="660" w:hanging="652"/>
        <w:spacing w:after="0" w:line="275"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VistaGen Obligations</w:t>
      </w:r>
      <w:r>
        <w:rPr>
          <w:rFonts w:ascii="Arial" w:cs="Arial" w:eastAsia="Arial" w:hAnsi="Arial"/>
          <w:sz w:val="18"/>
          <w:szCs w:val="18"/>
          <w:color w:val="auto"/>
        </w:rPr>
        <w:t>. VistaGen shall undertake the following obligations with respect to the performance of this Agreement, in addition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outlined herein or in the applicable Work Order.</w:t>
      </w:r>
    </w:p>
    <w:p>
      <w:pPr>
        <w:spacing w:after="0" w:line="206" w:lineRule="exact"/>
        <w:rPr>
          <w:rFonts w:ascii="Arial" w:cs="Arial" w:eastAsia="Arial" w:hAnsi="Arial"/>
          <w:sz w:val="18"/>
          <w:szCs w:val="18"/>
          <w:color w:val="auto"/>
        </w:rPr>
      </w:pPr>
    </w:p>
    <w:p>
      <w:pPr>
        <w:ind w:left="1300" w:right="20" w:hanging="648"/>
        <w:spacing w:after="0" w:line="268" w:lineRule="auto"/>
        <w:rPr>
          <w:rFonts w:ascii="Arial" w:cs="Arial" w:eastAsia="Arial" w:hAnsi="Arial"/>
          <w:sz w:val="18"/>
          <w:szCs w:val="18"/>
          <w:color w:val="auto"/>
        </w:rPr>
      </w:pPr>
      <w:r>
        <w:rPr>
          <w:rFonts w:ascii="Arial" w:cs="Arial" w:eastAsia="Arial" w:hAnsi="Arial"/>
          <w:sz w:val="18"/>
          <w:szCs w:val="18"/>
          <w:color w:val="auto"/>
        </w:rPr>
        <w:t>3.1VistaGen shall use commercially reasonable efforts to deliver all information and materials reasonably required for CRL’s performance of CRO Services in accordance with mutually agreed upon timelines.</w:t>
      </w:r>
    </w:p>
    <w:p>
      <w:pPr>
        <w:spacing w:after="0" w:line="212" w:lineRule="exact"/>
        <w:rPr>
          <w:rFonts w:ascii="Arial" w:cs="Arial" w:eastAsia="Arial" w:hAnsi="Arial"/>
          <w:sz w:val="18"/>
          <w:szCs w:val="18"/>
          <w:color w:val="auto"/>
        </w:rPr>
      </w:pPr>
    </w:p>
    <w:p>
      <w:pPr>
        <w:ind w:left="1300" w:hanging="648"/>
        <w:spacing w:after="0" w:line="268" w:lineRule="auto"/>
        <w:rPr>
          <w:rFonts w:ascii="Arial" w:cs="Arial" w:eastAsia="Arial" w:hAnsi="Arial"/>
          <w:sz w:val="18"/>
          <w:szCs w:val="18"/>
          <w:color w:val="auto"/>
        </w:rPr>
      </w:pPr>
      <w:r>
        <w:rPr>
          <w:rFonts w:ascii="Arial" w:cs="Arial" w:eastAsia="Arial" w:hAnsi="Arial"/>
          <w:sz w:val="18"/>
          <w:szCs w:val="18"/>
          <w:color w:val="auto"/>
        </w:rPr>
        <w:t>3.2VistaGen shall immediately inform CRL of any safety concerns or serious adverse events related to a Product that is the subject of the CRO Services.</w:t>
      </w:r>
    </w:p>
    <w:p>
      <w:pPr>
        <w:spacing w:after="0" w:line="212" w:lineRule="exact"/>
        <w:rPr>
          <w:rFonts w:ascii="Arial" w:cs="Arial" w:eastAsia="Arial" w:hAnsi="Arial"/>
          <w:sz w:val="18"/>
          <w:szCs w:val="18"/>
          <w:color w:val="auto"/>
        </w:rPr>
      </w:pPr>
    </w:p>
    <w:p>
      <w:pPr>
        <w:ind w:left="1300" w:hanging="648"/>
        <w:spacing w:after="0" w:line="268" w:lineRule="auto"/>
        <w:rPr>
          <w:rFonts w:ascii="Arial" w:cs="Arial" w:eastAsia="Arial" w:hAnsi="Arial"/>
          <w:sz w:val="18"/>
          <w:szCs w:val="18"/>
          <w:color w:val="auto"/>
        </w:rPr>
      </w:pPr>
      <w:r>
        <w:rPr>
          <w:rFonts w:ascii="Arial" w:cs="Arial" w:eastAsia="Arial" w:hAnsi="Arial"/>
          <w:sz w:val="18"/>
          <w:szCs w:val="18"/>
          <w:color w:val="auto"/>
        </w:rPr>
        <w:t>3.3VistaGen shall use commercially reasonable efforts to not take any actions or participate in any activities that are intended to, or can be reasonably expected to, disrupt or interfere with CRL’s obligations under this Agreement.</w:t>
      </w:r>
    </w:p>
    <w:p>
      <w:pPr>
        <w:spacing w:after="0" w:line="118"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3.4CRL believes all data, information and analysis provided and all reports generated as Deliverables (as defined below) will be accurate and reliable, but VistaGen is ultimately and solely responsible for its use of the Deliverables or other matter or information produced or provided under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37" w:name="page138"/>
    <w:bookmarkEnd w:id="137"/>
    <w:p>
      <w:pPr>
        <w:ind w:left="660" w:hanging="652"/>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36" w:lineRule="exact"/>
        <w:rPr>
          <w:rFonts w:ascii="Arial" w:cs="Arial" w:eastAsia="Arial" w:hAnsi="Arial"/>
          <w:sz w:val="22"/>
          <w:szCs w:val="22"/>
          <w:color w:val="auto"/>
        </w:rPr>
      </w:pPr>
    </w:p>
    <w:p>
      <w:pPr>
        <w:ind w:left="1300" w:hanging="648"/>
        <w:spacing w:after="0" w:line="259" w:lineRule="auto"/>
        <w:rPr>
          <w:rFonts w:ascii="Arial" w:cs="Arial" w:eastAsia="Arial" w:hAnsi="Arial"/>
          <w:sz w:val="22"/>
          <w:szCs w:val="22"/>
          <w:color w:val="auto"/>
        </w:rPr>
      </w:pPr>
      <w:r>
        <w:rPr>
          <w:rFonts w:ascii="Arial" w:cs="Arial" w:eastAsia="Arial" w:hAnsi="Arial"/>
          <w:sz w:val="18"/>
          <w:szCs w:val="18"/>
          <w:color w:val="auto"/>
        </w:rPr>
        <w:t>4.1VistaGen shall pay CRL for the CRO Services as specified in the Work Order governing such CRO Services. If travel time is not included in the applicable unit price on the Work Order, then it shall be billed as out of scope work time, with the understanding that, to the extent practical, travel time shall be used to perform CRO Services for VistaGen.</w:t>
      </w:r>
    </w:p>
    <w:p>
      <w:pPr>
        <w:spacing w:after="0" w:line="221" w:lineRule="exact"/>
        <w:rPr>
          <w:rFonts w:ascii="Arial" w:cs="Arial" w:eastAsia="Arial" w:hAnsi="Arial"/>
          <w:sz w:val="22"/>
          <w:szCs w:val="22"/>
          <w:color w:val="auto"/>
        </w:rPr>
      </w:pPr>
    </w:p>
    <w:p>
      <w:pPr>
        <w:ind w:left="1300" w:hanging="648"/>
        <w:spacing w:after="0" w:line="291" w:lineRule="auto"/>
        <w:rPr>
          <w:rFonts w:ascii="Arial" w:cs="Arial" w:eastAsia="Arial" w:hAnsi="Arial"/>
          <w:sz w:val="22"/>
          <w:szCs w:val="22"/>
          <w:color w:val="auto"/>
        </w:rPr>
      </w:pPr>
      <w:r>
        <w:rPr>
          <w:rFonts w:ascii="Arial" w:cs="Arial" w:eastAsia="Arial" w:hAnsi="Arial"/>
          <w:sz w:val="18"/>
          <w:szCs w:val="18"/>
          <w:color w:val="auto"/>
        </w:rPr>
        <w:t>4.2</w:t>
      </w:r>
      <w:r>
        <w:rPr>
          <w:rFonts w:ascii="Arial" w:cs="Arial" w:eastAsia="Arial" w:hAnsi="Arial"/>
          <w:sz w:val="16"/>
          <w:szCs w:val="16"/>
          <w:color w:val="auto"/>
        </w:rPr>
        <w:t>Unless otherwise specified in the applicable Work Order, VistaGen shall reimburse CRL for out-of-pocket expenses reasonably incurred in performance of the CRO Services under this Agreement including, but not limited to, third-party fees and expenses, passthrough expenses, telephone, facsimile, messenger, postage and other communication costs, document copying and retrieval, on-site and off-site storage fees, computer research fees and filing fees, reasonable transportation, lodging, and meal expenses for travel to sites away from CRL’s office, and travel between CRL offices (collectively, “Expenses”); provided however, that advanced written approval is required from VistaGen for any Expense which exceeds five hundred dollars ($500).</w:t>
      </w:r>
    </w:p>
    <w:p>
      <w:pPr>
        <w:spacing w:after="0" w:line="201" w:lineRule="exact"/>
        <w:rPr>
          <w:rFonts w:ascii="Arial" w:cs="Arial" w:eastAsia="Arial" w:hAnsi="Arial"/>
          <w:sz w:val="22"/>
          <w:szCs w:val="22"/>
          <w:color w:val="auto"/>
        </w:rPr>
      </w:pPr>
    </w:p>
    <w:p>
      <w:pPr>
        <w:ind w:left="1300" w:hanging="648"/>
        <w:spacing w:after="0" w:line="289" w:lineRule="auto"/>
        <w:rPr>
          <w:rFonts w:ascii="Arial" w:cs="Arial" w:eastAsia="Arial" w:hAnsi="Arial"/>
          <w:sz w:val="22"/>
          <w:szCs w:val="22"/>
          <w:color w:val="auto"/>
        </w:rPr>
      </w:pPr>
      <w:r>
        <w:rPr>
          <w:rFonts w:ascii="Arial" w:cs="Arial" w:eastAsia="Arial" w:hAnsi="Arial"/>
          <w:sz w:val="18"/>
          <w:szCs w:val="18"/>
          <w:color w:val="auto"/>
        </w:rPr>
        <w:t>4.3</w:t>
      </w:r>
      <w:r>
        <w:rPr>
          <w:rFonts w:ascii="Arial" w:cs="Arial" w:eastAsia="Arial" w:hAnsi="Arial"/>
          <w:sz w:val="16"/>
          <w:szCs w:val="16"/>
          <w:color w:val="auto"/>
        </w:rPr>
        <w:t>Invoices for CRO Services and Expenses shall be in United States dollars unless the Work Order related to such CRO Services or Expenses specifies a different currency shall be sent monthly, and shall itemize the CRO Services performed and Expenses incurred. VistaGen shall pay all invoices in the currency of the invoice within thirty (30) days of the date of the invoice via wire transfer, per wire instructions which shall be provided by CRL. In addition to paying the amount due with respect to CRO Services and Expenses, VistaGen shall also make additional payments for any federal, state, county, local or governmental taxes, duties, excise taxes, now or hereafter applied including sales tax, value added tax, or any similar tax. No deduction shall be made from the amount due or paid as a result of any taxes or withholding that may occur by governments with respect to payments made to CRL from outside the United States or as a result of any taxes paid by VistaGen. Except as specified in Section 4.4, payment shall be in the full amount specified on the invoice.</w:t>
      </w:r>
    </w:p>
    <w:p>
      <w:pPr>
        <w:spacing w:after="0" w:line="199" w:lineRule="exact"/>
        <w:rPr>
          <w:rFonts w:ascii="Arial" w:cs="Arial" w:eastAsia="Arial" w:hAnsi="Arial"/>
          <w:sz w:val="22"/>
          <w:szCs w:val="22"/>
          <w:color w:val="auto"/>
        </w:rPr>
      </w:pPr>
    </w:p>
    <w:p>
      <w:pPr>
        <w:ind w:left="1300" w:hanging="648"/>
        <w:spacing w:after="0" w:line="306" w:lineRule="auto"/>
        <w:rPr>
          <w:rFonts w:ascii="Arial" w:cs="Arial" w:eastAsia="Arial" w:hAnsi="Arial"/>
          <w:sz w:val="22"/>
          <w:szCs w:val="22"/>
          <w:color w:val="auto"/>
        </w:rPr>
      </w:pPr>
      <w:r>
        <w:rPr>
          <w:rFonts w:ascii="Arial" w:cs="Arial" w:eastAsia="Arial" w:hAnsi="Arial"/>
          <w:sz w:val="18"/>
          <w:szCs w:val="18"/>
          <w:color w:val="auto"/>
        </w:rPr>
        <w:t>4.4</w:t>
      </w:r>
      <w:r>
        <w:rPr>
          <w:rFonts w:ascii="Arial" w:cs="Arial" w:eastAsia="Arial" w:hAnsi="Arial"/>
          <w:sz w:val="16"/>
          <w:szCs w:val="16"/>
          <w:color w:val="auto"/>
        </w:rPr>
        <w:t>If VistaGen disputes the amount due on any invoice, then VistaGen must notify CRL of such dispute before the payment due date and pay such amount as is undisputed by the payment due date. Both Parties shall act in good faith to promptly resolve such dispute, and upon resolution of the dispute, any amount remaining due shall be paid within fifteen (15) days after the resolution.</w:t>
      </w:r>
    </w:p>
    <w:p>
      <w:pPr>
        <w:spacing w:after="0" w:line="93" w:lineRule="exact"/>
        <w:rPr>
          <w:rFonts w:ascii="Arial" w:cs="Arial" w:eastAsia="Arial" w:hAnsi="Arial"/>
          <w:sz w:val="22"/>
          <w:szCs w:val="22"/>
          <w:color w:val="auto"/>
        </w:rPr>
      </w:pPr>
    </w:p>
    <w:p>
      <w:pPr>
        <w:ind w:left="1300" w:hanging="648"/>
        <w:spacing w:after="0" w:line="287" w:lineRule="auto"/>
        <w:rPr>
          <w:rFonts w:ascii="Arial" w:cs="Arial" w:eastAsia="Arial" w:hAnsi="Arial"/>
          <w:sz w:val="22"/>
          <w:szCs w:val="22"/>
          <w:color w:val="auto"/>
        </w:rPr>
      </w:pPr>
      <w:r>
        <w:rPr>
          <w:rFonts w:ascii="Arial" w:cs="Arial" w:eastAsia="Arial" w:hAnsi="Arial"/>
          <w:sz w:val="18"/>
          <w:szCs w:val="18"/>
          <w:color w:val="auto"/>
        </w:rPr>
        <w:t>4.5</w:t>
      </w:r>
      <w:r>
        <w:rPr>
          <w:rFonts w:ascii="Arial" w:cs="Arial" w:eastAsia="Arial" w:hAnsi="Arial"/>
          <w:sz w:val="16"/>
          <w:szCs w:val="16"/>
          <w:color w:val="auto"/>
        </w:rPr>
        <w:t>If all or any undisputed portion of an invoice remains unpaid when due, then such unpaid portion shall accrue a finance charge of 1.25% per month from the date of the invoice until paid. For the avoidance of confusion, in calculating finance charges related to disputed invoices, an invoice (or portions thereof, as applicable) shall be deemed to have been due such that finance charges begin to accrue: (a) thirty (30) days after the date of the original invoice if the invoice is determined to have been correct; or (b) if the dispute relates to incomplete or incorrect work then fifteen (15) days after the date on which it is determined all obligations for payment of each disputed amount were met under the Work Order such that payment of such amount should have been made. VistaGen shall reimburse CRL on demand for all reasonable out-of-pocket costs and expenses CRL incurs in enforcing payment of an overdue invoice, including, without limitation, attorneys’ fees and expenses. Payments received from VistaGen by CRL on an overdue invoice shall be first applied to costs of collection, then to accrued interest, and then to the unpaid balance of the invoice. CRL may, in its discretion, allocate collection costs among any overdue invoices and apply any payments received against any overdue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38" w:name="page139"/>
    <w:bookmarkEnd w:id="138"/>
    <w:p>
      <w:pPr>
        <w:ind w:left="660"/>
        <w:spacing w:after="0"/>
        <w:tabs>
          <w:tab w:leader="none" w:pos="1280" w:val="left"/>
        </w:tabs>
        <w:rPr>
          <w:sz w:val="20"/>
          <w:szCs w:val="20"/>
          <w:color w:val="auto"/>
        </w:rPr>
      </w:pPr>
      <w:r>
        <w:rPr>
          <w:rFonts w:ascii="Arial" w:cs="Arial" w:eastAsia="Arial" w:hAnsi="Arial"/>
          <w:sz w:val="22"/>
          <w:szCs w:val="22"/>
          <w:color w:val="auto"/>
        </w:rPr>
        <w:t>4.</w:t>
      </w:r>
      <w:r>
        <w:rPr>
          <w:rFonts w:ascii="Arial" w:cs="Arial" w:eastAsia="Arial" w:hAnsi="Arial"/>
          <w:sz w:val="17"/>
          <w:szCs w:val="17"/>
          <w:color w:val="auto"/>
        </w:rPr>
        <w:t>6</w:t>
      </w:r>
      <w:r>
        <w:rPr>
          <w:sz w:val="20"/>
          <w:szCs w:val="20"/>
          <w:color w:val="auto"/>
        </w:rPr>
        <w:tab/>
      </w:r>
      <w:r>
        <w:rPr>
          <w:rFonts w:ascii="Arial" w:cs="Arial" w:eastAsia="Arial" w:hAnsi="Arial"/>
          <w:sz w:val="15"/>
          <w:szCs w:val="15"/>
          <w:color w:val="auto"/>
        </w:rPr>
        <w:t>Except as otherwise set forth herein, any and all payments made hereunder are nonrefundable.</w:t>
      </w:r>
    </w:p>
    <w:p>
      <w:pPr>
        <w:spacing w:after="0" w:line="24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300" w:hanging="648"/>
        <w:spacing w:after="0" w:line="255" w:lineRule="auto"/>
        <w:rPr>
          <w:rFonts w:ascii="Arial" w:cs="Arial" w:eastAsia="Arial" w:hAnsi="Arial"/>
          <w:sz w:val="18"/>
          <w:szCs w:val="18"/>
          <w:color w:val="auto"/>
        </w:rPr>
      </w:pPr>
      <w:r>
        <w:rPr>
          <w:rFonts w:ascii="Arial" w:cs="Arial" w:eastAsia="Arial" w:hAnsi="Arial"/>
          <w:sz w:val="18"/>
          <w:szCs w:val="18"/>
          <w:color w:val="auto"/>
        </w:rPr>
        <w:t>5.1The term of this Agreement shall be five (5) years from the Effective Date and it shall automatically renew for additional one (1) year terms unless, at least sixty (60) days before the expiration of any term, a Party gives written notice to the other Party that it does not want to renew this Agreement; provided however, that if the term of a Work Order extends beyond the term of this Agreement, then this Agreement will continue in effect as to that Work Order (only) until the completion or termination of such Work Order and all wind-down CRO Services related to such Work Order.</w:t>
      </w:r>
    </w:p>
    <w:p>
      <w:pPr>
        <w:spacing w:after="0" w:line="223" w:lineRule="exact"/>
        <w:rPr>
          <w:rFonts w:ascii="Arial" w:cs="Arial" w:eastAsia="Arial" w:hAnsi="Arial"/>
          <w:sz w:val="18"/>
          <w:szCs w:val="18"/>
          <w:color w:val="auto"/>
        </w:rPr>
      </w:pPr>
    </w:p>
    <w:p>
      <w:pPr>
        <w:ind w:left="1300" w:hanging="648"/>
        <w:spacing w:after="0" w:line="256" w:lineRule="auto"/>
        <w:rPr>
          <w:rFonts w:ascii="Arial" w:cs="Arial" w:eastAsia="Arial" w:hAnsi="Arial"/>
          <w:sz w:val="18"/>
          <w:szCs w:val="18"/>
          <w:color w:val="auto"/>
        </w:rPr>
      </w:pPr>
      <w:r>
        <w:rPr>
          <w:rFonts w:ascii="Arial" w:cs="Arial" w:eastAsia="Arial" w:hAnsi="Arial"/>
          <w:sz w:val="18"/>
          <w:szCs w:val="18"/>
          <w:color w:val="auto"/>
        </w:rPr>
        <w:t>5.2Either Party may terminate a Work Order upon the other Party’s material default under this Agreement with respect to such Work Order, provided that the terminating Party has given the defaulting Party not less than thirty (30) days’ prior written notice of such default and the defaulting Party has not cured such default by the end of the notice period. Termination of a Work Order based on an uncured default does not give rise to the right to terminate any other Work Order or this Agreement.</w:t>
      </w:r>
    </w:p>
    <w:p>
      <w:pPr>
        <w:spacing w:after="0" w:line="224" w:lineRule="exact"/>
        <w:rPr>
          <w:rFonts w:ascii="Arial" w:cs="Arial" w:eastAsia="Arial" w:hAnsi="Arial"/>
          <w:sz w:val="18"/>
          <w:szCs w:val="18"/>
          <w:color w:val="auto"/>
        </w:rPr>
      </w:pPr>
    </w:p>
    <w:p>
      <w:pPr>
        <w:ind w:left="1300" w:right="20" w:hanging="648"/>
        <w:spacing w:after="0" w:line="259" w:lineRule="auto"/>
        <w:rPr>
          <w:rFonts w:ascii="Arial" w:cs="Arial" w:eastAsia="Arial" w:hAnsi="Arial"/>
          <w:sz w:val="18"/>
          <w:szCs w:val="18"/>
          <w:color w:val="auto"/>
        </w:rPr>
      </w:pPr>
      <w:r>
        <w:rPr>
          <w:rFonts w:ascii="Arial" w:cs="Arial" w:eastAsia="Arial" w:hAnsi="Arial"/>
          <w:sz w:val="18"/>
          <w:szCs w:val="18"/>
          <w:color w:val="auto"/>
        </w:rPr>
        <w:t>5.3Except with respect to Work Orders for clinical trials, either Party may terminate a Work Order at any time upon no less than thirty (30) days’ prior written notice to the other Party. With respect to Work Orders for clinical trials, only VistaGen may terminate at any time upon no less than sixty (60) days’ prior written notice to CRL.</w:t>
      </w:r>
    </w:p>
    <w:p>
      <w:pPr>
        <w:spacing w:after="0" w:line="221" w:lineRule="exact"/>
        <w:rPr>
          <w:rFonts w:ascii="Arial" w:cs="Arial" w:eastAsia="Arial" w:hAnsi="Arial"/>
          <w:sz w:val="18"/>
          <w:szCs w:val="18"/>
          <w:color w:val="auto"/>
        </w:rPr>
      </w:pPr>
    </w:p>
    <w:p>
      <w:pPr>
        <w:ind w:left="1300" w:hanging="648"/>
        <w:spacing w:after="0" w:line="255" w:lineRule="auto"/>
        <w:rPr>
          <w:rFonts w:ascii="Arial" w:cs="Arial" w:eastAsia="Arial" w:hAnsi="Arial"/>
          <w:sz w:val="18"/>
          <w:szCs w:val="18"/>
          <w:color w:val="auto"/>
        </w:rPr>
      </w:pPr>
      <w:r>
        <w:rPr>
          <w:rFonts w:ascii="Arial" w:cs="Arial" w:eastAsia="Arial" w:hAnsi="Arial"/>
          <w:sz w:val="18"/>
          <w:szCs w:val="18"/>
          <w:color w:val="auto"/>
        </w:rPr>
        <w:t>5.4Upon early termination of a Work Order, CRL shall invoice VistaGen and VistaGen shall pay CRL for all CRO Services rendered and Expenses incurred through the date of termination in accordance with Section 4 above. CRL’s compensation under any Work Order being paid on a fixed-fee basis or on any payment schedule which is other than either time-and materials or a unit-based budget, the Work Order shall be converted to a time-and-materials basis in accordance with CRL’s current rates, and CRL shall be paid for all CRO Services performed and Expenses incurred through the date of termination.</w:t>
      </w:r>
    </w:p>
    <w:p>
      <w:pPr>
        <w:spacing w:after="0" w:line="223" w:lineRule="exact"/>
        <w:rPr>
          <w:rFonts w:ascii="Arial" w:cs="Arial" w:eastAsia="Arial" w:hAnsi="Arial"/>
          <w:sz w:val="18"/>
          <w:szCs w:val="18"/>
          <w:color w:val="auto"/>
        </w:rPr>
      </w:pPr>
    </w:p>
    <w:p>
      <w:pPr>
        <w:ind w:left="1300" w:hanging="648"/>
        <w:spacing w:after="0" w:line="256" w:lineRule="auto"/>
        <w:rPr>
          <w:rFonts w:ascii="Arial" w:cs="Arial" w:eastAsia="Arial" w:hAnsi="Arial"/>
          <w:sz w:val="18"/>
          <w:szCs w:val="18"/>
          <w:color w:val="auto"/>
        </w:rPr>
      </w:pPr>
      <w:r>
        <w:rPr>
          <w:rFonts w:ascii="Arial" w:cs="Arial" w:eastAsia="Arial" w:hAnsi="Arial"/>
          <w:sz w:val="18"/>
          <w:szCs w:val="18"/>
          <w:color w:val="auto"/>
        </w:rPr>
        <w:t>5.5If VistaGen terminates a Work Order under Section 5.3 or CRL terminates a Work Order under Section 5.2, then, in addition to payments made under Section 5.4, then (a) VistaGen shall reimburse CRL for any and all non-cancelable obligations of CRL to third parties related to the terminated Work Order and (b) if the terminated Work Order relates to a clinical trial, then VistaGen shall pay CRL the Termination Fee (if any) for such Work Order, as described in Section 5.6.</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The Termination Fee for a work order shall be computed as follows: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Termination Fee shall be twenty-five percent (25%) of the estimated remaining unbilled amounts for CRO Services (but excluding any pass-through costs or or Expenses) under the Work Order if either:</w:t>
      </w:r>
    </w:p>
    <w:p>
      <w:pPr>
        <w:spacing w:after="0" w:line="213" w:lineRule="exact"/>
        <w:rPr>
          <w:sz w:val="20"/>
          <w:szCs w:val="20"/>
          <w:color w:val="auto"/>
        </w:rPr>
      </w:pPr>
    </w:p>
    <w:p>
      <w:pPr>
        <w:ind w:left="1460" w:hanging="804"/>
        <w:spacing w:after="0" w:line="268"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clinical trial to which the Work Order relates is terminated either in anticipation of or following a Change of Control (as defined below), or</w:t>
      </w:r>
    </w:p>
    <w:p>
      <w:pPr>
        <w:spacing w:after="0" w:line="118" w:lineRule="exact"/>
        <w:rPr>
          <w:rFonts w:ascii="Arial" w:cs="Arial" w:eastAsia="Arial" w:hAnsi="Arial"/>
          <w:sz w:val="18"/>
          <w:szCs w:val="18"/>
          <w:color w:val="auto"/>
        </w:rPr>
      </w:pPr>
    </w:p>
    <w:p>
      <w:pPr>
        <w:jc w:val="both"/>
        <w:ind w:left="1460" w:hanging="804"/>
        <w:spacing w:after="0" w:line="259"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Vistagen does not undertake a new clinical trial within three (3) months of the date of termination where, in connection with such trial, Vistagen enters into a new Work Order with CRL providing for similar services (in description, price and quantity) as specified in the original terminated Work Order.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39" w:name="page140"/>
    <w:bookmarkEnd w:id="139"/>
    <w:p>
      <w:pPr>
        <w:jc w:val="both"/>
        <w:ind w:right="80" w:firstLine="648"/>
        <w:spacing w:after="0" w:line="255" w:lineRule="auto"/>
        <w:rPr>
          <w:sz w:val="20"/>
          <w:szCs w:val="20"/>
          <w:color w:val="auto"/>
        </w:rPr>
      </w:pPr>
      <w:r>
        <w:rPr>
          <w:rFonts w:ascii="Arial" w:cs="Arial" w:eastAsia="Arial" w:hAnsi="Arial"/>
          <w:sz w:val="18"/>
          <w:szCs w:val="18"/>
          <w:color w:val="auto"/>
        </w:rPr>
        <w:t>As used above, a “Change of Control” means any event or series of events by which (a) any person or group of related persons acquires shares representing fifty percent (50%) of the outstanding voting power of VistaGen (b) any merger, share exchange or simiar transaction of VistaGen with another entity in which the holders of VistaGen shares representing the majority of the voting power of VistaGen (as measured before the relevant events) do not hold shares representing the majority of the voting power of the resulting entity (as measured after the resulting events); or (c) a sale of the assets of VistaGen to which the Work Order relates.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Termination Fee shall be $0 if neither (a) nor (b), above, apply.</w:t>
      </w:r>
    </w:p>
    <w:p>
      <w:pPr>
        <w:spacing w:after="0" w:line="212"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22"/>
          <w:szCs w:val="22"/>
          <w:color w:val="auto"/>
        </w:rPr>
        <w:t>5.</w:t>
      </w:r>
      <w:r>
        <w:rPr>
          <w:rFonts w:ascii="Arial" w:cs="Arial" w:eastAsia="Arial" w:hAnsi="Arial"/>
          <w:sz w:val="17"/>
          <w:szCs w:val="17"/>
          <w:color w:val="auto"/>
        </w:rPr>
        <w:t>7</w:t>
      </w:r>
      <w:r>
        <w:rPr>
          <w:sz w:val="20"/>
          <w:szCs w:val="20"/>
          <w:color w:val="auto"/>
        </w:rPr>
        <w:tab/>
      </w:r>
      <w:r>
        <w:rPr>
          <w:rFonts w:ascii="Arial" w:cs="Arial" w:eastAsia="Arial" w:hAnsi="Arial"/>
          <w:sz w:val="16"/>
          <w:szCs w:val="16"/>
          <w:color w:val="auto"/>
        </w:rPr>
        <w:t>Upon early termination of a Work Order, CRL shall inform VistaGen of the extent to which it expects work in progress to be completed as of the termination date and CRL shall (unless otherwise instructed by VistaGen) take steps to wind-down work in progress in an orderly fashion. In addition to all other amounts payable to CRL, VistaGen shall pay CRL for such winddown CRO Services on a time-and-materials basis at CRL’s current rates for all reasonable and customary wind-down CRO Services performed and Expenses incurred by CRL. If VistaGen instructs CRL not to complete such wind-down CRO Services, CRL shall, upon notification of the termination of the Work Order, promptly cease providing CRO Services and incurring costs to the extent practicable. In any such event, VistaGen shall be deemed to have released CRL from all legal liability and to have covenanted not to sue CRL on any claims related to failure to perform and the failure to complete reasonable and customary wind-down CRO Services.</w:t>
      </w:r>
    </w:p>
    <w:p>
      <w:pPr>
        <w:spacing w:after="0" w:line="239"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In addition to termination of this Agreement under Sections 5.1-5.3, at any time CRO Services under all Work Orders have been completed or terminated such that there is no request for CRO Services pending, either Party may terminate this Agreement by giving written notice of termination to the other Party.</w:t>
      </w:r>
    </w:p>
    <w:p>
      <w:pPr>
        <w:spacing w:after="0" w:line="22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The remedies set forth in this Section 5 are not meant to limit any additional remedies available to a Party for breach of this Agreement by the other Party.</w:t>
      </w:r>
    </w:p>
    <w:p>
      <w:pPr>
        <w:spacing w:after="0" w:line="112"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Suspension of CRO Services.</w:t>
      </w:r>
    </w:p>
    <w:p>
      <w:pPr>
        <w:spacing w:after="0" w:line="231" w:lineRule="exact"/>
        <w:rPr>
          <w:rFonts w:ascii="Arial" w:cs="Arial" w:eastAsia="Arial" w:hAnsi="Arial"/>
          <w:sz w:val="18"/>
          <w:szCs w:val="18"/>
          <w:color w:val="auto"/>
        </w:rPr>
      </w:pPr>
    </w:p>
    <w:p>
      <w:pPr>
        <w:ind w:left="1300" w:hanging="648"/>
        <w:spacing w:after="0" w:line="290"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If VistaGen should, for any reason, suspend the CRO Services to be provided under any Work Order for a period of thirty (30) days, then at the end of such thirty (30) day period CRL may invoice VistaGen and VistaGen shall pay for all CRO Services which have been performed through the date of suspension which have not been invoiced previously. For any Work Order being paid on a unit-based budget basis, payment shall be made for each partially completed unit on a time-and-materials basis related to the CRO Services undertaken for each such unit. For any Work Order being paid on a fixed-fee basis or on any payment schedule which is other than either time-and-materials or a unit-based budget, all CRO Services performed shall be converted to a time-and-materials basis in accordance with CRL’s current rates and CRL shall be paid for all CRO Services performed and Expenses incurred through the date of suspension.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40" w:name="page141"/>
    <w:bookmarkEnd w:id="140"/>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6.</w:t>
      </w:r>
      <w:r>
        <w:rPr>
          <w:rFonts w:ascii="Arial" w:cs="Arial" w:eastAsia="Arial" w:hAnsi="Arial"/>
          <w:sz w:val="17"/>
          <w:szCs w:val="17"/>
          <w:color w:val="auto"/>
        </w:rPr>
        <w:t>2</w:t>
      </w:r>
      <w:r>
        <w:rPr>
          <w:sz w:val="20"/>
          <w:szCs w:val="20"/>
          <w:color w:val="auto"/>
        </w:rPr>
        <w:tab/>
      </w:r>
      <w:r>
        <w:rPr>
          <w:rFonts w:ascii="Arial" w:cs="Arial" w:eastAsia="Arial" w:hAnsi="Arial"/>
          <w:sz w:val="16"/>
          <w:szCs w:val="16"/>
          <w:color w:val="auto"/>
        </w:rPr>
        <w:t>CRL may in its sole discretion suspend its performance of CRO Services if an undisputed invoice is sixty (60) days or more overdue, and CRL may refrain from resuming performance of CRO Services until all overdue undisputed invoices have been paid in full. If CRL should suspend the CRO Services pursuant to this Section 6.2, and in the further event that the suspension shall remain in place for a period of at least thirty</w:t>
      </w:r>
    </w:p>
    <w:p>
      <w:pPr>
        <w:ind w:left="1300" w:firstLine="5"/>
        <w:spacing w:after="0" w:line="323" w:lineRule="auto"/>
        <w:tabs>
          <w:tab w:leader="none" w:pos="165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days, then at the end of such 30-day period, CRL may invoice VistaGen and VistaGen shall pay for all CRO Services which have been performed through the date of suspension which have not been invoiced previously in the same manner as set forth in Section 6.1.</w:t>
      </w:r>
    </w:p>
    <w:p>
      <w:pPr>
        <w:spacing w:after="0" w:line="174"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Any CRO Services performed related to a Work Order, during a period when it is under suspension shall be invoiced on a time-and-materials basis at CRLS’s then-current rates.</w:t>
      </w:r>
    </w:p>
    <w:p>
      <w:pPr>
        <w:spacing w:after="0" w:line="213"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Upon suspension of CRO Services, CRL may reassign its personnel assigned to the suspended Work Order unless a retainer fee in an amount to be agreed upon by the Parties at such time is paid in advance of each month during which VistaGen wishes to reserve the assigned personnel. Payment of such retainer will ensure CRL will not reassign the designated personnel such that they are unavailable to provide the CRO Services upon resumption of CRO Services.</w:t>
      </w:r>
    </w:p>
    <w:p>
      <w:pPr>
        <w:spacing w:after="0" w:line="224" w:lineRule="exact"/>
        <w:rPr>
          <w:sz w:val="20"/>
          <w:szCs w:val="20"/>
          <w:color w:val="auto"/>
        </w:rPr>
      </w:pPr>
    </w:p>
    <w:p>
      <w:pPr>
        <w:jc w:val="both"/>
        <w:ind w:left="1300" w:right="20" w:hanging="647"/>
        <w:spacing w:after="0" w:line="259" w:lineRule="auto"/>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any suspension initiated continues for a period of ninety (90) days, then unless either a retainer is being paid pursuant to Section 6.4 or the Parties agree to the contrary, at the end of the 90-day period the Work Order shall be deemed terminated either by VistaGen without cause or by CRL with cause, as applicable, such that the terms of Section 5.5 shall apply.</w:t>
      </w:r>
    </w:p>
    <w:p>
      <w:pPr>
        <w:spacing w:after="0" w:line="22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The resumption of CRO Services after any suspension shall be subject to any additional costs which may be incurred as a result of the Work Order having been suspended and then restarted, including without limitation the training of new personnel if the retainer has not been paid for personnel to remain with the project.</w:t>
      </w:r>
    </w:p>
    <w:p>
      <w:pPr>
        <w:spacing w:after="0" w:line="12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258" w:lineRule="exact"/>
        <w:rPr>
          <w:rFonts w:ascii="Arial" w:cs="Arial" w:eastAsia="Arial" w:hAnsi="Arial"/>
          <w:sz w:val="18"/>
          <w:szCs w:val="18"/>
          <w:color w:val="auto"/>
        </w:rPr>
      </w:pPr>
    </w:p>
    <w:p>
      <w:pPr>
        <w:ind w:left="1300" w:hanging="648"/>
        <w:spacing w:after="0" w:line="332"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For purposes of this Section, the Party disclosing Confidential Information is known as “Disclosing Party” and the Party receiving information is known as “Receiving Party.” As applied to CRL, each of these terms shall include CRL and any applicable Affiliates within the definition.</w:t>
      </w:r>
    </w:p>
    <w:p>
      <w:pPr>
        <w:spacing w:after="0" w:line="166" w:lineRule="exact"/>
        <w:rPr>
          <w:rFonts w:ascii="Arial" w:cs="Arial" w:eastAsia="Arial" w:hAnsi="Arial"/>
          <w:sz w:val="18"/>
          <w:szCs w:val="18"/>
          <w:color w:val="auto"/>
        </w:rPr>
      </w:pPr>
    </w:p>
    <w:p>
      <w:pPr>
        <w:ind w:left="1300" w:hanging="648"/>
        <w:spacing w:after="0" w:line="287" w:lineRule="auto"/>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6"/>
          <w:szCs w:val="16"/>
          <w:color w:val="auto"/>
        </w:rPr>
        <w:t>"Confidential Information" means: (i) all information furnished by the Disclosing Party to the Receiving Party in tangible, visible, electronic or verbal form or by observation or by any other means, including, but not limited to, business plans, protocols, processes, samples, formulae, chemical entities, compounds, mixtures, prospective and current products, clinical data and analyses, test results, toxicology and pharmacology information, study procedures and manuals, pharmacy dispensing instructions, case report forms and their content, statistical reports, project management and staffing, manufacturing processes, nonpublished patent applications, financial data, forecasts and projections, proprietary software and database structures, research, “know-how,” technology under development, marketing information, agreements with or proprietary information of third parties, licensors and licensees and strategic partners, regardless of whether such disclosures are marked or otherwise designated as “Confidential”; and (ii) the terms and conditions of this Agreement, all proposals and requests for proposals (including those submitted to the Receiving Party prior to the date of this Agreement and marked as Confidential at the time of delivery), and the existence of the discussions between the Parties to which this Agreement pertains.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41" w:name="page142"/>
    <w:bookmarkEnd w:id="141"/>
    <w:p>
      <w:pPr>
        <w:ind w:left="660"/>
        <w:spacing w:after="0"/>
        <w:tabs>
          <w:tab w:leader="none" w:pos="1280" w:val="left"/>
        </w:tabs>
        <w:rPr>
          <w:sz w:val="20"/>
          <w:szCs w:val="20"/>
          <w:color w:val="auto"/>
        </w:rPr>
      </w:pPr>
      <w:r>
        <w:rPr>
          <w:rFonts w:ascii="Arial" w:cs="Arial" w:eastAsia="Arial" w:hAnsi="Arial"/>
          <w:sz w:val="22"/>
          <w:szCs w:val="22"/>
          <w:color w:val="auto"/>
        </w:rPr>
        <w:t>7</w:t>
      </w: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No information shall be within the above definition of Confidential Information if it:</w:t>
      </w:r>
    </w:p>
    <w:p>
      <w:pPr>
        <w:spacing w:after="0" w:line="273" w:lineRule="exact"/>
        <w:rPr>
          <w:sz w:val="20"/>
          <w:szCs w:val="20"/>
          <w:color w:val="auto"/>
        </w:rPr>
      </w:pPr>
    </w:p>
    <w:p>
      <w:pPr>
        <w:ind w:left="1720" w:hanging="415"/>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generally known to the public at the time the Disclosing Party discloses it to any Receiving Party;</w:t>
      </w:r>
    </w:p>
    <w:p>
      <w:pPr>
        <w:spacing w:after="0" w:line="252" w:lineRule="exact"/>
        <w:rPr>
          <w:rFonts w:ascii="Arial" w:cs="Arial" w:eastAsia="Arial" w:hAnsi="Arial"/>
          <w:sz w:val="18"/>
          <w:szCs w:val="18"/>
          <w:color w:val="auto"/>
        </w:rPr>
      </w:pPr>
    </w:p>
    <w:p>
      <w:pPr>
        <w:ind w:right="20" w:firstLine="1305"/>
        <w:spacing w:after="0" w:line="268" w:lineRule="auto"/>
        <w:tabs>
          <w:tab w:leader="none" w:pos="17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becomes generally known to the public subsequent to the time of the Disclosing Party's disclosure to any Receiving Party without any fault or disclosure on the part of such Receiving Party;</w:t>
      </w:r>
    </w:p>
    <w:p>
      <w:pPr>
        <w:spacing w:after="0" w:line="212" w:lineRule="exact"/>
        <w:rPr>
          <w:rFonts w:ascii="Arial" w:cs="Arial" w:eastAsia="Arial" w:hAnsi="Arial"/>
          <w:sz w:val="18"/>
          <w:szCs w:val="18"/>
          <w:color w:val="auto"/>
        </w:rPr>
      </w:pPr>
    </w:p>
    <w:p>
      <w:pPr>
        <w:ind w:firstLine="1305"/>
        <w:spacing w:after="0" w:line="268" w:lineRule="auto"/>
        <w:tabs>
          <w:tab w:leader="none" w:pos="1707"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was known to any Receiving Party prior to the disclosure by the Disclosing Party, free of any obligation of confidence, as evidenced by such Receiving Party's written records;</w:t>
      </w:r>
    </w:p>
    <w:p>
      <w:pPr>
        <w:spacing w:after="0" w:line="145" w:lineRule="exact"/>
        <w:rPr>
          <w:rFonts w:ascii="Arial" w:cs="Arial" w:eastAsia="Arial" w:hAnsi="Arial"/>
          <w:sz w:val="18"/>
          <w:szCs w:val="18"/>
          <w:color w:val="auto"/>
        </w:rPr>
      </w:pPr>
    </w:p>
    <w:p>
      <w:pPr>
        <w:ind w:firstLine="1305"/>
        <w:spacing w:after="0" w:line="268" w:lineRule="auto"/>
        <w:tabs>
          <w:tab w:leader="none" w:pos="17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independently developed by such Receiving Party without reference to or reliance on the Confidential Information as evidenced by Receiving Party’s written records;</w:t>
      </w:r>
    </w:p>
    <w:p>
      <w:pPr>
        <w:spacing w:after="0" w:line="145" w:lineRule="exact"/>
        <w:rPr>
          <w:rFonts w:ascii="Arial" w:cs="Arial" w:eastAsia="Arial" w:hAnsi="Arial"/>
          <w:sz w:val="18"/>
          <w:szCs w:val="18"/>
          <w:color w:val="auto"/>
        </w:rPr>
      </w:pPr>
    </w:p>
    <w:p>
      <w:pPr>
        <w:ind w:left="1720" w:hanging="415"/>
        <w:spacing w:after="0"/>
        <w:tabs>
          <w:tab w:leader="none" w:pos="1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is, to such Receiving Party’s knowledge, rightfully communicated to it free of any obligation of confidence by anyone who is not a Party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this Agreement; or</w:t>
      </w:r>
    </w:p>
    <w:p>
      <w:pPr>
        <w:spacing w:after="0" w:line="245" w:lineRule="exact"/>
        <w:rPr>
          <w:rFonts w:ascii="Arial" w:cs="Arial" w:eastAsia="Arial" w:hAnsi="Arial"/>
          <w:sz w:val="16"/>
          <w:szCs w:val="16"/>
          <w:color w:val="auto"/>
        </w:rPr>
      </w:pPr>
    </w:p>
    <w:p>
      <w:pPr>
        <w:ind w:left="1700" w:hanging="395"/>
        <w:spacing w:after="0"/>
        <w:tabs>
          <w:tab w:leader="none" w:pos="1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is communicated by the Disclosing Party free of any obligation of confidence to anyone that is not a Party to this Agreement.</w:t>
      </w:r>
    </w:p>
    <w:p>
      <w:pPr>
        <w:spacing w:after="0" w:line="248"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By way of example and not limitation, information is not generally known to the public if it is not available without considerable research or if it can be primarily located in cached memories of materials otherwise deleted from internet sources. Notwithstanding the foregoing, specific Confidential Information shall not be deemed to be within any of the foregoing exclusions merely because it is within the scope of more general information within one or more of the exclusions. Further, any combination of Confidential Information (whether or not combined with nonconfidential information) shall not be deemed to be within the above exceptions merely because one or more individual items of Confidential Information are within the above exceptions. In furtherance but not limitation of the preceding sentence, any combination of items of Confidential Information shall not be deemed to fall within the foregoing exclusions merely because any or all of the items are published or otherwise in the rightful possession of the Receiving Party unless the combination itself and the principle of its use are published or otherwise in the rightful possession of the Receiving Party.</w:t>
      </w:r>
    </w:p>
    <w:p>
      <w:pPr>
        <w:spacing w:after="0" w:line="199"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Receiving Party shall neither use nor reproduce Disclosing Party’s Confidential Information except as necessary for: (a) negotiations, discussions and consultations with the personnel or authorized representatives of Disclosing Party; or (b) for the purpose of performing its obligations under this Agreement. Upon completion of the obligations under this Agreement that use the Confidential Information, or upon termination of this Agreement, Receiving Party shall, when requested by Disclosing Party in writing, promptly return to Disclosing Party all of the Confidential Information provided by Disclosing Party, except that Receiving Party may retain one (1) copy for recordkeeping purposes and Receiving Party shall not be required to remove or destroy any Confidential Information contained on backup media as a result of systematic backups of Receiving Party’s computer system, provided that Receiving Party shall not access such backup media for the purpose of recovering the Confidential Information.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42" w:name="page143"/>
    <w:bookmarkEnd w:id="142"/>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color w:val="auto"/>
        </w:rPr>
        <w:t>7.</w:t>
      </w:r>
      <w:r>
        <w:rPr>
          <w:rFonts w:ascii="Arial" w:cs="Arial" w:eastAsia="Arial" w:hAnsi="Arial"/>
          <w:sz w:val="17"/>
          <w:szCs w:val="17"/>
          <w:color w:val="auto"/>
        </w:rPr>
        <w:t>5</w:t>
      </w:r>
      <w:r>
        <w:rPr>
          <w:sz w:val="20"/>
          <w:szCs w:val="20"/>
          <w:color w:val="auto"/>
        </w:rPr>
        <w:tab/>
      </w:r>
      <w:r>
        <w:rPr>
          <w:rFonts w:ascii="Arial" w:cs="Arial" w:eastAsia="Arial" w:hAnsi="Arial"/>
          <w:sz w:val="16"/>
          <w:szCs w:val="16"/>
          <w:color w:val="auto"/>
        </w:rPr>
        <w:t>Receiving Party shall not disclose, without the prior written consent of Disclosing Party, any of Disclosing Party’s Confidential Information to any third party other than Receiving Party’s, and its Affiliates’, directors, officers, employees, agents and consultants, hospital or institution authorities, Institutional Review Board members, clinical investigators, and others who are involved in fulfilling Receiving Party’s obligations under this Agreement and who, in each case, (a) need to know such information for the purposes of performing such obligations and (b) are bound by obligations of confidentiality and non-use at least as restrictive as those set forth herein. With respect to the obligation in 7.5(b) it shall be deemed met as to disclosures by CRL of VistaGen’s confidential information if VistaGen has in place a nondisclosure agreement with the third party related to VistaGen’s Confidential Information. Receiving Party shall take commercially reasonable steps to prevent the disclosure or use of any such Confidential Information by Receiving Party’s, and its Affiliates’, directors, officers, employees, agents or consultants except as provided in this Agreement.</w:t>
      </w:r>
    </w:p>
    <w:p>
      <w:pPr>
        <w:spacing w:after="0" w:line="241"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any Disclosing Party’s Confidential Information is required to be disclosed by Receiving Party to any government or regulatory authority or court entitled by law to disclosure of the same, Receiving Party shall not, unless required by law, order, regulation or ruling, disclose Confidential Information until the Disclosing Party has first (a) received prompt written notice of such requirement to disclose and (b) had an adequate opportunity to obtain a protective order or other reliable assurance that confidential treatment will be accorded to the Confidential Information required to be disclosed. The Receiving Party shall, at the expense of the Disclosing Party, provide the Disclosing Party with any reasonable assistance requested, and shall not oppose reasonable actions by the Disclosing Party to assure confidential treatment. If the Disclosing Party is unable to obtain such protective order or other appropriate remedy, the Receiving Party and its Representatives will furnish only that portion of the Confidential Information which it is legally required to furnish. Any disclosure of Confidential Information pursuant to this Section 7.6 shall not affect or lessen the Receiving Party’s obligations hereunder.</w:t>
      </w:r>
    </w:p>
    <w:p>
      <w:pPr>
        <w:spacing w:after="0" w:line="201" w:lineRule="exact"/>
        <w:rPr>
          <w:sz w:val="20"/>
          <w:szCs w:val="20"/>
          <w:color w:val="auto"/>
        </w:rPr>
      </w:pPr>
    </w:p>
    <w:p>
      <w:pPr>
        <w:jc w:val="both"/>
        <w:ind w:left="1300" w:hanging="647"/>
        <w:spacing w:after="0" w:line="298" w:lineRule="auto"/>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For purposes of this Agreement, the Parties hereby acknowledge and agree that, subject to the exceptions set forth in Section 7.3, this Agreement shall be considered VistaGen’s Confidential Information; provided however, that either Party may disclose the terms of this Agreement to advisors, investors and others on a need-to-know basis under circumstances that reasonably ensure the confidentiality, nondisclosure and nonuse thereof. Notwithstanding the foregoing, VistaGen may disclose the existence of this Agreement in its sole discretion.</w:t>
      </w:r>
    </w:p>
    <w:p>
      <w:pPr>
        <w:spacing w:after="0" w:line="167"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Receiving Party’s obligations under this Section 7 shall terminate with respect to any Confidential Information of Disclosing Party five (5) years after the date of disclosure.</w:t>
      </w:r>
    </w:p>
    <w:p>
      <w:pPr>
        <w:spacing w:after="0" w:line="180" w:lineRule="exact"/>
        <w:rPr>
          <w:sz w:val="20"/>
          <w:szCs w:val="20"/>
          <w:color w:val="auto"/>
        </w:rPr>
      </w:pPr>
    </w:p>
    <w:p>
      <w:pPr>
        <w:jc w:val="both"/>
        <w:ind w:left="660" w:hanging="652"/>
        <w:spacing w:after="0" w:line="255"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Protected Health Information. </w:t>
      </w:r>
      <w:r>
        <w:rPr>
          <w:rFonts w:ascii="Arial" w:cs="Arial" w:eastAsia="Arial" w:hAnsi="Arial"/>
          <w:sz w:val="18"/>
          <w:szCs w:val="18"/>
          <w:color w:val="auto"/>
        </w:rPr>
        <w:t>The Parties recognize that the Federal Health Insurance Portability and Accountability Act of 1996 and implementing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(“HIPAA”) require written confidentiality agreements to protect the privacy and security of protected health information (as defined under HIPAA) that may be acquired in the course of performing this Agreement. The Parties agree to comply with HIPAA and other applicable laws and governmental regulations governing protected confidential health information. Under no circumstances shall VistaGen deliver to CRL any social security or other identification number issued to subjects/patients by any governmental agency as part of the data delivered to CRL under any Work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43" w:name="page144"/>
    <w:bookmarkEnd w:id="143"/>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18"/>
          <w:szCs w:val="18"/>
          <w:b w:val="1"/>
          <w:bCs w:val="1"/>
          <w:color w:val="auto"/>
        </w:rPr>
        <w:t>Ownership.</w:t>
      </w:r>
    </w:p>
    <w:p>
      <w:pPr>
        <w:spacing w:after="0" w:line="236" w:lineRule="exact"/>
        <w:rPr>
          <w:rFonts w:ascii="Arial" w:cs="Arial" w:eastAsia="Arial" w:hAnsi="Arial"/>
          <w:sz w:val="22"/>
          <w:szCs w:val="22"/>
          <w:color w:val="auto"/>
        </w:rPr>
      </w:pPr>
    </w:p>
    <w:p>
      <w:pPr>
        <w:ind w:left="1300" w:hanging="648"/>
        <w:spacing w:after="0" w:line="287" w:lineRule="auto"/>
        <w:rPr>
          <w:rFonts w:ascii="Arial" w:cs="Arial" w:eastAsia="Arial" w:hAnsi="Arial"/>
          <w:sz w:val="22"/>
          <w:szCs w:val="22"/>
          <w:color w:val="auto"/>
        </w:rPr>
      </w:pPr>
      <w:r>
        <w:rPr>
          <w:rFonts w:ascii="Arial" w:cs="Arial" w:eastAsia="Arial" w:hAnsi="Arial"/>
          <w:sz w:val="18"/>
          <w:szCs w:val="18"/>
          <w:color w:val="auto"/>
        </w:rPr>
        <w:t>9.1</w:t>
      </w:r>
      <w:r>
        <w:rPr>
          <w:rFonts w:ascii="Arial" w:cs="Arial" w:eastAsia="Arial" w:hAnsi="Arial"/>
          <w:sz w:val="16"/>
          <w:szCs w:val="16"/>
          <w:color w:val="auto"/>
        </w:rPr>
        <w:t>VistaGen shall own all right, title, and interest in and to all data, information, improvements, discoveries, inventions, printed materials, and other work product contained the Deliverable. To the extent not covered by the preceding sentence, and except as limited by Section 9.2, all copyrights, patents, trade secrets and other intellectual property rights associated with any ideas, conepts, techniques, inventions, processes or works of authorship included in the Deliverable shall be treated in the same manner as the deliverable and as specified in the previous sentence.. Upon request of VistaGen and at VistaGen's expense, CRL shall take such further actions, including execution and delivery of instruments of conveyance necessary to obtain legal protection in the United States and foreign countries for such Deliverable and for the purpose of vesting title thereto in VistaGen. As used herein, “Deliverable” shall mean reports, information or other matters which are physically delivered (whether in hard copy or electronically) to VistaGen in accordance with the terms of the Work Order. To the extent the Work Order requires CRL to undertake general consulting services pursuant to which CRL provides generic explanations or information, only such part of any deliverable which contains VistaGen-specific subject matter shall be deemed a Deliverable subject to the terms of this Section 9.1</w:t>
      </w:r>
    </w:p>
    <w:p>
      <w:pPr>
        <w:spacing w:after="0" w:line="176" w:lineRule="exact"/>
        <w:rPr>
          <w:rFonts w:ascii="Arial" w:cs="Arial" w:eastAsia="Arial" w:hAnsi="Arial"/>
          <w:sz w:val="22"/>
          <w:szCs w:val="22"/>
          <w:color w:val="auto"/>
        </w:rPr>
      </w:pPr>
    </w:p>
    <w:p>
      <w:pPr>
        <w:ind w:left="1300" w:hanging="648"/>
        <w:spacing w:after="0" w:line="286" w:lineRule="auto"/>
        <w:rPr>
          <w:rFonts w:ascii="Arial" w:cs="Arial" w:eastAsia="Arial" w:hAnsi="Arial"/>
          <w:sz w:val="22"/>
          <w:szCs w:val="22"/>
          <w:color w:val="auto"/>
        </w:rPr>
      </w:pPr>
      <w:r>
        <w:rPr>
          <w:rFonts w:ascii="Arial" w:cs="Arial" w:eastAsia="Arial" w:hAnsi="Arial"/>
          <w:sz w:val="18"/>
          <w:szCs w:val="18"/>
          <w:color w:val="auto"/>
        </w:rPr>
        <w:t>9.2</w:t>
      </w:r>
      <w:r>
        <w:rPr>
          <w:rFonts w:ascii="Arial" w:cs="Arial" w:eastAsia="Arial" w:hAnsi="Arial"/>
          <w:sz w:val="16"/>
          <w:szCs w:val="16"/>
          <w:color w:val="auto"/>
        </w:rPr>
        <w:t>Notwithstanding the foregoing Section 9.1, VistaGen acknowledges that within the scope of the business practices of CRL and its Affiliates, they possess certain inventions, processes, know-how, trade secrets, improvements, other intellectual property and business assets, including forms, templates, analytical methods, protocols, procedures and techniques, computer technical expertise and software, independently developed or otherwise owned by CRL and its Affiliates and not specifically related to the Deliverables. In addition, during the course of performing or incidental to the CRO Services, CRL or its Affiliates may develop forms, templates, analytical methods, protocols, procedures and techniques, functions, computer code, database structures and other property that are not specific to the general functionality of the Deliverables, not specific to any Product unique to VistaGen, and which does not in its generic form rely on or otherwise incorporate any Confidential Information of VistaGen (collectively, the “Cato Property”). VistaGen and CRL agree that any Cato Property used, improved or modified by CRL or its Affiliates under or during the term of this Agreement shall be deemed Cato Property and owned solely by CRL or its Affiliates. If any Cato Property is incorporated into the Deliverables, then CRL hereby grants to VistaGen a fully paid-up, non-exclusive, perpetual worldwide license to use such Cato Property (without representation or warranty), to the extent reasonably necessary to use such Deliverables and to transfer rights to the VistaGen products or programs to which this Agreement relates.</w:t>
      </w:r>
    </w:p>
    <w:p>
      <w:pPr>
        <w:spacing w:after="0" w:line="205" w:lineRule="exact"/>
        <w:rPr>
          <w:rFonts w:ascii="Arial" w:cs="Arial" w:eastAsia="Arial" w:hAnsi="Arial"/>
          <w:sz w:val="22"/>
          <w:szCs w:val="22"/>
          <w:color w:val="auto"/>
        </w:rPr>
      </w:pPr>
    </w:p>
    <w:p>
      <w:pPr>
        <w:ind w:left="1300" w:hanging="648"/>
        <w:spacing w:after="0" w:line="298" w:lineRule="auto"/>
        <w:rPr>
          <w:rFonts w:ascii="Arial" w:cs="Arial" w:eastAsia="Arial" w:hAnsi="Arial"/>
          <w:sz w:val="22"/>
          <w:szCs w:val="22"/>
          <w:color w:val="auto"/>
        </w:rPr>
      </w:pPr>
      <w:r>
        <w:rPr>
          <w:rFonts w:ascii="Arial" w:cs="Arial" w:eastAsia="Arial" w:hAnsi="Arial"/>
          <w:sz w:val="18"/>
          <w:szCs w:val="18"/>
          <w:color w:val="auto"/>
        </w:rPr>
        <w:t>9.3</w:t>
      </w:r>
      <w:r>
        <w:rPr>
          <w:rFonts w:ascii="Arial" w:cs="Arial" w:eastAsia="Arial" w:hAnsi="Arial"/>
          <w:sz w:val="16"/>
          <w:szCs w:val="16"/>
          <w:color w:val="auto"/>
        </w:rPr>
        <w:t>CRL and its Affiliates shall be free to use and employ the general skills, knowhow, and expertise of their employees, and to use, disclose, and employ any generalized ideas, concepts, know-how, methods, techniques, or skills gained or learned by their employees and consultants during the course of any assignment, so long as they acquire and apply such information without disclosure of any Confidential Information of VistaGen and without any unauthorized use or disclosure of any Deliverable.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44" w:name="page145"/>
    <w:bookmarkEnd w:id="144"/>
    <w:p>
      <w:pPr>
        <w:spacing w:after="0"/>
        <w:tabs>
          <w:tab w:leader="none" w:pos="640" w:val="left"/>
        </w:tabs>
        <w:rPr>
          <w:sz w:val="20"/>
          <w:szCs w:val="20"/>
          <w:color w:val="auto"/>
        </w:rPr>
      </w:pPr>
      <w:r>
        <w:rPr>
          <w:rFonts w:ascii="Arial" w:cs="Arial" w:eastAsia="Arial" w:hAnsi="Arial"/>
          <w:sz w:val="22"/>
          <w:szCs w:val="22"/>
          <w:color w:val="auto"/>
        </w:rPr>
        <w:t>1</w:t>
      </w:r>
      <w:r>
        <w:rPr>
          <w:rFonts w:ascii="Arial" w:cs="Arial" w:eastAsia="Arial" w:hAnsi="Arial"/>
          <w:sz w:val="17"/>
          <w:szCs w:val="17"/>
          <w:color w:val="auto"/>
        </w:rPr>
        <w:t>0.</w:t>
      </w:r>
      <w:r>
        <w:rPr>
          <w:sz w:val="20"/>
          <w:szCs w:val="20"/>
          <w:color w:val="auto"/>
        </w:rPr>
        <w:tab/>
      </w:r>
      <w:r>
        <w:rPr>
          <w:rFonts w:ascii="Arial" w:cs="Arial" w:eastAsia="Arial" w:hAnsi="Arial"/>
          <w:sz w:val="15"/>
          <w:szCs w:val="15"/>
          <w:b w:val="1"/>
          <w:bCs w:val="1"/>
          <w:color w:val="auto"/>
        </w:rPr>
        <w:t>Representations and Warranties.</w:t>
      </w:r>
    </w:p>
    <w:p>
      <w:pPr>
        <w:spacing w:after="0" w:line="246" w:lineRule="exact"/>
        <w:rPr>
          <w:sz w:val="20"/>
          <w:szCs w:val="20"/>
          <w:color w:val="auto"/>
        </w:rPr>
      </w:pPr>
    </w:p>
    <w:p>
      <w:pPr>
        <w:jc w:val="both"/>
        <w:ind w:left="1300" w:right="20" w:hanging="647"/>
        <w:spacing w:after="0" w:line="268"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CRL represents and warrants that CRL has the experience, capability, personnel and resources necessary to perform CRO Services under this Agreement and each Work Order in a commercially reasonable manner.</w:t>
      </w:r>
    </w:p>
    <w:p>
      <w:pPr>
        <w:spacing w:after="0" w:line="213"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VistaGen represents and warrants that it has the ability to comply with and perform all financial obligations under this Agreement. VistaGen further represents and warrants that it owns or otherwise has all necessary rights in and to the Product and all intellectual property rights therein (including without limitation the patent rights in all Products) so as to permit use of the Product and such intellectual property by CRL as contemplated in each Work Order; no third party has any right to prevent or to claim a payment is due from CRL as a result of its use of any Product or of the intellectual property rights therein as contemplated in any Work Order.</w:t>
      </w:r>
    </w:p>
    <w:p>
      <w:pPr>
        <w:spacing w:after="0" w:line="197"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Each Party represents and warrants that (a) it has the corporate power and authority to enter into and perform its obligations under this Agreement and any Work Order; and (b) entering into and performing this Agreement and any Work Order will not conflict with or result in a violation of any of the terms or provisions, or constitute a default under any of its organizational documents, any mortgage, indenture, lease, contract or other agreement or instrument binding upon it or by which any of its properties are bound, or any permit, concession, franchise, license, judgment, order, decree, statute, law, ordinance, rule or regulation applicable to it or its properties.</w:t>
      </w:r>
    </w:p>
    <w:p>
      <w:pPr>
        <w:spacing w:after="0" w:line="197"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Except as set forth in this Section 10, CRL makes no warranty, either express or implied, including without limitation the warranties of merchantability, fitness for a particular purpose, title and non-infringement as to any matter, and further including but not limited to the CRO Services, results of CRO Services, any Deliverables or any other matter or information produced or provided under this Agreement. Without limiting the foregoing, CRL does not warrant, guarantee, or make any warranty regarding the use, or the results of the use, of the Deliverable, reports, analyses, documents, memoranda or any other matter or information produced or provided under this Agreement.</w:t>
      </w:r>
    </w:p>
    <w:p>
      <w:pPr>
        <w:spacing w:after="0" w:line="96"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CRL Personnel.</w:t>
      </w:r>
    </w:p>
    <w:p>
      <w:pPr>
        <w:spacing w:after="0" w:line="245" w:lineRule="exact"/>
        <w:rPr>
          <w:rFonts w:ascii="Arial" w:cs="Arial" w:eastAsia="Arial" w:hAnsi="Arial"/>
          <w:sz w:val="18"/>
          <w:szCs w:val="18"/>
          <w:color w:val="auto"/>
        </w:rPr>
      </w:pPr>
    </w:p>
    <w:p>
      <w:pPr>
        <w:ind w:left="1300" w:hanging="648"/>
        <w:spacing w:after="0" w:line="286" w:lineRule="auto"/>
        <w:rPr>
          <w:rFonts w:ascii="Arial" w:cs="Arial" w:eastAsia="Arial" w:hAnsi="Arial"/>
          <w:sz w:val="18"/>
          <w:szCs w:val="18"/>
          <w:color w:val="auto"/>
        </w:rPr>
      </w:pPr>
      <w:r>
        <w:rPr>
          <w:rFonts w:ascii="Arial" w:cs="Arial" w:eastAsia="Arial" w:hAnsi="Arial"/>
          <w:sz w:val="21"/>
          <w:szCs w:val="21"/>
          <w:color w:val="auto"/>
        </w:rPr>
        <w:t>1</w:t>
      </w:r>
      <w:r>
        <w:rPr>
          <w:rFonts w:ascii="Arial" w:cs="Arial" w:eastAsia="Arial" w:hAnsi="Arial"/>
          <w:sz w:val="16"/>
          <w:szCs w:val="16"/>
          <w:color w:val="auto"/>
        </w:rPr>
        <w:t>1.1 CRL shall be responsible for all aspects of the labor relations of the personnel undertaking the CRO Services including, but not limited to,</w:t>
      </w:r>
      <w:r>
        <w:rPr>
          <w:rFonts w:ascii="Arial" w:cs="Arial" w:eastAsia="Arial" w:hAnsi="Arial"/>
          <w:sz w:val="21"/>
          <w:szCs w:val="21"/>
          <w:color w:val="auto"/>
        </w:rPr>
        <w:t xml:space="preserve"> </w:t>
      </w:r>
      <w:r>
        <w:rPr>
          <w:rFonts w:ascii="Arial" w:cs="Arial" w:eastAsia="Arial" w:hAnsi="Arial"/>
          <w:sz w:val="16"/>
          <w:szCs w:val="16"/>
          <w:color w:val="auto"/>
        </w:rPr>
        <w:t>wages, benefits, discipline, hiring, firing, promotions, pay raises, overtime, and job assignments. VistaGen shall have no power or authority in these areas. CRL shall ensure the payment of all contributions and taxes imposed by any federal or state governmental authority with respect to or measured by wages, salaries, or other compensation paid to persons employed to undertake the CRO Services.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45" w:name="page146"/>
    <w:bookmarkEnd w:id="145"/>
    <w:p>
      <w:pPr>
        <w:jc w:val="both"/>
        <w:ind w:left="1300" w:hanging="647"/>
        <w:spacing w:after="0" w:line="286" w:lineRule="auto"/>
        <w:tabs>
          <w:tab w:leader="none" w:pos="1280" w:val="left"/>
        </w:tabs>
        <w:rPr>
          <w:sz w:val="20"/>
          <w:szCs w:val="20"/>
          <w:color w:val="auto"/>
        </w:rPr>
      </w:pPr>
      <w:r>
        <w:rPr>
          <w:rFonts w:ascii="Arial" w:cs="Arial" w:eastAsia="Arial" w:hAnsi="Arial"/>
          <w:sz w:val="22"/>
          <w:szCs w:val="22"/>
          <w:color w:val="auto"/>
        </w:rPr>
        <w:t>1</w:t>
      </w: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VistaGen understands that the performance of CRO Services requires special skills, training and experience. VistaGen further understands that CRL and its Affiliates have expended considerable sums to train their personnel to perform the CRO Services requested by VistaGen from time to time under this Agreement, and CRL will give VistaGen access to experienced and highly skilled practitioners. When CRL or its Affiliates lose personnel, CRL or its applicable Affiliate incurs significant expenses in hiring and training his or her replacement. Accordingly, during the term of this Agreement and for a period of one (1) year after the termination or expiration of the last Work Order to terminate or expire under this Agreement, VistaGen agrees that it will not, without CRL’s prior written permission, solicit for employment (directly or indirectly) or hire as an employee or independent contractor any employee or independent contractor of CRL or its Affiliates who has participated in the performance of CRO Services under this Agreement. VistaGen acknowledges that any breach by VistaGen of this Section 11.2 shall cause substantial damages to CRL which are difficult to calculate including, but not limited to, costs of hiring and training replacement personnel, lost revenue and damage to CRL’s relationships with its other customers. Correspondingly, if VistaGen breaches this Section 11.2, VistaGen agrees that it shall pay CRL liquidated damages in an amount equal to the first-year annual guaranteed compensation (including base salary and any guaranteed bonus) of the hired person. ...</w:t>
      </w:r>
    </w:p>
    <w:p>
      <w:pPr>
        <w:spacing w:after="0" w:line="14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300" w:hanging="648"/>
        <w:spacing w:after="0" w:line="290" w:lineRule="auto"/>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VistaGen shall indemnify, defend and hold harmless each CRL Indemnified Party from and against all Losses resulting from, related to or (as appropriate) alleging any CRL Indemnified Conditions. The foregoing indemnification obligations of VistaGen under this Section 12.1 shall not include any Losses incurred by CRL when, and to the extent that, such Losses result from or are related to (a) the negligence, intentional misconduct or intentional omission of the CRL Indemnified Party, (b) the breach of this Agreement by CRL, an Affiliate of CRL or any other person for whose actions CRL is liable under this Agreement or applicable law, or (c) the violation by CRL, its directors, officers, employees or agents of any applicable law, regulation or other government requirement where such violation was caused by the conduct of the relevant CRL Indemnified Party and where CRL is seeking indemnification due to such breach.</w:t>
      </w:r>
    </w:p>
    <w:p>
      <w:pPr>
        <w:spacing w:after="0" w:line="199" w:lineRule="exact"/>
        <w:rPr>
          <w:rFonts w:ascii="Arial" w:cs="Arial" w:eastAsia="Arial" w:hAnsi="Arial"/>
          <w:sz w:val="18"/>
          <w:szCs w:val="18"/>
          <w:color w:val="auto"/>
        </w:rPr>
      </w:pPr>
    </w:p>
    <w:p>
      <w:pPr>
        <w:ind w:left="1300" w:hanging="648"/>
        <w:spacing w:after="0" w:line="289" w:lineRule="auto"/>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6"/>
          <w:szCs w:val="16"/>
          <w:color w:val="auto"/>
        </w:rPr>
        <w:t>CRL shall indemnify, defend and hold harmless each VistaGen Indemnified Party from and against all Losses resulting from, related to or (as appropriate) alleging any VistaGen Indemnified Conditions. The foregoing indemnification obligations of CRL under this Section 12.2 shall not include any losses incurred by VistaGen when, and to the extent that, such Losses result or are related to (a) the negligence, intentional misconduct or intentional omission of the VistaGen Indemnified Party; (b) the breach of this Agreement by VistaGen, an affiliate of VistaGen, or any other person for whose actions VistaGen is liable under this Agreement or applicable law; or (c) the violation by VistaGen, its directors, officers, employees or agents, of any applicable law, regulation or other governmental requirement. Notwithstanding the foregoing, CRL shall not be liable for, and this Section 12.2 does not require CRL to provide indemnification with respect to, the actions or omissions of any third party which CRL hires (excluding Affiliates of CRL) at VistaGen’s request to provide services hereunder..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46" w:name="page147"/>
    <w:bookmarkEnd w:id="146"/>
    <w:p>
      <w:pPr>
        <w:jc w:val="both"/>
        <w:ind w:left="640" w:hanging="647"/>
        <w:spacing w:after="0" w:line="285" w:lineRule="auto"/>
        <w:tabs>
          <w:tab w:leader="none" w:pos="620" w:val="left"/>
        </w:tabs>
        <w:rPr>
          <w:sz w:val="20"/>
          <w:szCs w:val="20"/>
          <w:color w:val="auto"/>
        </w:rPr>
      </w:pPr>
      <w:r>
        <w:rPr>
          <w:rFonts w:ascii="Arial" w:cs="Arial" w:eastAsia="Arial" w:hAnsi="Arial"/>
          <w:sz w:val="22"/>
          <w:szCs w:val="22"/>
          <w:color w:val="auto"/>
        </w:rPr>
        <w:t>1</w:t>
      </w:r>
      <w:r>
        <w:rPr>
          <w:rFonts w:ascii="Arial" w:cs="Arial" w:eastAsia="Arial" w:hAnsi="Arial"/>
          <w:sz w:val="17"/>
          <w:szCs w:val="17"/>
          <w:color w:val="auto"/>
        </w:rPr>
        <w:t>2.3</w:t>
      </w:r>
      <w:r>
        <w:rPr>
          <w:sz w:val="20"/>
          <w:szCs w:val="20"/>
          <w:color w:val="auto"/>
        </w:rPr>
        <w:tab/>
      </w:r>
      <w:r>
        <w:rPr>
          <w:rFonts w:ascii="Arial" w:cs="Arial" w:eastAsia="Arial" w:hAnsi="Arial"/>
          <w:sz w:val="16"/>
          <w:szCs w:val="16"/>
          <w:color w:val="auto"/>
        </w:rPr>
        <w:t>If an Indemnified Party receives notice of any claims for which the Indemnified Party wishes to seek indemnity under this Agreement, then the Indemnified Party shall promptly provide prompt written notice of the claim no later than thirty (30) calendar days following its notice of the claim to the Party required to provide indemnification by Section 12.1 or 12.2. The failure of an Indemnified Party to promptly provide such notice will not relieve the indemnifying Party of any indemnification responsibility under this Section 12, except to the extent, if any, that such failure materially prejudices the ability of the Indemnifying Party to defend such claims. The indemnifying Party shall have the right to control the defense or settlement of the claims with counsel of its own choosing provided that such counsel is reasonably acceptable to the Indemnified Party and provided further that the Indemnified Party will be entitled, at the Indemnified Party’s expense, to participate with its own counsel in such defense and settlement. The Indemnified Party shall at all times cooperate in the investigation and defense of such claims and promptly deliver to the indemnifying Party (or its counsel) such information related to the basis for the claims as the indemnifying Party (or its counsel) may reasonably request. If the indemnifying Party declines to assume defense of any claim, and it is later determined by a court of competent jurisdiction that such claim was eligible for indemnification under Section 12.1 or 12.2, as applicable, then within thirty (30) calendar days following such determination, the Indemnifying Party shall reimburse the Indemnified Party in full for all judgments, costs and expenses (including reasonable attorneys’ fees) incurred in connection with such claim. The indemnifying Party shall not settle any claim without the prior written consent of the Indemnified Party if such settlement: (a) materially diminishes any of the Indemnified Party’s rights under this Agreement and/or the Work Order or seeks to impose additional obligations on the Indemnified Party; or (b) arises out of or is a part of any criminal action, suit or proceeding or contains a stipulation or admission or acknowledgement of any liability or wrongdoing (whether in contract, tort or otherwise) on the part of the Indemnified Party.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Definitions. The following definitions apply in this Section 12:</w:t>
      </w:r>
    </w:p>
    <w:p>
      <w:pPr>
        <w:spacing w:after="0" w:line="158" w:lineRule="exact"/>
        <w:rPr>
          <w:sz w:val="20"/>
          <w:szCs w:val="20"/>
          <w:color w:val="auto"/>
        </w:rPr>
      </w:pPr>
    </w:p>
    <w:p>
      <w:pPr>
        <w:ind w:left="1620" w:hanging="651"/>
        <w:spacing w:after="0" w:line="268"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“CRL Indemnified Party” means CRL and its Affiliates and the directors, officers, employees, consultants and agents of CRL and/or its Affiliates.</w:t>
      </w:r>
    </w:p>
    <w:p>
      <w:pPr>
        <w:spacing w:after="0" w:line="212" w:lineRule="exact"/>
        <w:rPr>
          <w:rFonts w:ascii="Arial" w:cs="Arial" w:eastAsia="Arial" w:hAnsi="Arial"/>
          <w:sz w:val="18"/>
          <w:szCs w:val="18"/>
          <w:color w:val="auto"/>
        </w:rPr>
      </w:pPr>
    </w:p>
    <w:p>
      <w:pPr>
        <w:ind w:left="1620" w:hanging="651"/>
        <w:spacing w:after="0" w:line="268"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“VistaGen Indemnified Party” means VistaGen and its Affiliates and the directors, officers, employees, consultants and agents of VistaGen and/or its Affiliates.</w:t>
      </w:r>
    </w:p>
    <w:p>
      <w:pPr>
        <w:spacing w:after="0" w:line="145" w:lineRule="exact"/>
        <w:rPr>
          <w:rFonts w:ascii="Arial" w:cs="Arial" w:eastAsia="Arial" w:hAnsi="Arial"/>
          <w:sz w:val="18"/>
          <w:szCs w:val="18"/>
          <w:color w:val="auto"/>
        </w:rPr>
      </w:pPr>
    </w:p>
    <w:p>
      <w:pPr>
        <w:ind w:left="1620" w:hanging="651"/>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“Indemnified Party” means either a CRL Indemnified Party or an VistaGen Indemnified Party.</w:t>
      </w:r>
    </w:p>
    <w:p>
      <w:pPr>
        <w:spacing w:after="0" w:line="252" w:lineRule="exact"/>
        <w:rPr>
          <w:rFonts w:ascii="Arial" w:cs="Arial" w:eastAsia="Arial" w:hAnsi="Arial"/>
          <w:sz w:val="18"/>
          <w:szCs w:val="18"/>
          <w:color w:val="auto"/>
        </w:rPr>
      </w:pPr>
    </w:p>
    <w:p>
      <w:pPr>
        <w:jc w:val="both"/>
        <w:ind w:left="1620" w:hanging="651"/>
        <w:spacing w:after="0" w:line="256"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“Losses” mean all liability, loss, costs, claims, damages, expenses, judgments, awards, and settlements, including (without limitation) actual attorneys’ fees and expenses, whether arising in tort or in contract, in law or in equity. arising from a claim brought by a third party, in response to any legal proceeding brought by a third party or occurring due to any contractual obligation to indemnify, defend and/or hold harmless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9" w:right="239" w:bottom="1440" w:gutter="0" w:footer="0" w:header="0"/>
        </w:sectPr>
      </w:pPr>
    </w:p>
    <w:bookmarkStart w:id="147" w:name="page148"/>
    <w:bookmarkEnd w:id="147"/>
    <w:p>
      <w:pPr>
        <w:ind w:left="2272" w:hanging="651"/>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18"/>
          <w:szCs w:val="18"/>
          <w:color w:val="auto"/>
        </w:rPr>
        <w:t>“CRL Indemnified Conditions” means:</w:t>
      </w:r>
    </w:p>
    <w:p>
      <w:pPr>
        <w:spacing w:after="0" w:line="157" w:lineRule="exact"/>
        <w:rPr>
          <w:rFonts w:ascii="Arial" w:cs="Arial" w:eastAsia="Arial" w:hAnsi="Arial"/>
          <w:sz w:val="18"/>
          <w:szCs w:val="18"/>
          <w:color w:val="auto"/>
        </w:rPr>
      </w:pPr>
    </w:p>
    <w:p>
      <w:pPr>
        <w:ind w:left="2432" w:hanging="487"/>
        <w:spacing w:after="0"/>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CRO Services;</w:t>
      </w:r>
    </w:p>
    <w:p>
      <w:pPr>
        <w:spacing w:after="0" w:line="157" w:lineRule="exact"/>
        <w:rPr>
          <w:rFonts w:ascii="Arial" w:cs="Arial" w:eastAsia="Arial" w:hAnsi="Arial"/>
          <w:sz w:val="18"/>
          <w:szCs w:val="18"/>
          <w:color w:val="auto"/>
        </w:rPr>
      </w:pPr>
    </w:p>
    <w:p>
      <w:pPr>
        <w:ind w:left="2432" w:hanging="487"/>
        <w:spacing w:after="0"/>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use of Deliverables;</w:t>
      </w:r>
    </w:p>
    <w:p>
      <w:pPr>
        <w:spacing w:after="0" w:line="157" w:lineRule="exact"/>
        <w:rPr>
          <w:rFonts w:ascii="Arial" w:cs="Arial" w:eastAsia="Arial" w:hAnsi="Arial"/>
          <w:sz w:val="18"/>
          <w:szCs w:val="18"/>
          <w:color w:val="auto"/>
        </w:rPr>
      </w:pPr>
    </w:p>
    <w:p>
      <w:pPr>
        <w:ind w:left="2432" w:hanging="487"/>
        <w:spacing w:after="0"/>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any harm or bodily injury caused by any Product;</w:t>
      </w:r>
    </w:p>
    <w:p>
      <w:pPr>
        <w:spacing w:after="0" w:line="157" w:lineRule="exact"/>
        <w:rPr>
          <w:rFonts w:ascii="Arial" w:cs="Arial" w:eastAsia="Arial" w:hAnsi="Arial"/>
          <w:sz w:val="18"/>
          <w:szCs w:val="18"/>
          <w:color w:val="auto"/>
        </w:rPr>
      </w:pPr>
    </w:p>
    <w:p>
      <w:pPr>
        <w:jc w:val="both"/>
        <w:ind w:left="2432" w:hanging="487"/>
        <w:spacing w:after="0" w:line="259" w:lineRule="auto"/>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infringement of or use of any intellectual property right or proprietary right in relation to VistaGen’s Products, programs, procedures, materials, data, or other information used by, or on behalf of, or furnished by or on behalf of, VistaGen in connection with this Agreement or the provision of CRO Services under this Agreement;</w:t>
      </w:r>
    </w:p>
    <w:p>
      <w:pPr>
        <w:spacing w:after="0" w:line="126" w:lineRule="exact"/>
        <w:rPr>
          <w:rFonts w:ascii="Arial" w:cs="Arial" w:eastAsia="Arial" w:hAnsi="Arial"/>
          <w:sz w:val="18"/>
          <w:szCs w:val="18"/>
          <w:color w:val="auto"/>
        </w:rPr>
      </w:pPr>
    </w:p>
    <w:p>
      <w:pPr>
        <w:ind w:left="2432" w:right="20" w:hanging="487"/>
        <w:spacing w:after="0" w:line="268" w:lineRule="auto"/>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material breach of this Agreement by VistaGen or by any other person for whose actions VistaGen is liable under this Agreement or applicable law;</w:t>
      </w:r>
    </w:p>
    <w:p>
      <w:pPr>
        <w:spacing w:after="0" w:line="118" w:lineRule="exact"/>
        <w:rPr>
          <w:rFonts w:ascii="Arial" w:cs="Arial" w:eastAsia="Arial" w:hAnsi="Arial"/>
          <w:sz w:val="18"/>
          <w:szCs w:val="18"/>
          <w:color w:val="auto"/>
        </w:rPr>
      </w:pPr>
    </w:p>
    <w:p>
      <w:pPr>
        <w:ind w:left="2432" w:hanging="487"/>
        <w:spacing w:after="0" w:line="268" w:lineRule="auto"/>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negligence, intentional misconduct or intentional omission of VistaGen or of any employee, contractor, agent or representative of VistaGen; or</w:t>
      </w:r>
    </w:p>
    <w:p>
      <w:pPr>
        <w:spacing w:after="0" w:line="118" w:lineRule="exact"/>
        <w:rPr>
          <w:rFonts w:ascii="Arial" w:cs="Arial" w:eastAsia="Arial" w:hAnsi="Arial"/>
          <w:sz w:val="18"/>
          <w:szCs w:val="18"/>
          <w:color w:val="auto"/>
        </w:rPr>
      </w:pPr>
    </w:p>
    <w:p>
      <w:pPr>
        <w:jc w:val="both"/>
        <w:ind w:left="2432" w:hanging="487"/>
        <w:spacing w:after="0" w:line="256" w:lineRule="auto"/>
        <w:tabs>
          <w:tab w:leader="none" w:pos="2432" w:val="left"/>
        </w:tabs>
        <w:numPr>
          <w:ilvl w:val="3"/>
          <w:numId w:val="77"/>
        </w:numPr>
        <w:rPr>
          <w:rFonts w:ascii="Arial" w:cs="Arial" w:eastAsia="Arial" w:hAnsi="Arial"/>
          <w:sz w:val="18"/>
          <w:szCs w:val="18"/>
          <w:color w:val="auto"/>
        </w:rPr>
      </w:pPr>
      <w:r>
        <w:rPr>
          <w:rFonts w:ascii="Arial" w:cs="Arial" w:eastAsia="Arial" w:hAnsi="Arial"/>
          <w:sz w:val="18"/>
          <w:szCs w:val="18"/>
          <w:color w:val="auto"/>
        </w:rPr>
        <w:t>any request for deposition, documents or other information legally compelled including, without limitation, by subpoena or by agreement made in lieu of subpoena, in connection with VistaGen’s litigation, arbitration or other proceeding with any third party where CRL and/or any of its Affiliates are not also a party or in any investigation of VistaGen by any governmental authority.</w:t>
      </w:r>
    </w:p>
    <w:p>
      <w:pPr>
        <w:spacing w:after="0" w:line="129" w:lineRule="exact"/>
        <w:rPr>
          <w:rFonts w:ascii="Arial" w:cs="Arial" w:eastAsia="Arial" w:hAnsi="Arial"/>
          <w:sz w:val="18"/>
          <w:szCs w:val="18"/>
          <w:color w:val="auto"/>
        </w:rPr>
      </w:pPr>
    </w:p>
    <w:p>
      <w:pPr>
        <w:ind w:left="1512" w:hanging="215"/>
        <w:spacing w:after="0"/>
        <w:tabs>
          <w:tab w:leader="none" w:pos="15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“VistaGen Indemnified Conditions” means:</w:t>
      </w:r>
    </w:p>
    <w:p>
      <w:pPr>
        <w:spacing w:after="0" w:line="157" w:lineRule="exact"/>
        <w:rPr>
          <w:rFonts w:ascii="Arial" w:cs="Arial" w:eastAsia="Arial" w:hAnsi="Arial"/>
          <w:sz w:val="18"/>
          <w:szCs w:val="18"/>
          <w:color w:val="auto"/>
        </w:rPr>
      </w:pPr>
    </w:p>
    <w:p>
      <w:pPr>
        <w:ind w:left="2432" w:hanging="487"/>
        <w:spacing w:after="0" w:line="268" w:lineRule="auto"/>
        <w:tabs>
          <w:tab w:leader="none" w:pos="2432" w:val="left"/>
        </w:tabs>
        <w:numPr>
          <w:ilvl w:val="3"/>
          <w:numId w:val="78"/>
        </w:numPr>
        <w:rPr>
          <w:rFonts w:ascii="Arial" w:cs="Arial" w:eastAsia="Arial" w:hAnsi="Arial"/>
          <w:sz w:val="18"/>
          <w:szCs w:val="18"/>
          <w:color w:val="auto"/>
        </w:rPr>
      </w:pPr>
      <w:r>
        <w:rPr>
          <w:rFonts w:ascii="Arial" w:cs="Arial" w:eastAsia="Arial" w:hAnsi="Arial"/>
          <w:sz w:val="18"/>
          <w:szCs w:val="18"/>
          <w:color w:val="auto"/>
        </w:rPr>
        <w:t>the negligence, intentional misconduct or intentional omission of CRL or any employee, contractor, agent or representative of CRL;</w:t>
      </w:r>
    </w:p>
    <w:p>
      <w:pPr>
        <w:spacing w:after="0" w:line="118" w:lineRule="exact"/>
        <w:rPr>
          <w:rFonts w:ascii="Arial" w:cs="Arial" w:eastAsia="Arial" w:hAnsi="Arial"/>
          <w:sz w:val="18"/>
          <w:szCs w:val="18"/>
          <w:color w:val="auto"/>
        </w:rPr>
      </w:pPr>
    </w:p>
    <w:p>
      <w:pPr>
        <w:ind w:left="2432" w:hanging="487"/>
        <w:spacing w:after="0" w:line="268" w:lineRule="auto"/>
        <w:tabs>
          <w:tab w:leader="none" w:pos="2432" w:val="left"/>
        </w:tabs>
        <w:numPr>
          <w:ilvl w:val="3"/>
          <w:numId w:val="78"/>
        </w:numPr>
        <w:rPr>
          <w:rFonts w:ascii="Arial" w:cs="Arial" w:eastAsia="Arial" w:hAnsi="Arial"/>
          <w:sz w:val="18"/>
          <w:szCs w:val="18"/>
          <w:color w:val="auto"/>
        </w:rPr>
      </w:pPr>
      <w:r>
        <w:rPr>
          <w:rFonts w:ascii="Arial" w:cs="Arial" w:eastAsia="Arial" w:hAnsi="Arial"/>
          <w:sz w:val="18"/>
          <w:szCs w:val="18"/>
          <w:color w:val="auto"/>
        </w:rPr>
        <w:t>the material breach of this Agreement by CRL or any other person for whose actions CRL is liable under applicable law or this Agreement;</w:t>
      </w:r>
    </w:p>
    <w:p>
      <w:pPr>
        <w:spacing w:after="0" w:line="118" w:lineRule="exact"/>
        <w:rPr>
          <w:rFonts w:ascii="Arial" w:cs="Arial" w:eastAsia="Arial" w:hAnsi="Arial"/>
          <w:sz w:val="18"/>
          <w:szCs w:val="18"/>
          <w:color w:val="auto"/>
        </w:rPr>
      </w:pPr>
    </w:p>
    <w:p>
      <w:pPr>
        <w:ind w:left="2432" w:hanging="487"/>
        <w:spacing w:after="0" w:line="268" w:lineRule="auto"/>
        <w:tabs>
          <w:tab w:leader="none" w:pos="2432" w:val="left"/>
        </w:tabs>
        <w:numPr>
          <w:ilvl w:val="3"/>
          <w:numId w:val="78"/>
        </w:numPr>
        <w:rPr>
          <w:rFonts w:ascii="Arial" w:cs="Arial" w:eastAsia="Arial" w:hAnsi="Arial"/>
          <w:sz w:val="18"/>
          <w:szCs w:val="18"/>
          <w:color w:val="auto"/>
        </w:rPr>
      </w:pPr>
      <w:r>
        <w:rPr>
          <w:rFonts w:ascii="Arial" w:cs="Arial" w:eastAsia="Arial" w:hAnsi="Arial"/>
          <w:sz w:val="18"/>
          <w:szCs w:val="18"/>
          <w:color w:val="auto"/>
        </w:rPr>
        <w:t>the violation by CRL, its directors, officers, employees or agents, of applicable law, regulation or other governmental requirement;</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292" w:hanging="648"/>
        <w:spacing w:after="0" w:line="253" w:lineRule="auto"/>
        <w:rPr>
          <w:rFonts w:ascii="Arial" w:cs="Arial" w:eastAsia="Arial" w:hAnsi="Arial"/>
          <w:sz w:val="18"/>
          <w:szCs w:val="18"/>
          <w:color w:val="auto"/>
        </w:rPr>
      </w:pPr>
      <w:r>
        <w:rPr>
          <w:rFonts w:ascii="Arial" w:cs="Arial" w:eastAsia="Arial" w:hAnsi="Arial"/>
          <w:sz w:val="18"/>
          <w:szCs w:val="18"/>
          <w:color w:val="auto"/>
        </w:rPr>
        <w:t>13.1VistaGen shall maintain in full force and effect customary insurance coverage for all VistaGen Products, clinical trials or other projects related to the CRO Services, including, without limitation, products liability, general liability, and related insurance coverage with policy limits in an amount VistaGen’s senior management reasonably determines to be sufficient to support VistaGen’s indemnification obligations hereunder, but as of such date as VistaGen commences a clinical trial for which CRL or its Affiliates provide CRO Services, then in no event less than $5,000,000 per occurrence as it relates to clinical trials. Upon completing or otherwise terminating each clinical trial for which CRL provides CRO Services, VistaGen shall purchase and maintain a tail policy to cover claims first made and/or reported after completion of such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12" w:right="239" w:bottom="1440" w:gutter="0" w:footer="0" w:header="0"/>
        </w:sectPr>
      </w:pPr>
    </w:p>
    <w:bookmarkStart w:id="148" w:name="page149"/>
    <w:bookmarkEnd w:id="148"/>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VistaGen’s insurance policy(ies) covering any clinical trial shall name CRL and its respective officers, directors and employees as additional named insureds with a broad form additional insured endorsement (acceptable in form and content to CRL) and shall indicate that the policy will not be canceled or changed until thirty (30) days after written notice of such cancellation or change is delivered to CRL. At CRL’s request, VistaGen shall provide CRL with an additional insured certificate and a copy of the additional insured endorsement from VistaGen’s insurance carrier.</w:t>
      </w:r>
    </w:p>
    <w:p>
      <w:pPr>
        <w:spacing w:after="0" w:line="224" w:lineRule="exact"/>
        <w:rPr>
          <w:sz w:val="20"/>
          <w:szCs w:val="20"/>
          <w:color w:val="auto"/>
        </w:rPr>
      </w:pPr>
    </w:p>
    <w:p>
      <w:pPr>
        <w:jc w:val="both"/>
        <w:ind w:left="1300" w:right="20" w:hanging="647"/>
        <w:spacing w:after="0" w:line="259" w:lineRule="auto"/>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CRL shall maintain in full force and effect, at no cost to VistaGen, customary insurance coverage for the CRO Services to be undertaken under each Work Order with policy limits in an amount CRL’s senior management reasonably determines to be commercially reasonable under the circumstances.</w:t>
      </w:r>
    </w:p>
    <w:p>
      <w:pPr>
        <w:spacing w:after="0" w:line="121"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p>
    <w:p>
      <w:pPr>
        <w:spacing w:after="0" w:line="258" w:lineRule="exact"/>
        <w:rPr>
          <w:rFonts w:ascii="Arial" w:cs="Arial" w:eastAsia="Arial" w:hAnsi="Arial"/>
          <w:sz w:val="18"/>
          <w:szCs w:val="18"/>
          <w:color w:val="auto"/>
        </w:rPr>
      </w:pPr>
    </w:p>
    <w:p>
      <w:pPr>
        <w:ind w:left="1300" w:right="20" w:hanging="648"/>
        <w:spacing w:after="0" w:line="268" w:lineRule="auto"/>
        <w:rPr>
          <w:rFonts w:ascii="Arial" w:cs="Arial" w:eastAsia="Arial" w:hAnsi="Arial"/>
          <w:sz w:val="18"/>
          <w:szCs w:val="18"/>
          <w:color w:val="auto"/>
        </w:rPr>
      </w:pPr>
      <w:r>
        <w:rPr>
          <w:rFonts w:ascii="Arial" w:cs="Arial" w:eastAsia="Arial" w:hAnsi="Arial"/>
          <w:sz w:val="18"/>
          <w:szCs w:val="18"/>
          <w:color w:val="auto"/>
        </w:rPr>
        <w:t>14.1VistaGen agrees that, regardless of the form of any claim, VistaGen’s sole remedy and CRL’s sole obligation with respect to any claims made related to or arising out of this Agreement shall be governed by this Section.</w:t>
      </w:r>
    </w:p>
    <w:p>
      <w:pPr>
        <w:spacing w:after="0" w:line="212" w:lineRule="exact"/>
        <w:rPr>
          <w:rFonts w:ascii="Arial" w:cs="Arial" w:eastAsia="Arial" w:hAnsi="Arial"/>
          <w:sz w:val="18"/>
          <w:szCs w:val="18"/>
          <w:color w:val="auto"/>
        </w:rPr>
      </w:pPr>
    </w:p>
    <w:p>
      <w:pPr>
        <w:ind w:left="1300" w:hanging="648"/>
        <w:spacing w:after="0" w:line="256" w:lineRule="auto"/>
        <w:rPr>
          <w:rFonts w:ascii="Arial" w:cs="Arial" w:eastAsia="Arial" w:hAnsi="Arial"/>
          <w:sz w:val="18"/>
          <w:szCs w:val="18"/>
          <w:color w:val="auto"/>
        </w:rPr>
      </w:pPr>
      <w:r>
        <w:rPr>
          <w:rFonts w:ascii="Arial" w:cs="Arial" w:eastAsia="Arial" w:hAnsi="Arial"/>
          <w:sz w:val="18"/>
          <w:szCs w:val="18"/>
          <w:color w:val="auto"/>
        </w:rPr>
        <w:t>14.2VistaGen’s remedies for defective performance by CRL under this Agreement shall be limited to, at CRL’s option, either: (a) correction of the non-conforming CRO Services, or (b) reimbursements of payments (excluding payments for Expenses) made by VistaGen to CRL for such non-conforming CRO Services under the applicable Work Order during the six (6) month period immediately preceding the event for which the claim is made.</w:t>
      </w:r>
    </w:p>
    <w:p>
      <w:pPr>
        <w:spacing w:after="0" w:line="224" w:lineRule="exact"/>
        <w:rPr>
          <w:rFonts w:ascii="Arial" w:cs="Arial" w:eastAsia="Arial" w:hAnsi="Arial"/>
          <w:sz w:val="18"/>
          <w:szCs w:val="18"/>
          <w:color w:val="auto"/>
        </w:rPr>
      </w:pPr>
    </w:p>
    <w:p>
      <w:pPr>
        <w:ind w:left="1300" w:hanging="648"/>
        <w:spacing w:after="0" w:line="291" w:lineRule="auto"/>
        <w:rPr>
          <w:rFonts w:ascii="Arial" w:cs="Arial" w:eastAsia="Arial" w:hAnsi="Arial"/>
          <w:sz w:val="18"/>
          <w:szCs w:val="18"/>
          <w:color w:val="auto"/>
        </w:rPr>
      </w:pPr>
      <w:r>
        <w:rPr>
          <w:rFonts w:ascii="Arial" w:cs="Arial" w:eastAsia="Arial" w:hAnsi="Arial"/>
          <w:sz w:val="18"/>
          <w:szCs w:val="18"/>
          <w:color w:val="auto"/>
        </w:rPr>
        <w:t>14.3</w:t>
      </w:r>
      <w:r>
        <w:rPr>
          <w:rFonts w:ascii="Arial" w:cs="Arial" w:eastAsia="Arial" w:hAnsi="Arial"/>
          <w:sz w:val="16"/>
          <w:szCs w:val="16"/>
          <w:color w:val="auto"/>
        </w:rPr>
        <w:t>CRL’s obligations for any reason other than as set forth in Section 14.2 shall not exceed the aggregate compensation paid to CRL for CRO Services actually performed during the rolling twelve (12) month period preceding the date on which notice of the claim is given under the Work Order to which the claim pertains; provided however, with respect to delivery of any notice of claim during the initial twelve (12) months of the applicable Work Order, such limitation shall be equal to the actual aggregate compensation paid to CRL during the first six months of such Work Order; and provided, further, with respect to delivery of any notice of claim following termination or expiration of this Agreement, such limitation shall be equal to the aggregate compensation paid to CRL during the final twelve (12) months of the applicable Work Order.</w:t>
      </w:r>
    </w:p>
    <w:p>
      <w:pPr>
        <w:spacing w:after="0" w:line="201" w:lineRule="exact"/>
        <w:rPr>
          <w:rFonts w:ascii="Arial" w:cs="Arial" w:eastAsia="Arial" w:hAnsi="Arial"/>
          <w:sz w:val="18"/>
          <w:szCs w:val="18"/>
          <w:color w:val="auto"/>
        </w:rPr>
      </w:pPr>
    </w:p>
    <w:p>
      <w:pPr>
        <w:ind w:left="1300" w:hanging="648"/>
        <w:spacing w:after="0" w:line="298" w:lineRule="auto"/>
        <w:rPr>
          <w:rFonts w:ascii="Arial" w:cs="Arial" w:eastAsia="Arial" w:hAnsi="Arial"/>
          <w:sz w:val="18"/>
          <w:szCs w:val="18"/>
          <w:color w:val="auto"/>
        </w:rPr>
      </w:pPr>
      <w:r>
        <w:rPr>
          <w:rFonts w:ascii="Arial" w:cs="Arial" w:eastAsia="Arial" w:hAnsi="Arial"/>
          <w:sz w:val="18"/>
          <w:szCs w:val="18"/>
          <w:color w:val="auto"/>
        </w:rPr>
        <w:t>14.4</w:t>
      </w:r>
      <w:r>
        <w:rPr>
          <w:rFonts w:ascii="Arial" w:cs="Arial" w:eastAsia="Arial" w:hAnsi="Arial"/>
          <w:sz w:val="16"/>
          <w:szCs w:val="16"/>
          <w:color w:val="auto"/>
        </w:rPr>
        <w:t>It is expressly agreed that in no event shall CRL, its Affiliates or anyone else who has been involved in the performance of this Agreement on behalf of CRL be liable for any indirect, consequential, incidental, special, punitive, or exemplary damages arising from any legal theory, even if such person had been apprised of the likelihood of such damages occurring. VistaGen agrees that, notwithstanding the applicable statute of limitations, it may not bring any claim against CRL more than one (1) year after the cause of action arose.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49" w:name="page150"/>
    <w:bookmarkEnd w:id="149"/>
    <w:p>
      <w:pPr>
        <w:ind w:left="660" w:hanging="652"/>
        <w:spacing w:after="0"/>
        <w:tabs>
          <w:tab w:leader="none" w:pos="660" w:val="left"/>
        </w:tabs>
        <w:numPr>
          <w:ilvl w:val="0"/>
          <w:numId w:val="81"/>
        </w:numPr>
        <w:rPr>
          <w:rFonts w:ascii="Arial" w:cs="Arial" w:eastAsia="Arial" w:hAnsi="Arial"/>
          <w:sz w:val="22"/>
          <w:szCs w:val="22"/>
          <w:color w:val="auto"/>
        </w:rPr>
      </w:pPr>
      <w:r>
        <w:rPr>
          <w:rFonts w:ascii="Arial" w:cs="Arial" w:eastAsia="Arial" w:hAnsi="Arial"/>
          <w:sz w:val="18"/>
          <w:szCs w:val="18"/>
          <w:b w:val="1"/>
          <w:bCs w:val="1"/>
          <w:color w:val="auto"/>
        </w:rPr>
        <w:t>Investigator and Other Third-Party Payments.</w:t>
      </w:r>
    </w:p>
    <w:p>
      <w:pPr>
        <w:spacing w:after="0" w:line="236" w:lineRule="exact"/>
        <w:rPr>
          <w:rFonts w:ascii="Arial" w:cs="Arial" w:eastAsia="Arial" w:hAnsi="Arial"/>
          <w:sz w:val="22"/>
          <w:szCs w:val="22"/>
          <w:color w:val="auto"/>
        </w:rPr>
      </w:pPr>
    </w:p>
    <w:p>
      <w:pPr>
        <w:ind w:left="1300" w:hanging="648"/>
        <w:spacing w:after="0" w:line="291" w:lineRule="auto"/>
        <w:rPr>
          <w:rFonts w:ascii="Arial" w:cs="Arial" w:eastAsia="Arial" w:hAnsi="Arial"/>
          <w:sz w:val="22"/>
          <w:szCs w:val="22"/>
          <w:color w:val="auto"/>
        </w:rPr>
      </w:pPr>
      <w:r>
        <w:rPr>
          <w:rFonts w:ascii="Arial" w:cs="Arial" w:eastAsia="Arial" w:hAnsi="Arial"/>
          <w:sz w:val="18"/>
          <w:szCs w:val="18"/>
          <w:color w:val="auto"/>
        </w:rPr>
        <w:t>15.1</w:t>
      </w:r>
      <w:r>
        <w:rPr>
          <w:rFonts w:ascii="Arial" w:cs="Arial" w:eastAsia="Arial" w:hAnsi="Arial"/>
          <w:sz w:val="16"/>
          <w:szCs w:val="16"/>
          <w:color w:val="auto"/>
        </w:rPr>
        <w:t>CRL shall, at VistaGen’s request in a Work Order, disburse payments to investigators, monitors, laboratories or other third parties contracted with VistaGen to provide services with respect to a clinical study for which CRL is providing CRO Services to VistaGen (each, a “Third-Party Contractor”). CRL will disburse all such payments (each, a “Third-Party Contractor Fee”) in accordance with the provisions of the agreement between VistaGen and the Third-Party Contractor (each, a “Third-Party Contractor Agreement”), a copy of which shall be provided to CRL prior to any payment being made. CRL will not unreasonably withhold any Third-Party Contractor Fee and will not impose additional restrictions on the terms of payment for the Third-Party Contractor Fee set forth in the Third-Party Contractor Agreement.</w:t>
      </w:r>
    </w:p>
    <w:p>
      <w:pPr>
        <w:spacing w:after="0" w:line="201" w:lineRule="exact"/>
        <w:rPr>
          <w:rFonts w:ascii="Arial" w:cs="Arial" w:eastAsia="Arial" w:hAnsi="Arial"/>
          <w:sz w:val="22"/>
          <w:szCs w:val="22"/>
          <w:color w:val="auto"/>
        </w:rPr>
      </w:pPr>
    </w:p>
    <w:p>
      <w:pPr>
        <w:ind w:left="1300" w:hanging="648"/>
        <w:spacing w:after="0" w:line="286" w:lineRule="auto"/>
        <w:rPr>
          <w:rFonts w:ascii="Arial" w:cs="Arial" w:eastAsia="Arial" w:hAnsi="Arial"/>
          <w:sz w:val="22"/>
          <w:szCs w:val="22"/>
          <w:color w:val="auto"/>
        </w:rPr>
      </w:pPr>
      <w:r>
        <w:rPr>
          <w:rFonts w:ascii="Arial" w:cs="Arial" w:eastAsia="Arial" w:hAnsi="Arial"/>
          <w:sz w:val="18"/>
          <w:szCs w:val="18"/>
          <w:color w:val="auto"/>
        </w:rPr>
        <w:t>15.2</w:t>
      </w:r>
      <w:r>
        <w:rPr>
          <w:rFonts w:ascii="Arial" w:cs="Arial" w:eastAsia="Arial" w:hAnsi="Arial"/>
          <w:sz w:val="16"/>
          <w:szCs w:val="16"/>
          <w:color w:val="auto"/>
        </w:rPr>
        <w:t>VistaGen shall provide CRL with the funds to pay each Third-Party Contractor Fee, plus any related administrative fee, prior to the date on which CRL is scheduled to disburse such Third-Party Contractor Fee. To the extent payments to any Third-Party Contractors are to be made in a currency other than U.S. dollars, then contrary to the terms of Section 4.3 to make payment in U.S. dollars, funds for each such payment shall be made by VistaGen in the currency in which the Third-Party Contractor Fee is to be paid. If VistaGen does not provide the funds to CRL, then CRL will not disburse such Third-Party Contractor Fee until it receives the funds, including any administrative fee, from VistaGen. In such event, VistaGen shall be deemed to have released CRL from all legal liability, and to have covenanted to indemnify and not to sue CRL on any claims related to failure to disburse or otherwise pay the Third-Party Contractor Fee. VistaGen agrees that CRL shall not have any liability to VistaGen with respect to payments made to any Third-Party Contractor in accordance with the terms of the applicable Third-Party Contractor Agreement, even if VistaGen would prefer such payment not be made unless VistaGen shall have notified CRL, which notification may be made by any reasonable means (which may include email, depending on the circumstances), prior to the time the payment is due not to make the payment. If VistaGen notifies CRL not to make any payment, VistaGen agrees to indemnify CRL with respect to any claims made against it by the Third-Party Contractor related to failure to disburse or otherwise pay the Third-Party Contractor Fee withheld in accordance with VistaGen’s instructions.</w:t>
      </w:r>
    </w:p>
    <w:p>
      <w:pPr>
        <w:spacing w:after="0" w:line="201" w:lineRule="exact"/>
        <w:rPr>
          <w:rFonts w:ascii="Arial" w:cs="Arial" w:eastAsia="Arial" w:hAnsi="Arial"/>
          <w:sz w:val="22"/>
          <w:szCs w:val="22"/>
          <w:color w:val="auto"/>
        </w:rPr>
      </w:pPr>
    </w:p>
    <w:p>
      <w:pPr>
        <w:ind w:left="1300" w:hanging="648"/>
        <w:spacing w:after="0" w:line="298" w:lineRule="auto"/>
        <w:rPr>
          <w:rFonts w:ascii="Arial" w:cs="Arial" w:eastAsia="Arial" w:hAnsi="Arial"/>
          <w:sz w:val="22"/>
          <w:szCs w:val="22"/>
          <w:color w:val="auto"/>
        </w:rPr>
      </w:pPr>
      <w:r>
        <w:rPr>
          <w:rFonts w:ascii="Arial" w:cs="Arial" w:eastAsia="Arial" w:hAnsi="Arial"/>
          <w:sz w:val="18"/>
          <w:szCs w:val="18"/>
          <w:color w:val="auto"/>
        </w:rPr>
        <w:t>15.3</w:t>
      </w:r>
      <w:r>
        <w:rPr>
          <w:rFonts w:ascii="Arial" w:cs="Arial" w:eastAsia="Arial" w:hAnsi="Arial"/>
          <w:sz w:val="16"/>
          <w:szCs w:val="16"/>
          <w:color w:val="auto"/>
        </w:rPr>
        <w:t>If VistaGen provides CRL with funds in excess of the total Third-Party Contractor Fees disbursed by CRL (plus any administrative fee for Third-Party Contractor Fees actually paid), then CRL shall prepare and send a reconciliation of such funds to VistaGen within ninety (90) days after the early termination or expiration of the Work Order under which such Fees were being disbursed. Any excess funds shall first be applied to undisputed amounts otherwise due to CRL hereunder, and then any remainder shall be refunded to VistaGen.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50" w:name="page151"/>
    <w:bookmarkEnd w:id="150"/>
    <w:p>
      <w:pPr>
        <w:ind w:left="660" w:hanging="652"/>
        <w:spacing w:after="0"/>
        <w:tabs>
          <w:tab w:leader="none" w:pos="660" w:val="left"/>
        </w:tabs>
        <w:numPr>
          <w:ilvl w:val="0"/>
          <w:numId w:val="82"/>
        </w:numPr>
        <w:rPr>
          <w:rFonts w:ascii="Arial" w:cs="Arial" w:eastAsia="Arial" w:hAnsi="Arial"/>
          <w:sz w:val="22"/>
          <w:szCs w:val="22"/>
          <w:color w:val="auto"/>
        </w:rPr>
      </w:pPr>
      <w:r>
        <w:rPr>
          <w:rFonts w:ascii="Arial" w:cs="Arial" w:eastAsia="Arial" w:hAnsi="Arial"/>
          <w:sz w:val="18"/>
          <w:szCs w:val="18"/>
          <w:b w:val="1"/>
          <w:bCs w:val="1"/>
          <w:color w:val="auto"/>
        </w:rPr>
        <w:t>Transfer of Responsibilities and Obligations.</w:t>
      </w:r>
    </w:p>
    <w:p>
      <w:pPr>
        <w:spacing w:after="0" w:line="236" w:lineRule="exact"/>
        <w:rPr>
          <w:rFonts w:ascii="Arial" w:cs="Arial" w:eastAsia="Arial" w:hAnsi="Arial"/>
          <w:sz w:val="22"/>
          <w:szCs w:val="22"/>
          <w:color w:val="auto"/>
        </w:rPr>
      </w:pPr>
    </w:p>
    <w:p>
      <w:pPr>
        <w:ind w:left="1300" w:hanging="648"/>
        <w:spacing w:after="0" w:line="286" w:lineRule="auto"/>
        <w:rPr>
          <w:rFonts w:ascii="Arial" w:cs="Arial" w:eastAsia="Arial" w:hAnsi="Arial"/>
          <w:sz w:val="22"/>
          <w:szCs w:val="22"/>
          <w:color w:val="auto"/>
        </w:rPr>
      </w:pPr>
      <w:r>
        <w:rPr>
          <w:rFonts w:ascii="Arial" w:cs="Arial" w:eastAsia="Arial" w:hAnsi="Arial"/>
          <w:sz w:val="18"/>
          <w:szCs w:val="18"/>
          <w:color w:val="auto"/>
        </w:rPr>
        <w:t>16.1</w:t>
      </w:r>
      <w:r>
        <w:rPr>
          <w:rFonts w:ascii="Arial" w:cs="Arial" w:eastAsia="Arial" w:hAnsi="Arial"/>
          <w:sz w:val="16"/>
          <w:szCs w:val="16"/>
          <w:color w:val="auto"/>
        </w:rPr>
        <w:t>If VistaGen, pursuant to a Work Order, requests that CRL enter into agreements with investigators, monitors, laboratories, storage facilities, clinical material manufacturers or shippers, or other third parties to provide services with respect to a clinical study for which CRL is providing CRO Services to VistaGen (each a “Third-Party Agreement”), then subject to CRL undertaking its obligations under each Third-Party Agreement (except as with respect to payment which is governed by Section 16.2), VistaGen will assume all obligations and liabilities under such Third-Party Agreement, including but not limited to all regulatory and legal obligations, and indemnify CRL for any claims made against CRL for any liability incurred by it as a result of the execution and delivery by CRL of such Third-Party Agreement(s). Notwithstanding the foregoing, the Parties shall establish a process for review of Third-Party Agreements before execution, which process shall generally include an agreement on the base form, information provided by VistaGen on parameters for changes, and consultation with VistaGen on significant issues outside the parameters. If a Work Order terminates (for any reason) before completion of the CRO Services specified therein and pursuant to that Work Order, CRL has entered into any Third-Party Agreements, CRL shall be free to terminate such Third-Party Agreements and VistaGen shall pay all termination fees or other liabilities owed by CRL or its Affiliates due to such termination.</w:t>
      </w:r>
    </w:p>
    <w:p>
      <w:pPr>
        <w:spacing w:after="0" w:line="208" w:lineRule="exact"/>
        <w:rPr>
          <w:rFonts w:ascii="Arial" w:cs="Arial" w:eastAsia="Arial" w:hAnsi="Arial"/>
          <w:sz w:val="22"/>
          <w:szCs w:val="22"/>
          <w:color w:val="auto"/>
        </w:rPr>
      </w:pPr>
    </w:p>
    <w:p>
      <w:pPr>
        <w:ind w:left="1300" w:hanging="648"/>
        <w:spacing w:after="0" w:line="285" w:lineRule="auto"/>
        <w:rPr>
          <w:rFonts w:ascii="Arial" w:cs="Arial" w:eastAsia="Arial" w:hAnsi="Arial"/>
          <w:sz w:val="22"/>
          <w:szCs w:val="22"/>
          <w:color w:val="auto"/>
        </w:rPr>
      </w:pPr>
      <w:r>
        <w:rPr>
          <w:rFonts w:ascii="Arial" w:cs="Arial" w:eastAsia="Arial" w:hAnsi="Arial"/>
          <w:sz w:val="18"/>
          <w:szCs w:val="18"/>
          <w:color w:val="auto"/>
        </w:rPr>
        <w:t>16.2</w:t>
      </w:r>
      <w:r>
        <w:rPr>
          <w:rFonts w:ascii="Arial" w:cs="Arial" w:eastAsia="Arial" w:hAnsi="Arial"/>
          <w:sz w:val="16"/>
          <w:szCs w:val="16"/>
          <w:color w:val="auto"/>
        </w:rPr>
        <w:t>VistaGen shall provide CRL with the funds to pay each Third-Party Agreement (the “Third-Party Fees”), plus any administrative fee, before the date on which CRL is scheduled to disburse each such Third-Party Fee. To the extent payments to Third Parties are to be made in a currency other than U.S. dollars, then contrary to the terms of Section 4.3, funds for each such payment shall be made by VistaGen in the currency in which the Third-Party Fee is to be paid. If VistaGen does not provide the funds to CRL before the scheduled payment date, then CRL will not disburse such Third-Party Fee until it receives the funds (including any administrative fee) from VistaGen. CRL shall have no liability to VistaGen with respect to payments made to any Third Party in accordance with the terms of a Third-Party Agreement, even if VistaGen would prefer such payment not be made unless VistaGen instructs CRL not to make the payment before CRL does so. If VistaGen fails to provide the required funds on a timely basis or notifies CRL to withhold or otherwise not pay any Third-Party Fees required to be paid under an applicable Third-Party Agreement, then VistaGen agrees to indemnify CRL with respect to any claims made against CRL by the Third Party for failure to make (or delay in making) the payment of the Third-Party Fees (including, but not limited to, charges for interest and late payment fees). If VistaGen provides CRL with funds in excess of the total Third-Party Fees disbursed by CRL (plus the administrative fee), then CRL shall prepare and send a reconciliation of such funds to VistaGen within ninety (90) days after the early termination or expiration of the Work Order under which such Third-Party Fees were being disbursed. Any excess Third-Party Fees shall first be applied to undisputed amounts otherwise due to CRL hereunder, and then any remainder shall be refunded to VistaGen.</w:t>
      </w:r>
    </w:p>
    <w:p>
      <w:pPr>
        <w:spacing w:after="0" w:line="209" w:lineRule="exact"/>
        <w:rPr>
          <w:rFonts w:ascii="Arial" w:cs="Arial" w:eastAsia="Arial" w:hAnsi="Arial"/>
          <w:sz w:val="22"/>
          <w:szCs w:val="22"/>
          <w:color w:val="auto"/>
        </w:rPr>
      </w:pPr>
    </w:p>
    <w:p>
      <w:pPr>
        <w:ind w:left="1300" w:hanging="648"/>
        <w:spacing w:after="0" w:line="268" w:lineRule="auto"/>
        <w:rPr>
          <w:rFonts w:ascii="Arial" w:cs="Arial" w:eastAsia="Arial" w:hAnsi="Arial"/>
          <w:sz w:val="22"/>
          <w:szCs w:val="22"/>
          <w:color w:val="auto"/>
        </w:rPr>
      </w:pPr>
      <w:r>
        <w:rPr>
          <w:rFonts w:ascii="Arial" w:cs="Arial" w:eastAsia="Arial" w:hAnsi="Arial"/>
          <w:sz w:val="18"/>
          <w:szCs w:val="18"/>
          <w:color w:val="auto"/>
        </w:rPr>
        <w:t>16.3Transfer of sponsor obligations with respect to any clinical trial may only be made pursuant to a Work Order, a signed Transfer of Sponsor Obligation form, and otherwise in accordance with 21 CFR 312.52 and other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51" w:name="page152"/>
    <w:bookmarkEnd w:id="151"/>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18"/>
          <w:szCs w:val="18"/>
          <w:b w:val="1"/>
          <w:bCs w:val="1"/>
          <w:color w:val="auto"/>
        </w:rPr>
        <w:t>Audits, Inspections and Site Visits</w:t>
      </w:r>
      <w:r>
        <w:rPr>
          <w:rFonts w:ascii="Arial" w:cs="Arial" w:eastAsia="Arial" w:hAnsi="Arial"/>
          <w:sz w:val="18"/>
          <w:szCs w:val="18"/>
          <w:color w:val="auto"/>
        </w:rPr>
        <w:t>.</w:t>
      </w:r>
    </w:p>
    <w:p>
      <w:pPr>
        <w:spacing w:after="0" w:line="236" w:lineRule="exact"/>
        <w:rPr>
          <w:rFonts w:ascii="Arial" w:cs="Arial" w:eastAsia="Arial" w:hAnsi="Arial"/>
          <w:sz w:val="22"/>
          <w:szCs w:val="22"/>
          <w:color w:val="auto"/>
        </w:rPr>
      </w:pPr>
    </w:p>
    <w:p>
      <w:pPr>
        <w:ind w:left="1300" w:hanging="648"/>
        <w:spacing w:after="0" w:line="291" w:lineRule="auto"/>
        <w:rPr>
          <w:rFonts w:ascii="Arial" w:cs="Arial" w:eastAsia="Arial" w:hAnsi="Arial"/>
          <w:sz w:val="22"/>
          <w:szCs w:val="22"/>
          <w:color w:val="auto"/>
        </w:rPr>
      </w:pPr>
      <w:r>
        <w:rPr>
          <w:rFonts w:ascii="Arial" w:cs="Arial" w:eastAsia="Arial" w:hAnsi="Arial"/>
          <w:sz w:val="18"/>
          <w:szCs w:val="18"/>
          <w:color w:val="auto"/>
        </w:rPr>
        <w:t>17.1</w:t>
      </w:r>
      <w:r>
        <w:rPr>
          <w:rFonts w:ascii="Arial" w:cs="Arial" w:eastAsia="Arial" w:hAnsi="Arial"/>
          <w:sz w:val="16"/>
          <w:szCs w:val="16"/>
          <w:color w:val="auto"/>
        </w:rPr>
        <w:t>VistaGen and/or VistaGen’s representative may, during normal business hours and upon no less than two (2) weeks’ prior notice, meet with CRL or its applicable Affiliate(s) and their respective employees, consultants, and/or subcontractors engaged in the performance of CRO Services at CRL or at the location(s) of the facilities used to undertake the CRO Services to: (i) examine and inspect the facilities used for the performance of CRO Services, (ii) observe the progress of activities relating to the CRO Services; (iii) inspect and copy or have copied records, documents, information, data, and materials specifically relating to the CRO Services, and (iv) inspect and copy or have copied financial reports and other documents accounting for the fees, costs and expenses of the CRO Services.</w:t>
      </w:r>
    </w:p>
    <w:p>
      <w:pPr>
        <w:spacing w:after="0" w:line="201" w:lineRule="exact"/>
        <w:rPr>
          <w:rFonts w:ascii="Arial" w:cs="Arial" w:eastAsia="Arial" w:hAnsi="Arial"/>
          <w:sz w:val="22"/>
          <w:szCs w:val="22"/>
          <w:color w:val="auto"/>
        </w:rPr>
      </w:pPr>
    </w:p>
    <w:p>
      <w:pPr>
        <w:ind w:left="1300" w:right="20" w:hanging="648"/>
        <w:spacing w:after="0" w:line="332" w:lineRule="auto"/>
        <w:rPr>
          <w:rFonts w:ascii="Arial" w:cs="Arial" w:eastAsia="Arial" w:hAnsi="Arial"/>
          <w:sz w:val="22"/>
          <w:szCs w:val="22"/>
          <w:color w:val="auto"/>
        </w:rPr>
      </w:pPr>
      <w:r>
        <w:rPr>
          <w:rFonts w:ascii="Arial" w:cs="Arial" w:eastAsia="Arial" w:hAnsi="Arial"/>
          <w:sz w:val="18"/>
          <w:szCs w:val="18"/>
          <w:color w:val="auto"/>
        </w:rPr>
        <w:t>17.2</w:t>
      </w:r>
      <w:r>
        <w:rPr>
          <w:rFonts w:ascii="Arial" w:cs="Arial" w:eastAsia="Arial" w:hAnsi="Arial"/>
          <w:sz w:val="16"/>
          <w:szCs w:val="16"/>
          <w:color w:val="auto"/>
        </w:rPr>
        <w:t>CRL will, during regular business hours and on no less than two (2) weeks’ notice, permit a regulatory auditor to have access to CRL’s records pertaining to the CRO Services provided pursuant to this Agreement for the purpose of auditing and verifying such CRO Services.</w:t>
      </w:r>
    </w:p>
    <w:p>
      <w:pPr>
        <w:spacing w:after="0" w:line="166" w:lineRule="exact"/>
        <w:rPr>
          <w:rFonts w:ascii="Arial" w:cs="Arial" w:eastAsia="Arial" w:hAnsi="Arial"/>
          <w:sz w:val="22"/>
          <w:szCs w:val="22"/>
          <w:color w:val="auto"/>
        </w:rPr>
      </w:pPr>
    </w:p>
    <w:p>
      <w:pPr>
        <w:ind w:left="1300" w:hanging="648"/>
        <w:spacing w:after="0" w:line="259" w:lineRule="auto"/>
        <w:rPr>
          <w:rFonts w:ascii="Arial" w:cs="Arial" w:eastAsia="Arial" w:hAnsi="Arial"/>
          <w:sz w:val="22"/>
          <w:szCs w:val="22"/>
          <w:color w:val="auto"/>
        </w:rPr>
      </w:pPr>
      <w:r>
        <w:rPr>
          <w:rFonts w:ascii="Arial" w:cs="Arial" w:eastAsia="Arial" w:hAnsi="Arial"/>
          <w:sz w:val="18"/>
          <w:szCs w:val="18"/>
          <w:color w:val="auto"/>
        </w:rPr>
        <w:t>17.3CRL will, during regular business hours and on no less than two (2) weeks’ notice, permit a financial auditor to have access to CRL’s records pertaining to the CRO Services provided pursuant to this Agreement for the purpose of auditing and verifying the billing for such CRO Services.</w:t>
      </w:r>
    </w:p>
    <w:p>
      <w:pPr>
        <w:spacing w:after="0" w:line="221" w:lineRule="exact"/>
        <w:rPr>
          <w:rFonts w:ascii="Arial" w:cs="Arial" w:eastAsia="Arial" w:hAnsi="Arial"/>
          <w:sz w:val="22"/>
          <w:szCs w:val="22"/>
          <w:color w:val="auto"/>
        </w:rPr>
      </w:pPr>
    </w:p>
    <w:p>
      <w:pPr>
        <w:ind w:left="1300" w:hanging="648"/>
        <w:spacing w:after="0" w:line="288" w:lineRule="auto"/>
        <w:rPr>
          <w:rFonts w:ascii="Arial" w:cs="Arial" w:eastAsia="Arial" w:hAnsi="Arial"/>
          <w:sz w:val="22"/>
          <w:szCs w:val="22"/>
          <w:color w:val="auto"/>
        </w:rPr>
      </w:pPr>
      <w:r>
        <w:rPr>
          <w:rFonts w:ascii="Arial" w:cs="Arial" w:eastAsia="Arial" w:hAnsi="Arial"/>
          <w:sz w:val="18"/>
          <w:szCs w:val="18"/>
          <w:color w:val="auto"/>
        </w:rPr>
        <w:t>17.4</w:t>
      </w:r>
      <w:r>
        <w:rPr>
          <w:rFonts w:ascii="Arial" w:cs="Arial" w:eastAsia="Arial" w:hAnsi="Arial"/>
          <w:sz w:val="16"/>
          <w:szCs w:val="16"/>
          <w:color w:val="auto"/>
        </w:rPr>
        <w:t>At VistaGen’s reasonable request, CRL shall cooperate with any regulatory authorities and allow them to review and copy applicable records and data related to the CRO Services. If a request is made directly to CRL (or its applicable Affiliate(s)) by any regulatory authority to review records and data, or to contact, visit, or inspect CRL’s (or its applicable Affiliate’s or investigator’s) records and data, relating to any CRO Services or CRL’s (or its applicable Affiliate’s or investigator’s) performance of CRO Services, then CRL shall notify VistaGen as soon as practicable (unless prohibited by law) after such regulatory authority issues or gives to CRL (or any such of its applicable Affiliate(s) or investigator) any notice of intent to inspect, notice of inspection, notice of inspectional observations, warning letter, or other written communication concerning any CRO Services, and CRL shall provide VistaGen a copy thereof. To the extent permitted by law, prior to any submission to a regulatory authority of any response that may be required as a result of the inspection or visit, CRL (its applicable Affiliate(s) or investigator) shall provide VistaGen with the opportunity to review and comment on the proposed response.</w:t>
      </w:r>
    </w:p>
    <w:p>
      <w:pPr>
        <w:spacing w:after="0" w:line="200" w:lineRule="exact"/>
        <w:rPr>
          <w:rFonts w:ascii="Arial" w:cs="Arial" w:eastAsia="Arial" w:hAnsi="Arial"/>
          <w:sz w:val="22"/>
          <w:szCs w:val="22"/>
          <w:color w:val="auto"/>
        </w:rPr>
      </w:pPr>
    </w:p>
    <w:p>
      <w:pPr>
        <w:ind w:left="1300" w:hanging="648"/>
        <w:spacing w:after="0" w:line="288" w:lineRule="auto"/>
        <w:rPr>
          <w:rFonts w:ascii="Arial" w:cs="Arial" w:eastAsia="Arial" w:hAnsi="Arial"/>
          <w:sz w:val="22"/>
          <w:szCs w:val="22"/>
          <w:color w:val="auto"/>
        </w:rPr>
      </w:pPr>
      <w:r>
        <w:rPr>
          <w:rFonts w:ascii="Arial" w:cs="Arial" w:eastAsia="Arial" w:hAnsi="Arial"/>
          <w:sz w:val="18"/>
          <w:szCs w:val="18"/>
          <w:color w:val="auto"/>
        </w:rPr>
        <w:t>17.5</w:t>
      </w:r>
      <w:r>
        <w:rPr>
          <w:rFonts w:ascii="Arial" w:cs="Arial" w:eastAsia="Arial" w:hAnsi="Arial"/>
          <w:sz w:val="16"/>
          <w:szCs w:val="16"/>
          <w:color w:val="auto"/>
        </w:rPr>
        <w:t>All persons sent by VistaGen to undertake such visits, inspections or audits pursuant to Sections 17.1-17.3 shall be qualified by education, training, and experience, and shall be reasonably acceptable to CRL. The number, extent and frequency of such visits, inspections or audits shall be reasonable under the circumstances and normally shall not exceed one in every twelve (12) month rolling period. Unless such person is an employee of VistaGen, he or she shall report to VistaGen only those facts and conclusions determined as a result of the visit which are directly related to VistaGen’s interests. All information obtained from an audit shall be Confidential Information except as otherwise set forth in Section 7.3, above. Unless the visits, inspections and/or audits set forth in Sections 17.1-17.4 are specifically included in a Work Order, VistaGen shall, in addition to any other payment obligations under this Agreement, pay CRL, on a time-and-materials basis, at its current rates for the CRL or Affiliate personnel assigned to supervise or otherwise participate in or assist administratively with such audit, inspection or visit, including without limitation for any CRL or Affiliate personnel required to participate in it or meet with the regulatory inspectors.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52" w:name="page153"/>
    <w:bookmarkEnd w:id="152"/>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18"/>
          <w:szCs w:val="18"/>
          <w:b w:val="1"/>
          <w:bCs w:val="1"/>
          <w:color w:val="auto"/>
        </w:rPr>
        <w:t>Force Majeure; Other Delays</w:t>
      </w:r>
      <w:r>
        <w:rPr>
          <w:rFonts w:ascii="Arial" w:cs="Arial" w:eastAsia="Arial" w:hAnsi="Arial"/>
          <w:sz w:val="18"/>
          <w:szCs w:val="18"/>
          <w:color w:val="auto"/>
        </w:rPr>
        <w:t>.</w:t>
      </w:r>
    </w:p>
    <w:p>
      <w:pPr>
        <w:spacing w:after="0" w:line="236" w:lineRule="exact"/>
        <w:rPr>
          <w:rFonts w:ascii="Arial" w:cs="Arial" w:eastAsia="Arial" w:hAnsi="Arial"/>
          <w:sz w:val="22"/>
          <w:szCs w:val="22"/>
          <w:color w:val="auto"/>
        </w:rPr>
      </w:pPr>
    </w:p>
    <w:p>
      <w:pPr>
        <w:ind w:left="1300" w:hanging="648"/>
        <w:spacing w:after="0" w:line="298" w:lineRule="auto"/>
        <w:rPr>
          <w:rFonts w:ascii="Arial" w:cs="Arial" w:eastAsia="Arial" w:hAnsi="Arial"/>
          <w:sz w:val="22"/>
          <w:szCs w:val="22"/>
          <w:color w:val="auto"/>
        </w:rPr>
      </w:pPr>
      <w:r>
        <w:rPr>
          <w:rFonts w:ascii="Arial" w:cs="Arial" w:eastAsia="Arial" w:hAnsi="Arial"/>
          <w:sz w:val="18"/>
          <w:szCs w:val="18"/>
          <w:color w:val="auto"/>
        </w:rPr>
        <w:t>18.1</w:t>
      </w:r>
      <w:r>
        <w:rPr>
          <w:rFonts w:ascii="Arial" w:cs="Arial" w:eastAsia="Arial" w:hAnsi="Arial"/>
          <w:sz w:val="16"/>
          <w:szCs w:val="16"/>
          <w:color w:val="auto"/>
        </w:rPr>
        <w:t>If either Party is delayed in, hindered in, or prevented from the performance of any act required under this Agreement by reason of strike, lockout, labor problems, restrictions of government, judicial orders or decrees, riots, insurrection, terrorism, war, acts of God, inclement weather, or other causes that are beyond the reasonable control of such Party, then performance of such act shall be excused until the cause is remedied. The delayed Party shall use commercially reasonable efforts to resume performance as soon as possible.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this Section 18.1 shall not apply to or excuse any failure to make payments when due.</w:t>
      </w:r>
    </w:p>
    <w:p>
      <w:pPr>
        <w:spacing w:after="0" w:line="252"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CRL will not be liable to VistaGen nor be deemed to have breached this Agreement for errors, delays or other consequences arising from the failure of VistaGen or any third party not under CRL’s direct control to provide documents, materials or information in a timely manner or otherwise cooperate in order for CRL to perform its obligations, and any such failure by VistaGen or any third party not under CRL’s direct control shall automatically extend any timelines affected by such failure by at least the period of the delay (and such longer period as it may take as a result of the need to suspend and then wind up again), unless VistaGen agrees in writing to pay any additional costs that would be required to meet the original timeline.</w:t>
      </w:r>
    </w:p>
    <w:p>
      <w:pPr>
        <w:spacing w:after="0" w:line="219" w:lineRule="exact"/>
        <w:rPr>
          <w:sz w:val="20"/>
          <w:szCs w:val="20"/>
          <w:color w:val="auto"/>
        </w:rPr>
      </w:pPr>
    </w:p>
    <w:p>
      <w:pPr>
        <w:ind w:left="660" w:right="20" w:hanging="652"/>
        <w:spacing w:after="0" w:line="339"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Independent Contractor</w:t>
      </w:r>
      <w:r>
        <w:rPr>
          <w:rFonts w:ascii="Arial" w:cs="Arial" w:eastAsia="Arial" w:hAnsi="Arial"/>
          <w:sz w:val="16"/>
          <w:szCs w:val="16"/>
          <w:color w:val="auto"/>
        </w:rPr>
        <w:t>. CRL shall perform CRO Services as an independent contractor. Neither Party has authority to make any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or commitment of any kind nor to take any action binding on the other Party without the other Party’s prior written consent.</w:t>
      </w:r>
    </w:p>
    <w:p>
      <w:pPr>
        <w:spacing w:after="0" w:line="155"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Use of Names</w:t>
      </w:r>
      <w:r>
        <w:rPr>
          <w:rFonts w:ascii="Arial" w:cs="Arial" w:eastAsia="Arial" w:hAnsi="Arial"/>
          <w:sz w:val="18"/>
          <w:szCs w:val="18"/>
          <w:color w:val="auto"/>
        </w:rPr>
        <w:t>. The Parties agree that they may use each other’s name as a reference for prospective clients or in literature relating to their capabilities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strategic relationships, provided that such use does not violate Section 7 above.</w:t>
      </w:r>
    </w:p>
    <w:p>
      <w:pPr>
        <w:spacing w:after="0" w:line="200"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Notification</w:t>
      </w:r>
      <w:r>
        <w:rPr>
          <w:rFonts w:ascii="Arial" w:cs="Arial" w:eastAsia="Arial" w:hAnsi="Arial"/>
          <w:sz w:val="18"/>
          <w:szCs w:val="18"/>
          <w:color w:val="auto"/>
        </w:rPr>
        <w:t>. Any notices given hereunder shall be in writing and shall be deemed to have been given on the earlier of personal receipt by an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Party, or receipt at the Party’s notice address. Notice may be given by the following means: registered mail/return receipt requested, overnight courier, personal delivery, or, where specified in this Agreement, by email. All notices shall be sent to a Party at its address set forth on the signature page of this Agreement, or to such other address as is given by notice to the other Party. Notices are deemed given on receipt or attempted delivery (if receipt is refused).</w:t>
      </w:r>
    </w:p>
    <w:p>
      <w:pPr>
        <w:spacing w:after="0" w:line="219"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waiver of any right or remedy with respect to any occurrence or event shall be valid unless it is in writing and executed by the waiving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No such valid waiver shall be deemed a waiver of such right or remedy with respect to such occurrence or event on a continuing basis or in the future unless the waiver states that it is intended to apply continuously or to future events. A waiver shall not excuse use a subsequent breach of the same term, unless the waiver so states.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53" w:name="page154"/>
    <w:bookmarkEnd w:id="153"/>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auto"/>
        </w:rPr>
        <w:t>23</w:t>
      </w:r>
      <w:r>
        <w:rPr>
          <w:rFonts w:ascii="Arial" w:cs="Arial" w:eastAsia="Arial" w:hAnsi="Arial"/>
          <w:sz w:val="17"/>
          <w:szCs w:val="17"/>
          <w:color w:val="auto"/>
        </w:rPr>
        <w:t>.</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provisions of this Agreement are determined to be invalid or unenforceable, those provisions shall be reformed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comply with law and the Parties’ intent, or struck if necessary, and the validity and effect of the other provisions of this Agreement shall not be affected.</w:t>
      </w:r>
    </w:p>
    <w:p>
      <w:pPr>
        <w:spacing w:after="0" w:line="153"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Contract Interpretation and Dispute Resolution</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24.1The official language of this Agreement and any interpretation of it is American English. All contract interpretations, notices and dispute resolutions shall be in English. Any attachments or amendments to this Agreement shall be in English. Translation of any of these documents shall not be construed as official or original versions of the documents.</w:t>
      </w:r>
    </w:p>
    <w:p>
      <w:pPr>
        <w:spacing w:after="0" w:line="221" w:lineRule="exact"/>
        <w:rPr>
          <w:rFonts w:ascii="Arial" w:cs="Arial" w:eastAsia="Arial" w:hAnsi="Arial"/>
          <w:sz w:val="18"/>
          <w:szCs w:val="18"/>
          <w:color w:val="auto"/>
        </w:rPr>
      </w:pPr>
    </w:p>
    <w:p>
      <w:pPr>
        <w:ind w:left="1300" w:right="20" w:hanging="648"/>
        <w:spacing w:after="0" w:line="259" w:lineRule="auto"/>
        <w:rPr>
          <w:rFonts w:ascii="Arial" w:cs="Arial" w:eastAsia="Arial" w:hAnsi="Arial"/>
          <w:sz w:val="18"/>
          <w:szCs w:val="18"/>
          <w:color w:val="auto"/>
        </w:rPr>
      </w:pPr>
      <w:r>
        <w:rPr>
          <w:rFonts w:ascii="Arial" w:cs="Arial" w:eastAsia="Arial" w:hAnsi="Arial"/>
          <w:sz w:val="18"/>
          <w:szCs w:val="18"/>
          <w:color w:val="auto"/>
        </w:rPr>
        <w:t>24.2This Agreement has been prepared following arm’s-length negotiations in which each Party had the opportunity to consult with legal counsel regarding the provisions hereof. Every covenant, term and provision of this Agreement shall be construed according to its fair meaning and not strictly for or against any Party or Parties.</w:t>
      </w:r>
    </w:p>
    <w:p>
      <w:pPr>
        <w:spacing w:after="0" w:line="221" w:lineRule="exact"/>
        <w:rPr>
          <w:rFonts w:ascii="Arial" w:cs="Arial" w:eastAsia="Arial" w:hAnsi="Arial"/>
          <w:sz w:val="18"/>
          <w:szCs w:val="18"/>
          <w:color w:val="auto"/>
        </w:rPr>
      </w:pPr>
    </w:p>
    <w:p>
      <w:pPr>
        <w:ind w:left="1300" w:hanging="648"/>
        <w:spacing w:after="0" w:line="268" w:lineRule="auto"/>
        <w:rPr>
          <w:rFonts w:ascii="Arial" w:cs="Arial" w:eastAsia="Arial" w:hAnsi="Arial"/>
          <w:sz w:val="18"/>
          <w:szCs w:val="18"/>
          <w:color w:val="auto"/>
        </w:rPr>
      </w:pPr>
      <w:r>
        <w:rPr>
          <w:rFonts w:ascii="Arial" w:cs="Arial" w:eastAsia="Arial" w:hAnsi="Arial"/>
          <w:sz w:val="18"/>
          <w:szCs w:val="18"/>
          <w:color w:val="auto"/>
        </w:rPr>
        <w:t>24.3This Agreement shall be governed by, construed and interpreted in accordance with the laws of the United States and the State of New York, without regards to its conflict of law principles.</w:t>
      </w:r>
    </w:p>
    <w:p>
      <w:pPr>
        <w:spacing w:after="0" w:line="212" w:lineRule="exact"/>
        <w:rPr>
          <w:rFonts w:ascii="Arial" w:cs="Arial" w:eastAsia="Arial" w:hAnsi="Arial"/>
          <w:sz w:val="18"/>
          <w:szCs w:val="18"/>
          <w:color w:val="auto"/>
        </w:rPr>
      </w:pPr>
    </w:p>
    <w:p>
      <w:pPr>
        <w:ind w:left="1300" w:hanging="648"/>
        <w:spacing w:after="0" w:line="255" w:lineRule="auto"/>
        <w:rPr>
          <w:rFonts w:ascii="Arial" w:cs="Arial" w:eastAsia="Arial" w:hAnsi="Arial"/>
          <w:sz w:val="18"/>
          <w:szCs w:val="18"/>
          <w:color w:val="auto"/>
        </w:rPr>
      </w:pPr>
      <w:r>
        <w:rPr>
          <w:rFonts w:ascii="Arial" w:cs="Arial" w:eastAsia="Arial" w:hAnsi="Arial"/>
          <w:sz w:val="18"/>
          <w:szCs w:val="18"/>
          <w:color w:val="auto"/>
        </w:rPr>
        <w:t>24.4Any controversy, claim or dispute arising out of, in connection with or relating to this Agreement shall be first submitted to mediation, which mediation shall take place in San Diego, Calfornia, unless another location shall be agreed upon by the Parties. If mediation is not successful, then the dispute shall be resolved solely by binding arbitration, in accordance with Exhibit A and the Commercial Arbitration Rules of the American Arbitration Association (“AAA”) in effect as of the day the arbitration demand is made. If the AAA rules conflict with Exhibit A, Exhibit A shall prevail.</w:t>
      </w:r>
    </w:p>
    <w:p>
      <w:pPr>
        <w:spacing w:after="0" w:line="250" w:lineRule="exact"/>
        <w:rPr>
          <w:rFonts w:ascii="Arial" w:cs="Arial" w:eastAsia="Arial" w:hAnsi="Arial"/>
          <w:sz w:val="18"/>
          <w:szCs w:val="18"/>
          <w:color w:val="auto"/>
        </w:rPr>
      </w:pPr>
    </w:p>
    <w:p>
      <w:pPr>
        <w:ind w:left="1300" w:hanging="648"/>
        <w:spacing w:after="0" w:line="323" w:lineRule="auto"/>
        <w:rPr>
          <w:rFonts w:ascii="Arial" w:cs="Arial" w:eastAsia="Arial" w:hAnsi="Arial"/>
          <w:sz w:val="18"/>
          <w:szCs w:val="18"/>
          <w:color w:val="auto"/>
        </w:rPr>
      </w:pPr>
      <w:r>
        <w:rPr>
          <w:rFonts w:ascii="Arial" w:cs="Arial" w:eastAsia="Arial" w:hAnsi="Arial"/>
          <w:sz w:val="18"/>
          <w:szCs w:val="18"/>
          <w:color w:val="auto"/>
        </w:rPr>
        <w:t>24.5</w:t>
      </w:r>
      <w:r>
        <w:rPr>
          <w:rFonts w:ascii="Arial" w:cs="Arial" w:eastAsia="Arial" w:hAnsi="Arial"/>
          <w:sz w:val="15"/>
          <w:szCs w:val="15"/>
          <w:color w:val="auto"/>
        </w:rPr>
        <w:t>Notwithstanding Section 24.4, (a) with respect to any uncollected invoice, if CRL asks VistaGen if VistaGen disputes that payment is due and either VistaGen does not reply within one (1) month or VistaGen replies that there is no dispute, then CRL may bring a collection suit in a court resident in Durham County, North Carolina and VistaGen consents to the personal jurisdiction of such courts in such matter; and (b) if damages for a breach are not likely to be an adequate remedy, then either Party may bring an injunction proceeding before any court with jurisdiction.</w:t>
      </w:r>
    </w:p>
    <w:p>
      <w:pPr>
        <w:spacing w:after="0" w:line="172"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representations and warranties of the Parties in Section 10 shall survive the events to which they relate and survive the expiration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of this Agreement and the rights and obligations of the Parties set forth in Sections 3.2, 4, 5, 7 - 17, 20, 24 and 25 shall survive expiration or earlier termination of this Agreement.</w:t>
      </w:r>
    </w:p>
    <w:p>
      <w:pPr>
        <w:spacing w:after="0" w:line="186"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This Agreement may not be assigned by either Party without the prior written consent of the other Party, which shall not be unreasonably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provided however, that either Party may assign this Agreement without prior written consent of the other Party in connection with a merger or the sale of all or substantially all of the assigning Party’s assets or equity on the condition that such assignment shall be solely to the acquirer or purchaser of the assigning Party and such acquirer or purchaser must assume the assigning Party’s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54" w:name="page155"/>
    <w:bookmarkEnd w:id="154"/>
    <w:p>
      <w:pPr>
        <w:jc w:val="right"/>
        <w:spacing w:after="0" w:line="269" w:lineRule="auto"/>
        <w:rPr>
          <w:sz w:val="20"/>
          <w:szCs w:val="20"/>
          <w:color w:val="auto"/>
        </w:rPr>
      </w:pPr>
      <w:r>
        <w:rPr>
          <w:rFonts w:ascii="Arial" w:cs="Arial" w:eastAsia="Arial" w:hAnsi="Arial"/>
          <w:sz w:val="21"/>
          <w:szCs w:val="21"/>
          <w:color w:val="auto"/>
        </w:rPr>
        <w:t>2</w:t>
      </w:r>
      <w:r>
        <w:rPr>
          <w:rFonts w:ascii="Arial" w:cs="Arial" w:eastAsia="Arial" w:hAnsi="Arial"/>
          <w:sz w:val="16"/>
          <w:szCs w:val="16"/>
          <w:color w:val="auto"/>
        </w:rPr>
        <w:t>7.</w:t>
      </w:r>
      <w:r>
        <w:rPr>
          <w:rFonts w:ascii="Arial" w:cs="Arial" w:eastAsia="Arial" w:hAnsi="Arial"/>
          <w:sz w:val="21"/>
          <w:szCs w:val="21"/>
          <w:color w:val="auto"/>
        </w:rPr>
        <w:t xml:space="preserve">     </w:t>
      </w:r>
      <w:r>
        <w:rPr>
          <w:rFonts w:ascii="Arial" w:cs="Arial" w:eastAsia="Arial" w:hAnsi="Arial"/>
          <w:sz w:val="16"/>
          <w:szCs w:val="16"/>
          <w:b w:val="1"/>
          <w:bCs w:val="1"/>
          <w:color w:val="auto"/>
        </w:rPr>
        <w:t>Freedom to Contract</w:t>
      </w:r>
      <w:r>
        <w:rPr>
          <w:rFonts w:ascii="Arial" w:cs="Arial" w:eastAsia="Arial" w:hAnsi="Arial"/>
          <w:sz w:val="16"/>
          <w:szCs w:val="16"/>
          <w:color w:val="auto"/>
        </w:rPr>
        <w:t>. Except with respect to CRO Services for which VistaGen specifically hires CRL to perform under this Agreement, (a) VistaGen</w:t>
      </w:r>
      <w:r>
        <w:rPr>
          <w:rFonts w:ascii="Arial" w:cs="Arial" w:eastAsia="Arial" w:hAnsi="Arial"/>
          <w:sz w:val="21"/>
          <w:szCs w:val="21"/>
          <w:color w:val="auto"/>
        </w:rPr>
        <w:t xml:space="preserve"> </w:t>
      </w:r>
      <w:r>
        <w:rPr>
          <w:rFonts w:ascii="Arial" w:cs="Arial" w:eastAsia="Arial" w:hAnsi="Arial"/>
          <w:sz w:val="16"/>
          <w:szCs w:val="16"/>
          <w:color w:val="auto"/>
        </w:rPr>
        <w:t>is not required to use CRL for any specific work; (b) VistaGen is free to retain others to perform the same or similar CRO Services as offered by CRL;</w:t>
      </w:r>
    </w:p>
    <w:p>
      <w:pPr>
        <w:spacing w:after="0" w:line="2"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(c) CRL is not required to provide any CRO Services to VistaGen; and (d) CRL is free to provide CRO Services to other clients that are similar to CRO Services provided to VistaGen.</w:t>
      </w:r>
    </w:p>
    <w:p>
      <w:pPr>
        <w:spacing w:after="0" w:line="212" w:lineRule="exact"/>
        <w:rPr>
          <w:sz w:val="20"/>
          <w:szCs w:val="20"/>
          <w:color w:val="auto"/>
        </w:rPr>
      </w:pPr>
    </w:p>
    <w:p>
      <w:pPr>
        <w:jc w:val="both"/>
        <w:ind w:left="660" w:hanging="652"/>
        <w:spacing w:after="0" w:line="291"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Exhibit A to this Agreement and Work Orders are incorporated into and made a part of this Agreement. This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incorporated Exhibit A and Work Orders, constitutes the entire agreement between the Parties relating to the subject matter hereof and supersedes all prior agreements, whether written or oral, relating to the subject matter hereof; provided however, that all prior confidentiality, nonuse and nondisclosure agreements shall remain in effect as to all matters not specifically covered by this Agreement. Except as otherwise authorized herein, changes, modifications, and amendments shall be valid only if made in writing and signed by both Parties. To be effective, any agreement between the Parties purporting to amend a term of this Agreement, including without limitation any Work Order, must specifically identify that term’s Section number and state the Parties’ specific intent to amend that term.</w:t>
      </w:r>
    </w:p>
    <w:p>
      <w:pPr>
        <w:spacing w:after="0" w:line="194" w:lineRule="exact"/>
        <w:rPr>
          <w:rFonts w:ascii="Arial" w:cs="Arial" w:eastAsia="Arial" w:hAnsi="Arial"/>
          <w:sz w:val="16"/>
          <w:szCs w:val="16"/>
          <w:color w:val="auto"/>
        </w:rPr>
      </w:pPr>
    </w:p>
    <w:p>
      <w:pPr>
        <w:jc w:val="both"/>
        <w:ind w:left="660" w:hanging="652"/>
        <w:spacing w:after="0" w:line="310"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Signatures. </w:t>
      </w:r>
      <w:r>
        <w:rPr>
          <w:rFonts w:ascii="Arial" w:cs="Arial" w:eastAsia="Arial" w:hAnsi="Arial"/>
          <w:sz w:val="16"/>
          <w:szCs w:val="16"/>
          <w:color w:val="auto"/>
        </w:rPr>
        <w:t>This Agreement and any amendment or Work Order issued under it may be executed in one or more counterparts, each of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an original but all of which together shall constitute one and the same instrument. Facsimile signatures and signatures transmitted by email after having been scanned shall be accepted as originals for the purposes of this Agreement and any Work Orders issued hereunder.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155" w:name="page156"/>
    <w:bookmarkEnd w:id="155"/>
    <w:p>
      <w:pPr>
        <w:spacing w:after="0"/>
        <w:rPr>
          <w:sz w:val="20"/>
          <w:szCs w:val="20"/>
          <w:color w:val="auto"/>
        </w:rPr>
      </w:pPr>
      <w:r>
        <w:rPr>
          <w:rFonts w:ascii="Arial" w:cs="Arial" w:eastAsia="Arial" w:hAnsi="Arial"/>
          <w:sz w:val="15"/>
          <w:szCs w:val="15"/>
          <w:color w:val="auto"/>
        </w:rPr>
        <w:t>The Parties have executed this Agreement as of the date first written above.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Cato Research Ltd.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Jo Cato</w:t>
      </w:r>
    </w:p>
    <w:p>
      <w:pPr>
        <w:spacing w:after="0" w:line="21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The signer certifies that he/she has the authority to execute this Master Services Agreementon behalf of Cato Research Ltd.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Name: Jo Cato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COO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Shawn K. Singh</w:t>
      </w:r>
    </w:p>
    <w:p>
      <w:pPr>
        <w:spacing w:after="0" w:line="219" w:lineRule="exact"/>
        <w:rPr>
          <w:sz w:val="20"/>
          <w:szCs w:val="20"/>
          <w:color w:val="auto"/>
        </w:rPr>
      </w:pPr>
    </w:p>
    <w:p>
      <w:pPr>
        <w:ind w:left="160"/>
        <w:spacing w:after="0" w:line="339" w:lineRule="auto"/>
        <w:rPr>
          <w:sz w:val="20"/>
          <w:szCs w:val="20"/>
          <w:color w:val="auto"/>
        </w:rPr>
      </w:pPr>
      <w:r>
        <w:rPr>
          <w:rFonts w:ascii="Arial" w:cs="Arial" w:eastAsia="Arial" w:hAnsi="Arial"/>
          <w:sz w:val="16"/>
          <w:szCs w:val="16"/>
          <w:b w:val="1"/>
          <w:bCs w:val="1"/>
          <w:color w:val="auto"/>
        </w:rPr>
        <w:t>The signer certifies that he/she has the authority to execute this Master Services Agreement behalf of VistaGen Therapeutics, Inc.</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Shawn J. Singh</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10795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320" w:space="240"/>
            <w:col w:w="5460"/>
          </w:cols>
          <w:pgMar w:left="240" w:top="725" w:right="6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ARBITRATION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rules shall apply to any arbitration of the parties under Section 24:</w:t>
      </w:r>
    </w:p>
    <w:p>
      <w:pPr>
        <w:spacing w:after="0" w:line="395" w:lineRule="exact"/>
        <w:rPr>
          <w:sz w:val="20"/>
          <w:szCs w:val="20"/>
          <w:color w:val="auto"/>
        </w:rPr>
      </w:pPr>
    </w:p>
    <w:p>
      <w:pPr>
        <w:ind w:right="560" w:firstLine="8"/>
        <w:spacing w:after="0" w:line="339" w:lineRule="auto"/>
        <w:tabs>
          <w:tab w:leader="none" w:pos="348"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Location and Language</w:t>
      </w:r>
      <w:r>
        <w:rPr>
          <w:rFonts w:ascii="Arial" w:cs="Arial" w:eastAsia="Arial" w:hAnsi="Arial"/>
          <w:sz w:val="16"/>
          <w:szCs w:val="16"/>
          <w:color w:val="auto"/>
        </w:rPr>
        <w:t>. The location of the arbitration shall be in San Mateo, California</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Parties should agree to a different location.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shall be conducted in American English and any findings and/or decisions shall be rendered in American English.</w:t>
      </w:r>
    </w:p>
    <w:p>
      <w:pPr>
        <w:spacing w:after="0" w:line="155" w:lineRule="exact"/>
        <w:rPr>
          <w:rFonts w:ascii="Arial" w:cs="Arial" w:eastAsia="Arial" w:hAnsi="Arial"/>
          <w:sz w:val="16"/>
          <w:szCs w:val="16"/>
          <w:color w:val="auto"/>
        </w:rPr>
      </w:pPr>
    </w:p>
    <w:p>
      <w:pPr>
        <w:ind w:right="140" w:firstLine="8"/>
        <w:spacing w:after="0" w:line="296" w:lineRule="auto"/>
        <w:tabs>
          <w:tab w:leader="none" w:pos="348"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Number and Selection of Arbitrator</w:t>
      </w:r>
      <w:r>
        <w:rPr>
          <w:rFonts w:ascii="Arial" w:cs="Arial" w:eastAsia="Arial" w:hAnsi="Arial"/>
          <w:sz w:val="16"/>
          <w:szCs w:val="16"/>
          <w:color w:val="auto"/>
        </w:rPr>
        <w:t>. The arbitration shall be conducted by one arbitrator who is independent and disinterested with respect to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outcome of the arbitration (a “neutral arbitrator”). If the Parties cannot agree on a neutral arbitrator, then each Party shall select an arbitrator it believes to be neutral, who together shall select a third neutral arbitrator to conduct the arbitration. The arbitrator will be selected with consideration given to his or her experience with disputes of the type being submitted (e.g., the nature of the claim and the technology involved). It is the intent of the Parties that the final arbitrator be selected within thirty (30) days after the arbitration demand is first made.</w:t>
      </w:r>
    </w:p>
    <w:p>
      <w:pPr>
        <w:spacing w:after="0" w:line="188" w:lineRule="exact"/>
        <w:rPr>
          <w:rFonts w:ascii="Arial" w:cs="Arial" w:eastAsia="Arial" w:hAnsi="Arial"/>
          <w:sz w:val="16"/>
          <w:szCs w:val="16"/>
          <w:color w:val="auto"/>
        </w:rPr>
      </w:pPr>
    </w:p>
    <w:p>
      <w:pPr>
        <w:ind w:right="100" w:firstLine="8"/>
        <w:spacing w:after="0" w:line="258" w:lineRule="auto"/>
        <w:tabs>
          <w:tab w:leader="none" w:pos="34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Case Management</w:t>
      </w:r>
      <w:r>
        <w:rPr>
          <w:rFonts w:ascii="Arial" w:cs="Arial" w:eastAsia="Arial" w:hAnsi="Arial"/>
          <w:sz w:val="18"/>
          <w:szCs w:val="18"/>
          <w:color w:val="auto"/>
        </w:rPr>
        <w:t>. Prompt resolution of any dispute is important to both Parties and the Parties agree that the arbitration of any dispute shall be conducted</w:t>
      </w:r>
      <w:r>
        <w:rPr>
          <w:rFonts w:ascii="Arial" w:cs="Arial" w:eastAsia="Arial" w:hAnsi="Arial"/>
          <w:sz w:val="18"/>
          <w:szCs w:val="18"/>
          <w:b w:val="1"/>
          <w:bCs w:val="1"/>
          <w:color w:val="auto"/>
        </w:rPr>
        <w:t xml:space="preserve"> </w:t>
      </w:r>
      <w:r>
        <w:rPr>
          <w:rFonts w:ascii="Arial" w:cs="Arial" w:eastAsia="Arial" w:hAnsi="Arial"/>
          <w:sz w:val="18"/>
          <w:szCs w:val="18"/>
          <w:color w:val="auto"/>
        </w:rPr>
        <w:t>expeditiously. The arbitrator is instructed and directed to assume case management initiative and control over the arbitration process (including scheduling of events, pre-hearing discovery and activities, and the conduct of the hearing), in order to complete the arbitration as expeditiously as is reasonably practical to obtain a just resolution of the dispute.</w:t>
      </w:r>
    </w:p>
    <w:p>
      <w:pPr>
        <w:spacing w:after="0" w:line="217" w:lineRule="exact"/>
        <w:rPr>
          <w:rFonts w:ascii="Arial" w:cs="Arial" w:eastAsia="Arial" w:hAnsi="Arial"/>
          <w:sz w:val="18"/>
          <w:szCs w:val="18"/>
          <w:color w:val="auto"/>
        </w:rPr>
      </w:pPr>
    </w:p>
    <w:p>
      <w:pPr>
        <w:ind w:right="100" w:firstLine="8"/>
        <w:spacing w:after="0" w:line="258" w:lineRule="auto"/>
        <w:tabs>
          <w:tab w:leader="none" w:pos="34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The arbitrator shall follow and apply the applicable law. The arbitrator shall grant such legal or equitable remedies and relief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that the arbitrator deems just and equitable, but only to the extent that such remedies or relief could be granted by a state or federal court and as otherwise limited by the terms in this Agreement. No punitive damages may be awarded by the arbitrator. The arbitrator may not award punitive damages and no court action may be maintained seeking punitive damages.</w:t>
      </w:r>
    </w:p>
    <w:p>
      <w:pPr>
        <w:spacing w:after="0" w:line="217" w:lineRule="exact"/>
        <w:rPr>
          <w:rFonts w:ascii="Arial" w:cs="Arial" w:eastAsia="Arial" w:hAnsi="Arial"/>
          <w:sz w:val="18"/>
          <w:szCs w:val="18"/>
          <w:color w:val="auto"/>
        </w:rPr>
      </w:pPr>
    </w:p>
    <w:p>
      <w:pPr>
        <w:ind w:right="60" w:firstLine="8"/>
        <w:spacing w:after="0" w:line="258" w:lineRule="auto"/>
        <w:tabs>
          <w:tab w:leader="none" w:pos="34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expenses of the arbitration, including the arbitrator’s fees, expert witness fees, and attorney’s fees, may be awarded to the prevailing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discretion of the arbitrator, or may be apportioned between the Parties in any manner deemed appropriate by the arbitrator. Unless and until the arbitrator decides that one Party is to pay for all (or a share) of such expenses, both Parties shall share equally in the payment of the arbitrator’s fees as and when billed by the arbitrator.</w:t>
      </w:r>
    </w:p>
    <w:p>
      <w:pPr>
        <w:spacing w:after="0" w:line="217" w:lineRule="exact"/>
        <w:rPr>
          <w:rFonts w:ascii="Arial" w:cs="Arial" w:eastAsia="Arial" w:hAnsi="Arial"/>
          <w:sz w:val="18"/>
          <w:szCs w:val="18"/>
          <w:color w:val="auto"/>
        </w:rPr>
      </w:pPr>
    </w:p>
    <w:p>
      <w:pPr>
        <w:ind w:firstLine="8"/>
        <w:spacing w:after="0" w:line="255" w:lineRule="auto"/>
        <w:tabs>
          <w:tab w:leader="none" w:pos="34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The Parties shall keep confidential the fact of the arbitration, the dispute being arbitrated, and the decision of the arbitrator. 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(a) the Parties may disclose information about the arbitration to persons who have a need to know, such as directors, trustees, management employees, witnesses, experts, investors, attorneys, lenders, insurers, and others who may be directly affected; (b) if a Party has stock that is publicly traded, the Party may make such disclosures as are required by applicable securities laws or listing rules; and (c) if a Party is expressly asked by a Third Party about the dispute or the arbitration, the Party may disclose and acknowledge in general and limited terms that there is a dispute with the other Party which is being (or has been) arbitrated.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333-223556 and 333-208354) and Form S-3 (File No. 333-215671) of VistaGen Therapeutics, Inc. of our report dated June 25, 2019 (which report expresses an unqualified opinion and includes an explanatory paragraph expressing substantial doubt about the Company’s ability to continue as a going concern), relating to the consolidated financial statements of VistaGen Therapeutics, Inc., which appears in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980" w:hanging="244"/>
        <w:spacing w:after="0" w:line="259"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254"/>
        <w:spacing w:after="0" w:line="259"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244"/>
        <w:spacing w:after="0" w:line="332" w:lineRule="auto"/>
        <w:tabs>
          <w:tab w:leader="none" w:pos="9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254"/>
        <w:spacing w:after="0" w:line="259"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244"/>
        <w:spacing w:after="0" w:line="268"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254"/>
        <w:spacing w:after="0" w:line="268"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June 25, 2019</w:t>
      </w:r>
      <w:r>
        <w:rPr>
          <w:sz w:val="20"/>
          <w:szCs w:val="20"/>
          <w:color w:val="auto"/>
        </w:rPr>
        <w:tab/>
      </w:r>
      <w:r>
        <w:rPr>
          <w:rFonts w:ascii="Arial" w:cs="Arial" w:eastAsia="Arial" w:hAnsi="Arial"/>
          <w:sz w:val="15"/>
          <w:szCs w:val="15"/>
          <w:u w:val="single" w:color="auto"/>
          <w:color w:val="auto"/>
        </w:rPr>
        <w:t>/s/ Shawn K. Singh</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Shawn K. Singh, JD</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980" w:hanging="244"/>
        <w:spacing w:after="0" w:line="259"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254"/>
        <w:spacing w:after="0" w:line="259"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244"/>
        <w:spacing w:after="0" w:line="332" w:lineRule="auto"/>
        <w:tabs>
          <w:tab w:leader="none" w:pos="9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254"/>
        <w:spacing w:after="0" w:line="259"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244"/>
        <w:spacing w:after="0" w:line="268"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980" w:hanging="254"/>
        <w:spacing w:after="0" w:line="268"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June 25, 2019</w:t>
      </w:r>
      <w:r>
        <w:rPr>
          <w:sz w:val="20"/>
          <w:szCs w:val="20"/>
          <w:color w:val="auto"/>
        </w:rPr>
        <w:tab/>
      </w:r>
      <w:r>
        <w:rPr>
          <w:rFonts w:ascii="Arial" w:cs="Arial" w:eastAsia="Arial" w:hAnsi="Arial"/>
          <w:sz w:val="16"/>
          <w:szCs w:val="16"/>
          <w:u w:val="single" w:color="auto"/>
          <w:color w:val="auto"/>
        </w:rPr>
        <w:t>/s/ Jerrold D. Dotson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Jerrold D. Dotson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left="10440"/>
        <w:spacing w:after="0"/>
        <w:rPr>
          <w:sz w:val="20"/>
          <w:szCs w:val="20"/>
          <w:color w:val="auto"/>
        </w:rPr>
      </w:pPr>
      <w:r>
        <w:rPr>
          <w:rFonts w:ascii="Arial" w:cs="Arial" w:eastAsia="Arial" w:hAnsi="Arial"/>
          <w:sz w:val="18"/>
          <w:szCs w:val="18"/>
          <w:b w:val="1"/>
          <w:bCs w:val="1"/>
          <w:color w:val="auto"/>
        </w:rPr>
        <w:t>EXHIBIT 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 hereby certifies, to such officer’s knowledge, that:</w:t>
      </w:r>
    </w:p>
    <w:p>
      <w:pPr>
        <w:spacing w:after="0" w:line="118" w:lineRule="exact"/>
        <w:rPr>
          <w:sz w:val="20"/>
          <w:szCs w:val="20"/>
          <w:color w:val="auto"/>
        </w:rPr>
      </w:pPr>
    </w:p>
    <w:p>
      <w:pPr>
        <w:ind w:left="500" w:firstLine="480"/>
        <w:spacing w:after="0" w:line="332" w:lineRule="auto"/>
        <w:tabs>
          <w:tab w:leader="none" w:pos="119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annual period ended March 31, 2019 (the “</w:t>
      </w:r>
      <w:r>
        <w:rPr>
          <w:rFonts w:ascii="Arial" w:cs="Arial" w:eastAsia="Arial" w:hAnsi="Arial"/>
          <w:sz w:val="16"/>
          <w:szCs w:val="16"/>
          <w:i w:val="1"/>
          <w:iCs w:val="1"/>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71" w:lineRule="exact"/>
        <w:rPr>
          <w:rFonts w:ascii="Arial" w:cs="Arial" w:eastAsia="Arial" w:hAnsi="Arial"/>
          <w:sz w:val="16"/>
          <w:szCs w:val="16"/>
          <w:color w:val="auto"/>
        </w:rPr>
      </w:pPr>
    </w:p>
    <w:p>
      <w:pPr>
        <w:ind w:left="1240" w:hanging="260"/>
        <w:spacing w:after="0"/>
        <w:tabs>
          <w:tab w:leader="none" w:pos="1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June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upperLetter"/>
      <w:start w:val="1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lowerRoman"/>
      <w:start w:val="3"/>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1."/>
      <w:numFmt w:val="decimal"/>
      <w:start w:val="1"/>
    </w:lvl>
    <w:lvl w:ilvl="1">
      <w:lvlJc w:val="left"/>
      <w:lvlText w:val="(%2)"/>
      <w:numFmt w:val="lowerLetter"/>
      <w:start w:val="1"/>
    </w:lvl>
  </w:abstractNum>
  <w:abstractNum w:abstractNumId="51">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52">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53">
    <w:nsid w:val="168E121F"/>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lowerLetter"/>
      <w:start w:val="1"/>
    </w:lvl>
  </w:abstractNum>
  <w:abstractNum w:abstractNumId="54">
    <w:nsid w:val="1EBA5D2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5">
    <w:nsid w:val="661E3F1E"/>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56">
    <w:nsid w:val="5DC79EA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57">
    <w:nsid w:val="540A471C"/>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8">
    <w:nsid w:val="7BD3EE7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34"/>
    </w:lvl>
    <w:lvl w:ilvl="4">
      <w:lvlJc w:val="left"/>
      <w:lvlText w:val="(%5)"/>
      <w:numFmt w:val="lowerRoman"/>
      <w:start w:val="1"/>
    </w:lvl>
  </w:abstractNum>
  <w:abstractNum w:abstractNumId="59">
    <w:nsid w:val="51D9C564"/>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60">
    <w:nsid w:val="613EFDC5"/>
    <w:multiLevelType w:val="hybridMultilevel"/>
    <w:lvl w:ilvl="0">
      <w:lvlJc w:val="left"/>
      <w:lvlText w:val="%1."/>
      <w:numFmt w:val="decimal"/>
      <w:start w:val="7"/>
    </w:lvl>
  </w:abstractNum>
  <w:abstractNum w:abstractNumId="61">
    <w:nsid w:val="BF72B14"/>
    <w:multiLevelType w:val="hybridMultilevel"/>
    <w:lvl w:ilvl="0">
      <w:lvlJc w:val="left"/>
      <w:lvlText w:val="%1."/>
      <w:numFmt w:val="decimal"/>
      <w:start w:val="13"/>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2"/>
    </w:lvl>
  </w:abstractNum>
  <w:abstractNum w:abstractNumId="64">
    <w:nsid w:val="A0382C5"/>
    <w:multiLevelType w:val="hybridMultilevel"/>
    <w:lvl w:ilvl="0">
      <w:lvlJc w:val="left"/>
      <w:lvlText w:val="%1."/>
      <w:numFmt w:val="decimal"/>
      <w:start w:val="4"/>
    </w:lvl>
  </w:abstractNum>
  <w:abstractNum w:abstractNumId="65">
    <w:nsid w:val="8F2B15E"/>
    <w:multiLevelType w:val="hybridMultilevel"/>
    <w:lvl w:ilvl="0">
      <w:lvlJc w:val="left"/>
      <w:lvlText w:val="%1."/>
      <w:numFmt w:val="decimal"/>
      <w:start w:val="5"/>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decimal"/>
      <w:start w:val="6"/>
    </w:lvl>
  </w:abstractNum>
  <w:abstractNum w:abstractNumId="68">
    <w:nsid w:val="68EB2F63"/>
    <w:multiLevelType w:val="hybridMultilevel"/>
    <w:lvl w:ilvl="0">
      <w:lvlJc w:val="left"/>
      <w:lvlText w:val="(%1)"/>
      <w:numFmt w:val="decimal"/>
      <w:start w:val="30"/>
    </w:lvl>
  </w:abstractNum>
  <w:abstractNum w:abstractNumId="69">
    <w:nsid w:val="4962813B"/>
    <w:multiLevelType w:val="hybridMultilevel"/>
    <w:lvl w:ilvl="0">
      <w:lvlJc w:val="left"/>
      <w:lvlText w:val="%1."/>
      <w:numFmt w:val="decimal"/>
      <w:start w:val="7"/>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decimal"/>
      <w:start w:val="8"/>
    </w:lvl>
  </w:abstractNum>
  <w:abstractNum w:abstractNumId="72">
    <w:nsid w:val="14330624"/>
    <w:multiLevelType w:val="hybridMultilevel"/>
    <w:lvl w:ilvl="0">
      <w:lvlJc w:val="left"/>
      <w:lvlText w:val="%1."/>
      <w:numFmt w:val="decimal"/>
      <w:start w:val="9"/>
    </w:lvl>
  </w:abstractNum>
  <w:abstractNum w:abstractNumId="73">
    <w:nsid w:val="7FFFCA11"/>
    <w:multiLevelType w:val="hybridMultilevel"/>
    <w:lvl w:ilvl="0">
      <w:lvlJc w:val="left"/>
      <w:lvlText w:val="%1."/>
      <w:numFmt w:val="decimal"/>
      <w:start w:val="11"/>
    </w:lvl>
  </w:abstractNum>
  <w:abstractNum w:abstractNumId="74">
    <w:nsid w:val="1A27709E"/>
    <w:multiLevelType w:val="hybridMultilevel"/>
    <w:lvl w:ilvl="0">
      <w:lvlJc w:val="left"/>
      <w:lvlText w:val="%1."/>
      <w:numFmt w:val="decimal"/>
      <w:start w:val="12"/>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77">
    <w:nsid w:val="7FB7E0A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78">
    <w:nsid w:val="6EB5BD4"/>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9">
    <w:nsid w:val="6F6DD9AC"/>
    <w:multiLevelType w:val="hybridMultilevel"/>
    <w:lvl w:ilvl="0">
      <w:lvlJc w:val="left"/>
      <w:lvlText w:val="%1."/>
      <w:numFmt w:val="decimal"/>
      <w:start w:val="14"/>
    </w:lvl>
  </w:abstractNum>
  <w:abstractNum w:abstractNumId="80">
    <w:nsid w:val="94211F2"/>
    <w:multiLevelType w:val="hybridMultilevel"/>
    <w:lvl w:ilvl="0">
      <w:lvlJc w:val="left"/>
      <w:lvlText w:val="%1."/>
      <w:numFmt w:val="decimal"/>
      <w:start w:val="15"/>
    </w:lvl>
  </w:abstractNum>
  <w:abstractNum w:abstractNumId="81">
    <w:nsid w:val="885E1B"/>
    <w:multiLevelType w:val="hybridMultilevel"/>
    <w:lvl w:ilvl="0">
      <w:lvlJc w:val="left"/>
      <w:lvlText w:val="%1."/>
      <w:numFmt w:val="decimal"/>
      <w:start w:val="16"/>
    </w:lvl>
  </w:abstractNum>
  <w:abstractNum w:abstractNumId="82">
    <w:nsid w:val="76272110"/>
    <w:multiLevelType w:val="hybridMultilevel"/>
    <w:lvl w:ilvl="0">
      <w:lvlJc w:val="left"/>
      <w:lvlText w:val="%1."/>
      <w:numFmt w:val="decimal"/>
      <w:start w:val="17"/>
    </w:lvl>
  </w:abstractNum>
  <w:abstractNum w:abstractNumId="83">
    <w:nsid w:val="4C04A8AF"/>
    <w:multiLevelType w:val="hybridMultilevel"/>
    <w:lvl w:ilvl="0">
      <w:lvlJc w:val="left"/>
      <w:lvlText w:val="%1."/>
      <w:numFmt w:val="decimal"/>
      <w:start w:val="18"/>
    </w:lvl>
  </w:abstractNum>
  <w:abstractNum w:abstractNumId="84">
    <w:nsid w:val="1716703B"/>
    <w:multiLevelType w:val="hybridMultilevel"/>
    <w:lvl w:ilvl="0">
      <w:lvlJc w:val="left"/>
      <w:lvlText w:val="%1."/>
      <w:numFmt w:val="decimal"/>
      <w:start w:val="19"/>
    </w:lvl>
  </w:abstractNum>
  <w:abstractNum w:abstractNumId="85">
    <w:nsid w:val="14E17E33"/>
    <w:multiLevelType w:val="hybridMultilevel"/>
    <w:lvl w:ilvl="0">
      <w:lvlJc w:val="left"/>
      <w:lvlText w:val="%1."/>
      <w:numFmt w:val="decimal"/>
      <w:start w:val="24"/>
    </w:lvl>
  </w:abstractNum>
  <w:abstractNum w:abstractNumId="86">
    <w:nsid w:val="3222E7CD"/>
    <w:multiLevelType w:val="hybridMultilevel"/>
    <w:lvl w:ilvl="0">
      <w:lvlJc w:val="left"/>
      <w:lvlText w:val="%1."/>
      <w:numFmt w:val="decimal"/>
      <w:start w:val="28"/>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8" Type="http://schemas.openxmlformats.org/officeDocument/2006/relationships/image" Target="media/image129.png"/><Relationship Id="rId161" Type="http://schemas.openxmlformats.org/officeDocument/2006/relationships/image" Target="media/image130.png"/><Relationship Id="rId164" Type="http://schemas.openxmlformats.org/officeDocument/2006/relationships/image" Target="media/image131.png"/><Relationship Id="rId167" Type="http://schemas.openxmlformats.org/officeDocument/2006/relationships/image" Target="media/image132.png"/><Relationship Id="rId170" Type="http://schemas.openxmlformats.org/officeDocument/2006/relationships/image" Target="media/image133.png"/><Relationship Id="rId173" Type="http://schemas.openxmlformats.org/officeDocument/2006/relationships/image" Target="media/image134.png"/><Relationship Id="rId176" Type="http://schemas.openxmlformats.org/officeDocument/2006/relationships/image" Target="media/image135.png"/><Relationship Id="rId179" Type="http://schemas.openxmlformats.org/officeDocument/2006/relationships/image" Target="media/image136.png"/><Relationship Id="rId182"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136" Type="http://schemas.openxmlformats.org/officeDocument/2006/relationships/hyperlink" Target="http://www.sec.gov/Archives/edgar/data/1411685/000141588911000362/ex2-1.htm" TargetMode="External"/><Relationship Id="rId137" Type="http://schemas.openxmlformats.org/officeDocument/2006/relationships/hyperlink" Target="http://www.sec.gov/Archives/edgar/data/1411685/000141588911000445/exhibit3-1.htm" TargetMode="External"/><Relationship Id="rId138" Type="http://schemas.openxmlformats.org/officeDocument/2006/relationships/hyperlink" Target="http://www.sec.gov/Archives/edgar/data/1411685/000141588911001446/ex3-12232011_081210.htm" TargetMode="External"/><Relationship Id="rId139" Type="http://schemas.openxmlformats.org/officeDocument/2006/relationships/hyperlink" Target="http://www.sec.gov/Archives/edgar/data/1411685/000141588914002464/ex3-1.htm" TargetMode="External"/><Relationship Id="rId140" Type="http://schemas.openxmlformats.org/officeDocument/2006/relationships/hyperlink" Target="http://www.sec.gov/Archives/edgar/data/1411685/000141588915001677/ex3-1.htm" TargetMode="External"/><Relationship Id="rId141" Type="http://schemas.openxmlformats.org/officeDocument/2006/relationships/hyperlink" Target="http://www.sec.gov/Archives/edgar/data/1411685/000141588916004564/ex3-01292016_020121.htm" TargetMode="External"/><Relationship Id="rId142" Type="http://schemas.openxmlformats.org/officeDocument/2006/relationships/hyperlink" Target="http://www.sec.gov/Archives/edgar/data/1411685/000141588916006879/ex3-1.htm" TargetMode="External"/><Relationship Id="rId143" Type="http://schemas.openxmlformats.org/officeDocument/2006/relationships/hyperlink" Target="http://www.sec.gov/Archives/edgar/data/1411685/000141588916006879/ex3-2.htm" TargetMode="External"/><Relationship Id="rId144" Type="http://schemas.openxmlformats.org/officeDocument/2006/relationships/hyperlink" Target="http://www.sec.gov/Archives/edgar/data/1411685/000165495417008632/ex3-1.htm" TargetMode="External"/><Relationship Id="rId145" Type="http://schemas.openxmlformats.org/officeDocument/2006/relationships/hyperlink" Target="http://www.sec.gov/Archives/edgar/data/1411685/000141588911000362/ex10-22.htm" TargetMode="External"/><Relationship Id="rId146" Type="http://schemas.openxmlformats.org/officeDocument/2006/relationships/hyperlink" Target="http://www.sec.gov/Archives/edgar/data/1411685/000141588911000362/ex10-23.htm" TargetMode="External"/><Relationship Id="rId147" Type="http://schemas.openxmlformats.org/officeDocument/2006/relationships/hyperlink" Target="http://www.sec.gov/Archives/edgar/data/1411685/000141588911000362/ex10-24.htm" TargetMode="External"/><Relationship Id="rId148" Type="http://schemas.openxmlformats.org/officeDocument/2006/relationships/hyperlink" Target="http://www.sec.gov/Archives/edgar/data/1411685/000141588911000362/ex10-26.htm" TargetMode="External"/><Relationship Id="rId149" Type="http://schemas.openxmlformats.org/officeDocument/2006/relationships/hyperlink" Target="http://www.sec.gov/Archives/edgar/data/1411685/000141588911000362/ex10-40.htm" TargetMode="External"/><Relationship Id="rId150" Type="http://schemas.openxmlformats.org/officeDocument/2006/relationships/hyperlink" Target="http://www.sec.gov/Archives/edgar/data/1411685/000141588911000362/ex10-41.htm" TargetMode="External"/><Relationship Id="rId151" Type="http://schemas.openxmlformats.org/officeDocument/2006/relationships/hyperlink" Target="http://www.sec.gov/Archives/edgar/data/1411685/000141588911001342/ex10-11302011_101124.htm" TargetMode="External"/><Relationship Id="rId152" Type="http://schemas.openxmlformats.org/officeDocument/2006/relationships/hyperlink" Target="http://www.sec.gov/Archives/edgar/data/1411685/000141588912000973/ex10-57.htm" TargetMode="External"/><Relationship Id="rId153" Type="http://schemas.openxmlformats.org/officeDocument/2006/relationships/hyperlink" Target="http://www.sec.gov/Archives/edgar/data/1411685/000141588912001496/ex10-1.htm" TargetMode="External"/><Relationship Id="rId154" Type="http://schemas.openxmlformats.org/officeDocument/2006/relationships/hyperlink" Target="http://www.sec.gov/Archives/edgar/data/1411685/000141588912001749/ex10-11202012_021125.htm" TargetMode="External"/><Relationship Id="rId155" Type="http://schemas.openxmlformats.org/officeDocument/2006/relationships/hyperlink" Target="http://www.sec.gov/Archives/edgar/data/1411685/000141588913000263/npeaamend.htm" TargetMode="External"/><Relationship Id="rId156" Type="http://schemas.openxmlformats.org/officeDocument/2006/relationships/hyperlink" Target="http://www.sec.gov/Archives/edgar/data/1411685/000141588913000316/ex10-02282013_010201.htm" TargetMode="External"/><Relationship Id="rId157" Type="http://schemas.openxmlformats.org/officeDocument/2006/relationships/hyperlink" Target="http://www.sec.gov/Archives/edgar/data/1411685/000141588913000363/ex10-03062013_040313.htm" TargetMode="External"/><Relationship Id="rId159" Type="http://schemas.openxmlformats.org/officeDocument/2006/relationships/hyperlink" Target="http://www.sec.gov/Archives/edgar/data/1411685/000141588913001409/leasebaysidevistagen.htm" TargetMode="External"/><Relationship Id="rId160" Type="http://schemas.openxmlformats.org/officeDocument/2006/relationships/hyperlink" Target="http://www.sec.gov/Archives/edgar/data/1411685/000141588913001409/saxeindemnification.htm" TargetMode="External"/><Relationship Id="rId162" Type="http://schemas.openxmlformats.org/officeDocument/2006/relationships/hyperlink" Target="http://www.sec.gov/Archives/edgar/data/1411685/000141588913001409/singhindemnification.htm" TargetMode="External"/><Relationship Id="rId163" Type="http://schemas.openxmlformats.org/officeDocument/2006/relationships/hyperlink" Target="http://www.sec.gov/Archives/edgar/data/1411685/000141588913001409/snodgrassindemnification.htm" TargetMode="External"/><Relationship Id="rId165" Type="http://schemas.openxmlformats.org/officeDocument/2006/relationships/hyperlink" Target="http://www.sec.gov/Archives/edgar/data/1411685/000141588913001409/underdownindemnification.htm" TargetMode="External"/><Relationship Id="rId166" Type="http://schemas.openxmlformats.org/officeDocument/2006/relationships/hyperlink" Target="http://www.sec.gov/Archives/edgar/data/1411685/000141588913001409/dotsonindemnification.htm" TargetMode="External"/><Relationship Id="rId168" Type="http://schemas.openxmlformats.org/officeDocument/2006/relationships/hyperlink" Target="http://www.sec.gov/Archives/edgar/data/1411685/000141588916004564/ex10-01292016_020122.htm" TargetMode="External"/><Relationship Id="rId169" Type="http://schemas.openxmlformats.org/officeDocument/2006/relationships/hyperlink" Target="http://www.sec.gov/Archives/edgar/data/1411685/000141588916006331/ex10-112.htm" TargetMode="External"/><Relationship Id="rId171" Type="http://schemas.openxmlformats.org/officeDocument/2006/relationships/hyperlink" Target="http://www.sec.gov/Archives/edgar/data/1411685/000141588916005945/ex1-1.htm" TargetMode="External"/><Relationship Id="rId172" Type="http://schemas.openxmlformats.org/officeDocument/2006/relationships/hyperlink" Target="http://www.sec.gov/Archives/edgar/data/1411685/000141588916005945/ex4-1.htm" TargetMode="External"/><Relationship Id="rId174" Type="http://schemas.openxmlformats.org/officeDocument/2006/relationships/hyperlink" Target="http://www.sec.gov/Archives/edgar/data/1411685/000141588916005945/ex4-2.htm" TargetMode="External"/><Relationship Id="rId175" Type="http://schemas.openxmlformats.org/officeDocument/2006/relationships/hyperlink" Target="http://www.sec.gov/Archives/edgar/data/1411685/000141588916006331/ex10-116.htm" TargetMode="External"/><Relationship Id="rId177" Type="http://schemas.openxmlformats.org/officeDocument/2006/relationships/hyperlink" Target="http://www.sec.gov/Archives/edgar/data/1411685/000141588916006331/ex10-117.htm" TargetMode="External"/><Relationship Id="rId178" Type="http://schemas.openxmlformats.org/officeDocument/2006/relationships/hyperlink" Target="http://www.sec.gov/Archives/edgar/data/1411685/000141588916007413/ex10-1.htm" TargetMode="External"/><Relationship Id="rId180" Type="http://schemas.openxmlformats.org/officeDocument/2006/relationships/hyperlink" Target="http://www.sec.gov/Archives/edgar/data/1411685/000141588916007413/ex10-2.htm" TargetMode="External"/><Relationship Id="rId181" Type="http://schemas.openxmlformats.org/officeDocument/2006/relationships/hyperlink" Target="http://www.sec.gov/Archives/edgar/data/1411685/000165495417004468/ex10-1.htm" TargetMode="External"/><Relationship Id="rId183" Type="http://schemas.openxmlformats.org/officeDocument/2006/relationships/hyperlink" Target="http://www.sec.gov/Archives/edgar/data/1411685/000165495417003815/ex10-2.htm" TargetMode="External"/><Relationship Id="rId184" Type="http://schemas.openxmlformats.org/officeDocument/2006/relationships/hyperlink" Target="http://www.sec.gov/Archives/edgar/data/1411685/000165495417005976/ex10-122.htm" TargetMode="External"/><Relationship Id="rId187" Type="http://schemas.openxmlformats.org/officeDocument/2006/relationships/hyperlink" Target="http://www.sec.gov/Archives/edgar/data/1411685/000165495417008025/vsta_ex11.htm" TargetMode="External"/><Relationship Id="rId188" Type="http://schemas.openxmlformats.org/officeDocument/2006/relationships/hyperlink" Target="http://www.sec.gov/Archives/edgar/data/1411685/000165495417008025/ex4-1.htm" TargetMode="External"/><Relationship Id="rId189" Type="http://schemas.openxmlformats.org/officeDocument/2006/relationships/hyperlink" Target="http://www.sec.gov/Archives/edgar/data/1411685/000165495417008025/ex4-2.htm" TargetMode="External"/><Relationship Id="rId190" Type="http://schemas.openxmlformats.org/officeDocument/2006/relationships/hyperlink" Target="http://www.sec.gov/Archives/edgar/data/1411685/000165495417011630/ex4-1.htm" TargetMode="External"/><Relationship Id="rId191" Type="http://schemas.openxmlformats.org/officeDocument/2006/relationships/hyperlink" Target="http://www.sec.gov/Archives/edgar/data/1411685/000165495418008742/ex10-1.htm" TargetMode="External"/><Relationship Id="rId192" Type="http://schemas.openxmlformats.org/officeDocument/2006/relationships/hyperlink" Target="http://www.sec.gov/Archives/edgar/data/1411685/000165495418008742/ex10-2.htm" TargetMode="External"/><Relationship Id="rId193" Type="http://schemas.openxmlformats.org/officeDocument/2006/relationships/hyperlink" Target="http://www.sec.gov/Archives/edgar/data/1411685/000165495418010158/ex10-1.htm" TargetMode="External"/><Relationship Id="rId194" Type="http://schemas.openxmlformats.org/officeDocument/2006/relationships/hyperlink" Target="http://www.sec.gov/Archives/edgar/data/1411685/000165495418010158/ex10-2.htm" TargetMode="External"/><Relationship Id="rId195" Type="http://schemas.openxmlformats.org/officeDocument/2006/relationships/hyperlink" Target="http://www.sec.gov/Archives/edgar/data/1411685/000165495418011715/ex10-3.htm" TargetMode="External"/><Relationship Id="rId196" Type="http://schemas.openxmlformats.org/officeDocument/2006/relationships/hyperlink" Target="http://www.sec.gov/Archives/edgar/data/1411685/000165495418011665/ex10-4.htm" TargetMode="External"/><Relationship Id="rId197" Type="http://schemas.openxmlformats.org/officeDocument/2006/relationships/hyperlink" Target="http://www.sec.gov/Archives/edgar/data/1411685/000165495418011665/ex10-5.htm" TargetMode="External"/><Relationship Id="rId198" Type="http://schemas.openxmlformats.org/officeDocument/2006/relationships/hyperlink" Target="http://www.sec.gov/Archives/edgar/data/1411685/000165495419000496/ex10-1.htm" TargetMode="External"/><Relationship Id="rId199" Type="http://schemas.openxmlformats.org/officeDocument/2006/relationships/hyperlink" Target="http://www.sec.gov/Archives/edgar/data/1411685/000165495419002248/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2019-12-01T11:58:30Z</dcterms:created>
  <dcterms:modified xsi:type="dcterms:W3CDTF">2019-12-01T11:58:30Z</dcterms:modified>
</cp:coreProperties>
</file>