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form8k-12232011_081201.htm"/>
      <w:bookmarkStart w:id="1" w:name="ksform8k12232011_081201"/>
      <w:bookmarkStart w:id="2" w:name="form8k-12232011_081201.htm"/>
      <w:bookmarkStart w:id="3" w:name="ksform8k12232011_081201"/>
      <w:bookmarkEnd w:id="2"/>
      <w:bookmarkEnd w:id="3"/>
    </w:p>
    <w:p>
      <w:pPr>
        <w:pStyle w:val="HorizontalLine"/>
        <w:pBdr>
          <w:bottom w:val="single" w:sz="6" w:space="0" w:color="808080"/>
        </w:pBdr>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jc w:val="center"/>
        <w:rPr>
          <w:rFonts w:ascii="Times New Roman" w:hAnsi="Times New Roman"/>
          <w:b/>
          <w:sz w:val="17"/>
        </w:rPr>
      </w:pPr>
      <w:r>
        <w:rPr>
          <w:rFonts w:ascii="Times New Roman" w:hAnsi="Times New Roman"/>
          <w:b/>
          <w:sz w:val="17"/>
        </w:rPr>
        <w:t>UNITED STATES</w:t>
      </w:r>
    </w:p>
    <w:p>
      <w:pPr>
        <w:pStyle w:val="TextBody"/>
        <w:spacing w:before="0" w:after="0"/>
        <w:ind w:left="0" w:right="0" w:hanging="0"/>
        <w:jc w:val="center"/>
        <w:rPr>
          <w:rFonts w:ascii="Times New Roman" w:hAnsi="Times New Roman"/>
          <w:b/>
          <w:sz w:val="17"/>
        </w:rPr>
      </w:pPr>
      <w:r>
        <w:rPr>
          <w:rFonts w:ascii="Times New Roman" w:hAnsi="Times New Roman"/>
          <w:b/>
          <w:sz w:val="17"/>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17"/>
        </w:rPr>
      </w:pPr>
      <w:r>
        <w:rPr>
          <w:rFonts w:ascii="Times New Roman" w:hAnsi="Times New Roman"/>
          <w:b/>
          <w:sz w:val="17"/>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17"/>
        </w:rPr>
      </w:pPr>
      <w:r>
        <w:rPr>
          <w:rFonts w:ascii="Times New Roman" w:hAnsi="Times New Roman"/>
          <w:b/>
          <w:sz w:val="17"/>
        </w:rPr>
        <w:t>CURRENT REPORT</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Section 13 or 15(d) of the</w:t>
      </w:r>
    </w:p>
    <w:p>
      <w:pPr>
        <w:pStyle w:val="TextBody"/>
        <w:spacing w:before="0" w:after="0"/>
        <w:ind w:left="0" w:right="0" w:hanging="0"/>
        <w:jc w:val="center"/>
        <w:rPr>
          <w:rFonts w:ascii="Times New Roman" w:hAnsi="Times New Roman"/>
          <w:b/>
          <w:sz w:val="17"/>
        </w:rPr>
      </w:pPr>
      <w:r>
        <w:rPr>
          <w:rFonts w:ascii="Times New Roman" w:hAnsi="Times New Roman"/>
          <w:b/>
          <w:sz w:val="17"/>
        </w:rPr>
        <w:t>Securities Exchange Act of 1934</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sz w:val="17"/>
        </w:rPr>
        <w:t>Date of report (Date of earliest event reported):  </w:t>
      </w:r>
      <w:r>
        <w:rPr>
          <w:rFonts w:ascii="Times New Roman" w:hAnsi="Times New Roman"/>
          <w:sz w:val="17"/>
          <w:u w:val="single"/>
        </w:rPr>
        <w:t>December 22, 2011</w:t>
      </w:r>
      <w:r>
        <w:rPr/>
        <w:t xml:space="preserve"> </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sz w:val="17"/>
        </w:rPr>
        <w:t>Commission File Number:  </w:t>
      </w:r>
      <w:r>
        <w:rPr>
          <w:rFonts w:ascii="Times New Roman" w:hAnsi="Times New Roman"/>
          <w:sz w:val="17"/>
          <w:u w:val="single"/>
        </w:rPr>
        <w:t xml:space="preserve">000-54014 </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b/>
          <w:sz w:val="24"/>
        </w:rPr>
        <w:t>VistaGen Therapeutics, Inc.</w:t>
      </w:r>
      <w:r>
        <w:rPr/>
        <w:br/>
      </w:r>
      <w:r>
        <w:rPr>
          <w:rFonts w:ascii="Times New Roman" w:hAnsi="Times New Roman"/>
          <w:sz w:val="17"/>
        </w:rPr>
        <w:t>(Exact name of small business issuer as specified in its charter)</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296545"/>
                <wp:effectExtent l="0" t="0" r="0" b="0"/>
                <wp:wrapSquare wrapText="largest"/>
                <wp:docPr id="1" name="Frame1"/>
                <a:graphic xmlns:a="http://schemas.openxmlformats.org/drawingml/2006/main">
                  <a:graphicData uri="http://schemas.microsoft.com/office/word/2010/wordprocessingShape">
                    <wps:wsp>
                      <wps:cNvSpPr txBox="1"/>
                      <wps:spPr>
                        <a:xfrm>
                          <a:off x="0" y="0"/>
                          <a:ext cx="3175000" cy="296545"/>
                        </a:xfrm>
                        <a:prstGeom prst="rect"/>
                      </wps:spPr>
                      <wps:txbx>
                        <w:txbxContent>
                          <w:p>
                            <w:pPr>
                              <w:pStyle w:val="TextBody"/>
                              <w:spacing w:before="0" w:after="0"/>
                              <w:ind w:left="0" w:right="0" w:hanging="0"/>
                              <w:jc w:val="center"/>
                              <w:rPr/>
                            </w:pPr>
                            <w:r>
                              <w:rPr>
                                <w:rFonts w:ascii="times new roman" w:hAnsi="times new roman"/>
                                <w:sz w:val="17"/>
                                <w:u w:val="single"/>
                              </w:rPr>
                              <w:t>Nevada</w:t>
                            </w:r>
                            <w:r>
                              <w:rPr/>
                              <w:br/>
                            </w:r>
                            <w:r>
                              <w:rPr>
                                <w:rFonts w:ascii="times new roman" w:hAnsi="times new roman"/>
                                <w:sz w:val="17"/>
                              </w:rPr>
                              <w:t>(State or other jurisdiction of incorporation or organization)</w:t>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hanging="0"/>
                        <w:jc w:val="center"/>
                        <w:rPr/>
                      </w:pPr>
                      <w:r>
                        <w:rPr>
                          <w:rFonts w:ascii="times new roman" w:hAnsi="times new roman"/>
                          <w:sz w:val="17"/>
                          <w:u w:val="single"/>
                        </w:rPr>
                        <w:t>Nevada</w:t>
                      </w:r>
                      <w:r>
                        <w:rPr/>
                        <w:br/>
                      </w:r>
                      <w:r>
                        <w:rPr>
                          <w:rFonts w:ascii="times new roman" w:hAnsi="times new roman"/>
                          <w:sz w:val="17"/>
                        </w:rPr>
                        <w:t>(State or other jurisdiction of incorporation or organization)</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296545"/>
                <wp:effectExtent l="0" t="0" r="0" b="0"/>
                <wp:wrapSquare wrapText="largest"/>
                <wp:docPr id="2" name="Frame2"/>
                <a:graphic xmlns:a="http://schemas.openxmlformats.org/drawingml/2006/main">
                  <a:graphicData uri="http://schemas.microsoft.com/office/word/2010/wordprocessingShape">
                    <wps:wsp>
                      <wps:cNvSpPr txBox="1"/>
                      <wps:spPr>
                        <a:xfrm>
                          <a:off x="0" y="0"/>
                          <a:ext cx="3175000" cy="296545"/>
                        </a:xfrm>
                        <a:prstGeom prst="rect"/>
                      </wps:spPr>
                      <wps:txbx>
                        <w:txbxContent>
                          <w:p>
                            <w:pPr>
                              <w:pStyle w:val="TextBody"/>
                              <w:spacing w:before="0" w:after="0"/>
                              <w:ind w:left="0" w:right="0" w:hanging="0"/>
                              <w:jc w:val="center"/>
                              <w:rPr/>
                            </w:pPr>
                            <w:r>
                              <w:rPr>
                                <w:rFonts w:ascii="times new roman" w:hAnsi="times new roman"/>
                                <w:sz w:val="17"/>
                                <w:u w:val="single"/>
                              </w:rPr>
                              <w:t>205093315</w:t>
                            </w:r>
                            <w:r>
                              <w:rPr/>
                              <w:br/>
                            </w:r>
                            <w:r>
                              <w:rPr>
                                <w:rFonts w:ascii="times new roman" w:hAnsi="times new roman"/>
                                <w:sz w:val="17"/>
                              </w:rPr>
                              <w:t>(IRS Employer Identification No.)</w:t>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35pt;mso-wrap-distance-left:0pt;mso-wrap-distance-right:0pt;mso-wrap-distance-top:0pt;mso-wrap-distance-bottom:0pt;margin-top:0pt;mso-position-vertical:top;mso-position-vertical-relative:text;margin-left:250pt;mso-position-horizontal:left;mso-position-horizontal-relative:text">
                <v:textbox>
                  <w:txbxContent>
                    <w:p>
                      <w:pPr>
                        <w:pStyle w:val="TextBody"/>
                        <w:spacing w:before="0" w:after="0"/>
                        <w:ind w:left="0" w:right="0" w:hanging="0"/>
                        <w:jc w:val="center"/>
                        <w:rPr/>
                      </w:pPr>
                      <w:r>
                        <w:rPr>
                          <w:rFonts w:ascii="times new roman" w:hAnsi="times new roman"/>
                          <w:sz w:val="17"/>
                          <w:u w:val="single"/>
                        </w:rPr>
                        <w:t>205093315</w:t>
                      </w:r>
                      <w:r>
                        <w:rPr/>
                        <w:br/>
                      </w:r>
                      <w:r>
                        <w:rPr>
                          <w:rFonts w:ascii="times new roman" w:hAnsi="times new roman"/>
                          <w:sz w:val="17"/>
                        </w:rPr>
                        <w:t>(IRS Employer Identification No.)</w:t>
                      </w:r>
                      <w:r>
                        <w:rPr/>
                        <w:t xml:space="preserve"> </w:t>
                      </w:r>
                    </w:p>
                  </w:txbxContent>
                </v:textbox>
                <w10:wrap type="square" side="right"/>
              </v:rect>
            </w:pict>
          </mc:Fallback>
        </mc:AlternateConten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384 Oyster Point Blvd, No. 8, South San Francisco, California 94080</w:t>
      </w:r>
      <w:r>
        <w:rPr/>
        <w:br/>
      </w:r>
      <w:r>
        <w:rPr>
          <w:rFonts w:ascii="Times New Roman" w:hAnsi="Times New Roman"/>
          <w:sz w:val="17"/>
        </w:rPr>
        <w:t>(Address of principal executive offices)</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650-244-9990</w:t>
      </w:r>
      <w:r>
        <w:rPr/>
        <w:br/>
      </w:r>
      <w:r>
        <w:rPr>
          <w:rFonts w:ascii="Times New Roman" w:hAnsi="Times New Roman"/>
          <w:sz w:val="17"/>
        </w:rPr>
        <w:t>(Registrant's Telephone number)</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Not Applicable</w:t>
      </w:r>
      <w:r>
        <w:rPr/>
        <w:br/>
      </w:r>
      <w:r>
        <w:rPr>
          <w:rFonts w:ascii="Times New Roman" w:hAnsi="Times New Roman"/>
          <w:sz w:val="17"/>
        </w:rPr>
        <w:t>(Former Name or Former Address, if Changed Since Last Report)</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both"/>
        <w:rPr/>
      </w:pPr>
      <w:r>
        <w:rPr>
          <w:rFonts w:ascii="Times New Roman" w:hAnsi="Times New Roman"/>
          <w:sz w:val="17"/>
        </w:rPr>
        <w:t>Check the appropriate box below if the Form 8-K filing is intended to simultaneously satisfy the filing obligation of the registrant under any of the following provisions (see General Instruction A.2. below):</w:t>
      </w:r>
      <w:r>
        <w:rPr/>
        <w:t xml:space="preserve"> </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Written communications pursuant to Rule 425 under the Securities Act (17 CFR 230.425)</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Soliciting material pursuant to Rule 14a-12 under the Exchange Act (17 CFR 240.14a-12)</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Pre-commencement communications pursuant to Rule 14d-2(b) under the Exchange Act (17 CFR 240.14d-2(b))</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Pre-commencement communications pursuant to Rule 13e-4(c) under the Exchange Act (17 CFR 240.13e-4(c))</w:t>
      </w:r>
    </w:p>
    <w:p>
      <w:pPr>
        <w:pStyle w:val="TextBody"/>
        <w:spacing w:before="0" w:after="0"/>
        <w:jc w:val="center"/>
        <w:rPr/>
      </w:pPr>
      <w:r>
        <w:rPr/>
      </w:r>
    </w:p>
    <w:p>
      <w:pPr>
        <w:pStyle w:val="HorizontalLine"/>
        <w:pBdr>
          <w:bottom w:val="single" w:sz="6" w:space="0" w:color="808080"/>
        </w:pBdr>
        <w:jc w:val="center"/>
        <w:rPr/>
      </w:pPr>
      <w:r>
        <w:rPr/>
      </w:r>
    </w:p>
    <w:p>
      <w:pPr>
        <w:pStyle w:val="HorizontalLine"/>
        <w:pBdr>
          <w:bottom w:val="single" w:sz="24" w:space="0" w:color="808080"/>
        </w:pBdr>
        <w:jc w:val="center"/>
        <w:rPr/>
      </w:pPr>
      <w:r>
        <w:rPr/>
      </w:r>
      <w:r>
        <w:br w:type="page"/>
      </w:r>
    </w:p>
    <w:p>
      <w:pPr>
        <w:pStyle w:val="TextBody"/>
        <w:jc w:val="left"/>
        <w:rPr>
          <w:rFonts w:ascii="Times New Roman" w:hAnsi="Times New Roman"/>
          <w:b/>
          <w:sz w:val="17"/>
        </w:rPr>
      </w:pPr>
      <w:r>
        <w:rPr>
          <w:rFonts w:ascii="Times New Roman" w:hAnsi="Times New Roman"/>
          <w:b/>
          <w:sz w:val="17"/>
        </w:rPr>
        <w:t>Item 1.01 Entry into a Material Definitive Agreement.</w:t>
      </w:r>
    </w:p>
    <w:p>
      <w:pPr>
        <w:pStyle w:val="TextBody"/>
        <w:jc w:val="left"/>
        <w:rPr>
          <w:rFonts w:ascii="Times New Roman" w:hAnsi="Times New Roman"/>
          <w:sz w:val="17"/>
        </w:rPr>
      </w:pPr>
      <w:r>
        <w:rPr>
          <w:rFonts w:ascii="Times New Roman" w:hAnsi="Times New Roman"/>
          <w:sz w:val="17"/>
        </w:rPr>
        <w:t>On December 22, 2011, VistaGen Therapeutics, Inc. (the "Company") entered into a Common Stock Exchange Agreement (the "Exchange Agreement") with Platinum Long Term Growth VII, LLC ("Platinum"), pursuant to which Platinum converted 484,000 shares of Common Stock of the Company into 45,980 shares of newly created Series A Preferred Stock, par value $0.001 per share ("Series A Preferred") (the "Exchange"). Each share of Series A Preferred is convertible into ten shares of Common Stock of the Company. In consideration for the Exchange, the Series A Preferred received in connection with the Exchange is convertible into the equivalent of .95 shares of Common Stock surrendered in connection with the Exchange. The Series A Preferred issued in connection with the Exchange has limited rights and preferences. A copy of the Certificate of Designation of the Relative Rights and Preferences of the Series A Preferred is attached to this Current Report on Form 8-K as Exhibit 3.1, and is incorporated herein by reference. A copy of the Exchange Agreement is attached hereto as Exhibit 10.1</w:t>
      </w:r>
    </w:p>
    <w:p>
      <w:pPr>
        <w:pStyle w:val="TextBody"/>
        <w:jc w:val="left"/>
        <w:rPr>
          <w:rFonts w:ascii="Times New Roman" w:hAnsi="Times New Roman"/>
          <w:b/>
          <w:sz w:val="17"/>
        </w:rPr>
      </w:pPr>
      <w:r>
        <w:rPr>
          <w:rFonts w:ascii="Times New Roman" w:hAnsi="Times New Roman"/>
          <w:b/>
          <w:sz w:val="17"/>
        </w:rPr>
        <w:t>Item 3.02 Unregistered Sales of Equity Securities.</w:t>
      </w:r>
    </w:p>
    <w:p>
      <w:pPr>
        <w:pStyle w:val="TextBody"/>
        <w:jc w:val="left"/>
        <w:rPr>
          <w:rFonts w:ascii="Times New Roman" w:hAnsi="Times New Roman"/>
          <w:sz w:val="17"/>
        </w:rPr>
      </w:pPr>
      <w:r>
        <w:rPr>
          <w:rFonts w:ascii="Times New Roman" w:hAnsi="Times New Roman"/>
          <w:sz w:val="17"/>
        </w:rPr>
        <w:t>On December 22, 2011, the Company issued 45,980 shares of Series A Preferred to Platinum. Platinum is an "accredited investor," as such term is defined in Rule 501 of Regulation D promulgated under the Securities Act of 1933, as amended (the "Securities Act"). The Exchange was effected without registration under the Securities Act in reliance upon the exemption from registration provided by Section 3(a)(9) of the Securities Act, and/or Section 4(2) thereunder. No proceeds were received by the Company in connection with the Exchange.</w:t>
      </w:r>
    </w:p>
    <w:p>
      <w:pPr>
        <w:pStyle w:val="TextBody"/>
        <w:jc w:val="left"/>
        <w:rPr>
          <w:rFonts w:ascii="Times New Roman" w:hAnsi="Times New Roman"/>
          <w:b/>
          <w:sz w:val="17"/>
        </w:rPr>
      </w:pPr>
      <w:r>
        <w:rPr>
          <w:rFonts w:ascii="Times New Roman" w:hAnsi="Times New Roman"/>
          <w:b/>
          <w:sz w:val="17"/>
        </w:rPr>
        <w:t>Item 5.03 Amendments to Articles of Incorporation or Bylaws; Changes in Fiscal Year.</w:t>
      </w:r>
    </w:p>
    <w:p>
      <w:pPr>
        <w:pStyle w:val="TextBody"/>
        <w:jc w:val="left"/>
        <w:rPr>
          <w:rFonts w:ascii="Times New Roman" w:hAnsi="Times New Roman"/>
          <w:sz w:val="17"/>
        </w:rPr>
      </w:pPr>
      <w:r>
        <w:rPr>
          <w:rFonts w:ascii="Times New Roman" w:hAnsi="Times New Roman"/>
          <w:sz w:val="17"/>
        </w:rPr>
        <w:t>Effective December 22, 2011, the Company filed a Certificate of Designation of the Relative Rights and Preferences of the Series A Preferred Stock of the Company (the "Certificate of Designation") with the Secretary of State of the State of Nevada. The Company's Board of Directors approved the Certificate of Designation and authorized its filing. A copy of the Certificate of Designation is attached to this Current Report on Form 8-K as Exhibit 3.1 and is incorporated herein by reference.</w:t>
        <w:br/>
        <w:br/>
        <w:t>The Certificate of Designation provides for the issuance of up to 500,000 shares of Series A Preferred. The Series A Preferred shall rank prior to the Common Stock for purposes of liquidation preference, and to all other classes and series of equity securities of the Company that by their terms do not rank senior to the Series A Preferred ("Junior Stock").</w:t>
        <w:br/>
        <w:br/>
        <w:t>Whenever the Board of Directors declares a dividend on the Common Stock each holder of record of a share of Series A Preferred Stock, or any fraction of a share of Series A Preferred Stock, on the date set by the Board of Directors to determine the owners of the Common Stock of record entitled to receive such dividend (the "Record Date") shall be entitled to receive out of any assets at the time legally available therefore, an amount equal to such dividend declared on one share of Common Stock multiplied by the number of shares of Common Stock into which such share, or such fraction of a share, of Series A Preferred Stock could be converted on the Record Date.</w:t>
        <w:br/>
        <w:br/>
        <w:t>Except with respect to transactions upon which the Series A Preferred Stock shall be entitled to vote separately as a class, the Series A Preferred Stock shall have no voting rights. The Common Stock into which the Series A Preferred Stock is convertible shall, upon issuance, have all of the same voting rights as other issued and outstanding Common Stock of the Company.</w:t>
        <w:br/>
        <w:br/>
        <w:t xml:space="preserve">In the event of the liquidation, dissolution or winding up of the affairs of the Company, after payment or provision for payment of the debts and other liabilities of the Company, the holders of Series A Preferred then outstanding shall be entitled to receive, out of the assets of the Company, an amount per share of Series A Preferred calculated by taking the total amount available for distribution to holders of all the Company's outstanding Common Stock before deduction of any preference payments for the Series A Preferred, divided by the total of (x), all of the then outstanding shares of the Company's Common Stock, plus (y) all of the shares of the Company's Common Stock into which all of the outstanding shares of the Series A Preferred can be converted before any payment shall be made or any assets distributed to the holders of the Common Stock or any other Junior Stock. </w:t>
        <w:br/>
        <w:br/>
        <w:t>Each share of Series A Preferred is convertible at the option of the holder into ten shares of the Company's Common Stock.</w:t>
        <w:br/>
        <w:br/>
        <w:t>The foregoing summary is qualified in its entirety by the complete description of the term and conditions of the Series A Preferred set forth in the Certificate of Designation set forth as Exhibit 3.1 to this Current Report on Form 8-K.</w:t>
      </w:r>
    </w:p>
    <w:p>
      <w:pPr>
        <w:pStyle w:val="TextBody"/>
        <w:jc w:val="left"/>
        <w:rPr>
          <w:rFonts w:ascii="Times New Roman" w:hAnsi="Times New Roman"/>
          <w:b/>
          <w:sz w:val="17"/>
        </w:rPr>
      </w:pPr>
      <w:r>
        <w:rPr>
          <w:rFonts w:ascii="Times New Roman" w:hAnsi="Times New Roman"/>
          <w:b/>
          <w:sz w:val="17"/>
        </w:rPr>
        <w:t>Item 9.01 Financial Statements and Exhibits.</w:t>
      </w:r>
    </w:p>
    <w:p>
      <w:pPr>
        <w:pStyle w:val="TextBody"/>
        <w:jc w:val="left"/>
        <w:rPr>
          <w:rFonts w:ascii="Times New Roman" w:hAnsi="Times New Roman"/>
          <w:sz w:val="17"/>
        </w:rPr>
      </w:pPr>
      <w:r>
        <w:rPr>
          <w:rFonts w:ascii="Times New Roman" w:hAnsi="Times New Roman"/>
          <w:sz w:val="17"/>
        </w:rPr>
        <w:t>See Exhibit index.</w:t>
      </w:r>
    </w:p>
    <w:p>
      <w:pPr>
        <w:pStyle w:val="HorizontalLine"/>
        <w:pBdr>
          <w:bottom w:val="single" w:sz="12" w:space="0" w:color="808080"/>
        </w:pBdr>
        <w:jc w:val="center"/>
        <w:rPr/>
      </w:pPr>
      <w:r>
        <w:rPr/>
      </w:r>
      <w:r>
        <w:br w:type="page"/>
      </w:r>
    </w:p>
    <w:p>
      <w:pPr>
        <w:pStyle w:val="TextBody"/>
        <w:spacing w:before="0" w:after="0"/>
        <w:ind w:left="0" w:right="0" w:hanging="0"/>
        <w:jc w:val="center"/>
        <w:rPr>
          <w:rFonts w:ascii="Times New Roman" w:hAnsi="Times New Roman"/>
          <w:b/>
          <w:sz w:val="17"/>
        </w:rPr>
      </w:pPr>
      <w:r>
        <w:rPr>
          <w:rFonts w:ascii="Times New Roman" w:hAnsi="Times New Roman"/>
          <w:b/>
          <w:sz w:val="17"/>
        </w:rPr>
        <w:t xml:space="preserve">SIGNATURES </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17"/>
        </w:rPr>
      </w:pPr>
      <w:r>
        <w:rPr>
          <w:rFonts w:ascii="Times New Roman" w:hAnsi="Times New Roman"/>
          <w:sz w:val="17"/>
        </w:rPr>
        <w:t xml:space="preserve">Pursuant to the requirements of the Securities Exchange Act of 1934, the registrant has duly caused this report to be signed on its behalf by the undersigned hereunto duly authorized. </w:t>
      </w:r>
    </w:p>
    <w:p>
      <w:pPr>
        <w:pStyle w:val="TextBody"/>
        <w:spacing w:before="0" w:after="0"/>
        <w:ind w:left="0" w:right="0" w:hanging="0"/>
        <w:jc w:val="center"/>
        <w:rPr/>
      </w:pPr>
      <w:r>
        <w:rPr/>
        <w:t> </w:t>
      </w:r>
    </w:p>
    <w:p>
      <w:pPr>
        <w:pStyle w:val="TextBody"/>
        <w:ind w:left="0" w:right="0" w:hanging="0"/>
        <w:jc w:val="center"/>
        <w:rPr/>
      </w:pPr>
      <w:r>
        <w:rPr/>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175000" cy="175260"/>
                <wp:effectExtent l="0" t="0" r="0" b="0"/>
                <wp:wrapSquare wrapText="largest"/>
                <wp:docPr id="3" name="Frame3"/>
                <a:graphic xmlns:a="http://schemas.openxmlformats.org/drawingml/2006/main">
                  <a:graphicData uri="http://schemas.microsoft.com/office/word/2010/wordprocessingShape">
                    <wps:wsp>
                      <wps:cNvSpPr txBox="1"/>
                      <wps:spPr>
                        <a:xfrm>
                          <a:off x="0" y="0"/>
                          <a:ext cx="3175000" cy="175260"/>
                        </a:xfrm>
                        <a:prstGeom prst="rect"/>
                      </wps:spPr>
                      <wps:txbx>
                        <w:txbxContent>
                          <w:p>
                            <w:pPr>
                              <w:pStyle w:val="TextBody"/>
                              <w:spacing w:before="0" w:after="283"/>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3175000" cy="530225"/>
                <wp:effectExtent l="0" t="0" r="0" b="0"/>
                <wp:wrapSquare wrapText="largest"/>
                <wp:docPr id="4" name="Frame4"/>
                <a:graphic xmlns:a="http://schemas.openxmlformats.org/drawingml/2006/main">
                  <a:graphicData uri="http://schemas.microsoft.com/office/word/2010/wordprocessingShape">
                    <wps:wsp>
                      <wps:cNvSpPr txBox="1"/>
                      <wps:spPr>
                        <a:xfrm>
                          <a:off x="0" y="0"/>
                          <a:ext cx="3175000" cy="530225"/>
                        </a:xfrm>
                        <a:prstGeom prst="rect"/>
                      </wps:spPr>
                      <wps:txbx>
                        <w:txbxContent>
                          <w:tbl>
                            <w:tblPr>
                              <w:tblW w:w="4500" w:type="dxa"/>
                              <w:jc w:val="center"/>
                              <w:tblInd w:w="0" w:type="dxa"/>
                              <w:tblCellMar>
                                <w:top w:w="0" w:type="dxa"/>
                                <w:left w:w="0" w:type="dxa"/>
                                <w:bottom w:w="0" w:type="dxa"/>
                                <w:right w:w="0" w:type="dxa"/>
                              </w:tblCellMar>
                            </w:tblPr>
                            <w:tblGrid>
                              <w:gridCol w:w="4500"/>
                            </w:tblGrid>
                            <w:tr>
                              <w:trPr/>
                              <w:tc>
                                <w:tcPr>
                                  <w:tcW w:w="4500" w:type="dxa"/>
                                  <w:tcBorders/>
                                  <w:shd w:fill="auto" w:val="clear"/>
                                  <w:vAlign w:val="center"/>
                                </w:tcPr>
                                <w:p>
                                  <w:pPr>
                                    <w:pStyle w:val="TableContents"/>
                                    <w:spacing w:before="0" w:after="283"/>
                                    <w:jc w:val="left"/>
                                    <w:rPr/>
                                  </w:pPr>
                                  <w:r>
                                    <w:rPr>
                                      <w:rFonts w:ascii="Times New Roman" w:hAnsi="Times New Roman"/>
                                      <w:b/>
                                      <w:sz w:val="17"/>
                                    </w:rPr>
                                    <w:t>VistaGen Therapeutics, Inc.</w:t>
                                  </w:r>
                                  <w:r>
                                    <w:rPr/>
                                    <w:t xml:space="preserve">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1.75pt;mso-wrap-distance-left:0pt;mso-wrap-distance-right:0pt;mso-wrap-distance-top:0pt;mso-wrap-distance-bottom:0pt;margin-top:0pt;mso-position-vertical:top;mso-position-vertical-relative:text;margin-left:250pt;mso-position-horizontal:left;mso-position-horizontal-relative:text">
                <v:textbox>
                  <w:txbxContent>
                    <w:tbl>
                      <w:tblPr>
                        <w:tblW w:w="4500" w:type="dxa"/>
                        <w:jc w:val="center"/>
                        <w:tblInd w:w="0" w:type="dxa"/>
                        <w:tblCellMar>
                          <w:top w:w="0" w:type="dxa"/>
                          <w:left w:w="0" w:type="dxa"/>
                          <w:bottom w:w="0" w:type="dxa"/>
                          <w:right w:w="0" w:type="dxa"/>
                        </w:tblCellMar>
                      </w:tblPr>
                      <w:tblGrid>
                        <w:gridCol w:w="4500"/>
                      </w:tblGrid>
                      <w:tr>
                        <w:trPr/>
                        <w:tc>
                          <w:tcPr>
                            <w:tcW w:w="4500" w:type="dxa"/>
                            <w:tcBorders/>
                            <w:shd w:fill="auto" w:val="clear"/>
                            <w:vAlign w:val="center"/>
                          </w:tcPr>
                          <w:p>
                            <w:pPr>
                              <w:pStyle w:val="TableContents"/>
                              <w:spacing w:before="0" w:after="283"/>
                              <w:jc w:val="left"/>
                              <w:rPr/>
                            </w:pPr>
                            <w:r>
                              <w:rPr>
                                <w:rFonts w:ascii="Times New Roman" w:hAnsi="Times New Roman"/>
                                <w:b/>
                                <w:sz w:val="17"/>
                              </w:rPr>
                              <w:t>VistaGen Therapeutics, Inc.</w:t>
                            </w:r>
                            <w:r>
                              <w:rPr/>
                              <w:t xml:space="preserve"> </w:t>
                            </w:r>
                          </w:p>
                        </w:tc>
                      </w:tr>
                    </w:tbl>
                    <w:p>
                      <w:pPr>
                        <w:pStyle w:val="TextBody"/>
                        <w:spacing w:before="0" w:after="283"/>
                        <w:rPr/>
                      </w:pPr>
                      <w:r>
                        <w:rPr/>
                      </w:r>
                    </w:p>
                  </w:txbxContent>
                </v:textbox>
                <w10:wrap type="square" side="right"/>
              </v:rect>
            </w:pict>
          </mc:Fallback>
        </mc:AlternateContent>
      </w:r>
    </w:p>
    <w:p>
      <w:pPr>
        <w:pStyle w:val="HorizontalLine"/>
        <w:pBdr>
          <w:bottom w:val="single" w:sz="12" w:space="0" w:color="808080"/>
        </w:pBdr>
        <w:jc w:val="center"/>
        <w:rPr/>
      </w:pPr>
      <w:r>
        <w:rPr/>
      </w:r>
      <w:r>
        <w:br w:type="page"/>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75000" cy="121285"/>
                <wp:effectExtent l="0" t="0" r="0" b="0"/>
                <wp:wrapTopAndBottom/>
                <wp:docPr id="5" name="Frame5"/>
                <a:graphic xmlns:a="http://schemas.openxmlformats.org/drawingml/2006/main">
                  <a:graphicData uri="http://schemas.microsoft.com/office/word/2010/wordprocessingShape">
                    <wps:wsp>
                      <wps:cNvSpPr txBox="1"/>
                      <wps:spPr>
                        <a:xfrm>
                          <a:off x="0" y="0"/>
                          <a:ext cx="3175000" cy="121285"/>
                        </a:xfrm>
                        <a:prstGeom prst="rect"/>
                      </wps:spPr>
                      <wps:txbx>
                        <w:txbxContent>
                          <w:p>
                            <w:pPr>
                              <w:pStyle w:val="TextBody"/>
                              <w:spacing w:before="0" w:after="283"/>
                              <w:jc w:val="left"/>
                              <w:rPr>
                                <w:rFonts w:ascii="Times New Roman" w:hAnsi="Times New Roman"/>
                                <w:sz w:val="17"/>
                              </w:rPr>
                            </w:pPr>
                            <w:r>
                              <w:rPr>
                                <w:rFonts w:ascii="Times New Roman" w:hAnsi="Times New Roman"/>
                                <w:sz w:val="17"/>
                              </w:rPr>
                              <w:t xml:space="preserve">Date:   </w:t>
                            </w:r>
                            <w:r>
                              <w:rPr>
                                <w:rFonts w:ascii="Times New Roman" w:hAnsi="Times New Roman"/>
                                <w:i/>
                                <w:sz w:val="17"/>
                              </w:rPr>
                              <w:t>December 23, 2011</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left"/>
                        <w:rPr>
                          <w:rFonts w:ascii="Times New Roman" w:hAnsi="Times New Roman"/>
                          <w:sz w:val="17"/>
                        </w:rPr>
                      </w:pPr>
                      <w:r>
                        <w:rPr>
                          <w:rFonts w:ascii="Times New Roman" w:hAnsi="Times New Roman"/>
                          <w:sz w:val="17"/>
                        </w:rPr>
                        <w:t xml:space="preserve">Date:   </w:t>
                      </w:r>
                      <w:r>
                        <w:rPr>
                          <w:rFonts w:ascii="Times New Roman" w:hAnsi="Times New Roman"/>
                          <w:i/>
                          <w:sz w:val="17"/>
                        </w:rPr>
                        <w:t>December 23, 2011</w:t>
                      </w:r>
                    </w:p>
                  </w:txbxContent>
                </v:textbox>
                <w10:wrap type="topAndBottom"/>
              </v:rect>
            </w:pict>
          </mc:Fallback>
        </mc:AlternateConten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175000" cy="1359535"/>
                <wp:effectExtent l="0" t="0" r="0" b="0"/>
                <wp:wrapTopAndBottom/>
                <wp:docPr id="6" name="Frame6"/>
                <a:graphic xmlns:a="http://schemas.openxmlformats.org/drawingml/2006/main">
                  <a:graphicData uri="http://schemas.microsoft.com/office/word/2010/wordprocessingShape">
                    <wps:wsp>
                      <wps:cNvSpPr txBox="1"/>
                      <wps:spPr>
                        <a:xfrm>
                          <a:off x="0" y="0"/>
                          <a:ext cx="3175000" cy="1359535"/>
                        </a:xfrm>
                        <a:prstGeom prst="rect"/>
                      </wps:spPr>
                      <wps:txbx>
                        <w:txbxContent>
                          <w:tbl>
                            <w:tblPr>
                              <w:tblW w:w="4500" w:type="dxa"/>
                              <w:jc w:val="center"/>
                              <w:tblInd w:w="0" w:type="dxa"/>
                              <w:tblCellMar>
                                <w:top w:w="0" w:type="dxa"/>
                                <w:left w:w="0" w:type="dxa"/>
                                <w:bottom w:w="0" w:type="dxa"/>
                                <w:right w:w="0" w:type="dxa"/>
                              </w:tblCellMar>
                            </w:tblPr>
                            <w:tblGrid>
                              <w:gridCol w:w="843"/>
                              <w:gridCol w:w="3657"/>
                            </w:tblGrid>
                            <w:tr>
                              <w:trPr/>
                              <w:tc>
                                <w:tcPr>
                                  <w:tcW w:w="843" w:type="dxa"/>
                                  <w:vMerge w:val="restart"/>
                                  <w:tcBorders/>
                                  <w:shd w:fill="auto" w:val="clear"/>
                                </w:tcPr>
                                <w:p>
                                  <w:pPr>
                                    <w:pStyle w:val="TableContents"/>
                                    <w:spacing w:before="0" w:after="283"/>
                                    <w:rPr>
                                      <w:rFonts w:ascii="Times New Roman" w:hAnsi="Times New Roman"/>
                                      <w:sz w:val="17"/>
                                    </w:rPr>
                                  </w:pPr>
                                  <w:r>
                                    <w:rPr>
                                      <w:rFonts w:ascii="Times New Roman" w:hAnsi="Times New Roman"/>
                                      <w:sz w:val="17"/>
                                    </w:rPr>
                                    <w:t>By:</w:t>
                                  </w:r>
                                </w:p>
                              </w:tc>
                              <w:tc>
                                <w:tcPr>
                                  <w:tcW w:w="3657" w:type="dxa"/>
                                  <w:tcBorders/>
                                  <w:shd w:fill="auto" w:val="clear"/>
                                  <w:vAlign w:val="center"/>
                                </w:tcPr>
                                <w:p>
                                  <w:pPr>
                                    <w:pStyle w:val="TableContents"/>
                                    <w:spacing w:before="0" w:after="283"/>
                                    <w:jc w:val="left"/>
                                    <w:rPr>
                                      <w:rFonts w:ascii="Times New Roman" w:hAnsi="Times New Roman"/>
                                      <w:sz w:val="17"/>
                                    </w:rPr>
                                  </w:pPr>
                                  <w:r>
                                    <w:rPr>
                                      <w:rFonts w:ascii="Times New Roman" w:hAnsi="Times New Roman"/>
                                      <w:sz w:val="17"/>
                                    </w:rPr>
                                    <w:t>/s/ Shawn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HorizontalLine"/>
                                    <w:pBdr>
                                      <w:bottom w:val="double" w:sz="2" w:space="0" w:color="808080"/>
                                    </w:pBdr>
                                    <w:spacing w:before="0" w:after="283"/>
                                    <w:rPr/>
                                  </w:pPr>
                                  <w:r>
                                    <w:rPr/>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Name: Shawn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Title: Chief Executive Officer</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07.05pt;mso-wrap-distance-left:0pt;mso-wrap-distance-right:0pt;mso-wrap-distance-top:0pt;mso-wrap-distance-bottom:0pt;margin-top:0pt;mso-position-vertical:top;mso-position-vertical-relative:text;margin-left:250pt;mso-position-horizontal:left;mso-position-horizontal-relative:text">
                <v:textbox>
                  <w:txbxContent>
                    <w:tbl>
                      <w:tblPr>
                        <w:tblW w:w="4500" w:type="dxa"/>
                        <w:jc w:val="center"/>
                        <w:tblInd w:w="0" w:type="dxa"/>
                        <w:tblCellMar>
                          <w:top w:w="0" w:type="dxa"/>
                          <w:left w:w="0" w:type="dxa"/>
                          <w:bottom w:w="0" w:type="dxa"/>
                          <w:right w:w="0" w:type="dxa"/>
                        </w:tblCellMar>
                      </w:tblPr>
                      <w:tblGrid>
                        <w:gridCol w:w="843"/>
                        <w:gridCol w:w="3657"/>
                      </w:tblGrid>
                      <w:tr>
                        <w:trPr/>
                        <w:tc>
                          <w:tcPr>
                            <w:tcW w:w="843" w:type="dxa"/>
                            <w:vMerge w:val="restart"/>
                            <w:tcBorders/>
                            <w:shd w:fill="auto" w:val="clear"/>
                          </w:tcPr>
                          <w:p>
                            <w:pPr>
                              <w:pStyle w:val="TableContents"/>
                              <w:spacing w:before="0" w:after="283"/>
                              <w:rPr>
                                <w:rFonts w:ascii="Times New Roman" w:hAnsi="Times New Roman"/>
                                <w:sz w:val="17"/>
                              </w:rPr>
                            </w:pPr>
                            <w:r>
                              <w:rPr>
                                <w:rFonts w:ascii="Times New Roman" w:hAnsi="Times New Roman"/>
                                <w:sz w:val="17"/>
                              </w:rPr>
                              <w:t>By:</w:t>
                            </w:r>
                          </w:p>
                        </w:tc>
                        <w:tc>
                          <w:tcPr>
                            <w:tcW w:w="3657" w:type="dxa"/>
                            <w:tcBorders/>
                            <w:shd w:fill="auto" w:val="clear"/>
                            <w:vAlign w:val="center"/>
                          </w:tcPr>
                          <w:p>
                            <w:pPr>
                              <w:pStyle w:val="TableContents"/>
                              <w:spacing w:before="0" w:after="283"/>
                              <w:jc w:val="left"/>
                              <w:rPr>
                                <w:rFonts w:ascii="Times New Roman" w:hAnsi="Times New Roman"/>
                                <w:sz w:val="17"/>
                              </w:rPr>
                            </w:pPr>
                            <w:r>
                              <w:rPr>
                                <w:rFonts w:ascii="Times New Roman" w:hAnsi="Times New Roman"/>
                                <w:sz w:val="17"/>
                              </w:rPr>
                              <w:t>/s/ Shawn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HorizontalLine"/>
                              <w:pBdr>
                                <w:bottom w:val="double" w:sz="2" w:space="0" w:color="808080"/>
                              </w:pBdr>
                              <w:spacing w:before="0" w:after="283"/>
                              <w:rPr/>
                            </w:pPr>
                            <w:r>
                              <w:rPr/>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Name: Shawn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Title: Chief Executive Officer</w:t>
                            </w:r>
                          </w:p>
                        </w:tc>
                      </w:tr>
                    </w:tbl>
                    <w:p>
                      <w:pPr>
                        <w:pStyle w:val="TextBody"/>
                        <w:spacing w:before="0" w:after="283"/>
                        <w:rPr/>
                      </w:pPr>
                      <w:r>
                        <w:rPr/>
                      </w:r>
                    </w:p>
                  </w:txbxContent>
                </v:textbox>
                <w10:wrap type="topAndBottom"/>
              </v:rect>
            </w:pict>
          </mc:Fallback>
        </mc:AlternateContent>
      </w:r>
    </w:p>
    <w:p>
      <w:pPr>
        <w:pStyle w:val="TextBody"/>
        <w:spacing w:before="0" w:after="0"/>
        <w:jc w:val="center"/>
        <w:rPr>
          <w:rFonts w:ascii="Times New Roman" w:hAnsi="Times New Roman"/>
          <w:b/>
          <w:sz w:val="17"/>
        </w:rPr>
      </w:pPr>
      <w:r>
        <w:rPr>
          <w:rFonts w:ascii="Times New Roman" w:hAnsi="Times New Roman"/>
          <w:b/>
          <w:sz w:val="17"/>
        </w:rPr>
        <w:t>Exhibit Index</w:t>
      </w:r>
    </w:p>
    <w:p>
      <w:pPr>
        <w:pStyle w:val="TextBody"/>
        <w:spacing w:before="0" w:after="0"/>
        <w:jc w:val="center"/>
        <w:rPr/>
      </w:pPr>
      <w:r>
        <w:rPr/>
        <w:t> </w:t>
      </w:r>
    </w:p>
    <w:tbl>
      <w:tblPr>
        <w:tblW w:w="5000" w:type="pct"/>
        <w:jc w:val="center"/>
        <w:tblInd w:w="0" w:type="dxa"/>
        <w:tblCellMar>
          <w:top w:w="0" w:type="dxa"/>
          <w:left w:w="0" w:type="dxa"/>
          <w:bottom w:w="0" w:type="dxa"/>
          <w:right w:w="0" w:type="dxa"/>
        </w:tblCellMar>
      </w:tblPr>
      <w:tblGrid>
        <w:gridCol w:w="1040"/>
        <w:gridCol w:w="312"/>
        <w:gridCol w:w="8853"/>
      </w:tblGrid>
      <w:tr>
        <w:trPr/>
        <w:tc>
          <w:tcPr>
            <w:tcW w:w="1040" w:type="dxa"/>
            <w:tcBorders/>
            <w:shd w:fill="auto" w:val="clear"/>
          </w:tcPr>
          <w:p>
            <w:pPr>
              <w:pStyle w:val="TableContents"/>
              <w:spacing w:before="0" w:after="0"/>
              <w:jc w:val="left"/>
              <w:rPr>
                <w:rFonts w:ascii="Times New Roman" w:hAnsi="Times New Roman"/>
                <w:b/>
                <w:sz w:val="17"/>
              </w:rPr>
            </w:pPr>
            <w:r>
              <w:rPr>
                <w:rFonts w:ascii="Times New Roman" w:hAnsi="Times New Roman"/>
                <w:b/>
                <w:sz w:val="17"/>
              </w:rPr>
              <w:t>Exhibit No.</w:t>
            </w:r>
          </w:p>
          <w:p>
            <w:pPr>
              <w:pStyle w:val="HorizontalLine"/>
              <w:pBdr>
                <w:bottom w:val="single" w:sz="12" w:space="0" w:color="808080"/>
              </w:pBdr>
              <w:spacing w:before="0" w:after="283"/>
              <w:rPr/>
            </w:pPr>
            <w:r>
              <w:rPr/>
            </w:r>
          </w:p>
        </w:tc>
        <w:tc>
          <w:tcPr>
            <w:tcW w:w="312" w:type="dxa"/>
            <w:tcBorders/>
            <w:shd w:fill="auto" w:val="clear"/>
          </w:tcPr>
          <w:p>
            <w:pPr>
              <w:pStyle w:val="TableContents"/>
              <w:spacing w:before="0" w:after="283"/>
              <w:jc w:val="left"/>
              <w:rPr/>
            </w:pPr>
            <w:r>
              <w:rPr/>
              <w:t xml:space="preserve">   </w:t>
            </w:r>
          </w:p>
        </w:tc>
        <w:tc>
          <w:tcPr>
            <w:tcW w:w="8853" w:type="dxa"/>
            <w:tcBorders/>
            <w:shd w:fill="auto" w:val="clear"/>
          </w:tcPr>
          <w:p>
            <w:pPr>
              <w:pStyle w:val="TableContents"/>
              <w:spacing w:before="0" w:after="0"/>
              <w:jc w:val="left"/>
              <w:rPr>
                <w:rFonts w:ascii="Times New Roman" w:hAnsi="Times New Roman"/>
                <w:b/>
                <w:sz w:val="17"/>
              </w:rPr>
            </w:pPr>
            <w:r>
              <w:rPr>
                <w:rFonts w:ascii="Times New Roman" w:hAnsi="Times New Roman"/>
                <w:b/>
                <w:sz w:val="17"/>
              </w:rPr>
              <w:t>Description</w:t>
            </w:r>
          </w:p>
          <w:p>
            <w:pPr>
              <w:pStyle w:val="HorizontalLine"/>
              <w:pBdr>
                <w:bottom w:val="single" w:sz="12" w:space="0" w:color="808080"/>
              </w:pBdr>
              <w:spacing w:before="0" w:after="283"/>
              <w:rPr/>
            </w:pPr>
            <w:r>
              <w:rPr/>
            </w:r>
          </w:p>
        </w:tc>
      </w:tr>
      <w:tr>
        <w:trPr/>
        <w:tc>
          <w:tcPr>
            <w:tcW w:w="104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EX-3.1</w:t>
            </w:r>
          </w:p>
        </w:tc>
        <w:tc>
          <w:tcPr>
            <w:tcW w:w="312" w:type="dxa"/>
            <w:tcBorders/>
            <w:shd w:fill="auto" w:val="clear"/>
          </w:tcPr>
          <w:p>
            <w:pPr>
              <w:pStyle w:val="TableContents"/>
              <w:spacing w:before="0" w:after="283"/>
              <w:jc w:val="left"/>
              <w:rPr/>
            </w:pPr>
            <w:r>
              <w:rPr/>
              <w:t xml:space="preserve">   </w:t>
            </w:r>
          </w:p>
        </w:tc>
        <w:tc>
          <w:tcPr>
            <w:tcW w:w="885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Certificate of Designations Series A Preferred</w:t>
            </w:r>
          </w:p>
        </w:tc>
      </w:tr>
      <w:tr>
        <w:trPr/>
        <w:tc>
          <w:tcPr>
            <w:tcW w:w="104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EX-10.1</w:t>
            </w:r>
          </w:p>
        </w:tc>
        <w:tc>
          <w:tcPr>
            <w:tcW w:w="312" w:type="dxa"/>
            <w:tcBorders/>
            <w:shd w:fill="auto" w:val="clear"/>
          </w:tcPr>
          <w:p>
            <w:pPr>
              <w:pStyle w:val="TableContents"/>
              <w:spacing w:before="0" w:after="283"/>
              <w:jc w:val="left"/>
              <w:rPr/>
            </w:pPr>
            <w:r>
              <w:rPr/>
              <w:t xml:space="preserve">   </w:t>
            </w:r>
          </w:p>
        </w:tc>
        <w:tc>
          <w:tcPr>
            <w:tcW w:w="885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Exchange Agreement</w:t>
            </w:r>
          </w:p>
        </w:tc>
      </w:tr>
    </w:tbl>
    <w:p>
      <w:pPr>
        <w:pStyle w:val="TextBody"/>
        <w:spacing w:before="0" w:after="0"/>
        <w:ind w:left="0" w:right="0" w:hanging="0"/>
        <w:jc w:val="right"/>
        <w:rPr>
          <w:rFonts w:ascii="times new roman" w:hAnsi="times new roman"/>
          <w:b/>
          <w:sz w:val="20"/>
        </w:rPr>
      </w:pPr>
      <w:r>
        <w:br w:type="page"/>
      </w:r>
      <w:bookmarkStart w:id="4" w:name="ex3-12232011_081210.htm"/>
      <w:bookmarkStart w:id="5" w:name="ksex312232011_081210"/>
      <w:bookmarkEnd w:id="4"/>
      <w:bookmarkEnd w:id="5"/>
      <w:r>
        <w:rPr>
          <w:rFonts w:ascii="times new roman" w:hAnsi="times new roman"/>
          <w:b/>
          <w:sz w:val="20"/>
        </w:rPr>
        <w:t>Exhibit 3.1</w:t>
      </w:r>
    </w:p>
    <w:p>
      <w:pPr>
        <w:pStyle w:val="TextBody"/>
        <w:spacing w:before="0" w:after="0"/>
        <w:ind w:left="0" w:right="0" w:hanging="0"/>
        <w:jc w:val="both"/>
        <w:rPr/>
      </w:pPr>
      <w:r>
        <w:rPr/>
        <w:t> </w:t>
      </w:r>
    </w:p>
    <w:p>
      <w:pPr>
        <w:pStyle w:val="TextBody"/>
        <w:spacing w:before="0" w:after="0"/>
        <w:ind w:left="0" w:right="0" w:firstLine="720"/>
        <w:jc w:val="center"/>
        <w:rPr>
          <w:rFonts w:ascii="Times New Roman" w:hAnsi="Times New Roman"/>
          <w:b/>
          <w:sz w:val="20"/>
        </w:rPr>
      </w:pPr>
      <w:r>
        <w:rPr>
          <w:rFonts w:ascii="Times New Roman" w:hAnsi="Times New Roman"/>
          <w:b/>
          <w:sz w:val="20"/>
        </w:rPr>
        <w:t>CERTIFICATE OF DESIGNATION OF THE RELATIVE RIGHTS AND PREFERENCES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OF THE</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SERIES A CONVERTIBLE PREFERRED STOCK</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OF</w:t>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undersigned, the Chief Executive Officer of VistaGen Therapeutics, Inc., a Nevada corporation (the “Company”), in accordance with the provisions of Section 78.195 of the Nevada Revised Statutes, does hereby certify that, pursuant to the authority conferred upon the Board of Directors of the Corporation by the Articles of Incorporation of the Company, the following resolution creating a series of Series A Convertible Preferred Stock, was duly adopted on December 20, 2011:</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RESOLVED, that pursuant to the authority expressly granted to and vested in the Board of Directors of the Company by provisions of the Certificate of Incorporation of the Company (the “Certificate of Incorporation”), there hereby is created out of the shares of Preferred Stock, par value $.001 per share, of the Company authorized in Article V of the Certificate of Incorporation (the “Preferred Stock”), a series of Preferred Stock of the Company, to be named “Series A Convertible Preferred Stock,” consisting of Five Hundred Thousand (500,000) shares, which series shall have the following designations, powers, preferences and relative and other special rights and the following qualifications, limitations and restrictions:</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1.</w:t>
      </w:r>
      <w:bookmarkStart w:id="6" w:name="TAB2"/>
      <w:bookmarkEnd w:id="6"/>
      <w:r>
        <w:rPr>
          <w:color w:val="000000"/>
          <w:spacing w:val="180"/>
        </w:rPr>
        <w:t> </w:t>
      </w:r>
      <w:r>
        <w:rPr>
          <w:rFonts w:ascii="Times New Roman" w:hAnsi="Times New Roman"/>
          <w:sz w:val="20"/>
          <w:u w:val="single"/>
        </w:rPr>
        <w:t>Designation and Rank</w:t>
      </w:r>
      <w:r>
        <w:rPr>
          <w:rFonts w:ascii="Times New Roman" w:hAnsi="Times New Roman"/>
          <w:sz w:val="20"/>
        </w:rPr>
        <w:t xml:space="preserve">. The designation of such series of the Preferred Stock shall be the Series A Convertible Preferred Stock, par value $.001 per share (the </w:t>
      </w:r>
      <w:r>
        <w:rPr>
          <w:rFonts w:ascii="Times New Roman" w:hAnsi="Times New Roman"/>
          <w:b/>
          <w:sz w:val="20"/>
        </w:rPr>
        <w:t xml:space="preserve">"Series A Preferred Stock"). </w:t>
      </w:r>
      <w:r>
        <w:rPr>
          <w:rFonts w:ascii="Times New Roman" w:hAnsi="Times New Roman"/>
          <w:sz w:val="20"/>
        </w:rPr>
        <w:t xml:space="preserve">The maximum number of shares of Series A Preferred Stock shall be Five Hundred Thousand  (500,000) shares. The Series A Preferred Stock shall rank prior to the common stock, par value $.001 per share (the </w:t>
      </w:r>
      <w:r>
        <w:rPr>
          <w:rFonts w:ascii="Times New Roman" w:hAnsi="Times New Roman"/>
          <w:b/>
          <w:sz w:val="20"/>
        </w:rPr>
        <w:t xml:space="preserve">"Common Stock"), </w:t>
      </w:r>
      <w:r>
        <w:rPr>
          <w:rFonts w:ascii="Times New Roman" w:hAnsi="Times New Roman"/>
          <w:sz w:val="20"/>
        </w:rPr>
        <w:t xml:space="preserve">and shall rank senior to all other classes and series of equity securities of the Company that by their terms do not rank senior to the Series A Preferred Stock </w:t>
      </w:r>
      <w:r>
        <w:rPr>
          <w:rFonts w:ascii="Times New Roman" w:hAnsi="Times New Roman"/>
          <w:b/>
          <w:sz w:val="20"/>
        </w:rPr>
        <w:t>("Junior Stock").</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2.</w:t>
      </w:r>
      <w:bookmarkStart w:id="7" w:name="TAB21"/>
      <w:bookmarkEnd w:id="7"/>
      <w:r>
        <w:rPr>
          <w:color w:val="000000"/>
          <w:spacing w:val="180"/>
        </w:rPr>
        <w:t> </w:t>
      </w:r>
      <w:r>
        <w:rPr>
          <w:rFonts w:ascii="Times New Roman" w:hAnsi="Times New Roman"/>
          <w:sz w:val="20"/>
          <w:u w:val="single"/>
        </w:rPr>
        <w:t>Dividends</w:t>
      </w:r>
      <w:r>
        <w:rPr>
          <w:rFonts w:ascii="Times New Roman" w:hAnsi="Times New Roman"/>
          <w:sz w:val="20"/>
        </w:rPr>
        <w:t xml:space="preserve">. Whenever the Board of Directors declares a dividend on the Common Stock each holder of record of a share of Series A Preferred Stock, or any fraction of a share of Series A Preferred Stock, on the date set by the Board of Directors to determine the owners of the Common Stock of record entitled to receive such dividend (the </w:t>
      </w:r>
      <w:r>
        <w:rPr>
          <w:rFonts w:ascii="Times New Roman" w:hAnsi="Times New Roman"/>
          <w:b/>
          <w:sz w:val="20"/>
        </w:rPr>
        <w:t xml:space="preserve">"Record Date") </w:t>
      </w:r>
      <w:r>
        <w:rPr>
          <w:rFonts w:ascii="Times New Roman" w:hAnsi="Times New Roman"/>
          <w:sz w:val="20"/>
        </w:rPr>
        <w:t>shall be entitled to receive out of any assets at the time legally available therefore, an amount equal to such dividend declared on one share of Common Stock multiplied by the number of shares of Common Stock into which such share, or such fraction of a share, of Series A Preferred Stock could be converted on the Record Date.</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900" w:right="0" w:firstLine="900"/>
        <w:rPr/>
      </w:pPr>
      <w:r>
        <w:rPr>
          <w:rFonts w:ascii="Times New Roman" w:hAnsi="Times New Roman"/>
          <w:sz w:val="20"/>
        </w:rPr>
        <w:t>3.</w:t>
      </w:r>
      <w:bookmarkStart w:id="8" w:name="TAB22"/>
      <w:bookmarkEnd w:id="8"/>
      <w:r>
        <w:rPr>
          <w:color w:val="000000"/>
          <w:spacing w:val="180"/>
        </w:rPr>
        <w:t> </w:t>
      </w:r>
      <w:r>
        <w:rPr>
          <w:rFonts w:ascii="Times New Roman" w:hAnsi="Times New Roman"/>
          <w:sz w:val="20"/>
          <w:u w:val="single"/>
        </w:rPr>
        <w:t>Voting Rights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(a)</w:t>
      </w:r>
      <w:bookmarkStart w:id="9" w:name="TAB23"/>
      <w:bookmarkEnd w:id="9"/>
      <w:r>
        <w:rPr>
          <w:color w:val="000000"/>
          <w:spacing w:val="180"/>
        </w:rPr>
        <w:t> </w:t>
      </w:r>
      <w:r>
        <w:rPr>
          <w:rFonts w:ascii="Times New Roman" w:hAnsi="Times New Roman"/>
          <w:sz w:val="20"/>
          <w:u w:val="single"/>
        </w:rPr>
        <w:t>Class Voting Rights</w:t>
      </w:r>
      <w:r>
        <w:rPr>
          <w:rFonts w:ascii="Times New Roman" w:hAnsi="Times New Roman"/>
          <w:sz w:val="20"/>
        </w:rPr>
        <w:t>. The Series A Preferred Stock shall have the following class voting rights. So long as any shares of the Series A Preferred Stock remain outstanding, the Company shall not, without the affirmative vote or consent of the holders of at least sixty-seven percent (67%) of the shares of the Series A Preferred Stock outstanding at the time, given in person or by proxy, either in writing or at a meeting, in which the holders of the Series A Preferred Stock vote separately as a class: (i) amend, alter or repeal the provisions of the Series A Preferred Stock so as to adversely affect any right, preference, privilege or voting power of the Series A Preferred Stock; (ii) increase the authorized number of shares of Series A Preferred Stock; or (iii) effect any distribution with respect to Junior Stock except that the Company may effect a distribution on the Common stock if the Company makes a like kind distribution on each share, or fraction of a share, of Series A Preferred Stock in an amount equal to the distribution on one share of Common Stock multiplied by the number of shares of Common Stock into which such one share, or such fraction of a share, of Series A Preferred Stock can be converted at the time of such distribution.</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(b)</w:t>
      </w:r>
      <w:bookmarkStart w:id="10" w:name="TAB24"/>
      <w:bookmarkEnd w:id="10"/>
      <w:r>
        <w:rPr>
          <w:color w:val="000000"/>
          <w:spacing w:val="180"/>
        </w:rPr>
        <w:t> </w:t>
      </w:r>
      <w:r>
        <w:rPr>
          <w:rFonts w:ascii="Times New Roman" w:hAnsi="Times New Roman"/>
          <w:sz w:val="20"/>
          <w:u w:val="single"/>
        </w:rPr>
        <w:t>General Voting Rights</w:t>
      </w:r>
      <w:r>
        <w:rPr>
          <w:rFonts w:ascii="Times New Roman" w:hAnsi="Times New Roman"/>
          <w:sz w:val="20"/>
        </w:rPr>
        <w:t>. Except with respect to transactions upon which the Series A Preferred Stock shall be entitled to vote separately as a class pursuant to Section 3(a) above, the Series A Preferred Stock shall have no voting rights. The Common Stock into which the Series A Preferred Stock is convertible shall, upon issuance, have all of the same voting rights as other issued and outstanding Common Stock of the Company.</w:t>
      </w:r>
    </w:p>
    <w:p>
      <w:pPr>
        <w:pStyle w:val="TextBody"/>
        <w:spacing w:before="0" w:after="0"/>
        <w:ind w:left="0" w:right="0" w:hanging="0"/>
        <w:jc w:val="both"/>
        <w:rPr/>
      </w:pPr>
      <w:r>
        <w:rPr/>
        <w:t> </w:t>
      </w:r>
    </w:p>
    <w:p>
      <w:pPr>
        <w:pStyle w:val="TextBody"/>
        <w:spacing w:before="0" w:after="0"/>
        <w:ind w:left="900" w:right="0" w:firstLine="900"/>
        <w:rPr/>
      </w:pPr>
      <w:r>
        <w:rPr>
          <w:rFonts w:ascii="Times New Roman" w:hAnsi="Times New Roman"/>
          <w:sz w:val="20"/>
        </w:rPr>
        <w:t>4.</w:t>
      </w:r>
      <w:bookmarkStart w:id="11" w:name="TAB25"/>
      <w:bookmarkEnd w:id="11"/>
      <w:r>
        <w:rPr>
          <w:color w:val="000000"/>
          <w:spacing w:val="180"/>
        </w:rPr>
        <w:t> </w:t>
      </w:r>
      <w:r>
        <w:rPr>
          <w:rFonts w:ascii="Times New Roman" w:hAnsi="Times New Roman"/>
          <w:sz w:val="20"/>
          <w:u w:val="single"/>
        </w:rPr>
        <w:t>Liquidation Preference</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10" w:firstLine="1440"/>
        <w:jc w:val="both"/>
        <w:rPr>
          <w:rFonts w:ascii="Times New Roman" w:hAnsi="Times New Roman"/>
          <w:sz w:val="20"/>
        </w:rPr>
      </w:pPr>
      <w:r>
        <w:rPr>
          <w:rFonts w:ascii="Times New Roman" w:hAnsi="Times New Roman"/>
          <w:sz w:val="20"/>
        </w:rPr>
        <w:t xml:space="preserve">(a) In the event of the liquidation, dissolution or winding up of the affairs of the Company, whether voluntary or involuntary, after payment or provision for payment of the debts and other liabilities of the Company, the holders of shares of the Series A Preferred Stock then outstanding shall be entitled to receive, out of the assets of the Company, whether such assets are capital or surplus of any nature an amount per share of Series A Preferred Stock calculated by taking the total amount available for distribution to holders of all the Company's outstanding Common Stock before deduction of any preference payments for the Series A Preferred Stock, divided by the total of (x), all of the then outstanding shares of the Company's Common Stock, plus (y) all of the shares of the Company's Common Stock into which all of the outstanding shares of the Series A Preferred Stock can be converted (the </w:t>
      </w:r>
      <w:r>
        <w:rPr>
          <w:rFonts w:ascii="Times New Roman" w:hAnsi="Times New Roman"/>
          <w:b/>
          <w:sz w:val="20"/>
        </w:rPr>
        <w:t xml:space="preserve">"Liquidation Preference Amount") </w:t>
      </w:r>
      <w:r>
        <w:rPr>
          <w:rFonts w:ascii="Times New Roman" w:hAnsi="Times New Roman"/>
          <w:sz w:val="20"/>
        </w:rPr>
        <w:t xml:space="preserve">before any payment shall be made or any assets distributed to the holders of the Common Stock or any other Junior Stock. If the assets of the Company are sufficient to pay in part, but are not sufficient to pay in full, the Liquidation Preference Amount payable to the holders of outstanding shares of the Series A Preferred Stock and any series of preferred stock or any other class of stock on a parity, as to rights on liquidation, dissolution or winding up, with the Series A Preferred Stock, then all of such assets available to pay a part of the Liquidation Preference Amount to the holders of the outstanding shares of Series A Preferred Stock and the other classes of stock on a parity as to rights on liquidation, dissolution or winding up, will be distributed among the holders of the Series A Preferred Stock and the other classes of stock on a parity with the Series A Preferred Stock, if any, ratably in accordance with the respective amounts that would be payable on such shares if all amounts payable thereon were paid in full. The liquidation payment with respect to each outstanding fractional share of Series A Preferred Stock shall be equal to a ratably proportionate amount of the liquidation payment with respect to each outstanding share of Series A Preferred Stock. All payments for which this Section 4(a) provides shall be in cash, property (valued at its fair market value as determined by an independent appraiser reasonably acceptable to the holders of a majority of the Series A Preferred Stock), or a combination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no cash shall be paid to holders of Junior Stock unless each holder of the outstanding shares of Series A Preferred Stock has been paid in cash the full Liquidation Preference Amount to which such holder is entitled as provided herein. After payment of the full Liquidation Preference Amount to which each holder is entitled, such holders of shares of Series A Preferred Stock will not be entitled to any further participation as such in any distribution of the assets of the Company.</w:t>
      </w:r>
    </w:p>
    <w:p>
      <w:pPr>
        <w:pStyle w:val="TextBody"/>
        <w:spacing w:before="0" w:after="0"/>
        <w:ind w:left="0" w:right="0" w:hanging="0"/>
        <w:jc w:val="both"/>
        <w:rPr/>
      </w:pPr>
      <w:r>
        <w:rPr/>
        <w:t> </w:t>
      </w:r>
    </w:p>
    <w:p>
      <w:pPr>
        <w:pStyle w:val="TextBody"/>
        <w:spacing w:before="0" w:after="0"/>
        <w:ind w:left="0" w:right="0" w:firstLine="1620"/>
        <w:jc w:val="both"/>
        <w:rPr>
          <w:rFonts w:ascii="Times New Roman" w:hAnsi="Times New Roman"/>
          <w:sz w:val="20"/>
        </w:rPr>
      </w:pPr>
      <w:r>
        <w:rPr>
          <w:rFonts w:ascii="Times New Roman" w:hAnsi="Times New Roman"/>
          <w:sz w:val="20"/>
        </w:rPr>
        <w:t>(b) A consolidation or merger of the Company with or into any other corporation or corporations, or a sale of all or substantially all of the assets of the Company, or the effectuation by the Company of a transaction or series of transactions in which more than 50% of the voting shares of the Company is disposed of or conveyed, or other acquisition type transaction shall be, at the election of a majority of the holders of the Series A Preferred Stock, deemed to be a liquidation, dissolution, or winding up within the meaning of this Section 4. In the event of the merger or consolidation of the Company with or into another corporation that is not treated as a liquidation pursuant to this Section 4(b), the Series A Preferred Stock shall maintain its relative powers, designations and preferences provided for herein and no merger shall result inconsistent therewith.</w:t>
      </w:r>
    </w:p>
    <w:p>
      <w:pPr>
        <w:pStyle w:val="TextBody"/>
        <w:spacing w:before="0" w:after="0"/>
        <w:ind w:left="0" w:right="0" w:hanging="0"/>
        <w:jc w:val="both"/>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(c) Written notice of any voluntary or involuntary liquidation, dissolution or winding up of the affairs of the Company, stating a payment date and the place where the distributable amounts shall be payable, shall be given by mail, postage prepaid, no less than forty-five (45) days prior to the payment date stated therein, to the holders of record of the Series A Preferred Stock at their respective addresses as the same shall appear on the books of the Company.</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5.      </w:t>
      </w:r>
      <w:r>
        <w:rPr>
          <w:rFonts w:ascii="Times New Roman" w:hAnsi="Times New Roman"/>
          <w:sz w:val="20"/>
          <w:u w:val="single"/>
        </w:rPr>
        <w:t>Conversion</w:t>
      </w:r>
      <w:r>
        <w:rPr>
          <w:rFonts w:ascii="Times New Roman" w:hAnsi="Times New Roman"/>
          <w:sz w:val="20"/>
        </w:rPr>
        <w:t xml:space="preserve">. The holder of Series A Preferred Stock shall have the following conversion rights (the </w:t>
      </w:r>
      <w:r>
        <w:rPr>
          <w:rFonts w:ascii="Times New Roman" w:hAnsi="Times New Roman"/>
          <w:b/>
          <w:sz w:val="20"/>
        </w:rPr>
        <w:t>"Conversion Rights"):</w:t>
      </w:r>
    </w:p>
    <w:p>
      <w:pPr>
        <w:pStyle w:val="TextBody"/>
        <w:spacing w:before="0" w:after="0"/>
        <w:ind w:left="0" w:right="0" w:hanging="0"/>
        <w:jc w:val="both"/>
        <w:rPr/>
      </w:pPr>
      <w:r>
        <w:rPr/>
        <w:t> </w:t>
      </w:r>
    </w:p>
    <w:p>
      <w:pPr>
        <w:pStyle w:val="TextBody"/>
        <w:spacing w:before="0" w:after="0"/>
        <w:ind w:left="0" w:right="48" w:firstLine="144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Right to Convert</w:t>
      </w:r>
      <w:r>
        <w:rPr>
          <w:rFonts w:ascii="Times New Roman" w:hAnsi="Times New Roman"/>
          <w:sz w:val="20"/>
        </w:rPr>
        <w:t xml:space="preserve">. At any time on or after the Issuance Date, the holder of any such shares of Series A Preferred Stock may, at such holder's option, subject to the limitations set forth in Section 7 herein, elect to convert (a </w:t>
      </w:r>
      <w:r>
        <w:rPr>
          <w:rFonts w:ascii="Times New Roman" w:hAnsi="Times New Roman"/>
          <w:b/>
          <w:sz w:val="20"/>
        </w:rPr>
        <w:t xml:space="preserve">"Voluntary Conversion") </w:t>
      </w:r>
      <w:r>
        <w:rPr>
          <w:rFonts w:ascii="Times New Roman" w:hAnsi="Times New Roman"/>
          <w:sz w:val="20"/>
        </w:rPr>
        <w:t xml:space="preserve">all or any portion of the shares of Series A Preferred Stock held by such person into a number of fully paid and nonassessable shares of Common Stock at a conversion rate of ten (10) shares of Common Stock for each share of Preferred Stock (subject to adjustments set forth in Section 7(e) herein, the </w:t>
      </w:r>
      <w:r>
        <w:rPr>
          <w:rFonts w:ascii="Times New Roman" w:hAnsi="Times New Roman"/>
          <w:b/>
          <w:sz w:val="20"/>
        </w:rPr>
        <w:t xml:space="preserve">"Conversion Rate"). </w:t>
      </w:r>
      <w:r>
        <w:rPr>
          <w:rFonts w:ascii="Times New Roman" w:hAnsi="Times New Roman"/>
          <w:sz w:val="20"/>
        </w:rPr>
        <w:t>The Company shall keep written records of the conversion of the shares of Series A Preferred Stock converted by each holder. A holder shall be required to deliver the original certificates representing the shares of Series A Preferred Stock upon any conversion of the Series A Preferred Stock as provided in Section 5(b) below.</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(b)     </w:t>
      </w:r>
      <w:r>
        <w:rPr>
          <w:rFonts w:ascii="Times New Roman" w:hAnsi="Times New Roman"/>
          <w:sz w:val="20"/>
          <w:u w:val="single"/>
        </w:rPr>
        <w:t>Mechanics of Voluntary Conversion</w:t>
      </w:r>
      <w:r>
        <w:rPr>
          <w:rFonts w:ascii="Times New Roman" w:hAnsi="Times New Roman"/>
          <w:sz w:val="20"/>
        </w:rPr>
        <w:t>. The Voluntary Conversion of Series A Preferred Stock shall be conducted in the following manner:</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(i)</w:t>
      </w:r>
      <w:bookmarkStart w:id="12" w:name="TAB26"/>
      <w:bookmarkEnd w:id="12"/>
      <w:r>
        <w:rPr>
          <w:color w:val="000000"/>
          <w:spacing w:val="180"/>
        </w:rPr>
        <w:t> </w:t>
      </w:r>
      <w:r>
        <w:rPr>
          <w:rFonts w:ascii="Times New Roman" w:hAnsi="Times New Roman"/>
          <w:sz w:val="20"/>
          <w:u w:val="single"/>
        </w:rPr>
        <w:t>Holder's Delivery Requirements</w:t>
      </w:r>
      <w:r>
        <w:rPr>
          <w:rFonts w:ascii="Times New Roman" w:hAnsi="Times New Roman"/>
          <w:sz w:val="20"/>
        </w:rPr>
        <w:t xml:space="preserve">. To convert Series A Preferred Stock into full shares of Common Stock on any date (the </w:t>
      </w:r>
      <w:r>
        <w:rPr>
          <w:rFonts w:ascii="Times New Roman" w:hAnsi="Times New Roman"/>
          <w:b/>
          <w:sz w:val="20"/>
        </w:rPr>
        <w:t xml:space="preserve">"Voluntary Conversion Date"), </w:t>
      </w:r>
      <w:r>
        <w:rPr>
          <w:rFonts w:ascii="Times New Roman" w:hAnsi="Times New Roman"/>
          <w:sz w:val="20"/>
        </w:rPr>
        <w:t xml:space="preserve">the holder thereof shall (A) transmit by facsimile (or otherwise deliver), for receipt on or prior to 5:00 p.m., New York time on such date, a copy of a fully executed notice of conversion in the form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b/>
          <w:sz w:val="20"/>
        </w:rPr>
        <w:t xml:space="preserve">"Conversion Notice"), </w:t>
      </w:r>
      <w:r>
        <w:rPr>
          <w:rFonts w:ascii="Times New Roman" w:hAnsi="Times New Roman"/>
          <w:sz w:val="20"/>
        </w:rPr>
        <w:t xml:space="preserve">to the Company, and (B) with respect to the conversion of shares of Series A Preferred Stock held by any holder, such holder shall surrender to a common carrier for delivery to the Company as soon as practicable following such Conversion Date, but in no event later than five (5) business days after such date, the original certificates representing the shares of Series A Preferred Stock being converted (or an indemnification undertaking with respect to such shares in the case of their loss, theft or destruction) (the </w:t>
      </w:r>
      <w:r>
        <w:rPr>
          <w:rFonts w:ascii="Times New Roman" w:hAnsi="Times New Roman"/>
          <w:b/>
          <w:sz w:val="20"/>
        </w:rPr>
        <w:t>"Preferred Stock Certificates").</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(ii)</w:t>
      </w:r>
      <w:bookmarkStart w:id="13" w:name="TAB27"/>
      <w:bookmarkEnd w:id="13"/>
      <w:r>
        <w:rPr>
          <w:color w:val="000000"/>
          <w:spacing w:val="180"/>
        </w:rPr>
        <w:t> </w:t>
      </w:r>
      <w:r>
        <w:rPr>
          <w:rFonts w:ascii="Times New Roman" w:hAnsi="Times New Roman"/>
          <w:sz w:val="20"/>
          <w:u w:val="single"/>
        </w:rPr>
        <w:t>Company</w:t>
      </w:r>
      <w:r>
        <w:rPr>
          <w:rFonts w:ascii="Times New Roman" w:hAnsi="Times New Roman"/>
          <w:b/>
          <w:sz w:val="20"/>
          <w:u w:val="single"/>
        </w:rPr>
        <w:t xml:space="preserve">'s </w:t>
      </w:r>
      <w:r>
        <w:rPr>
          <w:rFonts w:ascii="Times New Roman" w:hAnsi="Times New Roman"/>
          <w:sz w:val="20"/>
          <w:u w:val="single"/>
        </w:rPr>
        <w:t>Response</w:t>
      </w:r>
      <w:r>
        <w:rPr>
          <w:rFonts w:ascii="Times New Roman" w:hAnsi="Times New Roman"/>
          <w:sz w:val="20"/>
        </w:rPr>
        <w:t xml:space="preserve">. Upon receipt by the Company of a facsimile copy of a Conversion Notice, the Company shall immediately send, via facsimile, a confirmation of receipt of such Conversion Notice to such holder and the Company or its designated transfer agent (the </w:t>
      </w:r>
      <w:r>
        <w:rPr>
          <w:rFonts w:ascii="Times New Roman" w:hAnsi="Times New Roman"/>
          <w:b/>
          <w:sz w:val="20"/>
        </w:rPr>
        <w:t xml:space="preserve">"Transfer Agent"), </w:t>
      </w:r>
      <w:r>
        <w:rPr>
          <w:rFonts w:ascii="Times New Roman" w:hAnsi="Times New Roman"/>
          <w:sz w:val="20"/>
        </w:rPr>
        <w:t xml:space="preserve">as applicable, shall, within five (5) business days following the date of receipt by the Company of the certificate representing the shares of Series A Preferred Stock being converted, (x) issue and deliver to the Depository Trust Company </w:t>
      </w:r>
      <w:r>
        <w:rPr>
          <w:rFonts w:ascii="Times New Roman" w:hAnsi="Times New Roman"/>
          <w:b/>
          <w:sz w:val="20"/>
        </w:rPr>
        <w:t xml:space="preserve">("DTC") </w:t>
      </w:r>
      <w:r>
        <w:rPr>
          <w:rFonts w:ascii="Times New Roman" w:hAnsi="Times New Roman"/>
          <w:sz w:val="20"/>
        </w:rPr>
        <w:t xml:space="preserve">account on the holder's behalf via the Deposit Withdrawal Agent Commission System </w:t>
      </w:r>
      <w:r>
        <w:rPr>
          <w:rFonts w:ascii="Times New Roman" w:hAnsi="Times New Roman"/>
          <w:b/>
          <w:sz w:val="20"/>
        </w:rPr>
        <w:t xml:space="preserve">("DWAC") </w:t>
      </w:r>
      <w:r>
        <w:rPr>
          <w:rFonts w:ascii="Times New Roman" w:hAnsi="Times New Roman"/>
          <w:sz w:val="20"/>
        </w:rPr>
        <w:t>as specified in the Conversion Notice, registered in the name of the holder or its designee, for the number of shares of Common Stock to which the holder shall be entitled, and (y) if the certificate so surrendered represents more shares of Series A Preferred Stock than those being converted, issue and deliver to the holder a new certificate for such number of shares of Series A Preferred Stock represented by the surrendered certificate which were not converted.</w:t>
      </w:r>
    </w:p>
    <w:p>
      <w:pPr>
        <w:pStyle w:val="TextBody"/>
        <w:spacing w:before="0" w:after="0"/>
        <w:ind w:left="0" w:right="0" w:hanging="0"/>
        <w:jc w:val="both"/>
        <w:rPr/>
      </w:pPr>
      <w:r>
        <w:rPr/>
        <w:t> </w:t>
      </w:r>
    </w:p>
    <w:p>
      <w:pPr>
        <w:pStyle w:val="TextBody"/>
        <w:spacing w:before="0" w:after="0"/>
        <w:ind w:left="2160" w:right="0" w:firstLine="2160"/>
        <w:rPr/>
      </w:pPr>
      <w:r>
        <w:rPr>
          <w:rFonts w:ascii="Times New Roman" w:hAnsi="Times New Roman"/>
          <w:sz w:val="20"/>
        </w:rPr>
        <w:t>(iii)</w:t>
      </w:r>
      <w:bookmarkStart w:id="14" w:name="TAB28"/>
      <w:bookmarkEnd w:id="14"/>
      <w:r>
        <w:rPr>
          <w:color w:val="000000"/>
          <w:spacing w:val="180"/>
        </w:rPr>
        <w:t> </w:t>
      </w:r>
      <w:r>
        <w:rPr>
          <w:rFonts w:ascii="Times New Roman" w:hAnsi="Times New Roman"/>
          <w:sz w:val="20"/>
          <w:u w:val="single"/>
        </w:rPr>
        <w:t>Intentionally Omitted</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(iv)</w:t>
      </w:r>
      <w:bookmarkStart w:id="15" w:name="TAB29"/>
      <w:bookmarkEnd w:id="15"/>
      <w:r>
        <w:rPr>
          <w:color w:val="000000"/>
          <w:spacing w:val="180"/>
        </w:rPr>
        <w:t> </w:t>
      </w:r>
      <w:r>
        <w:rPr>
          <w:rFonts w:ascii="Times New Roman" w:hAnsi="Times New Roman"/>
          <w:sz w:val="20"/>
          <w:u w:val="single"/>
        </w:rPr>
        <w:t>Record Holder</w:t>
      </w:r>
      <w:r>
        <w:rPr>
          <w:rFonts w:ascii="Times New Roman" w:hAnsi="Times New Roman"/>
          <w:sz w:val="20"/>
        </w:rPr>
        <w:t>. The person or persons entitled to receive the shares of Common Stock issuable upon a conversion of the Series A Preferred Stock shall be treated for all purposes as the record holder or holders of such shares of Common Stock on the Conversion Date.</w:t>
      </w:r>
    </w:p>
    <w:p>
      <w:pPr>
        <w:pStyle w:val="TextBody"/>
        <w:spacing w:before="0" w:after="0"/>
        <w:ind w:left="0" w:right="0" w:hanging="0"/>
        <w:jc w:val="both"/>
        <w:rPr/>
      </w:pPr>
      <w:r>
        <w:rPr/>
        <w:t> </w:t>
      </w:r>
    </w:p>
    <w:p>
      <w:pPr>
        <w:pStyle w:val="TextBody"/>
        <w:spacing w:before="0" w:after="0"/>
        <w:ind w:left="0" w:right="0" w:firstLine="2160"/>
        <w:jc w:val="both"/>
        <w:rPr>
          <w:rFonts w:ascii="Times New Roman" w:hAnsi="Times New Roman"/>
          <w:sz w:val="20"/>
        </w:rPr>
      </w:pPr>
      <w:r>
        <w:rPr>
          <w:rFonts w:ascii="Times New Roman" w:hAnsi="Times New Roman"/>
          <w:sz w:val="20"/>
        </w:rPr>
        <w:t>(v)            </w:t>
      </w:r>
      <w:r>
        <w:rPr>
          <w:rFonts w:ascii="Times New Roman" w:hAnsi="Times New Roman"/>
          <w:sz w:val="20"/>
          <w:u w:val="single"/>
        </w:rPr>
        <w:t>Company's Failure to Timely Convert</w:t>
      </w:r>
      <w:r>
        <w:rPr>
          <w:rFonts w:ascii="Times New Roman" w:hAnsi="Times New Roman"/>
          <w:sz w:val="20"/>
        </w:rPr>
        <w:t xml:space="preserve">. If within five (5) business days of the Company's receipt of the Conversion Notice (the </w:t>
      </w:r>
      <w:r>
        <w:rPr>
          <w:rFonts w:ascii="Times New Roman" w:hAnsi="Times New Roman"/>
          <w:b/>
          <w:sz w:val="20"/>
        </w:rPr>
        <w:t xml:space="preserve">"Share Delivery Period") </w:t>
      </w:r>
      <w:r>
        <w:rPr>
          <w:rFonts w:ascii="Times New Roman" w:hAnsi="Times New Roman"/>
          <w:sz w:val="20"/>
        </w:rPr>
        <w:t xml:space="preserve">the Company shall fail to issue and deliver to a holder the number of shares of Common Stock to which such holder is entitled upon such holder's conversion of the Series A Preferred Stock (a </w:t>
      </w:r>
      <w:r>
        <w:rPr>
          <w:rFonts w:ascii="Times New Roman" w:hAnsi="Times New Roman"/>
          <w:b/>
          <w:sz w:val="20"/>
        </w:rPr>
        <w:t xml:space="preserve">"Conversion Failure"), </w:t>
      </w:r>
      <w:r>
        <w:rPr>
          <w:rFonts w:ascii="Times New Roman" w:hAnsi="Times New Roman"/>
          <w:sz w:val="20"/>
        </w:rPr>
        <w:t>in addition to all other available remedies which such holder may pursue hereunder, the Company shall pay additional damages to such holder on each business day after such fifth (5th) business day that such conversion is not timely effected in an amount equal to 0.5% of the product of (A) the sum of the number of shares of Common Stock not issued to the holder on a timely basis pursuant to Section 5(b)(ii) and to which such holder is entitled and (B) the closing bid price of the Common Stock on the last possible date which the Company could have issued such Common Stock to such holder without violating Section 5(b)(ii). If the Company fails to pay the additional damages set forth in this Section 5(b)(v) within five (5) business days of the date incurred, then such payment shall bear interest at the rate of 2% per month (pro rated for partial months) until such payments are made.</w:t>
      </w:r>
    </w:p>
    <w:p>
      <w:pPr>
        <w:pStyle w:val="TextBody"/>
        <w:spacing w:before="0" w:after="0"/>
        <w:ind w:left="0" w:right="0" w:hanging="0"/>
        <w:jc w:val="both"/>
        <w:rPr/>
      </w:pPr>
      <w:r>
        <w:rPr/>
        <w:t> </w:t>
      </w:r>
    </w:p>
    <w:p>
      <w:pPr>
        <w:pStyle w:val="TextBody"/>
        <w:spacing w:before="0" w:after="0"/>
        <w:ind w:left="1620" w:right="0" w:firstLine="1620"/>
        <w:rPr/>
      </w:pPr>
      <w:r>
        <w:rPr>
          <w:rFonts w:ascii="Times New Roman" w:hAnsi="Times New Roman"/>
          <w:sz w:val="20"/>
        </w:rPr>
        <w:t>(c)</w:t>
      </w:r>
      <w:bookmarkStart w:id="16" w:name="TAB210"/>
      <w:bookmarkEnd w:id="16"/>
      <w:r>
        <w:rPr>
          <w:color w:val="000000"/>
          <w:spacing w:val="180"/>
        </w:rPr>
        <w:t> </w:t>
      </w:r>
      <w:r>
        <w:rPr>
          <w:rFonts w:ascii="Times New Roman" w:hAnsi="Times New Roman"/>
          <w:sz w:val="20"/>
          <w:u w:val="single"/>
        </w:rPr>
        <w:t>Intentionally Omitted</w:t>
      </w:r>
      <w:r>
        <w:rPr>
          <w:rFonts w:ascii="Times New Roman" w:hAnsi="Times New Roman"/>
          <w:sz w:val="20"/>
        </w:rPr>
        <w:t>.</w:t>
      </w:r>
    </w:p>
    <w:p>
      <w:pPr>
        <w:pStyle w:val="TextBody"/>
        <w:spacing w:before="0" w:after="0"/>
        <w:ind w:left="1620" w:right="0" w:firstLine="1620"/>
        <w:rPr/>
      </w:pPr>
      <w:r>
        <w:rPr/>
        <w:t> </w:t>
      </w:r>
    </w:p>
    <w:p>
      <w:pPr>
        <w:pStyle w:val="TextBody"/>
        <w:spacing w:before="0" w:after="0"/>
        <w:ind w:left="1620" w:right="0" w:firstLine="1620"/>
        <w:rPr/>
      </w:pPr>
      <w:r>
        <w:rPr>
          <w:rFonts w:ascii="Times New Roman" w:hAnsi="Times New Roman"/>
          <w:sz w:val="20"/>
        </w:rPr>
        <w:t>(d)</w:t>
      </w:r>
      <w:bookmarkStart w:id="17" w:name="TAB211"/>
      <w:bookmarkEnd w:id="17"/>
      <w:r>
        <w:rPr>
          <w:color w:val="000000"/>
          <w:spacing w:val="180"/>
        </w:rPr>
        <w:t> </w:t>
      </w:r>
      <w:r>
        <w:rPr>
          <w:rFonts w:ascii="Times New Roman" w:hAnsi="Times New Roman"/>
          <w:sz w:val="20"/>
          <w:u w:val="single"/>
        </w:rPr>
        <w:t>Intentionally Omitted</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1620" w:right="0" w:firstLine="1620"/>
        <w:rPr/>
      </w:pPr>
      <w:r>
        <w:rPr>
          <w:rFonts w:ascii="Times New Roman" w:hAnsi="Times New Roman"/>
          <w:sz w:val="20"/>
        </w:rPr>
        <w:t>(e)</w:t>
      </w:r>
      <w:bookmarkStart w:id="18" w:name="TAB212"/>
      <w:bookmarkEnd w:id="18"/>
      <w:r>
        <w:rPr>
          <w:color w:val="000000"/>
          <w:spacing w:val="180"/>
        </w:rPr>
        <w:t> </w:t>
      </w:r>
      <w:r>
        <w:rPr>
          <w:rFonts w:ascii="Times New Roman" w:hAnsi="Times New Roman"/>
          <w:sz w:val="20"/>
          <w:u w:val="single"/>
        </w:rPr>
        <w:t>Adjustments of Conversion Rate</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(i)</w:t>
      </w:r>
      <w:bookmarkStart w:id="19" w:name="TAB213"/>
      <w:bookmarkEnd w:id="19"/>
      <w:r>
        <w:rPr>
          <w:color w:val="000000"/>
          <w:spacing w:val="180"/>
        </w:rPr>
        <w:t> </w:t>
      </w:r>
      <w:r>
        <w:rPr>
          <w:rFonts w:ascii="Times New Roman" w:hAnsi="Times New Roman"/>
          <w:sz w:val="20"/>
          <w:u w:val="single"/>
        </w:rPr>
        <w:t>Adjustments for Stock Splits and Combinations</w:t>
      </w:r>
      <w:r>
        <w:rPr>
          <w:rFonts w:ascii="Times New Roman" w:hAnsi="Times New Roman"/>
          <w:sz w:val="20"/>
        </w:rPr>
        <w:t>. If the Company shall at any time or from time to time after the Issuance Date, effect a stock split of the outstanding Common Stock, the Conversion Rate shall be proportionately increased. If the Company shall at any time or from time to time after the Issuance Date, combine the outstanding shares of Common Stock, the Conversion Rate shall be proportionately decreased. Any adjustments under this Section 5(e)(i) shall be effective at the close of business on the date the stock split or combination occurs.</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(ii)</w:t>
      </w:r>
      <w:bookmarkStart w:id="20" w:name="TAB214"/>
      <w:bookmarkEnd w:id="20"/>
      <w:r>
        <w:rPr>
          <w:color w:val="000000"/>
          <w:spacing w:val="180"/>
        </w:rPr>
        <w:t> </w:t>
      </w:r>
      <w:r>
        <w:rPr>
          <w:rFonts w:ascii="Times New Roman" w:hAnsi="Times New Roman"/>
          <w:sz w:val="20"/>
          <w:u w:val="single"/>
        </w:rPr>
        <w:t>Adjustments for Certain Dividends and Distributions</w:t>
      </w:r>
      <w:r>
        <w:rPr>
          <w:rFonts w:ascii="Times New Roman" w:hAnsi="Times New Roman"/>
          <w:sz w:val="20"/>
        </w:rPr>
        <w:t>. If the Company shall at any time or from time to time after the Issuance Date, make or issue or set a record date for the determination of holders of Common Stock entitled to receive a dividend or other distribution payable in shares of Common Stock, then, and in each event, the Conversion Rate shall be increased as of the time of such issuance or, in the event such record date shall have been fixed, as of the close of business on such record date, by multiplying, as applicable, the Conversion Rate then in effect by a fraction:</w:t>
      </w:r>
    </w:p>
    <w:p>
      <w:pPr>
        <w:pStyle w:val="TextBody"/>
        <w:spacing w:before="0" w:after="0"/>
        <w:ind w:left="0" w:right="0" w:hanging="0"/>
        <w:jc w:val="both"/>
        <w:rPr/>
      </w:pPr>
      <w:r>
        <w:rPr/>
        <w:t> </w:t>
      </w:r>
    </w:p>
    <w:p>
      <w:pPr>
        <w:pStyle w:val="TextBody"/>
        <w:spacing w:before="0" w:after="0"/>
        <w:ind w:left="0" w:right="0" w:firstLine="2880"/>
        <w:rPr/>
      </w:pPr>
      <w:r>
        <w:rPr>
          <w:rFonts w:ascii="Times New Roman" w:hAnsi="Times New Roman"/>
          <w:sz w:val="20"/>
        </w:rPr>
        <w:t>(1)</w:t>
      </w:r>
      <w:bookmarkStart w:id="21" w:name="TAB215"/>
      <w:bookmarkEnd w:id="21"/>
      <w:r>
        <w:rPr>
          <w:color w:val="000000"/>
          <w:spacing w:val="180"/>
        </w:rPr>
        <w:t> </w:t>
      </w:r>
      <w:r>
        <w:rPr>
          <w:rFonts w:ascii="Times New Roman" w:hAnsi="Times New Roman"/>
          <w:sz w:val="20"/>
        </w:rPr>
        <w:t>the numerator of which shall be the total number of shares of Common Stock issued and outstanding immediately after such issuance on the close of business on such record date; and</w:t>
      </w:r>
    </w:p>
    <w:p>
      <w:pPr>
        <w:pStyle w:val="TextBody"/>
        <w:spacing w:before="0" w:after="0"/>
        <w:ind w:left="0" w:right="0" w:hanging="0"/>
        <w:jc w:val="both"/>
        <w:rPr/>
      </w:pPr>
      <w:r>
        <w:rPr/>
        <w:t> </w:t>
      </w:r>
    </w:p>
    <w:p>
      <w:pPr>
        <w:pStyle w:val="TextBody"/>
        <w:spacing w:before="0" w:after="0"/>
        <w:ind w:left="0" w:right="0" w:firstLine="2880"/>
        <w:rPr/>
      </w:pPr>
      <w:r>
        <w:rPr>
          <w:rFonts w:ascii="Times New Roman" w:hAnsi="Times New Roman"/>
          <w:sz w:val="20"/>
        </w:rPr>
        <w:t>(2)</w:t>
      </w:r>
      <w:bookmarkStart w:id="22" w:name="TAB216"/>
      <w:bookmarkEnd w:id="22"/>
      <w:r>
        <w:rPr>
          <w:color w:val="000000"/>
          <w:spacing w:val="180"/>
        </w:rPr>
        <w:t> </w:t>
      </w:r>
      <w:r>
        <w:rPr>
          <w:rFonts w:ascii="Times New Roman" w:hAnsi="Times New Roman"/>
          <w:sz w:val="20"/>
        </w:rPr>
        <w:t>the denominator of which shall be the total number of shares of Common Stock issued and outstanding immediately prior to the time of such issuance on the close of business on such record date.</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(iii)</w:t>
      </w:r>
      <w:bookmarkStart w:id="23" w:name="TAB217"/>
      <w:bookmarkEnd w:id="23"/>
      <w:r>
        <w:rPr>
          <w:color w:val="000000"/>
          <w:spacing w:val="180"/>
        </w:rPr>
        <w:t> </w:t>
      </w:r>
      <w:r>
        <w:rPr>
          <w:rFonts w:ascii="Times New Roman" w:hAnsi="Times New Roman"/>
          <w:sz w:val="20"/>
          <w:u w:val="single"/>
        </w:rPr>
        <w:t>Adjustment for Other Dividends and Distributions</w:t>
      </w:r>
      <w:r>
        <w:rPr>
          <w:rFonts w:ascii="Times New Roman" w:hAnsi="Times New Roman"/>
          <w:sz w:val="20"/>
        </w:rPr>
        <w:t>. If the Company shall, at any time or from time to time after the Issuance Date, make or issue or set a record date for the determination of holders of Common Stock entitled to receive a dividend or other distribution payable in securities of the Company other than shares of Common Stock, then, and in each event, an appropriate revision to the applicable Conversion Rate shall be made and provision shall be made (by adjustments of the Conversion Rate or otherwise) so that the holders of Series A Preferred Stock shall receive upon conversions thereof, in addition to the number of shares of Common Stock receivable thereon, the number of securities of the Company which they would have received had their Series A Preferred Stock been converted into Common Stock on the date of such event and had thereafter, during the period from the date of such event to and including the Conversion Date, retained such securities (together with any distributions payable thereon during such period), giving application to all adjustments called for during such period under this Section 5(e)(iii) with respect to the rights of the holders of the Series A Preferred Stock.</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(iv)</w:t>
      </w:r>
      <w:bookmarkStart w:id="24" w:name="TAB218"/>
      <w:bookmarkEnd w:id="24"/>
      <w:r>
        <w:rPr>
          <w:color w:val="000000"/>
          <w:spacing w:val="180"/>
        </w:rPr>
        <w:t> </w:t>
      </w:r>
      <w:r>
        <w:rPr>
          <w:rFonts w:ascii="Times New Roman" w:hAnsi="Times New Roman"/>
          <w:sz w:val="20"/>
          <w:u w:val="single"/>
        </w:rPr>
        <w:t>Adjustments for Reclassification, Exchange or Substitution</w:t>
      </w:r>
      <w:r>
        <w:rPr>
          <w:rFonts w:ascii="Times New Roman" w:hAnsi="Times New Roman"/>
          <w:sz w:val="20"/>
        </w:rPr>
        <w:t>. If the Common Stock issuable upon conversion of the Series A Preferred Stock at any time or from time to time after the Issuance Date shall be changed to the same or different number of shares of any class or classes of stock, whether by reclassification, exchange, substitution or otherwise (other than by way of a stock split or combination of shares or stock dividends provided for in Sections 5(e)(i), (ii) and (iii), or a reorganization, merger, consolidation, or sale of assets provided for in Section 5(e)(v)), then, and in each event, an appropriate revision to the Conversion Rate shall be made and provisions shall be made so that the holder of each share of Series A Preferred Stock shall have the right thereafter to convert such share of Series A Preferred Stock into the kind and amount of shares of stock and other securities receivable upon reclassification, exchange, substitution or other change, by holders of the number of shares of Common Stock into which such share of Series A Preferred Stock might have been converted immediately prior to such reclassification, exchange, substitution or other change, all subject to further adjustment as provided herein.</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(v)</w:t>
      </w:r>
      <w:bookmarkStart w:id="25" w:name="TAB219"/>
      <w:bookmarkEnd w:id="25"/>
      <w:r>
        <w:rPr>
          <w:color w:val="000000"/>
          <w:spacing w:val="180"/>
        </w:rPr>
        <w:t> </w:t>
      </w:r>
      <w:r>
        <w:rPr>
          <w:rFonts w:ascii="Times New Roman" w:hAnsi="Times New Roman"/>
          <w:sz w:val="20"/>
          <w:u w:val="single"/>
        </w:rPr>
        <w:t>Adjustments for Reorganization, Merger, Consolidation or Sales of Assets</w:t>
      </w:r>
      <w:r>
        <w:rPr>
          <w:rFonts w:ascii="Times New Roman" w:hAnsi="Times New Roman"/>
          <w:sz w:val="20"/>
        </w:rPr>
        <w:t xml:space="preserve">. If at any time or from time to time after the Issuance Date there shall be a capital reorganization of the Company (other than by way of a stock split or combination of shares or stock dividends or distributions provided for in Section 5(e)(i), (ii) and (iii), or a reclassification, exchange or substitution of shares provided for in Section 5(e)(iv)), or a merger or consolidation of the Company with or into another corporation, or the sale of all or substantially all of the Company's properties or assets to any other person (an </w:t>
      </w:r>
      <w:r>
        <w:rPr>
          <w:rFonts w:ascii="Times New Roman" w:hAnsi="Times New Roman"/>
          <w:b/>
          <w:sz w:val="20"/>
        </w:rPr>
        <w:t xml:space="preserve">"Organic Change"), </w:t>
      </w:r>
      <w:r>
        <w:rPr>
          <w:rFonts w:ascii="Times New Roman" w:hAnsi="Times New Roman"/>
          <w:sz w:val="20"/>
        </w:rPr>
        <w:t>then as a part of such Organic Change an appropriate revision to the Conversion Rate shall be made and provision shall be made so that the holder of each share of Series A Preferred Stock shall have the right thereafter to convert such share of Series A Preferred Stock into the kind and amount of shares of stock and other securities or property of the Company or any successor corporation resulting from the Organic Change which the holder of such share of Series A Preferred Stock would have received if such share of Series A Preferred Stock had been converted prior to such Organic Change.</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(vi)</w:t>
      </w:r>
      <w:bookmarkStart w:id="26" w:name="TAB220"/>
      <w:bookmarkEnd w:id="26"/>
      <w:r>
        <w:rPr>
          <w:color w:val="000000"/>
          <w:spacing w:val="180"/>
        </w:rPr>
        <w:t> </w:t>
      </w:r>
      <w:r>
        <w:rPr>
          <w:rFonts w:ascii="Times New Roman" w:hAnsi="Times New Roman"/>
          <w:sz w:val="20"/>
          <w:u w:val="single"/>
        </w:rPr>
        <w:t>Record Date</w:t>
      </w:r>
      <w:r>
        <w:rPr>
          <w:rFonts w:ascii="Times New Roman" w:hAnsi="Times New Roman"/>
          <w:sz w:val="20"/>
        </w:rPr>
        <w:t>. In case the Company shall take record of the holders of its Common Stock or any other Preferred Stock for the purpose of entitling them to subscribe for or purchase Common Stock or Convertible Securities, then the date of the issue or sale of the shares of Common Stock shall be deemed to be such record date.</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(f)</w:t>
      </w:r>
      <w:bookmarkStart w:id="27" w:name="TAB221"/>
      <w:bookmarkEnd w:id="27"/>
      <w:r>
        <w:rPr>
          <w:color w:val="000000"/>
          <w:spacing w:val="180"/>
        </w:rPr>
        <w:t> </w:t>
      </w:r>
      <w:r>
        <w:rPr>
          <w:rFonts w:ascii="Times New Roman" w:hAnsi="Times New Roman"/>
          <w:sz w:val="20"/>
          <w:u w:val="single"/>
        </w:rPr>
        <w:t>No Impairment</w:t>
      </w:r>
      <w:r>
        <w:rPr>
          <w:rFonts w:ascii="Times New Roman" w:hAnsi="Times New Roman"/>
          <w:sz w:val="20"/>
        </w:rPr>
        <w:t>. The Company shall not, by amendment of its Certificate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Section 5 and in the taking of all such action as may be necessary or appropriate in order to protect the Conversion Rights of the holders of the Series A Preferred Stock against impairment. In the event a holder shall elect to convert any shares of Series A Preferred Stock as provided herein, the Company cannot refuse conversion based on any claim that such holder or any one associated or affiliated with such holder has been engaged in any violation of law, unless an injunction from a court, on notice, restraining and/or adjoining conversion of all or of such shares of Series A Preferred Stock shall have been issued.</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(g)</w:t>
      </w:r>
      <w:bookmarkStart w:id="28" w:name="TAB222"/>
      <w:bookmarkEnd w:id="28"/>
      <w:r>
        <w:rPr>
          <w:color w:val="000000"/>
          <w:spacing w:val="180"/>
        </w:rPr>
        <w:t> </w:t>
      </w:r>
      <w:r>
        <w:rPr>
          <w:rFonts w:ascii="Times New Roman" w:hAnsi="Times New Roman"/>
          <w:sz w:val="20"/>
          <w:u w:val="single"/>
        </w:rPr>
        <w:t>Certificates as to Adjustments</w:t>
      </w:r>
      <w:r>
        <w:rPr>
          <w:rFonts w:ascii="Times New Roman" w:hAnsi="Times New Roman"/>
          <w:sz w:val="20"/>
        </w:rPr>
        <w:t>. Upon occurrence of each adjustment or readjustment of the Conversion Rate or number of shares of Common Stock issuable upon conversion of the Series A Preferred Stock pursuant to this Section 5, the Company at its expense shall promptly compute such adjustment or readjustment in accordance with the terms hereof and furnish to each holder of such Series A Preferred Stock a certificate setting forth such adjustment and readjustment, showing in detail the facts upon which such adjustment or readjustment is based. The Company shall, upon written request of the holder of such affected Series A Preferred Stock, at any time, furnish or cause to be furnished to such holder a like certificate setting forth such adjustments and readjustments, the Conversion Rate in effect at the time, and the number of shares of Common Stock and the amount, if any, of other securities or property which at the time would be received upon the conversion of a share of such Series A Preferred Stock. Notwithstanding the foregoing, the Company shall not be obligated to deliver a certificate unless such certificate would reflect an increase or decrease of at least one percent of such adjusted amount.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(h)</w:t>
      </w:r>
      <w:bookmarkStart w:id="29" w:name="TAB223"/>
      <w:bookmarkEnd w:id="29"/>
      <w:r>
        <w:rPr>
          <w:color w:val="000000"/>
          <w:spacing w:val="180"/>
        </w:rPr>
        <w:t> </w:t>
      </w:r>
      <w:r>
        <w:rPr>
          <w:rFonts w:ascii="Times New Roman" w:hAnsi="Times New Roman"/>
          <w:sz w:val="20"/>
          <w:u w:val="single"/>
        </w:rPr>
        <w:t>Issue Taxes</w:t>
      </w:r>
      <w:r>
        <w:rPr>
          <w:rFonts w:ascii="Times New Roman" w:hAnsi="Times New Roman"/>
          <w:sz w:val="20"/>
        </w:rPr>
        <w:t xml:space="preserve">. The Company shall pay any and all issue and other taxes, excluding federal, state or local income taxes, that may be payable in respect of any issue or delivery of shares of Common Stock on conversion of shares of Series A Preferred Stock pursuant hereto; </w:t>
      </w:r>
      <w:r>
        <w:rPr>
          <w:rFonts w:ascii="Times New Roman" w:hAnsi="Times New Roman"/>
          <w:sz w:val="20"/>
          <w:u w:val="single"/>
        </w:rPr>
        <w:t>provided, however</w:t>
      </w:r>
      <w:r>
        <w:rPr>
          <w:rFonts w:ascii="Times New Roman" w:hAnsi="Times New Roman"/>
          <w:sz w:val="20"/>
        </w:rPr>
        <w:t>, that the Company shall not be obligated to pay any transfer taxes resulting from any transfer requested by any holder in connection with any such conversion.</w:t>
      </w:r>
    </w:p>
    <w:p>
      <w:pPr>
        <w:pStyle w:val="TextBody"/>
        <w:spacing w:before="0" w:after="0"/>
        <w:ind w:left="0" w:right="0" w:hanging="0"/>
        <w:jc w:val="both"/>
        <w:rPr/>
      </w:pPr>
      <w:r>
        <w:rPr/>
        <w:t> </w:t>
      </w:r>
    </w:p>
    <w:p>
      <w:pPr>
        <w:pStyle w:val="TextBody"/>
        <w:spacing w:before="0" w:after="0"/>
        <w:ind w:left="0" w:right="58" w:firstLine="1440"/>
        <w:jc w:val="both"/>
        <w:rPr/>
      </w:pPr>
      <w:r>
        <w:rPr>
          <w:rFonts w:ascii="Times New Roman" w:hAnsi="Times New Roman"/>
          <w:sz w:val="20"/>
        </w:rPr>
        <w:t>(i)           </w:t>
      </w:r>
      <w:r>
        <w:rPr>
          <w:rFonts w:ascii="Times New Roman" w:hAnsi="Times New Roman"/>
          <w:sz w:val="20"/>
          <w:u w:val="single"/>
        </w:rPr>
        <w:t>Notices</w:t>
      </w:r>
      <w:r>
        <w:rPr>
          <w:rFonts w:ascii="Times New Roman" w:hAnsi="Times New Roman"/>
          <w:sz w:val="20"/>
        </w:rPr>
        <w:t>. All notices and other communications hereunder shall be in writing and shall be deemed given if delivered personally or by facsimile or three (3) business days following (x) being mailed by certified or registered mail, postage prepaid, return-receipt requested, or (y) delivered to an express mail delivery service such as Federal Express, with written receipt by the addressee required, in either case addressed to the holder of record at its address appearing on the books of the Company. The Company will give written notice to each holder of Series A Preferred Stock at least twenty (20) days prior to the date on which the Company closes its books or takes a record (I) with respect to any dividend or distribution upon the Common Stock, (II) with respect to any pro rata subscription offer to holders of Common Stock or (III) for determining rights to vote with respect to any Organic Change, dissolution, liquidation or winding-up and in no event shall such notice be provided to such holder prior to such information being made known to the public. The Company will also give written notice to each holder of Series A Preferred Stock at least twenty (20) days prior to the date on which any Organic Change, dissolution, liquidation or winding-up will take place and in no event shall such notice be provided to such holder prior to such information being made known to the public.</w:t>
      </w:r>
    </w:p>
    <w:p>
      <w:pPr>
        <w:pStyle w:val="TextBody"/>
        <w:spacing w:before="0" w:after="0"/>
        <w:ind w:left="0" w:right="0" w:hanging="0"/>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 xml:space="preserve">(j) </w:t>
      </w:r>
      <w:r>
        <w:rPr>
          <w:rFonts w:ascii="Times New Roman" w:hAnsi="Times New Roman"/>
          <w:sz w:val="20"/>
          <w:u w:val="single"/>
        </w:rPr>
        <w:t>Fractional Shares</w:t>
      </w:r>
      <w:r>
        <w:rPr>
          <w:rFonts w:ascii="Times New Roman" w:hAnsi="Times New Roman"/>
          <w:sz w:val="20"/>
        </w:rPr>
        <w:t>. No fractional shares of Common Stock shall be issued upon conversion of the Series A Preferred Stock. In lieu of any fractional shares to which the holder would otherwise be entitled, the Company, at its option, shall (i) pay cash equal to the product of such fraction multiplied by the average of the closing bid prices of the Common Stock for the five (5) consecutive trading immediately preceding the Voluntary Conversion Date, or (ii) issue one whole share of Common Stock to the holder.</w:t>
      </w:r>
    </w:p>
    <w:p>
      <w:pPr>
        <w:pStyle w:val="TextBody"/>
        <w:spacing w:before="0" w:after="0"/>
        <w:ind w:left="0" w:right="0" w:hanging="0"/>
        <w:jc w:val="both"/>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 xml:space="preserve">(k) </w:t>
      </w:r>
      <w:r>
        <w:rPr>
          <w:rFonts w:ascii="Times New Roman" w:hAnsi="Times New Roman"/>
          <w:sz w:val="20"/>
          <w:u w:val="single"/>
        </w:rPr>
        <w:t>Reservation of Common Stock</w:t>
      </w:r>
      <w:r>
        <w:rPr>
          <w:rFonts w:ascii="Times New Roman" w:hAnsi="Times New Roman"/>
          <w:sz w:val="20"/>
        </w:rPr>
        <w:t>. The Company shall, so long as any shares of Series A Preferred Stock are outstanding, reserve and keep available out of its authorized and unissued Common Stock, solely for the purpose of effecting the conversion of the Series A Preferred Stock, such number of shares of Common Stock as shall from time to time be sufficient to effect the conversion of all of the Series A Preferred Stock then outstanding (without giving effect to the limitations set forth in Section 7 hereof).</w:t>
      </w:r>
    </w:p>
    <w:p>
      <w:pPr>
        <w:pStyle w:val="TextBody"/>
        <w:spacing w:before="0" w:after="0"/>
        <w:ind w:left="0" w:right="0" w:hanging="0"/>
        <w:jc w:val="both"/>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 xml:space="preserve">(1) </w:t>
      </w:r>
      <w:r>
        <w:rPr>
          <w:rFonts w:ascii="Times New Roman" w:hAnsi="Times New Roman"/>
          <w:sz w:val="20"/>
          <w:u w:val="single"/>
        </w:rPr>
        <w:t>Retirement of Series A Preferred Stock</w:t>
      </w:r>
      <w:r>
        <w:rPr>
          <w:rFonts w:ascii="Times New Roman" w:hAnsi="Times New Roman"/>
          <w:sz w:val="20"/>
        </w:rPr>
        <w:t>. Conversion of Series A Preferred Stock shall be deemed to have been effected on the applicable Voluntary Conversion Date. The Company shall keep written records of the conversion of the shares of Series A Preferred Stock converted by each holder. A holder shall be required to deliver the original certificates representing the shares of Series A Preferred Stock upon any conversion of the Series A Preferred Stock represented by such certificates.</w:t>
      </w:r>
    </w:p>
    <w:p>
      <w:pPr>
        <w:pStyle w:val="TextBody"/>
        <w:spacing w:before="0" w:after="0"/>
        <w:ind w:left="0" w:right="0" w:hanging="0"/>
        <w:jc w:val="both"/>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 xml:space="preserve">(m) </w:t>
      </w:r>
      <w:r>
        <w:rPr>
          <w:rFonts w:ascii="Times New Roman" w:hAnsi="Times New Roman"/>
          <w:sz w:val="20"/>
          <w:u w:val="single"/>
        </w:rPr>
        <w:t>Regulatory Compliance</w:t>
      </w:r>
      <w:r>
        <w:rPr>
          <w:rFonts w:ascii="Times New Roman" w:hAnsi="Times New Roman"/>
          <w:sz w:val="20"/>
        </w:rPr>
        <w:t>. If any shares of Common Stock to be reserved for the purpose of conversion of Series A Preferred Stock require registration or listing with or approval of any governmental authority, stock exchange or other regulatory body under any federal or state law or regulation or otherwise before such shares may be validly issued or delivered upon conversion, the Company shall, at its sole cost and expense, in good faith and as expeditiously as possible, endeavor to secure such registration, listing or approval, as the case may be.</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58" w:firstLine="720"/>
        <w:jc w:val="both"/>
        <w:rPr>
          <w:rFonts w:ascii="Times New Roman" w:hAnsi="Times New Roman"/>
          <w:sz w:val="20"/>
        </w:rPr>
      </w:pPr>
      <w:r>
        <w:rPr>
          <w:rFonts w:ascii="Times New Roman" w:hAnsi="Times New Roman"/>
          <w:sz w:val="20"/>
        </w:rPr>
        <w:t>6.            </w:t>
      </w:r>
      <w:r>
        <w:rPr>
          <w:rFonts w:ascii="Times New Roman" w:hAnsi="Times New Roman"/>
          <w:sz w:val="20"/>
          <w:u w:val="single"/>
        </w:rPr>
        <w:t>No Preemptive or Redemption Rights</w:t>
      </w:r>
      <w:r>
        <w:rPr>
          <w:rFonts w:ascii="Times New Roman" w:hAnsi="Times New Roman"/>
          <w:sz w:val="20"/>
        </w:rPr>
        <w:t>. No holder of the Series A Preferred Stock shall be entitled to rights to subscribe for, purchase or receive any part of any new or additional shares of any class, whether now or hereafter authorized, or of bonds or debentures, or other evidences of indebtedness convertible into or exchangeable for shares of any class, but all such new or additional shares of any class, or any bond, debentures or other evidences of indebtedness convertible into or exchangeable for shares, may be issued and disposed of by the Board of Directors on such terms and for such consideration (to the extent permitted by law), and to such person or persons as the Board of Directors in their absolute discretion may deem advisable.</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7.</w:t>
      </w:r>
      <w:bookmarkStart w:id="30" w:name="TAB224"/>
      <w:bookmarkEnd w:id="30"/>
      <w:r>
        <w:rPr>
          <w:color w:val="000000"/>
          <w:spacing w:val="180"/>
        </w:rPr>
        <w:t> </w:t>
      </w:r>
      <w:r>
        <w:rPr>
          <w:rFonts w:ascii="Times New Roman" w:hAnsi="Times New Roman"/>
          <w:sz w:val="20"/>
          <w:u w:val="single"/>
        </w:rPr>
        <w:t>Conversion Restriction</w:t>
      </w:r>
      <w:r>
        <w:rPr>
          <w:rFonts w:ascii="Times New Roman" w:hAnsi="Times New Roman"/>
          <w:sz w:val="20"/>
        </w:rPr>
        <w:t xml:space="preserve">. Notwithstanding anything to the contrary set forth in Section 5 of this Certificate of Designation, at no time may a holder of shares of Series A Preferred Stock convert shares of the Series A Preferred Stock if the number of shares of Common Stock to be issued pursuant to such conversion would exceed, when aggregated with all other shares of Common Stock owned by such holder at such time, the number of shares of Common Stock which would result in such holder beneficially owning (as determined in accordance with Section 13(d) of the Securities Exchange Act of 1934, as amended, and the rules thereunder) more than 9.99% of all of the Common Stock outstanding at such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upon a holder of Series A Preferred Stock providing the Company with sixty-one (61) days notice (pursuant to Section 5(i) hereof) that such holder would like to waive Section 7 of this Certificate of Designation with regard to any or all shares of Common Stock issuable upon conversion of Series A Preferred Stock, this Section 7 shall be of no force or effect with regard to those shares of Series A Preferred Stock referenced in the Waiver Notice.</w:t>
      </w:r>
    </w:p>
    <w:p>
      <w:pPr>
        <w:pStyle w:val="TextBody"/>
        <w:spacing w:before="0" w:after="0"/>
        <w:ind w:left="0" w:right="0" w:hanging="0"/>
        <w:jc w:val="both"/>
        <w:rPr/>
      </w:pPr>
      <w:r>
        <w:rPr/>
        <w:t> </w:t>
      </w:r>
    </w:p>
    <w:p>
      <w:pPr>
        <w:pStyle w:val="TextBody"/>
        <w:spacing w:before="0" w:after="0"/>
        <w:ind w:left="900" w:right="0" w:firstLine="900"/>
        <w:rPr/>
      </w:pPr>
      <w:r>
        <w:rPr>
          <w:rFonts w:ascii="Times New Roman" w:hAnsi="Times New Roman"/>
          <w:sz w:val="20"/>
        </w:rPr>
        <w:t>8.</w:t>
      </w:r>
      <w:bookmarkStart w:id="31" w:name="TAB225"/>
      <w:bookmarkEnd w:id="31"/>
      <w:r>
        <w:rPr>
          <w:color w:val="000000"/>
          <w:spacing w:val="180"/>
        </w:rPr>
        <w:t> </w:t>
      </w:r>
      <w:r>
        <w:rPr>
          <w:rFonts w:ascii="Times New Roman" w:hAnsi="Times New Roman"/>
          <w:sz w:val="20"/>
          <w:u w:val="single"/>
        </w:rPr>
        <w:t>Inability to Fully Convert</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(a)</w:t>
      </w:r>
      <w:bookmarkStart w:id="32" w:name="TAB226"/>
      <w:bookmarkEnd w:id="32"/>
      <w:r>
        <w:rPr>
          <w:color w:val="000000"/>
          <w:spacing w:val="180"/>
        </w:rPr>
        <w:t> </w:t>
      </w:r>
      <w:r>
        <w:rPr>
          <w:rFonts w:ascii="Times New Roman" w:hAnsi="Times New Roman"/>
          <w:sz w:val="20"/>
          <w:u w:val="single"/>
        </w:rPr>
        <w:t>Holder's Option if Company Cannot Fully Convert</w:t>
      </w:r>
      <w:r>
        <w:rPr>
          <w:rFonts w:ascii="Times New Roman" w:hAnsi="Times New Roman"/>
          <w:sz w:val="20"/>
        </w:rPr>
        <w:t xml:space="preserve">. If, upon the Company's receipt of a Conversion Notice, the Company cannot issue shares of Common Stock for any reason, including, without limitation, because the Company (x) does not have a sufficient number of shares of Common Stock authorized and available or (y) is otherwise prohibited by applicable law or by the rules or regulations of any stock exchange, interdealer quotation system or other self-regulatory organization with jurisdiction over the Company or its securities, from issuing all of the Common Stock which is to be issued to a holder of Series A Preferred Stock pursuant to a Conversion Notice, then the Company shall issue as many shares of Common Stock as it is able to issue in accordance with such holder's Conversion Notice and with respect to the unconverted Series A Preferred Stock (the </w:t>
      </w:r>
      <w:r>
        <w:rPr>
          <w:rFonts w:ascii="Times New Roman" w:hAnsi="Times New Roman"/>
          <w:b/>
          <w:sz w:val="20"/>
        </w:rPr>
        <w:t xml:space="preserve">"Unconverted Preferred Stock") </w:t>
      </w:r>
      <w:r>
        <w:rPr>
          <w:rFonts w:ascii="Times New Roman" w:hAnsi="Times New Roman"/>
          <w:sz w:val="20"/>
        </w:rPr>
        <w:t>the holder, solely at such holder's option, can elect, at any time after receipt of notice from the Company that there is Unconverted Preferred Stock, to void the holder's Conversion Notice as to the number of shares of Common Stock the Company is unable to issue and retain or have returned, as the case may be, the certificates for the shares of the Unconverted Preferred Stock.</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the event a Holder shall elect to convert any shares of Series A Preferred Stock as provided herein, the Company cannot refuse conversion based on any claim that such Holder or any one associated or affiliated with such Holder has been engaged in any violation of law, violation of an agreement to which such Holder is a party or for any reason whatsoever, unless, an injunction from a court, on notice, restraining and or enjoining conversion of all or any of such shares of Series A Preferred Stock shall have issued.</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(b)</w:t>
      </w:r>
      <w:bookmarkStart w:id="33" w:name="TAB227"/>
      <w:bookmarkEnd w:id="33"/>
      <w:r>
        <w:rPr>
          <w:color w:val="000000"/>
          <w:spacing w:val="180"/>
        </w:rPr>
        <w:t> </w:t>
      </w:r>
      <w:r>
        <w:rPr>
          <w:rFonts w:ascii="Times New Roman" w:hAnsi="Times New Roman"/>
          <w:sz w:val="20"/>
          <w:u w:val="single"/>
        </w:rPr>
        <w:t>Mechanics of Fulfilling; Holder's Election</w:t>
      </w:r>
      <w:r>
        <w:rPr>
          <w:rFonts w:ascii="Times New Roman" w:hAnsi="Times New Roman"/>
          <w:sz w:val="20"/>
        </w:rPr>
        <w:t xml:space="preserve">. The Company shall immediately send via facsimile to a holder of Series A Preferred Stock, upon receipt of a facsimile copy of a Conversion Notice from such holder which cannot be fully satisfied as described in Section 8(a) above, a notice of the Company's inability to fully satisfy such holder's Conversion Notice (the </w:t>
      </w:r>
      <w:r>
        <w:rPr>
          <w:rFonts w:ascii="Times New Roman" w:hAnsi="Times New Roman"/>
          <w:b/>
          <w:sz w:val="20"/>
        </w:rPr>
        <w:t xml:space="preserve">"Inability to Fully Convert Notice"). </w:t>
      </w:r>
      <w:r>
        <w:rPr>
          <w:rFonts w:ascii="Times New Roman" w:hAnsi="Times New Roman"/>
          <w:sz w:val="20"/>
        </w:rPr>
        <w:t>Such Inability to Fully Convert Notice shall indicate (i) the reason why the Company is unable to fully satisfy such holder's Conversion Notice and (ii) the number of shares of Series A Preferred Stock which cannot be converted.</w:t>
      </w:r>
    </w:p>
    <w:p>
      <w:pPr>
        <w:pStyle w:val="TextBody"/>
        <w:spacing w:before="0" w:after="0"/>
        <w:ind w:left="0" w:right="0" w:hanging="0"/>
        <w:jc w:val="both"/>
        <w:rPr/>
      </w:pPr>
      <w:r>
        <w:rPr/>
        <w:t> </w:t>
      </w:r>
    </w:p>
    <w:p>
      <w:pPr>
        <w:pStyle w:val="TextBody"/>
        <w:spacing w:before="0" w:after="0"/>
        <w:ind w:left="0" w:right="0" w:firstLine="900"/>
        <w:rPr/>
      </w:pPr>
      <w:r>
        <w:rPr>
          <w:rFonts w:ascii="Times New Roman" w:hAnsi="Times New Roman"/>
          <w:sz w:val="20"/>
        </w:rPr>
        <w:t>9.</w:t>
      </w:r>
      <w:bookmarkStart w:id="34" w:name="TAB228"/>
      <w:bookmarkEnd w:id="34"/>
      <w:r>
        <w:rPr>
          <w:color w:val="000000"/>
          <w:spacing w:val="180"/>
        </w:rPr>
        <w:t> </w:t>
      </w:r>
      <w:r>
        <w:rPr>
          <w:rFonts w:ascii="Times New Roman" w:hAnsi="Times New Roman"/>
          <w:sz w:val="20"/>
          <w:u w:val="single"/>
        </w:rPr>
        <w:t>Vote to Change the Terms of or Issue Preferred Stock</w:t>
      </w:r>
      <w:r>
        <w:rPr>
          <w:rFonts w:ascii="Times New Roman" w:hAnsi="Times New Roman"/>
          <w:sz w:val="20"/>
        </w:rPr>
        <w:t>. The affirmative vote at a meeting duly called for such purpose, or the written consent without a meeting, of the holders of not less than sixty-seven percent (67%) of the then outstanding shares of Series A Preferred Stock, shall be required for any change to this Certificate of Designation or the Company's Certificate of Incorporation which would amend, alter, change or repeal any of the powers, designations, preferences and rights of the Series A Preferred Stock.</w:t>
      </w:r>
    </w:p>
    <w:p>
      <w:pPr>
        <w:pStyle w:val="TextBody"/>
        <w:spacing w:before="0" w:after="0"/>
        <w:ind w:left="0" w:right="0" w:hanging="0"/>
        <w:jc w:val="both"/>
        <w:rPr/>
      </w:pPr>
      <w:r>
        <w:rPr/>
        <w:t> </w:t>
      </w:r>
    </w:p>
    <w:p>
      <w:pPr>
        <w:pStyle w:val="TextBody"/>
        <w:spacing w:before="0" w:after="0"/>
        <w:ind w:left="0" w:right="0" w:firstLine="900"/>
        <w:rPr/>
      </w:pPr>
      <w:r>
        <w:rPr>
          <w:rFonts w:ascii="Times New Roman" w:hAnsi="Times New Roman"/>
          <w:sz w:val="20"/>
        </w:rPr>
        <w:t>10.</w:t>
      </w:r>
      <w:bookmarkStart w:id="35" w:name="TAB229"/>
      <w:bookmarkEnd w:id="35"/>
      <w:r>
        <w:rPr>
          <w:color w:val="000000"/>
          <w:spacing w:val="180"/>
        </w:rPr>
        <w:t> </w:t>
      </w:r>
      <w:r>
        <w:rPr>
          <w:rFonts w:ascii="Times New Roman" w:hAnsi="Times New Roman"/>
          <w:sz w:val="20"/>
          <w:u w:val="single"/>
        </w:rPr>
        <w:t>Lost or Stolen Certificates</w:t>
      </w:r>
      <w:r>
        <w:rPr>
          <w:rFonts w:ascii="Times New Roman" w:hAnsi="Times New Roman"/>
          <w:sz w:val="20"/>
        </w:rPr>
        <w:t>. Upon receipt by the Company of evidence satisfactory to the Company of the loss, theft, destruction or mutilation of any Preferred Stock Certificates representing the shares of Series A Preferred Stock, and, in the case of loss, theft or destruction, of any indemnification undertaking by the holder to the Company and, in the case of mutilation, upon surrender and cancellation of the Preferred Stock Certificate(s), the Company shall execute and deliver new preferred stock certificate(s) of like tenor and date.</w:t>
      </w:r>
    </w:p>
    <w:p>
      <w:pPr>
        <w:pStyle w:val="TextBody"/>
        <w:spacing w:before="0" w:after="0"/>
        <w:ind w:left="0" w:right="0" w:hanging="0"/>
        <w:jc w:val="both"/>
        <w:rPr/>
      </w:pPr>
      <w:r>
        <w:rPr/>
        <w:t> </w:t>
      </w:r>
    </w:p>
    <w:p>
      <w:pPr>
        <w:pStyle w:val="TextBody"/>
        <w:spacing w:before="0" w:after="0"/>
        <w:ind w:left="0" w:right="0" w:firstLine="900"/>
        <w:rPr/>
      </w:pPr>
      <w:r>
        <w:rPr>
          <w:rFonts w:ascii="Times New Roman" w:hAnsi="Times New Roman"/>
          <w:sz w:val="20"/>
        </w:rPr>
        <w:t>11.</w:t>
      </w:r>
      <w:bookmarkStart w:id="36" w:name="TAB230"/>
      <w:bookmarkEnd w:id="36"/>
      <w:r>
        <w:rPr>
          <w:color w:val="000000"/>
          <w:spacing w:val="180"/>
        </w:rPr>
        <w:t> </w:t>
      </w:r>
      <w:r>
        <w:rPr>
          <w:rFonts w:ascii="Times New Roman" w:hAnsi="Times New Roman"/>
          <w:sz w:val="20"/>
          <w:u w:val="single"/>
        </w:rPr>
        <w:t>Remedies, Characterizations, Other Obligations, Breaches and Injunctive Relief</w:t>
      </w:r>
      <w:r>
        <w:rPr>
          <w:rFonts w:ascii="Times New Roman" w:hAnsi="Times New Roman"/>
          <w:sz w:val="20"/>
        </w:rPr>
        <w:t>. The remedies provided in this Certificate of Designation shall be cumulative and in addition to all other remedies available under this Certificate of Designation, at law or in equity (including a decree of specific performance and/or other injunctive relief), no remedy contained herein shall be deemed a waiver of compliance with the provisions giving rise to such remedy and nothing herein shall limit a holder's right to pursue actual damages for any failure by the Company to comply with the terms of this Certificate of Designation. Amounts set forth or provided for herein with respect to conversion and the like (and the computation thereof) shall be the amounts to be received by the holder thereof and shall not, except as expressly provided herein, be subject to any other obligation of the Company (or the performance thereof). The Company acknowledges that a breach by it of its obligations hereunder will cause irreparable harm to the holders of the Series A Preferred Stock and that the remedy at law for any such breach may be inadequate. The Company therefore agrees that, in the event of any such breach or threatened breach, the holders of the Series A Preferred Stock shall be entitled, in addition to all other available remedies, to an injunction restraining any breach, without the necessity of showing economic loss and without any bond or other security being required.</w:t>
      </w:r>
    </w:p>
    <w:p>
      <w:pPr>
        <w:pStyle w:val="TextBody"/>
        <w:spacing w:before="0" w:after="0"/>
        <w:ind w:left="0" w:right="0" w:hanging="0"/>
        <w:jc w:val="both"/>
        <w:rPr/>
      </w:pPr>
      <w:r>
        <w:rPr/>
        <w:t> </w:t>
      </w:r>
    </w:p>
    <w:p>
      <w:pPr>
        <w:pStyle w:val="TextBody"/>
        <w:spacing w:before="0" w:after="0"/>
        <w:ind w:left="0" w:right="0" w:firstLine="900"/>
        <w:rPr/>
      </w:pPr>
      <w:r>
        <w:rPr>
          <w:rFonts w:ascii="Times New Roman" w:hAnsi="Times New Roman"/>
          <w:sz w:val="20"/>
        </w:rPr>
        <w:t>12.</w:t>
      </w:r>
      <w:bookmarkStart w:id="37" w:name="TAB231"/>
      <w:bookmarkEnd w:id="37"/>
      <w:r>
        <w:rPr>
          <w:color w:val="000000"/>
          <w:spacing w:val="180"/>
        </w:rPr>
        <w:t> </w:t>
      </w:r>
      <w:r>
        <w:rPr>
          <w:rFonts w:ascii="Times New Roman" w:hAnsi="Times New Roman"/>
          <w:sz w:val="20"/>
          <w:u w:val="single"/>
        </w:rPr>
        <w:t>Specific Shall Not Limit General; Construction</w:t>
      </w:r>
      <w:r>
        <w:rPr>
          <w:rFonts w:ascii="Times New Roman" w:hAnsi="Times New Roman"/>
          <w:sz w:val="20"/>
        </w:rPr>
        <w:t>. No specific provision contained in this Certificate of Designation shall limit or modify any more general provision contained herein.</w:t>
      </w:r>
    </w:p>
    <w:p>
      <w:pPr>
        <w:pStyle w:val="TextBody"/>
        <w:spacing w:before="0" w:after="0"/>
        <w:ind w:left="0" w:right="0" w:hanging="0"/>
        <w:jc w:val="both"/>
        <w:rPr/>
      </w:pPr>
      <w:r>
        <w:rPr/>
        <w:t> </w:t>
      </w:r>
    </w:p>
    <w:p>
      <w:pPr>
        <w:pStyle w:val="TextBody"/>
        <w:spacing w:before="0" w:after="0"/>
        <w:ind w:left="0" w:right="0" w:firstLine="900"/>
        <w:rPr/>
      </w:pPr>
      <w:r>
        <w:rPr>
          <w:rFonts w:ascii="Times New Roman" w:hAnsi="Times New Roman"/>
          <w:sz w:val="20"/>
        </w:rPr>
        <w:t>13.</w:t>
      </w:r>
      <w:bookmarkStart w:id="38" w:name="TAB232"/>
      <w:bookmarkEnd w:id="38"/>
      <w:r>
        <w:rPr>
          <w:color w:val="000000"/>
          <w:spacing w:val="180"/>
        </w:rPr>
        <w:t> </w:t>
      </w:r>
      <w:r>
        <w:rPr>
          <w:rFonts w:ascii="Times New Roman" w:hAnsi="Times New Roman"/>
          <w:sz w:val="20"/>
          <w:u w:val="single"/>
        </w:rPr>
        <w:t>Failure or Indulgence Not Waiver</w:t>
      </w:r>
      <w:r>
        <w:rPr>
          <w:rFonts w:ascii="Times New Roman" w:hAnsi="Times New Roman"/>
          <w:sz w:val="20"/>
        </w:rPr>
        <w:t>. No failure or delay on the part of a holder of Series A Preferred Stock in the exercise of any power, right or privilege hereunder shall operate as a waiver thereof, nor shall any single or partial exercise of any such power, right or privilege preclude other or further exercise thereof or of any other right, power or privilege.</w:t>
      </w:r>
    </w:p>
    <w:p>
      <w:pPr>
        <w:pStyle w:val="TextBody"/>
        <w:spacing w:before="0" w:after="0"/>
        <w:ind w:left="0" w:right="0" w:hanging="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b/>
          <w:sz w:val="20"/>
        </w:rPr>
        <w:t xml:space="preserve">IN WITNESS WHEREOF, </w:t>
      </w:r>
      <w:r>
        <w:rPr>
          <w:rFonts w:ascii="Times New Roman" w:hAnsi="Times New Roman"/>
          <w:sz w:val="20"/>
        </w:rPr>
        <w:t>this Certificate of Designation is executed on Company this 22nd day of December, 2011.</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3960" w:right="0" w:hanging="0"/>
        <w:jc w:val="both"/>
        <w:rPr>
          <w:rFonts w:ascii="Times New Roman" w:hAnsi="Times New Roman"/>
          <w:sz w:val="20"/>
        </w:rPr>
      </w:pPr>
      <w:r>
        <w:rPr>
          <w:rFonts w:ascii="Times New Roman" w:hAnsi="Times New Roman"/>
          <w:sz w:val="20"/>
        </w:rPr>
        <w:t>VISTAGEN THERAPEUTICS, INC.</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3960" w:right="0" w:hanging="0"/>
        <w:jc w:val="both"/>
        <w:rPr>
          <w:rFonts w:ascii="Times New Roman" w:hAnsi="Times New Roman"/>
          <w:sz w:val="20"/>
        </w:rPr>
      </w:pPr>
      <w:r>
        <w:rPr>
          <w:rFonts w:ascii="Times New Roman" w:hAnsi="Times New Roman"/>
          <w:sz w:val="20"/>
        </w:rPr>
        <w:t xml:space="preserve">By: </w:t>
      </w:r>
      <w:r>
        <w:rPr>
          <w:rFonts w:ascii="Times New Roman" w:hAnsi="Times New Roman"/>
          <w:sz w:val="20"/>
          <w:u w:val="single"/>
        </w:rPr>
        <w:t>/s/ Shawn Singh</w:t>
      </w:r>
    </w:p>
    <w:p>
      <w:pPr>
        <w:pStyle w:val="TextBody"/>
        <w:spacing w:before="0" w:after="0"/>
        <w:ind w:left="0" w:right="0" w:hanging="0"/>
        <w:jc w:val="both"/>
        <w:rPr/>
      </w:pPr>
      <w:r>
        <w:rPr/>
        <w:t> </w:t>
      </w:r>
    </w:p>
    <w:p>
      <w:pPr>
        <w:pStyle w:val="TextBody"/>
        <w:spacing w:before="0" w:after="0"/>
        <w:ind w:left="3960" w:right="0" w:hanging="0"/>
        <w:jc w:val="both"/>
        <w:rPr/>
      </w:pPr>
      <w:r>
        <w:rPr/>
        <w:t>       </w:t>
      </w:r>
      <w:r>
        <w:rPr>
          <w:rFonts w:ascii="Times New Roman" w:hAnsi="Times New Roman"/>
          <w:sz w:val="20"/>
        </w:rPr>
        <w:t>Name:  Shawn Singh</w:t>
      </w:r>
    </w:p>
    <w:p>
      <w:pPr>
        <w:pStyle w:val="TextBody"/>
        <w:spacing w:before="0" w:after="0"/>
        <w:ind w:left="4320" w:right="0" w:hanging="0"/>
        <w:jc w:val="left"/>
        <w:rPr>
          <w:rFonts w:ascii="Times New Roman" w:hAnsi="Times New Roman"/>
          <w:sz w:val="20"/>
        </w:rPr>
      </w:pPr>
      <w:r>
        <w:rPr>
          <w:rFonts w:ascii="Times New Roman" w:hAnsi="Times New Roman"/>
          <w:sz w:val="20"/>
        </w:rPr>
        <w:t>Title:   Chief Executive Officer</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 w:name="PGBRK"/>
      <w:bookmarkStart w:id="40" w:name="PGBRK"/>
      <w:bookmarkEnd w:id="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 w:name="FTR"/>
      <w:bookmarkStart w:id="42" w:name="FTR"/>
      <w:bookmarkEnd w:id="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3" w:name="GLFTR"/>
      <w:bookmarkEnd w:id="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4" w:name="PN"/>
      <w:bookmarkEnd w:id="44"/>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 w:name="HDR"/>
      <w:bookmarkStart w:id="46" w:name="HDR"/>
      <w:bookmarkEnd w:id="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7" w:name="GLHDR"/>
      <w:bookmarkEnd w:id="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8280" w:right="0" w:hanging="0"/>
        <w:jc w:val="both"/>
        <w:rPr>
          <w:rFonts w:ascii="Times New Roman" w:hAnsi="Times New Roman"/>
          <w:sz w:val="20"/>
        </w:rPr>
      </w:pPr>
      <w:r>
        <w:rPr>
          <w:rFonts w:ascii="Times New Roman" w:hAnsi="Times New Roman"/>
          <w:sz w:val="20"/>
        </w:rPr>
        <w:t>EXHIBIT A</w:t>
      </w:r>
    </w:p>
    <w:p>
      <w:pPr>
        <w:pStyle w:val="TextBody"/>
        <w:spacing w:before="0" w:after="0"/>
        <w:ind w:left="0" w:right="2880" w:hanging="0"/>
        <w:jc w:val="center"/>
        <w:rPr>
          <w:rFonts w:ascii="Times New Roman" w:hAnsi="Times New Roman"/>
          <w:sz w:val="20"/>
        </w:rPr>
      </w:pPr>
      <w:r>
        <w:rPr>
          <w:rFonts w:ascii="Times New Roman" w:hAnsi="Times New Roman"/>
          <w:sz w:val="20"/>
        </w:rPr>
        <w:t>VISTAGEN THERAPEUTICS, INC. CONVERSION NOTICE</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Reference is made to the Certificate of Designation of the Relative Rights and Preferences of the Series A Convertible Preferred Stock of VistaGen Therapeutics, Inc. (the </w:t>
      </w:r>
      <w:r>
        <w:rPr>
          <w:rFonts w:ascii="Times New Roman" w:hAnsi="Times New Roman"/>
          <w:b/>
          <w:sz w:val="20"/>
        </w:rPr>
        <w:t xml:space="preserve">"Certificate of Designation"). </w:t>
      </w:r>
      <w:r>
        <w:rPr>
          <w:rFonts w:ascii="Times New Roman" w:hAnsi="Times New Roman"/>
          <w:sz w:val="20"/>
        </w:rPr>
        <w:t xml:space="preserve">In accordance with and pursuant to the Certificate of Designation, the undersigned hereby elects to convert the number of shares of Series A Preferred Stock, par value $.01 per share (the "Preferred Shares"), of VistaGen Therapeutics, Inc., a Nevada corporation (the </w:t>
      </w:r>
      <w:r>
        <w:rPr>
          <w:rFonts w:ascii="Times New Roman" w:hAnsi="Times New Roman"/>
          <w:b/>
          <w:sz w:val="20"/>
        </w:rPr>
        <w:t xml:space="preserve">"Company"), </w:t>
      </w:r>
      <w:r>
        <w:rPr>
          <w:rFonts w:ascii="Times New Roman" w:hAnsi="Times New Roman"/>
          <w:sz w:val="20"/>
        </w:rPr>
        <w:t xml:space="preserve">indicated below into shares of Common Stock, par value $.01 per share (the </w:t>
      </w:r>
      <w:r>
        <w:rPr>
          <w:rFonts w:ascii="Times New Roman" w:hAnsi="Times New Roman"/>
          <w:b/>
          <w:sz w:val="20"/>
        </w:rPr>
        <w:t xml:space="preserve">"Common Stock"), </w:t>
      </w:r>
      <w:r>
        <w:rPr>
          <w:rFonts w:ascii="Times New Roman" w:hAnsi="Times New Roman"/>
          <w:sz w:val="20"/>
        </w:rPr>
        <w:t>of the Company, by tendering the stock certificate(s) representing the share(s) of Preferred Shares specified below as of the date specified below.</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Date of Conversion:                                                                                                                               </w:t>
      </w:r>
    </w:p>
    <w:p>
      <w:pPr>
        <w:pStyle w:val="TextBody"/>
        <w:spacing w:before="0" w:after="0"/>
        <w:ind w:left="0" w:right="0" w:hanging="0"/>
        <w:jc w:val="left"/>
        <w:rPr/>
      </w:pPr>
      <w:r>
        <w:rPr/>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Number of Preferred Shares to be converted: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Stock certificate no(s).: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Number of Preferred Shares to be converted: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Common Stock has been sold: YES                                                                           NO</w:t>
      </w:r>
    </w:p>
    <w:p>
      <w:pPr>
        <w:pStyle w:val="TextBody"/>
        <w:spacing w:before="0" w:after="0"/>
        <w:ind w:left="0" w:right="0" w:hanging="0"/>
        <w:jc w:val="left"/>
        <w:rPr/>
      </w:pPr>
      <w:r>
        <w:rPr/>
        <w:t xml:space="preserve">  </w:t>
      </w:r>
      <w:r>
        <w:rPr>
          <w:rFonts w:ascii="Times New Roman" w:hAnsi="Times New Roman"/>
          <w:sz w:val="20"/>
        </w:rPr>
        <w:t>Please confirm the following information: Conversion Rate: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Number of shares of Common Stock to be issued:</w:t>
      </w:r>
    </w:p>
    <w:p>
      <w:pPr>
        <w:pStyle w:val="TextBody"/>
        <w:spacing w:before="0" w:after="0"/>
        <w:ind w:left="0" w:right="0" w:hanging="0"/>
        <w:jc w:val="left"/>
        <w:rPr/>
      </w:pPr>
      <w:r>
        <w:rPr/>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Number of shares of Common Stock beneficially owned or deemed beneficially owned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by the Holder on the Date of Conversion determined in accordance with Section 16 of the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Securities Exchange Act of 1934, as amended:                                                                                                              </w:t>
      </w:r>
    </w:p>
    <w:p>
      <w:pPr>
        <w:pStyle w:val="TextBody"/>
        <w:spacing w:before="0" w:after="0"/>
        <w:ind w:left="0" w:right="0" w:hanging="0"/>
        <w:jc w:val="left"/>
        <w:rPr/>
      </w:pPr>
      <w:r>
        <w:rPr/>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Please issue the Common Stock into which the Preferred Shares are being converted and, if applicable, any check drawn on an account of the Company in the following name and to the following address:</w:t>
      </w:r>
    </w:p>
    <w:p>
      <w:pPr>
        <w:pStyle w:val="TextBody"/>
        <w:spacing w:before="0" w:after="0"/>
        <w:ind w:left="0" w:right="0" w:hanging="0"/>
        <w:jc w:val="left"/>
        <w:rPr/>
      </w:pPr>
      <w:r>
        <w:rPr/>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Issue to:                                                                                                                              </w:t>
      </w:r>
    </w:p>
    <w:p>
      <w:pPr>
        <w:pStyle w:val="TextBody"/>
        <w:spacing w:before="0" w:after="0"/>
        <w:ind w:left="0" w:right="0" w:hanging="0"/>
        <w:jc w:val="left"/>
        <w:rPr/>
      </w:pPr>
      <w:r>
        <w:rPr/>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Facsimile Number:</w:t>
      </w:r>
    </w:p>
    <w:p>
      <w:pPr>
        <w:pStyle w:val="TextBody"/>
        <w:spacing w:before="0" w:after="0"/>
        <w:ind w:left="0" w:right="0" w:hanging="0"/>
        <w:jc w:val="left"/>
        <w:rPr/>
      </w:pPr>
      <w:r>
        <w:rPr/>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Authorization: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By:             _____________</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Title:             _____________</w:t>
      </w:r>
    </w:p>
    <w:p>
      <w:pPr>
        <w:pStyle w:val="TextBody"/>
        <w:spacing w:before="0" w:after="0"/>
        <w:ind w:left="0" w:right="0" w:hanging="0"/>
        <w:jc w:val="left"/>
        <w:rPr/>
      </w:pPr>
      <w:r>
        <w:rPr/>
        <w:t> </w:t>
      </w:r>
    </w:p>
    <w:p>
      <w:pPr>
        <w:pStyle w:val="TextBody"/>
        <w:ind w:left="0" w:right="0" w:hanging="0"/>
        <w:jc w:val="left"/>
        <w:rPr>
          <w:rFonts w:ascii="Times New Roman" w:hAnsi="Times New Roman"/>
          <w:sz w:val="20"/>
        </w:rPr>
      </w:pPr>
      <w:r>
        <w:rPr>
          <w:rFonts w:ascii="Times New Roman" w:hAnsi="Times New Roman"/>
          <w:sz w:val="20"/>
        </w:rPr>
        <w:t>Dated:</w:t>
      </w:r>
      <w:r>
        <w:br w:type="page"/>
      </w:r>
    </w:p>
    <w:p>
      <w:pPr>
        <w:pStyle w:val="TextBody"/>
        <w:spacing w:before="0" w:after="0"/>
        <w:ind w:left="0" w:right="0" w:hanging="0"/>
        <w:jc w:val="right"/>
        <w:rPr>
          <w:rFonts w:ascii="Times New Roman" w:hAnsi="Times New Roman"/>
          <w:b/>
          <w:sz w:val="20"/>
        </w:rPr>
      </w:pPr>
      <w:bookmarkStart w:id="48" w:name="ex10-12232011_081212.htm"/>
      <w:bookmarkStart w:id="49" w:name="ksex1012232011_081212"/>
      <w:bookmarkEnd w:id="48"/>
      <w:bookmarkEnd w:id="49"/>
      <w:r>
        <w:rPr>
          <w:rFonts w:ascii="Times New Roman" w:hAnsi="Times New Roman"/>
          <w:b/>
          <w:sz w:val="20"/>
        </w:rPr>
        <w:t>Exhibit 10.1</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COMMON STOCK EXCHANGE AGREEMENT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This Common Stock Exchange Agreement (this “</w:t>
      </w:r>
      <w:r>
        <w:rPr>
          <w:rFonts w:ascii="Times New Roman" w:hAnsi="Times New Roman"/>
          <w:sz w:val="20"/>
          <w:u w:val="single"/>
        </w:rPr>
        <w:t>Agreement</w:t>
      </w:r>
      <w:r>
        <w:rPr>
          <w:rFonts w:ascii="Times New Roman" w:hAnsi="Times New Roman"/>
          <w:sz w:val="20"/>
        </w:rPr>
        <w:t>”) is dated as of December 22, 2011, by and between VistaGen Therapeutics, Inc., a Nevada corporation (the “</w:t>
      </w:r>
      <w:r>
        <w:rPr>
          <w:rFonts w:ascii="Times New Roman" w:hAnsi="Times New Roman"/>
          <w:sz w:val="20"/>
          <w:u w:val="single"/>
        </w:rPr>
        <w:t>Company</w:t>
      </w:r>
      <w:r>
        <w:rPr>
          <w:rFonts w:ascii="Times New Roman" w:hAnsi="Times New Roman"/>
          <w:sz w:val="20"/>
        </w:rPr>
        <w:t>”), and Platinum Long Term Growth VII, LLC (“</w:t>
      </w:r>
      <w:r>
        <w:rPr>
          <w:rFonts w:ascii="Times New Roman" w:hAnsi="Times New Roman"/>
          <w:sz w:val="20"/>
          <w:u w:val="single"/>
        </w:rPr>
        <w:t>Platinum</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RECITALS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WHEREAS, Platinum currently holds 2,042,862 shares of Common Stock of the Company (“</w:t>
      </w:r>
      <w:r>
        <w:rPr>
          <w:rFonts w:ascii="Times New Roman" w:hAnsi="Times New Roman"/>
          <w:sz w:val="20"/>
          <w:u w:val="single"/>
        </w:rPr>
        <w:t>Shares</w:t>
      </w:r>
      <w:r>
        <w:rPr>
          <w:rFonts w:ascii="Times New Roman" w:hAnsi="Times New Roman"/>
          <w:sz w:val="20"/>
        </w:rPr>
        <w:t>”); and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WHEREAS, subject to the terms and conditions set forth herein, the Company and Platinum desire to cancel and retire a certain number of Shares held by Platinum as more particularly set forth in this Agreement, in exchange for shares of the Company’s newly created Series A Convertible Preferred Stock (the “</w:t>
      </w:r>
      <w:r>
        <w:rPr>
          <w:rFonts w:ascii="Times New Roman" w:hAnsi="Times New Roman"/>
          <w:sz w:val="20"/>
          <w:u w:val="single"/>
        </w:rPr>
        <w:t>Series A Preferred</w:t>
      </w:r>
      <w:r>
        <w:rPr>
          <w:rFonts w:ascii="Times New Roman" w:hAnsi="Times New Roman"/>
          <w:sz w:val="20"/>
        </w:rPr>
        <w:t>”) (the “</w:t>
      </w:r>
      <w:r>
        <w:rPr>
          <w:rFonts w:ascii="Times New Roman" w:hAnsi="Times New Roman"/>
          <w:sz w:val="20"/>
          <w:u w:val="single"/>
        </w:rPr>
        <w:t>Exchange</w:t>
      </w:r>
      <w:r>
        <w:rPr>
          <w:rFonts w:ascii="Times New Roman" w:hAnsi="Times New Roman"/>
          <w:sz w:val="20"/>
        </w:rPr>
        <w:t>”).  A copy of the Certificate of Designation of the Relative Rights and Preferences of the Series A Preferred is attached hereto as Exhibit A (“</w:t>
      </w:r>
      <w:r>
        <w:rPr>
          <w:rFonts w:ascii="Times New Roman" w:hAnsi="Times New Roman"/>
          <w:sz w:val="20"/>
          <w:u w:val="single"/>
        </w:rPr>
        <w:t>Certificate of Designation</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NOW, THEREFORE, for good and valuable consideration, the receipt and sufficiency of which are hereby agreed and acknowledged, the parties hereby agree as follows:</w:t>
      </w:r>
    </w:p>
    <w:p>
      <w:pPr>
        <w:pStyle w:val="TextBody"/>
        <w:spacing w:before="0" w:after="0"/>
        <w:ind w:left="0" w:right="0" w:hanging="0"/>
        <w:jc w:val="both"/>
        <w:rPr/>
      </w:pPr>
      <w:r>
        <w:rPr/>
        <w:t> </w:t>
      </w:r>
    </w:p>
    <w:p>
      <w:pPr>
        <w:pStyle w:val="TextBody"/>
        <w:spacing w:before="0" w:after="0"/>
        <w:ind w:left="720" w:right="0" w:hanging="0"/>
        <w:jc w:val="center"/>
        <w:rPr>
          <w:rFonts w:ascii="Times New Roman" w:hAnsi="Times New Roman"/>
          <w:b/>
          <w:sz w:val="20"/>
          <w:u w:val="single"/>
        </w:rPr>
      </w:pPr>
      <w:bookmarkStart w:id="50" w:name="TAB1"/>
      <w:bookmarkEnd w:id="50"/>
      <w:r>
        <w:rPr>
          <w:rFonts w:ascii="Times New Roman" w:hAnsi="Times New Roman"/>
          <w:b/>
          <w:sz w:val="20"/>
          <w:u w:val="single"/>
        </w:rPr>
        <w:t>AGREEMENT</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b/>
          <w:sz w:val="20"/>
        </w:rPr>
        <w:t>1.</w:t>
      </w:r>
      <w:bookmarkStart w:id="51" w:name="TAB233"/>
      <w:bookmarkEnd w:id="51"/>
      <w:r>
        <w:rPr>
          <w:color w:val="000000"/>
          <w:spacing w:val="180"/>
        </w:rPr>
        <w:t> </w:t>
      </w:r>
      <w:r>
        <w:rPr>
          <w:rFonts w:ascii="Times New Roman" w:hAnsi="Times New Roman"/>
          <w:b/>
          <w:sz w:val="20"/>
          <w:u w:val="single"/>
        </w:rPr>
        <w:t>Securities Exchange</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(a)</w:t>
      </w:r>
      <w:bookmarkStart w:id="52" w:name="TAB234"/>
      <w:bookmarkEnd w:id="52"/>
      <w:r>
        <w:rPr>
          <w:color w:val="000000"/>
          <w:spacing w:val="180"/>
        </w:rPr>
        <w:t> </w:t>
      </w:r>
      <w:r>
        <w:rPr>
          <w:rFonts w:ascii="Times New Roman" w:hAnsi="Times New Roman"/>
          <w:sz w:val="20"/>
        </w:rPr>
        <w:t>In consideration of and in express reliance upon the representations, warranties, covenants, terms and conditions of this Agreement, Platinum agrees to deliver and surrender to the Company for cancellation that number of Shares set forth in Paragraph (d) below (the “</w:t>
      </w:r>
      <w:r>
        <w:rPr>
          <w:rFonts w:ascii="Times New Roman" w:hAnsi="Times New Roman"/>
          <w:sz w:val="20"/>
          <w:u w:val="single"/>
        </w:rPr>
        <w:t>Exchanged Securities</w:t>
      </w:r>
      <w:r>
        <w:rPr>
          <w:rFonts w:ascii="Times New Roman" w:hAnsi="Times New Roman"/>
          <w:sz w:val="20"/>
        </w:rPr>
        <w:t>”), in exchange for Forty-Five Thousand, Nine Hundred and Eighty (45,980) shares of Series A Preferred (“</w:t>
      </w:r>
      <w:r>
        <w:rPr>
          <w:rFonts w:ascii="Times New Roman" w:hAnsi="Times New Roman"/>
          <w:sz w:val="20"/>
          <w:u w:val="single"/>
        </w:rPr>
        <w:t>Exchange Shares</w:t>
      </w:r>
      <w:r>
        <w:rPr>
          <w:rFonts w:ascii="Times New Roman" w:hAnsi="Times New Roman"/>
          <w:sz w:val="20"/>
        </w:rPr>
        <w:t>”) and the Company agrees to issue and deliver the Exchange Shares to Platinum.</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(b)</w:t>
      </w:r>
      <w:bookmarkStart w:id="53" w:name="TAB235"/>
      <w:bookmarkEnd w:id="53"/>
      <w:r>
        <w:rPr>
          <w:color w:val="000000"/>
          <w:spacing w:val="180"/>
        </w:rPr>
        <w:t> </w:t>
      </w:r>
      <w:r>
        <w:rPr>
          <w:rFonts w:ascii="Times New Roman" w:hAnsi="Times New Roman"/>
          <w:sz w:val="20"/>
        </w:rPr>
        <w:t>The closing under this Agreement (the “</w:t>
      </w:r>
      <w:r>
        <w:rPr>
          <w:rFonts w:ascii="Times New Roman" w:hAnsi="Times New Roman"/>
          <w:sz w:val="20"/>
          <w:u w:val="single"/>
        </w:rPr>
        <w:t>Closing</w:t>
      </w:r>
      <w:r>
        <w:rPr>
          <w:rFonts w:ascii="Times New Roman" w:hAnsi="Times New Roman"/>
          <w:sz w:val="20"/>
        </w:rPr>
        <w:t>”) shall take place upon the satisfaction of each of the conditions set forth in Sections 4 and 5 hereof (the “</w:t>
      </w:r>
      <w:r>
        <w:rPr>
          <w:rFonts w:ascii="Times New Roman" w:hAnsi="Times New Roman"/>
          <w:sz w:val="20"/>
          <w:u w:val="single"/>
        </w:rPr>
        <w:t>Closing Date</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(c)</w:t>
      </w:r>
      <w:bookmarkStart w:id="54" w:name="TAB236"/>
      <w:bookmarkEnd w:id="54"/>
      <w:r>
        <w:rPr>
          <w:color w:val="000000"/>
          <w:spacing w:val="180"/>
        </w:rPr>
        <w:t> </w:t>
      </w:r>
      <w:r>
        <w:rPr>
          <w:rFonts w:ascii="Times New Roman" w:hAnsi="Times New Roman"/>
          <w:sz w:val="20"/>
        </w:rPr>
        <w:t>At the Closing, Platinum shall deliver to the Company for cancellation the Exchanged Securities, or an indemnification undertaking with respect to such Exchanged Securities in the event of the loss, theft or destruction of such Exchanged Securities.  At the Closing, the Company shall issue to Platinum a certificate evidencing the Exchange Shares.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(d)</w:t>
      </w:r>
      <w:bookmarkStart w:id="55" w:name="TAB237"/>
      <w:bookmarkEnd w:id="55"/>
      <w:r>
        <w:rPr>
          <w:color w:val="000000"/>
          <w:spacing w:val="180"/>
        </w:rPr>
        <w:t> </w:t>
      </w:r>
      <w:r>
        <w:rPr>
          <w:rFonts w:ascii="Times New Roman" w:hAnsi="Times New Roman"/>
          <w:sz w:val="20"/>
        </w:rPr>
        <w:t>The number of Shares to be exchanged by Platinum pursuant to this Agreement shall be Four Hundred Eighty Four Thousand (484,000).</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b/>
          <w:sz w:val="20"/>
        </w:rPr>
        <w:t>2.</w:t>
      </w:r>
      <w:bookmarkStart w:id="56" w:name="TAB238"/>
      <w:bookmarkEnd w:id="56"/>
      <w:r>
        <w:rPr>
          <w:color w:val="000000"/>
          <w:spacing w:val="180"/>
        </w:rPr>
        <w:t> </w:t>
      </w:r>
      <w:r>
        <w:rPr>
          <w:rFonts w:ascii="Times New Roman" w:hAnsi="Times New Roman"/>
          <w:b/>
          <w:sz w:val="20"/>
          <w:u w:val="single"/>
        </w:rPr>
        <w:t>Representations, Warranties and Covenants of Platinum</w:t>
      </w:r>
      <w:r>
        <w:rPr>
          <w:rFonts w:ascii="Times New Roman" w:hAnsi="Times New Roman"/>
          <w:b/>
          <w:sz w:val="20"/>
        </w:rPr>
        <w:t>.  </w:t>
      </w:r>
      <w:r>
        <w:rPr>
          <w:rFonts w:ascii="Times New Roman" w:hAnsi="Times New Roman"/>
          <w:sz w:val="20"/>
        </w:rPr>
        <w:t>Platinum hereby makes the following representations and warranties to the Company, and covenants for the benefit of the Company:</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(a)</w:t>
      </w:r>
      <w:bookmarkStart w:id="57" w:name="TAB239"/>
      <w:bookmarkEnd w:id="57"/>
      <w:r>
        <w:rPr>
          <w:color w:val="000000"/>
          <w:spacing w:val="180"/>
        </w:rPr>
        <w:t> </w:t>
      </w:r>
      <w:r>
        <w:rPr>
          <w:rFonts w:ascii="Times New Roman" w:hAnsi="Times New Roman"/>
          <w:sz w:val="20"/>
        </w:rPr>
        <w:t>Platinum is a limited liability company validly existing and in good standing under the laws of the jurisdiction of its organization.</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(b)</w:t>
      </w:r>
      <w:bookmarkStart w:id="58" w:name="TAB240"/>
      <w:bookmarkEnd w:id="58"/>
      <w:r>
        <w:rPr>
          <w:color w:val="000000"/>
          <w:spacing w:val="180"/>
        </w:rPr>
        <w:t> </w:t>
      </w:r>
      <w:r>
        <w:rPr>
          <w:rFonts w:ascii="Times New Roman" w:hAnsi="Times New Roman"/>
          <w:sz w:val="20"/>
        </w:rPr>
        <w:t>This Agreement has been duly authorized, validly executed and delivered by Platinum and is a valid and binding agreement and obligation of Platinum enforceable against Platinum in accordance with its terms, subject to limitations on enforcement by general principles of equity and by bankruptcy or other laws affecting the enforcement of creditors’ rights generally, and Platinum has full power and authority to execute and deliver the Agreement and the other agreements and documents contemplated hereby and to perform its obligations hereunder and thereunder.</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9" w:name="PGBRK1"/>
      <w:bookmarkStart w:id="60" w:name="PGBRK1"/>
      <w:bookmarkEnd w:id="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 w:name="FTR1"/>
      <w:bookmarkStart w:id="62" w:name="FTR1"/>
      <w:bookmarkEnd w:id="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3" w:name="GLFTR1"/>
      <w:bookmarkEnd w:id="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4" w:name="PN1"/>
      <w:bookmarkEnd w:id="64"/>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 w:name="HDR1"/>
      <w:bookmarkStart w:id="66" w:name="HDR1"/>
      <w:bookmarkEnd w:id="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7" w:name="GLHDR1"/>
      <w:bookmarkEnd w:id="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1440"/>
        <w:rPr/>
      </w:pPr>
      <w:r>
        <w:rPr>
          <w:rFonts w:ascii="Times New Roman" w:hAnsi="Times New Roman"/>
          <w:sz w:val="20"/>
        </w:rPr>
        <w:t>(c)</w:t>
      </w:r>
      <w:bookmarkStart w:id="68" w:name="TAB241"/>
      <w:bookmarkEnd w:id="68"/>
      <w:r>
        <w:rPr>
          <w:color w:val="000000"/>
          <w:spacing w:val="180"/>
        </w:rPr>
        <w:t> </w:t>
      </w:r>
      <w:r>
        <w:rPr>
          <w:rFonts w:ascii="Times New Roman" w:hAnsi="Times New Roman"/>
          <w:sz w:val="20"/>
        </w:rPr>
        <w:t>Platinum understands that the Exchange Shares are being offered and sold to it in reliance on specific provisions of Federal and state securities laws and that the Company is relying upon the truth and accuracy of the representations, warranties, agreements, acknowledgments and understandings of Platinum set forth herein for purposes of qualifying for exemptions from registration under the Securities Act of 1933, as amended (the “</w:t>
      </w:r>
      <w:r>
        <w:rPr>
          <w:rFonts w:ascii="Times New Roman" w:hAnsi="Times New Roman"/>
          <w:sz w:val="20"/>
          <w:u w:val="single"/>
        </w:rPr>
        <w:t>Securities Act</w:t>
      </w:r>
      <w:r>
        <w:rPr>
          <w:rFonts w:ascii="Times New Roman" w:hAnsi="Times New Roman"/>
          <w:sz w:val="20"/>
        </w:rPr>
        <w:t>”) and applicable state securities laws.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(d)</w:t>
      </w:r>
      <w:bookmarkStart w:id="69" w:name="TAB242"/>
      <w:bookmarkEnd w:id="69"/>
      <w:r>
        <w:rPr>
          <w:color w:val="000000"/>
          <w:spacing w:val="180"/>
        </w:rPr>
        <w:t> </w:t>
      </w:r>
      <w:r>
        <w:rPr>
          <w:rFonts w:ascii="Times New Roman" w:hAnsi="Times New Roman"/>
          <w:sz w:val="20"/>
        </w:rPr>
        <w:t>Platinum is an “accredited investor” as defined under Rule 501 of Regulation D promulgated under the Securities Act.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(e)</w:t>
      </w:r>
      <w:bookmarkStart w:id="70" w:name="TAB243"/>
      <w:bookmarkEnd w:id="70"/>
      <w:r>
        <w:rPr>
          <w:color w:val="000000"/>
          <w:spacing w:val="180"/>
        </w:rPr>
        <w:t> </w:t>
      </w:r>
      <w:r>
        <w:rPr>
          <w:rFonts w:ascii="Times New Roman" w:hAnsi="Times New Roman"/>
          <w:sz w:val="20"/>
        </w:rPr>
        <w:t xml:space="preserve">Platinum is and will be acquiring the Exchange Shares for Platinum’s own account, for investment purposes, and not with a view to any resale or distribution in whole or in part, in violation of the Securities Act or any applicable securities laws;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notwithstanding the foregoing, Platinum does not covenant to hold the Exchange Shares for any minimum period of time.</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(f)</w:t>
      </w:r>
      <w:bookmarkStart w:id="71" w:name="TAB244"/>
      <w:bookmarkEnd w:id="71"/>
      <w:r>
        <w:rPr>
          <w:color w:val="000000"/>
          <w:spacing w:val="180"/>
        </w:rPr>
        <w:t> </w:t>
      </w:r>
      <w:r>
        <w:rPr>
          <w:rFonts w:ascii="Times New Roman" w:hAnsi="Times New Roman"/>
          <w:sz w:val="20"/>
        </w:rPr>
        <w:t>The offer and sale of the Exchange Shares is intended to be exempt from registration under the Securities Act, by virtue of Section 3(a)(9) and/or 4(2) thereof.  Platinum understands that the Securities purchased hereunder are “restricted securities,” as that term is defined in the Securities Act and the rules thereunder, have not been registered under the Securities Act, and that none of the Exchange Shares can be sold or transferred unless they are first registered under the Securities Act and such state and other securities laws as may be applicable or the Company receives an opinion of counsel reasonably acceptable to the Company that an exemption from registration under the Securities Act is available (and then the Exchange Shares may be sold or transferred only in compliance with such exemption and all applicable state and other securities laws).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(g)</w:t>
      </w:r>
      <w:bookmarkStart w:id="72" w:name="TAB245"/>
      <w:bookmarkEnd w:id="72"/>
      <w:r>
        <w:rPr>
          <w:color w:val="000000"/>
          <w:spacing w:val="180"/>
        </w:rPr>
        <w:t> </w:t>
      </w:r>
      <w:r>
        <w:rPr>
          <w:rFonts w:ascii="Times New Roman" w:hAnsi="Times New Roman"/>
          <w:sz w:val="20"/>
        </w:rPr>
        <w:t>Platinum owns and holds, beneficially and of record, the entire right, title, and interest in and to the Exchanged Securities free and clear of all rights and Encumbrances (as defined below).   Platinum has full power and authority to vote, transfer and dispose of the Exchanged Securities free and clear of any right or Encumbrance other than restrictions under the Securities Act and applicable state securities laws.  Other than the transactions contemplated by this Agreement, there is no outstanding vote, plan, pending proposal, or other right of any person to acquire all or any of the Exchanged Securities.  As used herein, “Encumbrances” shall mean any security or other property interest or right, claim, lien, pledge, option, charge, security interest, contingent or conditional sale, or other title claim or retention agreement, interest or other right or claim of third parties, whether perfected or not perfected, voluntarily incurred or arising by operation of law, and including any agreement (other than this Agreement) to grant or submit to any of the foregoing in the future.  The Exchanged Securities constitute all of the securities owned or held of record or beneficially owned or held by Platinum, other than shares of the Company’s Common Stock.</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b/>
          <w:sz w:val="20"/>
        </w:rPr>
        <w:t>3.</w:t>
      </w:r>
      <w:bookmarkStart w:id="73" w:name="TAB246"/>
      <w:bookmarkEnd w:id="73"/>
      <w:r>
        <w:rPr>
          <w:color w:val="000000"/>
          <w:spacing w:val="180"/>
        </w:rPr>
        <w:t> </w:t>
      </w:r>
      <w:r>
        <w:rPr>
          <w:rFonts w:ascii="Times New Roman" w:hAnsi="Times New Roman"/>
          <w:b/>
          <w:sz w:val="20"/>
          <w:u w:val="single"/>
        </w:rPr>
        <w:t>Representations, Warranties and Covenants of the Company</w:t>
      </w:r>
      <w:r>
        <w:rPr>
          <w:rFonts w:ascii="Times New Roman" w:hAnsi="Times New Roman"/>
          <w:b/>
          <w:sz w:val="20"/>
        </w:rPr>
        <w:t>.</w:t>
      </w:r>
      <w:r>
        <w:rPr>
          <w:rFonts w:ascii="Times New Roman" w:hAnsi="Times New Roman"/>
          <w:sz w:val="20"/>
        </w:rPr>
        <w:t>  The Company represents and warrants to Platinum, and covenants for the benefit of Platinum, as follows: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(a)</w:t>
      </w:r>
      <w:bookmarkStart w:id="74" w:name="TAB247"/>
      <w:bookmarkEnd w:id="74"/>
      <w:r>
        <w:rPr>
          <w:color w:val="000000"/>
          <w:spacing w:val="180"/>
        </w:rPr>
        <w:t> </w:t>
      </w:r>
      <w:r>
        <w:rPr>
          <w:rFonts w:ascii="Times New Roman" w:hAnsi="Times New Roman"/>
          <w:sz w:val="20"/>
        </w:rPr>
        <w:t>The Company has been duly incorporated and is validly existing and in good standing under the laws of the state of Nevada, with full corporate power and authority to own, lease and operate its properties and to conduct its business as currently conducted, and is duly registered and qualified to conduct its business and is in good standing in each jurisdiction or place where the nature of its properties or the conduct of its business requires such registration or qualification, except where the failure to register or qualify would not have a Material Adverse Effect.  For purposes of this Agreement, “</w:t>
      </w:r>
      <w:r>
        <w:rPr>
          <w:rFonts w:ascii="Times New Roman" w:hAnsi="Times New Roman"/>
          <w:sz w:val="20"/>
          <w:u w:val="single"/>
        </w:rPr>
        <w:t>Material Adverse Effect</w:t>
      </w:r>
      <w:r>
        <w:rPr>
          <w:rFonts w:ascii="Times New Roman" w:hAnsi="Times New Roman"/>
          <w:sz w:val="20"/>
        </w:rPr>
        <w:t>” shall mean any material adverse effect on the business, operations, properties, prospects, or financial condition of the Company and its subsidiaries and/or any condition, circumstance, or situation that would prohibit or otherwise materially interfere with the ability of the Company to perform any of its obligations under this Agreement in any material respect.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(b)</w:t>
      </w:r>
      <w:bookmarkStart w:id="75" w:name="TAB248"/>
      <w:bookmarkEnd w:id="75"/>
      <w:r>
        <w:rPr>
          <w:color w:val="000000"/>
          <w:spacing w:val="180"/>
        </w:rPr>
        <w:t> </w:t>
      </w:r>
      <w:r>
        <w:rPr>
          <w:rFonts w:ascii="Times New Roman" w:hAnsi="Times New Roman"/>
          <w:sz w:val="20"/>
        </w:rPr>
        <w:t>The Exchange Shares have been duly authorized by all necessary corporate action and, when paid for or issued in accordance with the terms hereof, the Exchange Shares shall be validly issued and outstanding, fully paid and nonassessable, free and clear of all liens, encumbrances and rights of refusal of any kind.   As of the date hereof, and without giving effect to the Exchange, there are not less than 16,161,946 shares of Common Stock outstanding.</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6" w:name="PGBRK2"/>
      <w:bookmarkStart w:id="77" w:name="PGBRK2"/>
      <w:bookmarkEnd w:id="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8" w:name="FTR2"/>
      <w:bookmarkStart w:id="79" w:name="FTR2"/>
      <w:bookmarkEnd w:id="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0" w:name="GLFTR2"/>
      <w:bookmarkEnd w:id="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1" w:name="PN2"/>
      <w:bookmarkEnd w:id="81"/>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2" w:name="HDR2"/>
      <w:bookmarkStart w:id="83" w:name="HDR2"/>
      <w:bookmarkEnd w:id="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4" w:name="GLHDR2"/>
      <w:bookmarkEnd w:id="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1440"/>
        <w:rPr/>
      </w:pPr>
      <w:r>
        <w:rPr>
          <w:rFonts w:ascii="Times New Roman" w:hAnsi="Times New Roman"/>
          <w:sz w:val="20"/>
        </w:rPr>
        <w:t>(c)</w:t>
      </w:r>
      <w:bookmarkStart w:id="85" w:name="TAB249"/>
      <w:bookmarkEnd w:id="85"/>
      <w:r>
        <w:rPr>
          <w:color w:val="000000"/>
          <w:spacing w:val="180"/>
        </w:rPr>
        <w:t> </w:t>
      </w:r>
      <w:r>
        <w:rPr>
          <w:rFonts w:ascii="Times New Roman" w:hAnsi="Times New Roman"/>
          <w:sz w:val="20"/>
        </w:rPr>
        <w:t>This Agreement has been duly authorized, validly executed and delivered on behalf of the Company and is a valid and binding agreement and obligation of the Company enforceable against the Company in accordance with its terms, subject to limitations on enforcement by general principles of equity and by bankruptcy or other laws affecting the enforcement of creditors’ rights generally, and the Company has full power and authority to execute and deliver the Agreement and the other agreements and documents contemplated hereby and to perform its obligations hereunder and thereunder.</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(d)</w:t>
      </w:r>
      <w:bookmarkStart w:id="86" w:name="TAB250"/>
      <w:bookmarkEnd w:id="86"/>
      <w:r>
        <w:rPr>
          <w:color w:val="000000"/>
          <w:spacing w:val="180"/>
        </w:rPr>
        <w:t> </w:t>
      </w:r>
      <w:r>
        <w:rPr>
          <w:rFonts w:ascii="Times New Roman" w:hAnsi="Times New Roman"/>
          <w:sz w:val="20"/>
        </w:rPr>
        <w:t>The execution and delivery of the Agreement and the consummation of the transactions contemplated by this Agreement by the Company, will not (i) conflict with or result in a breach of or a default under any of the terms or provisions of, (A) the Company’s certificate of incorporation or by-laws, or (B) of any material provision of any indenture, mortgage, deed of trust or other material agreement or instrument to which the Company is a party or by which it or any of its material properties or assets is bound, (ii) result in a violation of any provision of any law, statute, rule, regulation, or any existing applicable decree, judgment or order by any court, Federal or state regulatory body, administrative agency, or other governmental body having jurisdiction over the Company, or any of its material properties or assets or (iii) result in the creation or imposition of any material lien, charge or encumbrance upon any material property or assets of the Company or any of its subsidiaries pursuant to the terms of any agreement or instrument to which any of them is a party or by which any of them may be bound or to which any of their property or any of them is subject except in the case of clauses (i)(B), (ii) or (iii) for any such conflicts, breaches, or defaults or any liens, charges, or encumbrances which would not have a Material Adverse Effect.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(e)</w:t>
      </w:r>
      <w:bookmarkStart w:id="87" w:name="TAB251"/>
      <w:bookmarkEnd w:id="87"/>
      <w:r>
        <w:rPr>
          <w:color w:val="000000"/>
          <w:spacing w:val="180"/>
        </w:rPr>
        <w:t> </w:t>
      </w:r>
      <w:r>
        <w:rPr>
          <w:rFonts w:ascii="Times New Roman" w:hAnsi="Times New Roman"/>
          <w:sz w:val="20"/>
        </w:rPr>
        <w:t>The delivery and issuance of the Exchange Shares in accordance with the terms of and in reliance on the accuracy of Platinum’s representations and warranties set forth in this Agreement will be exempt from the registration requirements of the Securities Act.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(f)</w:t>
      </w:r>
      <w:bookmarkStart w:id="88" w:name="TAB252"/>
      <w:bookmarkEnd w:id="88"/>
      <w:r>
        <w:rPr>
          <w:color w:val="000000"/>
          <w:spacing w:val="180"/>
        </w:rPr>
        <w:t> </w:t>
      </w:r>
      <w:r>
        <w:rPr>
          <w:rFonts w:ascii="Times New Roman" w:hAnsi="Times New Roman"/>
          <w:sz w:val="20"/>
        </w:rPr>
        <w:t>Except for the filing of the Certificate of Designation, no consent, approval or authorization of or designation, declaration or filing with any governmental authority on the part of the Company is required in connection with the valid execution and delivery of this Agreement or the offer, sale or issuance of the Exchange Shares or the consummation of any other transaction contemplated by this Agreement.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(g)</w:t>
      </w:r>
      <w:bookmarkStart w:id="89" w:name="TAB253"/>
      <w:bookmarkEnd w:id="89"/>
      <w:r>
        <w:rPr>
          <w:color w:val="000000"/>
          <w:spacing w:val="180"/>
        </w:rPr>
        <w:t> </w:t>
      </w:r>
      <w:r>
        <w:rPr>
          <w:rFonts w:ascii="Times New Roman" w:hAnsi="Times New Roman"/>
          <w:sz w:val="20"/>
        </w:rPr>
        <w:t>The Company has complied and will comply with all applicable federal and state securities laws in connection with the offer, issuance and delivery of the Exchange Shares hereunder.  Neither the Company nor anyone acting on its behalf, directly or indirectly, has or will sell, offer to sell or solicit offers to buy any of the Exchange Shares, or similar securities to, or solicit offers with respect thereto from, or enter into any preliminary conversations or negotiations relating thereto with, any person, or has taken or will take any action so as to bring the issuance and sale of any of the Exchange Shares under the registration provisions of the Securities Act and applicable state securities laws.  Neither the Company nor any of its affiliates, nor any person acting on its or their behalf, has engaged in any form of general solicitation or general advertising (within the meaning of Regulation D under the Securities Act) in connection with the offer or sale of any of the Exchange Shares.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(h)</w:t>
      </w:r>
      <w:bookmarkStart w:id="90" w:name="TAB254"/>
      <w:bookmarkEnd w:id="90"/>
      <w:r>
        <w:rPr>
          <w:color w:val="000000"/>
          <w:spacing w:val="180"/>
        </w:rPr>
        <w:t> </w:t>
      </w:r>
      <w:r>
        <w:rPr>
          <w:rFonts w:ascii="Times New Roman" w:hAnsi="Times New Roman"/>
          <w:sz w:val="20"/>
        </w:rPr>
        <w:t>The Company represents that it has not paid, and shall not pay, any commissions or other remuneration, directly or indirectly, to any third party for the solicitation of the Exchange.  Other than the exchange of the Exchanged Securities, the Company has not received any consideration for the Exchange Shares.  By virtue of such exchange, the holding period for the Exchange Shares under Rule 144 of the Securities Act shall begin no later than the holding period for the Exchanged Securities.</w:t>
      </w:r>
    </w:p>
    <w:p>
      <w:pPr>
        <w:pStyle w:val="TextBody"/>
        <w:spacing w:before="0" w:after="0"/>
        <w:ind w:left="0" w:right="0" w:hanging="0"/>
        <w:jc w:val="both"/>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(i)           The Company shall cause its Common Stock to continue to be registered under Section 12(b) or 12(g) of the Securities Exchange Act of 1934 (the “</w:t>
      </w:r>
      <w:r>
        <w:rPr>
          <w:rFonts w:ascii="Times New Roman" w:hAnsi="Times New Roman"/>
          <w:sz w:val="20"/>
          <w:u w:val="single"/>
        </w:rPr>
        <w:t>Exchange Act</w:t>
      </w:r>
      <w:r>
        <w:rPr>
          <w:rFonts w:ascii="Times New Roman" w:hAnsi="Times New Roman"/>
          <w:sz w:val="20"/>
        </w:rPr>
        <w:t>”), and not take any action or file any document (whether or not permitted by the Securities Act or the rules promulgated thereunder) to terminate or suspend its reporting and filing obligations under the Exchange Act and the Securities Act, except as permitted herein.  The Company will take all action necessary to continue the listing or trading of its Common Stock on the OTC Bulletin Board or other exchange or market on which the Common Stock is trading.  If necessary, the Company will promptly file the “Listing Application” for, or in connection with, the issuance and delivery of the Exchange Shares.  The Company further covenants that it will take such further actions as Platinum may reasonably request, all to the extent required from time to time to enable Platinum to sell the Exchange Shares without registration under the Securities Act within the limitation of the exemptions provided by Rule 144 promulgated under the Securities Act.  Upon the request of Platinum, the Company shall deliver to Platinum a written certification of a duly authorized officer as to whether it has complied with such requirements.</w:t>
      </w:r>
    </w:p>
    <w:p>
      <w:pPr>
        <w:pStyle w:val="TextBody"/>
        <w:spacing w:before="0" w:after="0"/>
        <w:ind w:left="0" w:right="0" w:hanging="0"/>
        <w:jc w:val="both"/>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(j)           The Company will provide, at the Company’s expense, such legal opinions in the future as are reasonably appropriate and necessary for the issuance and resale of the Common Stock issuable upon conversion of the Exchange Shares pursuant to an effective registration statement, Rule 144 under the Securities Act or an exemption from registration.  In the event that such Common Stock is sold in a manner that complies with an exemption from registration, the Company shall promptly cause its counsel (at its expense) to issue to the transfer agent an opinion permitting removal of the legend (indefinitely if pursuant to Rule 144(k) of the Securities Act (or its successor provisions, including any provision that permits unlimited resales after the relevant holding period set forth in Rule 144), or to permit sales of the Common Stock if pursuant to the other provisions of Rule 144 of the Securities Act).</w:t>
      </w:r>
    </w:p>
    <w:p>
      <w:pPr>
        <w:pStyle w:val="TextBody"/>
        <w:spacing w:before="0" w:after="0"/>
        <w:ind w:left="0" w:right="0" w:hanging="0"/>
        <w:jc w:val="both"/>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(k)           The Company shall promptly deliver shares of Common Stock to Platinum upon Platinum’s request to convert all or any portion of the Exchange Shares.</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b/>
          <w:sz w:val="20"/>
        </w:rPr>
        <w:t>4.</w:t>
      </w:r>
      <w:bookmarkStart w:id="91" w:name="TAB255"/>
      <w:bookmarkEnd w:id="91"/>
      <w:r>
        <w:rPr>
          <w:color w:val="000000"/>
          <w:spacing w:val="180"/>
        </w:rPr>
        <w:t> </w:t>
      </w:r>
      <w:r>
        <w:rPr>
          <w:rFonts w:ascii="Times New Roman" w:hAnsi="Times New Roman"/>
          <w:b/>
          <w:sz w:val="20"/>
          <w:u w:val="single"/>
        </w:rPr>
        <w:t>Conditions Precedent to the Obligation of the Company to Consummate the Exchange</w:t>
      </w:r>
      <w:r>
        <w:rPr>
          <w:rFonts w:ascii="Times New Roman" w:hAnsi="Times New Roman"/>
          <w:sz w:val="20"/>
        </w:rPr>
        <w:t>.  The obligation hereunder of the Company to issue and deliver the Exchange Shares to Platinum and consummate the Exchange is subject to the satisfaction or waiver, at or before the Closing Date, of each of the conditions set forth below.  These conditions are for the Company’s sole benefit and may be waived by the Company at any time in its sole discretion.</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(a)</w:t>
      </w:r>
      <w:bookmarkStart w:id="92" w:name="TAB256"/>
      <w:bookmarkEnd w:id="92"/>
      <w:r>
        <w:rPr>
          <w:color w:val="000000"/>
          <w:spacing w:val="180"/>
        </w:rPr>
        <w:t> </w:t>
      </w:r>
      <w:r>
        <w:rPr>
          <w:rFonts w:ascii="Times New Roman" w:hAnsi="Times New Roman"/>
          <w:sz w:val="20"/>
        </w:rPr>
        <w:t xml:space="preserve">The Company shall have filed the Certificate of Designation with the Nevada Secretary of State, in substantially the form attached hereto as </w:t>
      </w:r>
      <w:r>
        <w:rPr>
          <w:rFonts w:ascii="Times New Roman" w:hAnsi="Times New Roman"/>
          <w:sz w:val="20"/>
          <w:u w:val="single"/>
        </w:rPr>
        <w:t>Exhibit A</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(b)</w:t>
      </w:r>
      <w:bookmarkStart w:id="93" w:name="TAB257"/>
      <w:bookmarkEnd w:id="93"/>
      <w:r>
        <w:rPr>
          <w:color w:val="000000"/>
          <w:spacing w:val="180"/>
        </w:rPr>
        <w:t> </w:t>
      </w:r>
      <w:r>
        <w:rPr>
          <w:rFonts w:ascii="Times New Roman" w:hAnsi="Times New Roman"/>
          <w:sz w:val="20"/>
        </w:rPr>
        <w:t>Platinum shall have executed and delivered this Agreement.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(c)</w:t>
      </w:r>
      <w:bookmarkStart w:id="94" w:name="TAB258"/>
      <w:bookmarkEnd w:id="94"/>
      <w:r>
        <w:rPr>
          <w:color w:val="000000"/>
          <w:spacing w:val="180"/>
        </w:rPr>
        <w:t> </w:t>
      </w:r>
      <w:r>
        <w:rPr>
          <w:rFonts w:ascii="Times New Roman" w:hAnsi="Times New Roman"/>
          <w:sz w:val="20"/>
        </w:rPr>
        <w:t>Platinum shall have performed, satisfied and complied in all material respects with all covenants, agreements and conditions required by this Agreement to be performed, satisfied or complied with by Platinum at or prior to the Closing Date.</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(d)</w:t>
      </w:r>
      <w:bookmarkStart w:id="95" w:name="TAB259"/>
      <w:bookmarkEnd w:id="95"/>
      <w:r>
        <w:rPr>
          <w:color w:val="000000"/>
          <w:spacing w:val="180"/>
        </w:rPr>
        <w:t> </w:t>
      </w:r>
      <w:r>
        <w:rPr>
          <w:rFonts w:ascii="Times New Roman" w:hAnsi="Times New Roman"/>
          <w:sz w:val="20"/>
        </w:rPr>
        <w:t>The representations and warranties of Platinum shall be true and correct in all material respects as of the date when made and as of the Closing Date as though made at that time, except for representations and warranties that are expressly made as of a particular date, which shall be true and correct in all material respects as of such date.</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b/>
          <w:sz w:val="20"/>
        </w:rPr>
        <w:t>5.</w:t>
      </w:r>
      <w:bookmarkStart w:id="96" w:name="TAB260"/>
      <w:bookmarkEnd w:id="96"/>
      <w:r>
        <w:rPr>
          <w:color w:val="000000"/>
          <w:spacing w:val="180"/>
        </w:rPr>
        <w:t> </w:t>
      </w:r>
      <w:r>
        <w:rPr>
          <w:rFonts w:ascii="Times New Roman" w:hAnsi="Times New Roman"/>
          <w:b/>
          <w:sz w:val="20"/>
          <w:u w:val="single"/>
        </w:rPr>
        <w:t>Conditions Precedent to the Obligation of Platinum to Consummate the Exchange</w:t>
      </w:r>
      <w:r>
        <w:rPr>
          <w:rFonts w:ascii="Times New Roman" w:hAnsi="Times New Roman"/>
          <w:sz w:val="20"/>
        </w:rPr>
        <w:t>. The obligation hereunder of Platinum to surrender the Exchanged Securities, accept the Exchange Shares and consummate the Exchange is subject to the satisfaction or waiver, at or before the Closing Date, of each of the conditions set forth below.  These conditions are for Platinum’s sole benefit and may be waived by Platinum at any time in its sole discretion.</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(a)</w:t>
      </w:r>
      <w:bookmarkStart w:id="97" w:name="TAB261"/>
      <w:bookmarkEnd w:id="97"/>
      <w:r>
        <w:rPr>
          <w:color w:val="000000"/>
          <w:spacing w:val="180"/>
        </w:rPr>
        <w:t> </w:t>
      </w:r>
      <w:r>
        <w:rPr>
          <w:rFonts w:ascii="Times New Roman" w:hAnsi="Times New Roman"/>
          <w:sz w:val="20"/>
        </w:rPr>
        <w:t>The Company shall have executed and delivered this Agreement.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(b)</w:t>
      </w:r>
      <w:bookmarkStart w:id="98" w:name="TAB262"/>
      <w:bookmarkEnd w:id="98"/>
      <w:r>
        <w:rPr>
          <w:color w:val="000000"/>
          <w:spacing w:val="180"/>
        </w:rPr>
        <w:t> </w:t>
      </w:r>
      <w:r>
        <w:rPr>
          <w:rFonts w:ascii="Times New Roman" w:hAnsi="Times New Roman"/>
          <w:sz w:val="20"/>
        </w:rPr>
        <w:t xml:space="preserve">The Company shall have filed the Certificate of Designation with the Nevada Secretary of State, in substantially the form attached hereto as </w:t>
      </w:r>
      <w:r>
        <w:rPr>
          <w:rFonts w:ascii="Times New Roman" w:hAnsi="Times New Roman"/>
          <w:sz w:val="20"/>
          <w:u w:val="single"/>
        </w:rPr>
        <w:t>Exhibit A</w:t>
      </w:r>
      <w:r>
        <w:rPr>
          <w:rFonts w:ascii="Times New Roman" w:hAnsi="Times New Roman"/>
          <w:sz w:val="20"/>
        </w:rPr>
        <w:t>, and the Certificate of Designation shall have been accepted for filing by the Nevada Secretary of State.</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(c)</w:t>
      </w:r>
      <w:bookmarkStart w:id="99" w:name="TAB263"/>
      <w:bookmarkEnd w:id="99"/>
      <w:r>
        <w:rPr>
          <w:color w:val="000000"/>
          <w:spacing w:val="180"/>
        </w:rPr>
        <w:t> </w:t>
      </w:r>
      <w:r>
        <w:rPr>
          <w:rFonts w:ascii="Times New Roman" w:hAnsi="Times New Roman"/>
          <w:sz w:val="20"/>
        </w:rPr>
        <w:t>The Company shall have performed, satisfied and complied in all material respects with all covenants, agreements and conditions required by the Agreement to be performed, satisfied or complied with by the Company at or prior to the Closing Date.</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0" w:name="PGBRK3"/>
      <w:bookmarkStart w:id="101" w:name="PGBRK3"/>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 w:name="FTR3"/>
      <w:bookmarkStart w:id="103" w:name="FTR3"/>
      <w:bookmarkEnd w:id="1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4" w:name="GLFTR3"/>
      <w:bookmarkEnd w:id="1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5" w:name="PN3"/>
      <w:bookmarkEnd w:id="105"/>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6" w:name="HDR3"/>
      <w:bookmarkStart w:id="107" w:name="HDR3"/>
      <w:bookmarkEnd w:id="1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8" w:name="GLHDR3"/>
      <w:bookmarkEnd w:id="1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1440"/>
        <w:rPr/>
      </w:pPr>
      <w:r>
        <w:rPr>
          <w:rFonts w:ascii="Times New Roman" w:hAnsi="Times New Roman"/>
          <w:sz w:val="20"/>
        </w:rPr>
        <w:t>(d)</w:t>
      </w:r>
      <w:bookmarkStart w:id="109" w:name="TAB264"/>
      <w:bookmarkEnd w:id="109"/>
      <w:r>
        <w:rPr>
          <w:color w:val="000000"/>
          <w:spacing w:val="180"/>
        </w:rPr>
        <w:t> </w:t>
      </w:r>
      <w:r>
        <w:rPr>
          <w:rFonts w:ascii="Times New Roman" w:hAnsi="Times New Roman"/>
          <w:sz w:val="20"/>
        </w:rPr>
        <w:t>Each of the representations and warranties of the Company shall be true and correct in all material respects as of the date when made and as of the Closing Date as though made at that time, except for representations and warranties that speak as of a particular date, which shall be true and correct in all material respects as of such date.</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(e)</w:t>
      </w:r>
      <w:bookmarkStart w:id="110" w:name="TAB265"/>
      <w:bookmarkEnd w:id="110"/>
      <w:r>
        <w:rPr>
          <w:color w:val="000000"/>
          <w:spacing w:val="180"/>
        </w:rPr>
        <w:t> </w:t>
      </w:r>
      <w:r>
        <w:rPr>
          <w:rFonts w:ascii="Times New Roman" w:hAnsi="Times New Roman"/>
          <w:sz w:val="20"/>
        </w:rPr>
        <w:t>No statute, regulation, executive order, decree, ruling or injunction shall have been enacted, entered, promulgated or endorsed by any court or governmental authority of competent jurisdiction which prohibits the consummation of any of the transactions contemplated by this Agreement at or prior to the Closing Date.</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(f)</w:t>
      </w:r>
      <w:bookmarkStart w:id="111" w:name="TAB266"/>
      <w:bookmarkEnd w:id="111"/>
      <w:r>
        <w:rPr>
          <w:color w:val="000000"/>
          <w:spacing w:val="180"/>
        </w:rPr>
        <w:t> </w:t>
      </w:r>
      <w:r>
        <w:rPr>
          <w:rFonts w:ascii="Times New Roman" w:hAnsi="Times New Roman"/>
          <w:sz w:val="20"/>
        </w:rPr>
        <w:t>As of the Closing Date, no action, suit or proceeding before or by any court or governmental agency or body, domestic or foreign, shall be pending against or affecting the Company, or any of its properties, which questions the validity of the Agreement or the transactions contemplated thereby or any action taken or to be taken pursuant thereto.  As of the Closing Date, no action, suit, claim or proceeding before or by any court or governmental agency or body, domestic or foreign, shall be pending against or affecting the Company, or any of its properties, which, if adversely determined, is reasonably likely to result in a Material Adverse Effect.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(g)</w:t>
      </w:r>
      <w:bookmarkStart w:id="112" w:name="TAB267"/>
      <w:bookmarkEnd w:id="112"/>
      <w:r>
        <w:rPr>
          <w:color w:val="000000"/>
          <w:spacing w:val="180"/>
        </w:rPr>
        <w:t> </w:t>
      </w:r>
      <w:r>
        <w:rPr>
          <w:rFonts w:ascii="Times New Roman" w:hAnsi="Times New Roman"/>
          <w:sz w:val="20"/>
        </w:rPr>
        <w:t>Platinum shall have received an opinion of counsel to the Company in form and substance reasonably satisfactory to Platinum.</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b/>
          <w:sz w:val="20"/>
        </w:rPr>
        <w:t>6.</w:t>
      </w:r>
      <w:bookmarkStart w:id="113" w:name="TAB268"/>
      <w:bookmarkEnd w:id="113"/>
      <w:r>
        <w:rPr>
          <w:color w:val="000000"/>
          <w:spacing w:val="180"/>
        </w:rPr>
        <w:t> </w:t>
      </w:r>
      <w:r>
        <w:rPr>
          <w:rFonts w:ascii="Times New Roman" w:hAnsi="Times New Roman"/>
          <w:b/>
          <w:sz w:val="20"/>
          <w:u w:val="single"/>
        </w:rPr>
        <w:t>Governing Law; Consent to Jurisdiction</w:t>
      </w:r>
      <w:r>
        <w:rPr>
          <w:rFonts w:ascii="Times New Roman" w:hAnsi="Times New Roman"/>
          <w:b/>
          <w:sz w:val="20"/>
        </w:rPr>
        <w:t>.</w:t>
      </w:r>
      <w:r>
        <w:rPr>
          <w:rFonts w:ascii="Times New Roman" w:hAnsi="Times New Roman"/>
          <w:sz w:val="20"/>
        </w:rPr>
        <w:t xml:space="preserve">  This Agreement shall be governed by and interpreted in accordance with the laws of the State of New York without giving effect conflicts of law principles that would result in the application of the substantive laws of another jurisdiction.  Each of the Parties consents to the exclusive jurisdiction of the Federal courts whose districts encompass any part of the State of New York in connection with any dispute arising under this Agreement and hereby waives, to the maximum extent permitted by law, any objection, including any objection based on </w:t>
      </w:r>
      <w:r>
        <w:rPr>
          <w:rFonts w:ascii="Times New Roman" w:hAnsi="Times New Roman"/>
          <w:i/>
          <w:sz w:val="20"/>
        </w:rPr>
        <w:t>forum non conveniens</w:t>
      </w:r>
      <w:r>
        <w:rPr>
          <w:rFonts w:ascii="Times New Roman" w:hAnsi="Times New Roman"/>
          <w:sz w:val="20"/>
        </w:rPr>
        <w:t>, to the bringing of any such proceeding in such jurisdictions.  Each Party waives its right to a trial by jury.  Each Party to this Agreement irrevocably consents to the service of process in any such proceeding by the mailing of copies thereof by registered or certified mail, postage prepaid, to such Party at its address set forth herein.  Nothing herein shall affect the right of any Party to serve process in any other manner permitted by law.</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b/>
          <w:sz w:val="20"/>
        </w:rPr>
        <w:t>7.</w:t>
      </w:r>
      <w:bookmarkStart w:id="114" w:name="TAB269"/>
      <w:bookmarkEnd w:id="114"/>
      <w:r>
        <w:rPr>
          <w:color w:val="000000"/>
          <w:spacing w:val="180"/>
        </w:rPr>
        <w:t> </w:t>
      </w:r>
      <w:r>
        <w:rPr>
          <w:rFonts w:ascii="Times New Roman" w:hAnsi="Times New Roman"/>
          <w:b/>
          <w:sz w:val="20"/>
          <w:u w:val="single"/>
        </w:rPr>
        <w:t>Notices</w:t>
      </w:r>
      <w:r>
        <w:rPr>
          <w:rFonts w:ascii="Times New Roman" w:hAnsi="Times New Roman"/>
          <w:b/>
          <w:sz w:val="20"/>
        </w:rPr>
        <w:t>.  </w:t>
      </w:r>
      <w:r>
        <w:rPr>
          <w:rFonts w:ascii="Times New Roman" w:hAnsi="Times New Roman"/>
          <w:sz w:val="20"/>
        </w:rPr>
        <w:t>All notices and other communications provided for or permitted hereunder shall be made in writing by hand delivery, express overnight courier, registered first class mail, or telecopier (provided that any notice sent by telecopier shall be confirmed by other means pursuant to this Section 7), initially to the address set forth below, and thereafter at such other address, notice of which is given in accordance with the provisions of this Section.</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5" w:name="PGBRK4"/>
      <w:bookmarkStart w:id="116" w:name="PGBRK4"/>
      <w:bookmarkEnd w:id="1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7" w:name="FTR4"/>
      <w:bookmarkStart w:id="118" w:name="FTR4"/>
      <w:bookmarkEnd w:id="1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9" w:name="GLFTR4"/>
      <w:bookmarkEnd w:id="1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0" w:name="PN4"/>
      <w:bookmarkEnd w:id="120"/>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1" w:name="HDR4"/>
      <w:bookmarkStart w:id="122" w:name="HDR4"/>
      <w:bookmarkEnd w:id="1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3" w:name="GLHDR4"/>
      <w:bookmarkEnd w:id="1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(a)</w:t>
      </w:r>
      <w:bookmarkStart w:id="124" w:name="TAB270"/>
      <w:bookmarkEnd w:id="124"/>
      <w:r>
        <w:rPr>
          <w:color w:val="000000"/>
          <w:spacing w:val="180"/>
        </w:rPr>
        <w:t> </w:t>
      </w:r>
      <w:r>
        <w:rPr>
          <w:rFonts w:ascii="Times New Roman" w:hAnsi="Times New Roman"/>
          <w:sz w:val="20"/>
        </w:rPr>
        <w:t>if to the Company:</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VistaGen Therapeutics, Inc.</w:t>
            </w:r>
          </w:p>
          <w:p>
            <w:pPr>
              <w:pStyle w:val="TableContents"/>
              <w:spacing w:before="0" w:after="0"/>
              <w:ind w:left="0" w:right="0" w:hanging="0"/>
              <w:jc w:val="left"/>
              <w:rPr>
                <w:rFonts w:ascii="times new roman" w:hAnsi="times new roman"/>
                <w:sz w:val="20"/>
              </w:rPr>
            </w:pPr>
            <w:r>
              <w:rPr>
                <w:rFonts w:ascii="times new roman" w:hAnsi="times new roman"/>
                <w:sz w:val="20"/>
              </w:rPr>
              <w:t>384 Oyster Point Blvd., Suite No. 8</w:t>
            </w:r>
          </w:p>
          <w:p>
            <w:pPr>
              <w:pStyle w:val="TableContents"/>
              <w:spacing w:before="0" w:after="0"/>
              <w:ind w:left="0" w:right="0" w:hanging="0"/>
              <w:jc w:val="left"/>
              <w:rPr>
                <w:rFonts w:ascii="times new roman" w:hAnsi="times new roman"/>
                <w:sz w:val="20"/>
              </w:rPr>
            </w:pPr>
            <w:r>
              <w:rPr>
                <w:rFonts w:ascii="times new roman" w:hAnsi="times new roman"/>
                <w:sz w:val="20"/>
              </w:rPr>
              <w:t>South San Francisco, California 94080</w:t>
            </w:r>
          </w:p>
          <w:p>
            <w:pPr>
              <w:pStyle w:val="TableContents"/>
              <w:spacing w:before="0" w:after="0"/>
              <w:ind w:left="0" w:right="0" w:hanging="0"/>
              <w:jc w:val="left"/>
              <w:rPr>
                <w:rFonts w:ascii="times new roman" w:hAnsi="times new roman"/>
                <w:sz w:val="20"/>
              </w:rPr>
            </w:pPr>
            <w:r>
              <w:rPr>
                <w:rFonts w:ascii="times new roman" w:hAnsi="times new roman"/>
                <w:sz w:val="20"/>
              </w:rPr>
              <w:t>Attention: Chief Executive Officer</w:t>
            </w:r>
          </w:p>
          <w:p>
            <w:pPr>
              <w:pStyle w:val="TableContents"/>
              <w:spacing w:before="0" w:after="0"/>
              <w:ind w:left="0" w:right="0" w:hanging="0"/>
              <w:jc w:val="left"/>
              <w:rPr>
                <w:rFonts w:ascii="times new roman" w:hAnsi="times new roman"/>
                <w:sz w:val="20"/>
              </w:rPr>
            </w:pPr>
            <w:r>
              <w:rPr>
                <w:rFonts w:ascii="times new roman" w:hAnsi="times new roman"/>
                <w:sz w:val="20"/>
              </w:rPr>
              <w:t>Tel. No.: (650) 244-9990 ext. 224</w:t>
            </w:r>
          </w:p>
          <w:p>
            <w:pPr>
              <w:pStyle w:val="TableContents"/>
              <w:spacing w:before="0" w:after="0"/>
              <w:ind w:left="0" w:right="0" w:hanging="0"/>
              <w:jc w:val="left"/>
              <w:rPr>
                <w:rFonts w:ascii="times new roman" w:hAnsi="times new roman"/>
                <w:sz w:val="20"/>
              </w:rPr>
            </w:pPr>
            <w:r>
              <w:rPr>
                <w:rFonts w:ascii="times new roman" w:hAnsi="times new roman"/>
                <w:sz w:val="20"/>
              </w:rPr>
              <w:t>Fax No.: (888) 482-2602</w:t>
            </w:r>
          </w:p>
        </w:tc>
      </w:tr>
      <w:tr>
        <w:trPr/>
        <w:tc>
          <w:tcPr>
            <w:tcW w:w="102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with a copy to:</w:t>
            </w:r>
          </w:p>
        </w:tc>
      </w:tr>
      <w:tr>
        <w:trPr/>
        <w:tc>
          <w:tcPr>
            <w:tcW w:w="10205" w:type="dxa"/>
            <w:tcBorders/>
            <w:shd w:fill="auto" w:val="cle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Disclosure Law Group</w:t>
            </w:r>
          </w:p>
          <w:p>
            <w:pPr>
              <w:pStyle w:val="TableContents"/>
              <w:spacing w:before="0" w:after="0"/>
              <w:ind w:left="0" w:right="0" w:hanging="0"/>
              <w:jc w:val="left"/>
              <w:rPr>
                <w:rFonts w:ascii="times new roman" w:hAnsi="times new roman"/>
                <w:sz w:val="20"/>
              </w:rPr>
            </w:pPr>
            <w:r>
              <w:rPr>
                <w:rFonts w:ascii="times new roman" w:hAnsi="times new roman"/>
                <w:sz w:val="20"/>
              </w:rPr>
              <w:t>501 West Broadway, Suite 800</w:t>
            </w:r>
          </w:p>
          <w:p>
            <w:pPr>
              <w:pStyle w:val="TableContents"/>
              <w:spacing w:before="0" w:after="0"/>
              <w:ind w:left="0" w:right="0" w:hanging="0"/>
              <w:jc w:val="left"/>
              <w:rPr>
                <w:rFonts w:ascii="times new roman" w:hAnsi="times new roman"/>
                <w:sz w:val="20"/>
              </w:rPr>
            </w:pPr>
            <w:r>
              <w:rPr>
                <w:rFonts w:ascii="times new roman" w:hAnsi="times new roman"/>
                <w:sz w:val="20"/>
              </w:rPr>
              <w:t>San Diego, California 92101</w:t>
            </w:r>
          </w:p>
          <w:p>
            <w:pPr>
              <w:pStyle w:val="TableContents"/>
              <w:spacing w:before="0" w:after="0"/>
              <w:ind w:left="0" w:right="0" w:hanging="0"/>
              <w:jc w:val="left"/>
              <w:rPr>
                <w:rFonts w:ascii="times new roman" w:hAnsi="times new roman"/>
                <w:sz w:val="20"/>
              </w:rPr>
            </w:pPr>
            <w:r>
              <w:rPr>
                <w:rFonts w:ascii="times new roman" w:hAnsi="times new roman"/>
                <w:sz w:val="20"/>
              </w:rPr>
              <w:t>Attention: Daniel W. Rumsey, Esquire</w:t>
            </w:r>
          </w:p>
          <w:p>
            <w:pPr>
              <w:pStyle w:val="TableContents"/>
              <w:spacing w:before="0" w:after="0"/>
              <w:ind w:left="0" w:right="0" w:hanging="0"/>
              <w:jc w:val="left"/>
              <w:rPr>
                <w:rFonts w:ascii="times new roman" w:hAnsi="times new roman"/>
                <w:sz w:val="20"/>
              </w:rPr>
            </w:pPr>
            <w:r>
              <w:rPr>
                <w:rFonts w:ascii="times new roman" w:hAnsi="times new roman"/>
                <w:sz w:val="20"/>
              </w:rPr>
              <w:t>Tel No.: (619) 795-1134</w:t>
            </w:r>
          </w:p>
          <w:p>
            <w:pPr>
              <w:pStyle w:val="TableContents"/>
              <w:spacing w:before="0" w:after="0"/>
              <w:ind w:left="0" w:right="0" w:hanging="0"/>
              <w:jc w:val="left"/>
              <w:rPr>
                <w:rFonts w:ascii="times new roman" w:hAnsi="times new roman"/>
                <w:sz w:val="20"/>
              </w:rPr>
            </w:pPr>
            <w:r>
              <w:rPr>
                <w:rFonts w:ascii="times new roman" w:hAnsi="times new roman"/>
                <w:sz w:val="20"/>
              </w:rPr>
              <w:t>Fax No.: (619) 330-2101</w:t>
            </w:r>
          </w:p>
        </w:tc>
      </w:tr>
    </w:tbl>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(b)</w:t>
      </w:r>
      <w:bookmarkStart w:id="125" w:name="TAB271"/>
      <w:bookmarkEnd w:id="125"/>
      <w:r>
        <w:rPr>
          <w:color w:val="000000"/>
          <w:spacing w:val="180"/>
        </w:rPr>
        <w:t> </w:t>
      </w:r>
      <w:r>
        <w:rPr>
          <w:rFonts w:ascii="Times New Roman" w:hAnsi="Times New Roman"/>
          <w:sz w:val="20"/>
        </w:rPr>
        <w:t>if to Platinum:</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2041"/>
        <w:gridCol w:w="5715"/>
        <w:gridCol w:w="2449"/>
      </w:tblGrid>
      <w:tr>
        <w:trPr/>
        <w:tc>
          <w:tcPr>
            <w:tcW w:w="775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Platinum Long Term Growth VII, LLC</w:t>
            </w:r>
          </w:p>
          <w:p>
            <w:pPr>
              <w:pStyle w:val="TableContents"/>
              <w:spacing w:before="0" w:after="0"/>
              <w:ind w:left="0" w:right="0" w:hanging="0"/>
              <w:jc w:val="left"/>
              <w:rPr>
                <w:rFonts w:ascii="times new roman" w:hAnsi="times new roman"/>
                <w:sz w:val="20"/>
              </w:rPr>
            </w:pPr>
            <w:r>
              <w:rPr>
                <w:rFonts w:ascii="times new roman" w:hAnsi="times new roman"/>
                <w:sz w:val="20"/>
              </w:rPr>
              <w:t>152 West 57th Street, 4th Floor</w:t>
            </w:r>
          </w:p>
          <w:p>
            <w:pPr>
              <w:pStyle w:val="TableContents"/>
              <w:spacing w:before="0" w:after="0"/>
              <w:ind w:left="0" w:right="0" w:hanging="0"/>
              <w:jc w:val="left"/>
              <w:rPr>
                <w:rFonts w:ascii="times new roman" w:hAnsi="times new roman"/>
                <w:sz w:val="20"/>
              </w:rPr>
            </w:pPr>
            <w:r>
              <w:rPr>
                <w:rFonts w:ascii="times new roman" w:hAnsi="times new roman"/>
                <w:sz w:val="20"/>
              </w:rPr>
              <w:t>New York, NY 10019</w:t>
            </w:r>
          </w:p>
          <w:p>
            <w:pPr>
              <w:pStyle w:val="TableContents"/>
              <w:spacing w:before="0" w:after="0"/>
              <w:ind w:left="0" w:right="0" w:hanging="0"/>
              <w:jc w:val="left"/>
              <w:rPr>
                <w:rFonts w:ascii="times new roman" w:hAnsi="times new roman"/>
                <w:sz w:val="20"/>
              </w:rPr>
            </w:pPr>
            <w:r>
              <w:rPr>
                <w:rFonts w:ascii="times new roman" w:hAnsi="times new roman"/>
                <w:sz w:val="20"/>
              </w:rPr>
              <w:t>Attention: Michael Goldberg, M.D.</w:t>
            </w:r>
          </w:p>
          <w:p>
            <w:pPr>
              <w:pStyle w:val="TableContents"/>
              <w:spacing w:before="0" w:after="0"/>
              <w:ind w:left="0" w:right="0" w:hanging="0"/>
              <w:jc w:val="left"/>
              <w:rPr>
                <w:rFonts w:ascii="times new roman" w:hAnsi="times new roman"/>
                <w:sz w:val="20"/>
              </w:rPr>
            </w:pPr>
            <w:r>
              <w:rPr>
                <w:rFonts w:ascii="times new roman" w:hAnsi="times new roman"/>
                <w:sz w:val="20"/>
              </w:rPr>
              <w:t>Tel. No.: (212) 271-7895</w:t>
            </w:r>
          </w:p>
          <w:p>
            <w:pPr>
              <w:pStyle w:val="TableContents"/>
              <w:spacing w:before="0" w:after="0"/>
              <w:ind w:left="0" w:right="0" w:hanging="0"/>
              <w:jc w:val="left"/>
              <w:rPr>
                <w:rFonts w:ascii="times new roman" w:hAnsi="times new roman"/>
                <w:sz w:val="20"/>
              </w:rPr>
            </w:pPr>
            <w:r>
              <w:rPr>
                <w:rFonts w:ascii="times new roman" w:hAnsi="times new roman"/>
                <w:sz w:val="20"/>
              </w:rPr>
              <w:t>Fax No.: (212) 582-2424</w:t>
            </w:r>
          </w:p>
        </w:tc>
        <w:tc>
          <w:tcPr>
            <w:tcW w:w="2449" w:type="dxa"/>
            <w:tcBorders/>
            <w:shd w:fill="auto" w:val="clear"/>
          </w:tcPr>
          <w:p>
            <w:pPr>
              <w:pStyle w:val="TableContents"/>
              <w:spacing w:before="0" w:after="283"/>
              <w:rPr/>
            </w:pPr>
            <w:r>
              <w:rPr/>
              <w:t xml:space="preserve">  </w:t>
            </w:r>
          </w:p>
        </w:tc>
      </w:tr>
      <w:tr>
        <w:trPr/>
        <w:tc>
          <w:tcPr>
            <w:tcW w:w="775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with a copy to:</w:t>
            </w:r>
          </w:p>
        </w:tc>
        <w:tc>
          <w:tcPr>
            <w:tcW w:w="2449" w:type="dxa"/>
            <w:tcBorders/>
            <w:shd w:fill="auto" w:val="clear"/>
          </w:tcPr>
          <w:p>
            <w:pPr>
              <w:pStyle w:val="TableContents"/>
              <w:spacing w:before="0" w:after="283"/>
              <w:rPr/>
            </w:pPr>
            <w:r>
              <w:rPr/>
              <w:t xml:space="preserve">  </w:t>
            </w:r>
          </w:p>
        </w:tc>
      </w:tr>
      <w:tr>
        <w:trPr/>
        <w:tc>
          <w:tcPr>
            <w:tcW w:w="7756" w:type="dxa"/>
            <w:gridSpan w:val="2"/>
            <w:tcBorders/>
            <w:shd w:fill="auto" w:val="cle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Burak Anderson &amp; Melloni, PLC</w:t>
            </w:r>
          </w:p>
          <w:p>
            <w:pPr>
              <w:pStyle w:val="TableContents"/>
              <w:spacing w:before="0" w:after="0"/>
              <w:ind w:left="0" w:right="0" w:hanging="0"/>
              <w:jc w:val="left"/>
              <w:rPr>
                <w:rFonts w:ascii="times new roman" w:hAnsi="times new roman"/>
                <w:sz w:val="20"/>
              </w:rPr>
            </w:pPr>
            <w:r>
              <w:rPr>
                <w:rFonts w:ascii="times new roman" w:hAnsi="times new roman"/>
                <w:sz w:val="20"/>
              </w:rPr>
              <w:t>30 Main Street, Suite 210</w:t>
            </w:r>
          </w:p>
          <w:p>
            <w:pPr>
              <w:pStyle w:val="TableContents"/>
              <w:spacing w:before="0" w:after="0"/>
              <w:ind w:left="0" w:right="0" w:hanging="0"/>
              <w:jc w:val="left"/>
              <w:rPr>
                <w:rFonts w:ascii="times new roman" w:hAnsi="times new roman"/>
                <w:sz w:val="20"/>
              </w:rPr>
            </w:pPr>
            <w:r>
              <w:rPr>
                <w:rFonts w:ascii="times new roman" w:hAnsi="times new roman"/>
                <w:sz w:val="20"/>
              </w:rPr>
              <w:t>Burlington, Vermont 05401</w:t>
            </w:r>
          </w:p>
          <w:p>
            <w:pPr>
              <w:pStyle w:val="TableContents"/>
              <w:spacing w:before="0" w:after="0"/>
              <w:ind w:left="0" w:right="0" w:hanging="0"/>
              <w:jc w:val="left"/>
              <w:rPr>
                <w:rFonts w:ascii="times new roman" w:hAnsi="times new roman"/>
                <w:sz w:val="20"/>
              </w:rPr>
            </w:pPr>
            <w:r>
              <w:rPr>
                <w:rFonts w:ascii="times new roman" w:hAnsi="times new roman"/>
                <w:sz w:val="20"/>
              </w:rPr>
              <w:t>Attention: Shane W. McCormack, Esquire</w:t>
            </w:r>
          </w:p>
          <w:p>
            <w:pPr>
              <w:pStyle w:val="TableContents"/>
              <w:spacing w:before="0" w:after="0"/>
              <w:ind w:left="0" w:right="0" w:hanging="0"/>
              <w:jc w:val="left"/>
              <w:rPr>
                <w:rFonts w:ascii="times new roman" w:hAnsi="times new roman"/>
                <w:sz w:val="20"/>
              </w:rPr>
            </w:pPr>
            <w:r>
              <w:rPr>
                <w:rFonts w:ascii="times new roman" w:hAnsi="times new roman"/>
                <w:sz w:val="20"/>
              </w:rPr>
              <w:t>Tel No.: (802) 862-0500</w:t>
            </w:r>
          </w:p>
          <w:p>
            <w:pPr>
              <w:pStyle w:val="TableContents"/>
              <w:spacing w:before="0" w:after="0"/>
              <w:ind w:left="0" w:right="0" w:hanging="0"/>
              <w:jc w:val="left"/>
              <w:rPr>
                <w:rFonts w:ascii="times new roman" w:hAnsi="times new roman"/>
                <w:sz w:val="20"/>
              </w:rPr>
            </w:pPr>
            <w:r>
              <w:rPr>
                <w:rFonts w:ascii="times new roman" w:hAnsi="times new roman"/>
                <w:sz w:val="20"/>
              </w:rPr>
              <w:t>Fax No.: (802) 862-8176</w:t>
            </w:r>
          </w:p>
        </w:tc>
        <w:tc>
          <w:tcPr>
            <w:tcW w:w="2449" w:type="dxa"/>
            <w:tcBorders/>
            <w:shd w:fill="auto" w:val="clear"/>
          </w:tcPr>
          <w:p>
            <w:pPr>
              <w:pStyle w:val="TableContents"/>
              <w:spacing w:before="0" w:after="283"/>
              <w:rPr/>
            </w:pPr>
            <w:r>
              <w:rPr/>
              <w:t xml:space="preserve">  </w:t>
            </w:r>
          </w:p>
        </w:tc>
      </w:tr>
      <w:tr>
        <w:trPr/>
        <w:tc>
          <w:tcPr>
            <w:tcW w:w="2041" w:type="dxa"/>
            <w:tcBorders/>
            <w:shd w:fill="auto" w:val="clear"/>
          </w:tcPr>
          <w:p>
            <w:pPr>
              <w:pStyle w:val="TableContents"/>
              <w:spacing w:before="0" w:after="283"/>
              <w:rPr/>
            </w:pPr>
            <w:r>
              <w:rPr/>
              <w:t xml:space="preserve">  </w:t>
            </w:r>
          </w:p>
        </w:tc>
        <w:tc>
          <w:tcPr>
            <w:tcW w:w="8164" w:type="dxa"/>
            <w:gridSpan w:val="2"/>
            <w:tcBorders/>
            <w:shd w:fill="auto" w:val="clear"/>
          </w:tcPr>
          <w:p>
            <w:pPr>
              <w:pStyle w:val="TableContents"/>
              <w:spacing w:before="0" w:after="283"/>
              <w:rPr/>
            </w:pPr>
            <w:r>
              <w:rPr/>
              <w:t xml:space="preserve">  </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All such notices and communications shall be deemed to have been duly given: when delivered by hand, if personally delivered; when receipt is acknowledged, if telecopied; or when actually received or refused if sent by other means.</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b/>
          <w:sz w:val="20"/>
        </w:rPr>
        <w:t>8.</w:t>
      </w:r>
      <w:bookmarkStart w:id="126" w:name="TAB272"/>
      <w:bookmarkEnd w:id="126"/>
      <w:r>
        <w:rPr>
          <w:color w:val="000000"/>
          <w:spacing w:val="180"/>
        </w:rPr>
        <w:t> </w:t>
      </w:r>
      <w:r>
        <w:rPr>
          <w:rFonts w:ascii="Times New Roman" w:hAnsi="Times New Roman"/>
          <w:b/>
          <w:sz w:val="20"/>
          <w:u w:val="single"/>
        </w:rPr>
        <w:t>Disclosure of Transaction</w:t>
      </w:r>
      <w:r>
        <w:rPr>
          <w:rFonts w:ascii="Times New Roman" w:hAnsi="Times New Roman"/>
          <w:sz w:val="20"/>
        </w:rPr>
        <w:t>. The Company shall file with the Securities and Exchange Commission a Current Report on Form 8-K (the “</w:t>
      </w:r>
      <w:r>
        <w:rPr>
          <w:rFonts w:ascii="Times New Roman" w:hAnsi="Times New Roman"/>
          <w:sz w:val="20"/>
          <w:u w:val="single"/>
        </w:rPr>
        <w:t>Form 8-K</w:t>
      </w:r>
      <w:r>
        <w:rPr>
          <w:rFonts w:ascii="Times New Roman" w:hAnsi="Times New Roman"/>
          <w:sz w:val="20"/>
        </w:rPr>
        <w:t>”) describing the material terms of the transactions contemplated hereby (and attaching as exhibits thereto this Agreement and the Certificate of Designation) as soon as practicable following the Closing Date but in no event more than two (2) business days following the Closing Date.</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7" w:name="PGBRK5"/>
      <w:bookmarkStart w:id="128" w:name="PGBRK5"/>
      <w:bookmarkEnd w:id="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9" w:name="FTR5"/>
      <w:bookmarkStart w:id="130" w:name="FTR5"/>
      <w:bookmarkEnd w:id="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1" w:name="GLFTR5"/>
      <w:bookmarkEnd w:id="1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2" w:name="PN5"/>
      <w:bookmarkEnd w:id="132"/>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3" w:name="HDR5"/>
      <w:bookmarkStart w:id="134" w:name="HDR5"/>
      <w:bookmarkEnd w:id="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5" w:name="GLHDR5"/>
      <w:bookmarkEnd w:id="1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720"/>
        <w:rPr/>
      </w:pPr>
      <w:r>
        <w:rPr>
          <w:rFonts w:ascii="Times New Roman" w:hAnsi="Times New Roman"/>
          <w:b/>
          <w:sz w:val="20"/>
        </w:rPr>
        <w:t>9.</w:t>
      </w:r>
      <w:bookmarkStart w:id="136" w:name="TAB273"/>
      <w:bookmarkEnd w:id="136"/>
      <w:r>
        <w:rPr>
          <w:color w:val="000000"/>
          <w:spacing w:val="180"/>
        </w:rPr>
        <w:t> </w:t>
      </w:r>
      <w:r>
        <w:rPr>
          <w:rFonts w:ascii="Times New Roman" w:hAnsi="Times New Roman"/>
          <w:b/>
          <w:sz w:val="20"/>
          <w:u w:val="single"/>
        </w:rPr>
        <w:t>Entire Agreement</w:t>
      </w:r>
      <w:r>
        <w:rPr>
          <w:rFonts w:ascii="Times New Roman" w:hAnsi="Times New Roman"/>
          <w:b/>
          <w:sz w:val="20"/>
        </w:rPr>
        <w:t>.  </w:t>
      </w:r>
      <w:r>
        <w:rPr>
          <w:rFonts w:ascii="Times New Roman" w:hAnsi="Times New Roman"/>
          <w:sz w:val="20"/>
        </w:rPr>
        <w:t>This Agreement constitutes the entire understanding and agreement of the parties with respect to the subject matter hereof and supersedes all prior and/or contemporaneous oral or written proposals or agreements relating thereto all of which are merged herein.  This Agreement may not be amended or any provision hereof waived in whole or in part, except by a written amendment signed by both of the Parties.</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b/>
          <w:sz w:val="20"/>
        </w:rPr>
        <w:t>10.</w:t>
      </w:r>
      <w:bookmarkStart w:id="137" w:name="TAB274"/>
      <w:bookmarkEnd w:id="137"/>
      <w:r>
        <w:rPr>
          <w:color w:val="000000"/>
          <w:spacing w:val="180"/>
        </w:rPr>
        <w:t> </w:t>
      </w:r>
      <w:r>
        <w:rPr>
          <w:rFonts w:ascii="Times New Roman" w:hAnsi="Times New Roman"/>
          <w:b/>
          <w:sz w:val="20"/>
          <w:u w:val="single"/>
        </w:rPr>
        <w:t>Counterparts</w:t>
      </w:r>
      <w:r>
        <w:rPr>
          <w:rFonts w:ascii="Times New Roman" w:hAnsi="Times New Roman"/>
          <w:b/>
          <w:sz w:val="20"/>
        </w:rPr>
        <w:t>.  </w:t>
      </w:r>
      <w:r>
        <w:rPr>
          <w:rFonts w:ascii="Times New Roman" w:hAnsi="Times New Roman"/>
          <w:sz w:val="20"/>
        </w:rPr>
        <w:t>This Agreement may be executed by facsimile signature and in counterparts, each of which shall be deemed an original, but all of which together shall constitute one and the same instrument.</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[THE REMAINDER OF THIS PAGE IS INTENTIONALLY LEFT BLANK]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8" w:name="PGBRK6"/>
      <w:bookmarkStart w:id="139" w:name="PGBRK6"/>
      <w:bookmarkEnd w:id="1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0" w:name="FTR6"/>
      <w:bookmarkStart w:id="141" w:name="FTR6"/>
      <w:bookmarkEnd w:id="1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2" w:name="GLFTR6"/>
      <w:bookmarkEnd w:id="1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3" w:name="PN6"/>
      <w:bookmarkEnd w:id="143"/>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4" w:name="HDR6"/>
      <w:bookmarkStart w:id="145" w:name="HDR6"/>
      <w:bookmarkEnd w:id="1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6" w:name="GLHDR6"/>
      <w:bookmarkEnd w:id="1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WITNESS WHEREOF, this Agreement was duly executed on the date first written above.</w:t>
      </w:r>
    </w:p>
    <w:p>
      <w:pPr>
        <w:pStyle w:val="TextBody"/>
        <w:spacing w:before="0" w:after="0"/>
        <w:ind w:left="0" w:right="0" w:firstLine="720"/>
        <w:jc w:val="both"/>
        <w:rPr/>
      </w:pPr>
      <w:r>
        <w:rPr/>
        <w:t> </w:t>
      </w:r>
    </w:p>
    <w:p>
      <w:pPr>
        <w:pStyle w:val="TextBody"/>
        <w:spacing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VISTAGEN THERAPEUTICS, INC.</w:t>
            </w:r>
          </w:p>
          <w:p>
            <w:pPr>
              <w:pStyle w:val="TableContents"/>
              <w:spacing w:before="0" w:after="0"/>
              <w:ind w:left="0" w:right="0" w:hanging="0"/>
              <w:jc w:val="both"/>
              <w:rPr/>
            </w:pPr>
            <w:r>
              <w:rPr/>
              <w:t> </w:t>
            </w:r>
          </w:p>
        </w:tc>
      </w:tr>
      <w:tr>
        <w:trPr/>
        <w:tc>
          <w:tcPr>
            <w:tcW w:w="10205" w:type="dxa"/>
            <w:tcBorders/>
            <w:shd w:fill="auto" w:val="clear"/>
          </w:tcPr>
          <w:p>
            <w:pPr>
              <w:pStyle w:val="TableContents"/>
              <w:spacing w:before="0" w:after="0"/>
              <w:ind w:left="360" w:right="0" w:hanging="360"/>
              <w:jc w:val="left"/>
              <w:rPr>
                <w:rFonts w:ascii="times new roman" w:hAnsi="times new roman"/>
                <w:sz w:val="20"/>
              </w:rPr>
            </w:pPr>
            <w:r>
              <w:rPr>
                <w:rFonts w:ascii="times new roman" w:hAnsi="times new roman"/>
                <w:sz w:val="20"/>
              </w:rPr>
              <w:t>By  </w:t>
            </w:r>
            <w:r>
              <w:rPr>
                <w:rFonts w:ascii="times new roman" w:hAnsi="times new roman"/>
                <w:sz w:val="20"/>
                <w:u w:val="single"/>
              </w:rPr>
              <w:t>/s/ Shawn K. Singh</w:t>
            </w:r>
          </w:p>
          <w:p>
            <w:pPr>
              <w:pStyle w:val="TableContents"/>
              <w:spacing w:before="0" w:after="0"/>
              <w:ind w:left="360" w:right="0" w:hanging="360"/>
              <w:jc w:val="left"/>
              <w:rPr>
                <w:rFonts w:ascii="times new roman" w:hAnsi="times new roman"/>
                <w:sz w:val="20"/>
              </w:rPr>
            </w:pPr>
            <w:r>
              <w:rPr>
                <w:rFonts w:ascii="times new roman" w:hAnsi="times new roman"/>
                <w:sz w:val="20"/>
              </w:rPr>
              <w:t>Name:  Shawn K. Singh</w:t>
            </w:r>
          </w:p>
          <w:p>
            <w:pPr>
              <w:pStyle w:val="TableContents"/>
              <w:spacing w:before="0" w:after="0"/>
              <w:ind w:left="360" w:right="0" w:hanging="360"/>
              <w:jc w:val="left"/>
              <w:rPr>
                <w:rFonts w:ascii="times new roman" w:hAnsi="times new roman"/>
                <w:sz w:val="20"/>
              </w:rPr>
            </w:pPr>
            <w:r>
              <w:rPr>
                <w:rFonts w:ascii="times new roman" w:hAnsi="times new roman"/>
                <w:sz w:val="20"/>
              </w:rPr>
              <w:t>Title: Chief Executive Officer</w:t>
            </w:r>
          </w:p>
        </w:tc>
      </w:tr>
      <w:tr>
        <w:trPr/>
        <w:tc>
          <w:tcPr>
            <w:tcW w:w="10205" w:type="dxa"/>
            <w:tcBorders/>
            <w:shd w:fill="auto" w:val="clear"/>
          </w:tcPr>
          <w:p>
            <w:pPr>
              <w:pStyle w:val="TableContents"/>
              <w:spacing w:before="0" w:after="0"/>
              <w:ind w:left="0" w:right="0" w:hanging="0"/>
              <w:jc w:val="both"/>
              <w:rPr/>
            </w:pPr>
            <w:r>
              <w:rPr/>
              <w:t> </w:t>
            </w:r>
          </w:p>
          <w:p>
            <w:pPr>
              <w:pStyle w:val="TableContents"/>
              <w:spacing w:before="0" w:after="0"/>
              <w:ind w:left="0" w:right="0" w:hanging="0"/>
              <w:jc w:val="both"/>
              <w:rPr/>
            </w:pPr>
            <w:r>
              <w:rPr/>
              <w:t> </w:t>
            </w:r>
          </w:p>
          <w:p>
            <w:pPr>
              <w:pStyle w:val="TableContents"/>
              <w:spacing w:before="0" w:after="0"/>
              <w:ind w:left="0" w:right="0" w:hanging="0"/>
              <w:jc w:val="both"/>
              <w:rPr>
                <w:rFonts w:ascii="times new roman" w:hAnsi="times new roman"/>
                <w:b/>
                <w:sz w:val="20"/>
              </w:rPr>
            </w:pPr>
            <w:r>
              <w:rPr>
                <w:rFonts w:ascii="times new roman" w:hAnsi="times new roman"/>
                <w:b/>
                <w:sz w:val="20"/>
              </w:rPr>
              <w:t>PLATINUM LONG TERM GROWTH VII, LLC</w:t>
            </w:r>
          </w:p>
          <w:p>
            <w:pPr>
              <w:pStyle w:val="TableContents"/>
              <w:spacing w:before="0" w:after="0"/>
              <w:ind w:left="0" w:right="0" w:hanging="0"/>
              <w:jc w:val="both"/>
              <w:rPr/>
            </w:pPr>
            <w:r>
              <w:rPr/>
              <w:t> </w:t>
            </w:r>
          </w:p>
        </w:tc>
      </w:tr>
      <w:tr>
        <w:trPr/>
        <w:tc>
          <w:tcPr>
            <w:tcW w:w="10205" w:type="dxa"/>
            <w:tcBorders/>
            <w:shd w:fill="auto" w:val="clear"/>
          </w:tcPr>
          <w:p>
            <w:pPr>
              <w:pStyle w:val="TableContents"/>
              <w:spacing w:before="0" w:after="0"/>
              <w:ind w:left="360" w:right="0" w:hanging="36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Joan Janczewski</w:t>
            </w:r>
          </w:p>
          <w:p>
            <w:pPr>
              <w:pStyle w:val="TableContents"/>
              <w:spacing w:before="0" w:after="0"/>
              <w:ind w:left="360" w:right="0" w:hanging="360"/>
              <w:jc w:val="left"/>
              <w:rPr>
                <w:rFonts w:ascii="times new roman" w:hAnsi="times new roman"/>
                <w:sz w:val="20"/>
              </w:rPr>
            </w:pPr>
            <w:r>
              <w:rPr>
                <w:rFonts w:ascii="times new roman" w:hAnsi="times new roman"/>
                <w:sz w:val="20"/>
              </w:rPr>
              <w:t>Name:  Joan Janczewski</w:t>
            </w:r>
          </w:p>
          <w:p>
            <w:pPr>
              <w:pStyle w:val="TableContents"/>
              <w:spacing w:before="0" w:after="0"/>
              <w:ind w:left="360" w:right="0" w:hanging="360"/>
              <w:jc w:val="left"/>
              <w:rPr>
                <w:rFonts w:ascii="times new roman" w:hAnsi="times new roman"/>
                <w:sz w:val="20"/>
              </w:rPr>
            </w:pPr>
            <w:r>
              <w:rPr>
                <w:rFonts w:ascii="times new roman" w:hAnsi="times new roman"/>
                <w:sz w:val="20"/>
              </w:rPr>
              <w:t>Title:  Chief Operating Officer</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578"/>
        <w:gridCol w:w="1657"/>
        <w:gridCol w:w="1656"/>
        <w:gridCol w:w="1657"/>
        <w:gridCol w:w="1657"/>
      </w:tblGrid>
      <w:tr>
        <w:trPr/>
        <w:tc>
          <w:tcPr>
            <w:tcW w:w="3578" w:type="dxa"/>
            <w:tcBorders/>
            <w:shd w:fill="auto" w:val="clear"/>
          </w:tcPr>
          <w:p>
            <w:pPr>
              <w:pStyle w:val="TableContents"/>
              <w:spacing w:before="0" w:after="0"/>
              <w:ind w:left="0" w:right="0" w:hanging="0"/>
              <w:jc w:val="left"/>
              <w:rPr/>
            </w:pPr>
            <w:r>
              <w:rPr/>
              <w:t> </w:t>
            </w:r>
          </w:p>
        </w:tc>
        <w:tc>
          <w:tcPr>
            <w:tcW w:w="1657" w:type="dxa"/>
            <w:tcBorders/>
            <w:shd w:fill="auto" w:val="clear"/>
          </w:tcPr>
          <w:p>
            <w:pPr>
              <w:pStyle w:val="TableContents"/>
              <w:spacing w:before="0" w:after="283"/>
              <w:rPr/>
            </w:pPr>
            <w:r>
              <w:rPr/>
              <w:t xml:space="preserve">  </w:t>
            </w:r>
          </w:p>
        </w:tc>
        <w:tc>
          <w:tcPr>
            <w:tcW w:w="1656" w:type="dxa"/>
            <w:tcBorders/>
            <w:shd w:fill="auto" w:val="clear"/>
          </w:tcPr>
          <w:p>
            <w:pPr>
              <w:pStyle w:val="TableContents"/>
              <w:spacing w:before="0" w:after="283"/>
              <w:rPr/>
            </w:pPr>
            <w:r>
              <w:rPr/>
              <w:t xml:space="preserve">  </w:t>
            </w:r>
          </w:p>
        </w:tc>
        <w:tc>
          <w:tcPr>
            <w:tcW w:w="1657" w:type="dxa"/>
            <w:tcBorders/>
            <w:shd w:fill="auto" w:val="clear"/>
          </w:tcPr>
          <w:p>
            <w:pPr>
              <w:pStyle w:val="TableContents"/>
              <w:spacing w:before="0" w:after="283"/>
              <w:rPr/>
            </w:pPr>
            <w:r>
              <w:rPr/>
              <w:t xml:space="preserve">  </w:t>
            </w:r>
          </w:p>
        </w:tc>
        <w:tc>
          <w:tcPr>
            <w:tcW w:w="1657" w:type="dxa"/>
            <w:tcBorders/>
            <w:shd w:fill="auto" w:val="clear"/>
          </w:tcPr>
          <w:p>
            <w:pPr>
              <w:pStyle w:val="TableContents"/>
              <w:spacing w:before="0" w:after="283"/>
              <w:rPr/>
            </w:pPr>
            <w:r>
              <w:rPr/>
              <w:t xml:space="preserve">  </w:t>
            </w:r>
          </w:p>
        </w:tc>
      </w:tr>
      <w:tr>
        <w:trPr/>
        <w:tc>
          <w:tcPr>
            <w:tcW w:w="3578" w:type="dxa"/>
            <w:tcBorders/>
            <w:shd w:fill="auto" w:val="clear"/>
          </w:tcPr>
          <w:p>
            <w:pPr>
              <w:pStyle w:val="TableContents"/>
              <w:spacing w:before="0" w:after="283"/>
              <w:rPr/>
            </w:pPr>
            <w:r>
              <w:rPr/>
              <w:t xml:space="preserve">  </w:t>
            </w:r>
          </w:p>
        </w:tc>
        <w:tc>
          <w:tcPr>
            <w:tcW w:w="1657" w:type="dxa"/>
            <w:tcBorders/>
            <w:shd w:fill="auto" w:val="clear"/>
          </w:tcPr>
          <w:p>
            <w:pPr>
              <w:pStyle w:val="TableContents"/>
              <w:spacing w:before="0" w:after="283"/>
              <w:rPr/>
            </w:pPr>
            <w:r>
              <w:rPr/>
              <w:t xml:space="preserve">  </w:t>
            </w:r>
          </w:p>
        </w:tc>
        <w:tc>
          <w:tcPr>
            <w:tcW w:w="1656" w:type="dxa"/>
            <w:tcBorders/>
            <w:shd w:fill="auto" w:val="clear"/>
          </w:tcPr>
          <w:p>
            <w:pPr>
              <w:pStyle w:val="TableContents"/>
              <w:spacing w:before="0" w:after="283"/>
              <w:rPr/>
            </w:pPr>
            <w:r>
              <w:rPr/>
              <w:t xml:space="preserve">  </w:t>
            </w:r>
          </w:p>
        </w:tc>
        <w:tc>
          <w:tcPr>
            <w:tcW w:w="1657" w:type="dxa"/>
            <w:tcBorders/>
            <w:shd w:fill="auto" w:val="clear"/>
          </w:tcPr>
          <w:p>
            <w:pPr>
              <w:pStyle w:val="TableContents"/>
              <w:spacing w:before="0" w:after="283"/>
              <w:rPr/>
            </w:pPr>
            <w:r>
              <w:rPr/>
              <w:t xml:space="preserve">  </w:t>
            </w:r>
          </w:p>
        </w:tc>
        <w:tc>
          <w:tcPr>
            <w:tcW w:w="1657" w:type="dxa"/>
            <w:tcBorders/>
            <w:shd w:fill="auto" w:val="cle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7" w:name="PGBRK7"/>
      <w:bookmarkStart w:id="148" w:name="PGBRK7"/>
      <w:bookmarkEnd w:id="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9" w:name="FTR7"/>
      <w:bookmarkStart w:id="150" w:name="FTR7"/>
      <w:bookmarkEnd w:id="1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1" w:name="GLFTR7"/>
      <w:bookmarkEnd w:id="1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52" w:name="PN7"/>
      <w:bookmarkEnd w:id="152"/>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3" w:name="HDR7"/>
      <w:bookmarkStart w:id="154" w:name="HDR7"/>
      <w:bookmarkEnd w:id="1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5" w:name="GLHDR7"/>
      <w:bookmarkEnd w:id="1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EXHIBIT A</w:t>
      </w:r>
    </w:p>
    <w:p>
      <w:pPr>
        <w:pStyle w:val="TextBody"/>
        <w:spacing w:before="0" w:after="0"/>
        <w:ind w:left="0" w:right="0" w:hanging="0"/>
        <w:jc w:val="both"/>
        <w:rPr/>
      </w:pPr>
      <w:r>
        <w:rPr/>
        <w:t> </w:t>
      </w:r>
    </w:p>
    <w:p>
      <w:pPr>
        <w:pStyle w:val="TextBody"/>
        <w:spacing w:before="0" w:after="0"/>
        <w:ind w:left="0" w:right="0" w:firstLine="720"/>
        <w:jc w:val="center"/>
        <w:rPr>
          <w:rFonts w:ascii="Times New Roman" w:hAnsi="Times New Roman"/>
          <w:b/>
          <w:sz w:val="20"/>
        </w:rPr>
      </w:pPr>
      <w:r>
        <w:rPr>
          <w:rFonts w:ascii="Times New Roman" w:hAnsi="Times New Roman"/>
          <w:b/>
          <w:sz w:val="20"/>
        </w:rPr>
        <w:t>CERTIFICATE OF DESIGNATION OF THE RELATIVE RIGHTS AND PREFERENCES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OF THE</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SERIES A CONVERTIBLE PREFERRED STOCK</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OF</w:t>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undersigned, the Chief Executive Officer of VistaGen Therapeutics, Inc., a Nevada corporation (the “Company”), in accordance with the provisions of Section 78.195 of the Nevada Revised Statutes, does hereby certify that, pursuant to the authority conferred upon the Board of Directors of the Corporation by the Articles of Incorporation of the Company, the following resolution creating a series of Series A Convertible Preferred Stock, was duly adopted on December 20, 2011:</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RESOLVED, that pursuant to the authority expressly granted to and vested in the Board of Directors of the Company by provisions of the Certificate of Incorporation of the Company (the “Certificate of Incorporation”), there hereby is created out of the shares of Preferred Stock, par value $.001 per share, of the Company authorized in Article V of the Certificate of Incorporation (the “Preferred Stock”), a series of Preferred Stock of the Company, to be named “Series A Convertible Preferred Stock,” consisting of Five Hundred Thousand (500,000) shares, which series shall have the following designations, powers, preferences and relative and other special rights and the following qualifications, limitations and restrictions:</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1.</w:t>
      </w:r>
      <w:bookmarkStart w:id="156" w:name="TAB275"/>
      <w:bookmarkEnd w:id="156"/>
      <w:r>
        <w:rPr>
          <w:color w:val="000000"/>
          <w:spacing w:val="180"/>
        </w:rPr>
        <w:t> </w:t>
      </w:r>
      <w:r>
        <w:rPr>
          <w:rFonts w:ascii="Times New Roman" w:hAnsi="Times New Roman"/>
          <w:sz w:val="20"/>
          <w:u w:val="single"/>
        </w:rPr>
        <w:t>Designation and Rank</w:t>
      </w:r>
      <w:r>
        <w:rPr>
          <w:rFonts w:ascii="Times New Roman" w:hAnsi="Times New Roman"/>
          <w:sz w:val="20"/>
        </w:rPr>
        <w:t xml:space="preserve">. The designation of such series of the Preferred Stock shall be the Series A Convertible Preferred Stock, par value $.001 per share (the </w:t>
      </w:r>
      <w:r>
        <w:rPr>
          <w:rFonts w:ascii="Times New Roman" w:hAnsi="Times New Roman"/>
          <w:b/>
          <w:sz w:val="20"/>
        </w:rPr>
        <w:t xml:space="preserve">"Series A Preferred Stock"). </w:t>
      </w:r>
      <w:r>
        <w:rPr>
          <w:rFonts w:ascii="Times New Roman" w:hAnsi="Times New Roman"/>
          <w:sz w:val="20"/>
        </w:rPr>
        <w:t xml:space="preserve">The maximum number of shares of Series A Preferred Stock shall be Five Hundred Thousand  (500,000) shares. The Series A Preferred Stock shall rank prior to the common stock, par value $.001 per share (the </w:t>
      </w:r>
      <w:r>
        <w:rPr>
          <w:rFonts w:ascii="Times New Roman" w:hAnsi="Times New Roman"/>
          <w:b/>
          <w:sz w:val="20"/>
        </w:rPr>
        <w:t xml:space="preserve">"Common Stock"), </w:t>
      </w:r>
      <w:r>
        <w:rPr>
          <w:rFonts w:ascii="Times New Roman" w:hAnsi="Times New Roman"/>
          <w:sz w:val="20"/>
        </w:rPr>
        <w:t xml:space="preserve">and shall rank senior to all other classes and series of equity securities of the Company that by their terms do not rank senior to the Series A Preferred Stock </w:t>
      </w:r>
      <w:r>
        <w:rPr>
          <w:rFonts w:ascii="Times New Roman" w:hAnsi="Times New Roman"/>
          <w:b/>
          <w:sz w:val="20"/>
        </w:rPr>
        <w:t>("Junior Stock").</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2.</w:t>
      </w:r>
      <w:bookmarkStart w:id="157" w:name="TAB276"/>
      <w:bookmarkEnd w:id="157"/>
      <w:r>
        <w:rPr>
          <w:color w:val="000000"/>
          <w:spacing w:val="180"/>
        </w:rPr>
        <w:t> </w:t>
      </w:r>
      <w:r>
        <w:rPr>
          <w:rFonts w:ascii="Times New Roman" w:hAnsi="Times New Roman"/>
          <w:sz w:val="20"/>
          <w:u w:val="single"/>
        </w:rPr>
        <w:t>Dividends</w:t>
      </w:r>
      <w:r>
        <w:rPr>
          <w:rFonts w:ascii="Times New Roman" w:hAnsi="Times New Roman"/>
          <w:sz w:val="20"/>
        </w:rPr>
        <w:t xml:space="preserve">. Whenever the Board of Directors declares a dividend on the Common Stock each holder of record of a share of Series A Preferred Stock, or any fraction of a share of Series A Preferred Stock, on the date set by the Board of Directors to determine the owners of the Common Stock of record entitled to receive such dividend (the </w:t>
      </w:r>
      <w:r>
        <w:rPr>
          <w:rFonts w:ascii="Times New Roman" w:hAnsi="Times New Roman"/>
          <w:b/>
          <w:sz w:val="20"/>
        </w:rPr>
        <w:t xml:space="preserve">"Record Date") </w:t>
      </w:r>
      <w:r>
        <w:rPr>
          <w:rFonts w:ascii="Times New Roman" w:hAnsi="Times New Roman"/>
          <w:sz w:val="20"/>
        </w:rPr>
        <w:t>shall be entitled to receive out of any assets at the time legally available therefore, an amount equal to such dividend declared on one share of Common Stock multiplied by the number of shares of Common Stock into which such share, or such fraction of a share, of Series A Preferred Stock could be converted on the Record Date.</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8" w:name="PGBRK8"/>
      <w:bookmarkStart w:id="159" w:name="PGBRK8"/>
      <w:bookmarkEnd w:id="1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0" w:name="FTR8"/>
      <w:bookmarkStart w:id="161" w:name="FTR8"/>
      <w:bookmarkEnd w:id="1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2" w:name="GLFTR8"/>
      <w:bookmarkEnd w:id="1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63" w:name="PN8"/>
      <w:bookmarkEnd w:id="163"/>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4" w:name="HDR8"/>
      <w:bookmarkStart w:id="165" w:name="HDR8"/>
      <w:bookmarkEnd w:id="1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6" w:name="GLHDR8"/>
      <w:bookmarkEnd w:id="1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900" w:right="0" w:firstLine="900"/>
        <w:rPr/>
      </w:pPr>
      <w:r>
        <w:rPr>
          <w:rFonts w:ascii="Times New Roman" w:hAnsi="Times New Roman"/>
          <w:sz w:val="20"/>
        </w:rPr>
        <w:t>3.</w:t>
      </w:r>
      <w:bookmarkStart w:id="167" w:name="TAB277"/>
      <w:bookmarkEnd w:id="167"/>
      <w:r>
        <w:rPr>
          <w:color w:val="000000"/>
          <w:spacing w:val="180"/>
        </w:rPr>
        <w:t> </w:t>
      </w:r>
      <w:r>
        <w:rPr>
          <w:rFonts w:ascii="Times New Roman" w:hAnsi="Times New Roman"/>
          <w:sz w:val="20"/>
          <w:u w:val="single"/>
        </w:rPr>
        <w:t>Voting Rights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(a)</w:t>
      </w:r>
      <w:bookmarkStart w:id="168" w:name="TAB278"/>
      <w:bookmarkEnd w:id="168"/>
      <w:r>
        <w:rPr>
          <w:color w:val="000000"/>
          <w:spacing w:val="180"/>
        </w:rPr>
        <w:t> </w:t>
      </w:r>
      <w:r>
        <w:rPr>
          <w:rFonts w:ascii="Times New Roman" w:hAnsi="Times New Roman"/>
          <w:sz w:val="20"/>
          <w:u w:val="single"/>
        </w:rPr>
        <w:t>Class Voting Rights</w:t>
      </w:r>
      <w:r>
        <w:rPr>
          <w:rFonts w:ascii="Times New Roman" w:hAnsi="Times New Roman"/>
          <w:sz w:val="20"/>
        </w:rPr>
        <w:t>. The Series A Preferred Stock shall have the following class voting rights. So long as any shares of the Series A Preferred Stock remain outstanding, the Company shall not, without the affirmative vote or consent of the holders of at least sixty-seven percent (67%) of the shares of the Series A Preferred Stock outstanding at the time, given in person or by proxy, either in writing or at a meeting, in which the holders of the Series A Preferred Stock vote separately as a class: (i) amend, alter or repeal the provisions of the Series A Preferred Stock so as to adversely affect any right, preference, privilege or voting power of the Series A Preferred Stock; (ii) increase the authorized number of shares of Series A Preferred Stock; or (iii) effect any distribution with respect to Junior Stock except that the Company may effect a distribution on the Common stock if the Company makes a like kind distribution on each share, or fraction of a share, of Series A Preferred Stock in an amount equal to the distribution on one share of Common Stock multiplied by the number of shares of Common Stock into which such one share, or such fraction of a share, of Series A Preferred Stock can be converted at the time of such distribution.</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(b)</w:t>
      </w:r>
      <w:bookmarkStart w:id="169" w:name="TAB279"/>
      <w:bookmarkEnd w:id="169"/>
      <w:r>
        <w:rPr>
          <w:color w:val="000000"/>
          <w:spacing w:val="180"/>
        </w:rPr>
        <w:t> </w:t>
      </w:r>
      <w:r>
        <w:rPr>
          <w:rFonts w:ascii="Times New Roman" w:hAnsi="Times New Roman"/>
          <w:sz w:val="20"/>
          <w:u w:val="single"/>
        </w:rPr>
        <w:t>General Voting Rights</w:t>
      </w:r>
      <w:r>
        <w:rPr>
          <w:rFonts w:ascii="Times New Roman" w:hAnsi="Times New Roman"/>
          <w:sz w:val="20"/>
        </w:rPr>
        <w:t>. Except with respect to transactions upon which the Series A Preferred Stock shall be entitled to vote separately as a class pursuant to Section 3(a) above, the Series A Preferred Stock shall have no voting rights. The Common Stock into which the Series A Preferred Stock is convertible shall, upon issuance, have all of the same voting rights as other issued and outstanding Common Stock of the Company.</w:t>
      </w:r>
    </w:p>
    <w:p>
      <w:pPr>
        <w:pStyle w:val="TextBody"/>
        <w:spacing w:before="0" w:after="0"/>
        <w:ind w:left="0" w:right="0" w:hanging="0"/>
        <w:jc w:val="both"/>
        <w:rPr/>
      </w:pPr>
      <w:r>
        <w:rPr/>
        <w:t> </w:t>
      </w:r>
    </w:p>
    <w:p>
      <w:pPr>
        <w:pStyle w:val="TextBody"/>
        <w:spacing w:before="0" w:after="0"/>
        <w:ind w:left="900" w:right="0" w:firstLine="900"/>
        <w:rPr/>
      </w:pPr>
      <w:r>
        <w:rPr>
          <w:rFonts w:ascii="Times New Roman" w:hAnsi="Times New Roman"/>
          <w:sz w:val="20"/>
        </w:rPr>
        <w:t>4.</w:t>
      </w:r>
      <w:bookmarkStart w:id="170" w:name="TAB280"/>
      <w:bookmarkEnd w:id="170"/>
      <w:r>
        <w:rPr>
          <w:color w:val="000000"/>
          <w:spacing w:val="180"/>
        </w:rPr>
        <w:t> </w:t>
      </w:r>
      <w:r>
        <w:rPr>
          <w:rFonts w:ascii="Times New Roman" w:hAnsi="Times New Roman"/>
          <w:sz w:val="20"/>
          <w:u w:val="single"/>
        </w:rPr>
        <w:t>Liquidation Preference</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10" w:firstLine="1440"/>
        <w:jc w:val="both"/>
        <w:rPr>
          <w:rFonts w:ascii="Times New Roman" w:hAnsi="Times New Roman"/>
          <w:sz w:val="20"/>
        </w:rPr>
      </w:pPr>
      <w:r>
        <w:rPr>
          <w:rFonts w:ascii="Times New Roman" w:hAnsi="Times New Roman"/>
          <w:sz w:val="20"/>
        </w:rPr>
        <w:t xml:space="preserve">(a) In the event of the liquidation, dissolution or winding up of the affairs of the Company, whether voluntary or involuntary, after payment or provision for payment of the debts and other liabilities of the Company, the holders of shares of the Series A Preferred Stock then outstanding shall be entitled to receive, out of the assets of the Company, whether such assets are capital or surplus of any nature an amount per share of Series A Preferred Stock calculated by taking the total amount available for distribution to holders of all the Company's outstanding Common Stock before deduction of any preference payments for the Series A Preferred Stock, divided by the total of (x), all of the then outstanding shares of the Company's Common Stock, plus (y) all of the shares of the Company's Common Stock into which all of the outstanding shares of the Series A Preferred Stock can be converted (the </w:t>
      </w:r>
      <w:r>
        <w:rPr>
          <w:rFonts w:ascii="Times New Roman" w:hAnsi="Times New Roman"/>
          <w:b/>
          <w:sz w:val="20"/>
        </w:rPr>
        <w:t xml:space="preserve">"Liquidation Preference Amount") </w:t>
      </w:r>
      <w:r>
        <w:rPr>
          <w:rFonts w:ascii="Times New Roman" w:hAnsi="Times New Roman"/>
          <w:sz w:val="20"/>
        </w:rPr>
        <w:t xml:space="preserve">before any payment shall be made or any assets distributed to the holders of the Common Stock or any other Junior Stock. If the assets of the Company are sufficient to pay in part, but are not sufficient to pay in full, the Liquidation Preference Amount payable to the holders of outstanding shares of the Series A Preferred Stock and any series of preferred stock or any other class of stock on a parity, as to rights on liquidation, dissolution or winding up, with the Series A Preferred Stock, then all of such assets available to pay a part of the Liquidation Preference Amount to the holders of the outstanding shares of Series A Preferred Stock and the other classes of stock on a parity as to rights on liquidation, dissolution or winding up, will be distributed among the holders of the Series A Preferred Stock and the other classes of stock on a parity with the Series A Preferred Stock, if any, ratably in accordance with the respective amounts that would be payable on such shares if all amounts payable thereon were paid in full. The liquidation payment with respect to each outstanding fractional share of Series A Preferred Stock shall be equal to a ratably proportionate amount of the liquidation payment with respect to each outstanding share of Series A Preferred Stock. All payments for which this Section 4(a) provides shall be in cash, property (valued at its fair market value as determined by an independent appraiser reasonably acceptable to the holders of a majority of the Series A Preferred Stock), or a combination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no cash shall be paid to holders of Junior Stock unless each holder of the outstanding shares of Series A Preferred Stock has been paid in cash the full Liquidation Preference Amount to which such holder is entitled as provided herein. After payment of the full Liquidation Preference Amount to which each holder is entitled, such holders of shares of Series A Preferred Stock will not be entitled to any further participation as such in any distribution of the assets of the Company.</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1" w:name="PGBRK9"/>
      <w:bookmarkStart w:id="172" w:name="PGBRK9"/>
      <w:bookmarkEnd w:id="1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3" w:name="FTR9"/>
      <w:bookmarkStart w:id="174" w:name="FTR9"/>
      <w:bookmarkEnd w:id="1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5" w:name="GLFTR9"/>
      <w:bookmarkEnd w:id="1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76" w:name="PN9"/>
      <w:bookmarkEnd w:id="176"/>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7" w:name="HDR9"/>
      <w:bookmarkStart w:id="178" w:name="HDR9"/>
      <w:bookmarkEnd w:id="1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9" w:name="GLHDR9"/>
      <w:bookmarkEnd w:id="1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1620"/>
        <w:jc w:val="both"/>
        <w:rPr>
          <w:rFonts w:ascii="Times New Roman" w:hAnsi="Times New Roman"/>
          <w:sz w:val="20"/>
        </w:rPr>
      </w:pPr>
      <w:r>
        <w:rPr>
          <w:rFonts w:ascii="Times New Roman" w:hAnsi="Times New Roman"/>
          <w:sz w:val="20"/>
        </w:rPr>
        <w:t>(b) A consolidation or merger of the Company with or into any other corporation or corporations, or a sale of all or substantially all of the assets of the Company, or the effectuation by the Company of a transaction or series of transactions in which more than 50% of the voting shares of the Company is disposed of or conveyed, or other acquisition type transaction shall be, at the election of a majority of the holders of the Series A Preferred Stock, deemed to be a liquidation, dissolution, or winding up within the meaning of this Section 4. In the event of the merger or consolidation of the Company with or into another corporation that is not treated as a liquidation pursuant to this Section 4(b), the Series A Preferred Stock shall maintain its relative powers, designations and preferences provided for herein and no merger shall result inconsistent therewith.</w:t>
      </w:r>
    </w:p>
    <w:p>
      <w:pPr>
        <w:pStyle w:val="TextBody"/>
        <w:spacing w:before="0" w:after="0"/>
        <w:ind w:left="0" w:right="0" w:hanging="0"/>
        <w:jc w:val="both"/>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(c) Written notice of any voluntary or involuntary liquidation, dissolution or winding up of the affairs of the Company, stating a payment date and the place where the distributable amounts shall be payable, shall be given by mail, postage prepaid, no less than forty-five (45) days prior to the payment date stated therein, to the holders of record of the Series A Preferred Stock at their respective addresses as the same shall appear on the books of the Company.</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5.      </w:t>
      </w:r>
      <w:r>
        <w:rPr>
          <w:rFonts w:ascii="Times New Roman" w:hAnsi="Times New Roman"/>
          <w:sz w:val="20"/>
          <w:u w:val="single"/>
        </w:rPr>
        <w:t>Conversion</w:t>
      </w:r>
      <w:r>
        <w:rPr>
          <w:rFonts w:ascii="Times New Roman" w:hAnsi="Times New Roman"/>
          <w:sz w:val="20"/>
        </w:rPr>
        <w:t xml:space="preserve">. The holder of Series A Preferred Stock shall have the following conversion rights (the </w:t>
      </w:r>
      <w:r>
        <w:rPr>
          <w:rFonts w:ascii="Times New Roman" w:hAnsi="Times New Roman"/>
          <w:b/>
          <w:sz w:val="20"/>
        </w:rPr>
        <w:t>"Conversion Rights"):</w:t>
      </w:r>
    </w:p>
    <w:p>
      <w:pPr>
        <w:pStyle w:val="TextBody"/>
        <w:spacing w:before="0" w:after="0"/>
        <w:ind w:left="0" w:right="0" w:hanging="0"/>
        <w:jc w:val="both"/>
        <w:rPr/>
      </w:pPr>
      <w:r>
        <w:rPr/>
        <w:t> </w:t>
      </w:r>
    </w:p>
    <w:p>
      <w:pPr>
        <w:pStyle w:val="TextBody"/>
        <w:spacing w:before="0" w:after="0"/>
        <w:ind w:left="0" w:right="48" w:firstLine="144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Right to Convert</w:t>
      </w:r>
      <w:r>
        <w:rPr>
          <w:rFonts w:ascii="Times New Roman" w:hAnsi="Times New Roman"/>
          <w:sz w:val="20"/>
        </w:rPr>
        <w:t xml:space="preserve">. At any time on or after the Issuance Date, the holder of any such shares of Series A Preferred Stock may, at such holder's option, subject to the limitations set forth in Section 7 herein, elect to convert (a </w:t>
      </w:r>
      <w:r>
        <w:rPr>
          <w:rFonts w:ascii="Times New Roman" w:hAnsi="Times New Roman"/>
          <w:b/>
          <w:sz w:val="20"/>
        </w:rPr>
        <w:t xml:space="preserve">"Voluntary Conversion") </w:t>
      </w:r>
      <w:r>
        <w:rPr>
          <w:rFonts w:ascii="Times New Roman" w:hAnsi="Times New Roman"/>
          <w:sz w:val="20"/>
        </w:rPr>
        <w:t xml:space="preserve">all or any portion of the shares of Series A Preferred Stock held by such person into a number of fully paid and nonassessable shares of Common Stock at a conversion rate of ten (10) shares of Common Stock for each share of Preferred Stock (subject to adjustments set forth in Section 7(e) herein, the </w:t>
      </w:r>
      <w:r>
        <w:rPr>
          <w:rFonts w:ascii="Times New Roman" w:hAnsi="Times New Roman"/>
          <w:b/>
          <w:sz w:val="20"/>
        </w:rPr>
        <w:t xml:space="preserve">"Conversion Rate"). </w:t>
      </w:r>
      <w:r>
        <w:rPr>
          <w:rFonts w:ascii="Times New Roman" w:hAnsi="Times New Roman"/>
          <w:sz w:val="20"/>
        </w:rPr>
        <w:t>The Company shall keep written records of the conversion of the shares of Series A Preferred Stock converted by each holder. A holder shall be required to deliver the original certificates representing the shares of Series A Preferred Stock upon any conversion of the Series A Preferred Stock as provided in Section 5(b) below.</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(b)     </w:t>
      </w:r>
      <w:r>
        <w:rPr>
          <w:rFonts w:ascii="Times New Roman" w:hAnsi="Times New Roman"/>
          <w:sz w:val="20"/>
          <w:u w:val="single"/>
        </w:rPr>
        <w:t>Mechanics of Voluntary Conversion</w:t>
      </w:r>
      <w:r>
        <w:rPr>
          <w:rFonts w:ascii="Times New Roman" w:hAnsi="Times New Roman"/>
          <w:sz w:val="20"/>
        </w:rPr>
        <w:t>. The Voluntary Conversion of Series A Preferred Stock shall be conducted in the following manner:</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(i)</w:t>
      </w:r>
      <w:bookmarkStart w:id="180" w:name="TAB281"/>
      <w:bookmarkEnd w:id="180"/>
      <w:r>
        <w:rPr>
          <w:color w:val="000000"/>
          <w:spacing w:val="180"/>
        </w:rPr>
        <w:t> </w:t>
      </w:r>
      <w:r>
        <w:rPr>
          <w:rFonts w:ascii="Times New Roman" w:hAnsi="Times New Roman"/>
          <w:sz w:val="20"/>
          <w:u w:val="single"/>
        </w:rPr>
        <w:t>Holder's Delivery Requirements</w:t>
      </w:r>
      <w:r>
        <w:rPr>
          <w:rFonts w:ascii="Times New Roman" w:hAnsi="Times New Roman"/>
          <w:sz w:val="20"/>
        </w:rPr>
        <w:t xml:space="preserve">. To convert Series A Preferred Stock into full shares of Common Stock on any date (the </w:t>
      </w:r>
      <w:r>
        <w:rPr>
          <w:rFonts w:ascii="Times New Roman" w:hAnsi="Times New Roman"/>
          <w:b/>
          <w:sz w:val="20"/>
        </w:rPr>
        <w:t xml:space="preserve">"Voluntary Conversion Date"), </w:t>
      </w:r>
      <w:r>
        <w:rPr>
          <w:rFonts w:ascii="Times New Roman" w:hAnsi="Times New Roman"/>
          <w:sz w:val="20"/>
        </w:rPr>
        <w:t xml:space="preserve">the holder thereof shall (A) transmit by facsimile (or otherwise deliver), for receipt on or prior to 5:00 p.m., New York time on such date, a copy of a fully executed notice of conversion in the form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b/>
          <w:sz w:val="20"/>
        </w:rPr>
        <w:t xml:space="preserve">"Conversion Notice"), </w:t>
      </w:r>
      <w:r>
        <w:rPr>
          <w:rFonts w:ascii="Times New Roman" w:hAnsi="Times New Roman"/>
          <w:sz w:val="20"/>
        </w:rPr>
        <w:t xml:space="preserve">to the Company, and (B) with respect to the conversion of shares of Series A Preferred Stock held by any holder, such holder shall surrender to a common carrier for delivery to the Company as soon as practicable following such Conversion Date, but in no event later than five (5) business days after such date, the original certificates representing the shares of Series A Preferred Stock being converted (or an indemnification undertaking with respect to such shares in the case of their loss, theft or destruction) (the </w:t>
      </w:r>
      <w:r>
        <w:rPr>
          <w:rFonts w:ascii="Times New Roman" w:hAnsi="Times New Roman"/>
          <w:b/>
          <w:sz w:val="20"/>
        </w:rPr>
        <w:t>"Preferred Stock Certificates").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1" w:name="PGBRK10"/>
      <w:bookmarkStart w:id="182" w:name="PGBRK10"/>
      <w:bookmarkEnd w:id="1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3" w:name="FTR10"/>
      <w:bookmarkStart w:id="184" w:name="FTR10"/>
      <w:bookmarkEnd w:id="1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5" w:name="GLFTR10"/>
      <w:bookmarkEnd w:id="1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86" w:name="PN10"/>
      <w:bookmarkEnd w:id="186"/>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7" w:name="HDR10"/>
      <w:bookmarkStart w:id="188" w:name="HDR10"/>
      <w:bookmarkEnd w:id="1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9" w:name="GLHDR10"/>
      <w:bookmarkEnd w:id="1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(ii)</w:t>
      </w:r>
      <w:bookmarkStart w:id="190" w:name="TAB282"/>
      <w:bookmarkEnd w:id="190"/>
      <w:r>
        <w:rPr>
          <w:color w:val="000000"/>
          <w:spacing w:val="180"/>
        </w:rPr>
        <w:t> </w:t>
      </w:r>
      <w:r>
        <w:rPr>
          <w:rFonts w:ascii="Times New Roman" w:hAnsi="Times New Roman"/>
          <w:sz w:val="20"/>
          <w:u w:val="single"/>
        </w:rPr>
        <w:t>Company</w:t>
      </w:r>
      <w:r>
        <w:rPr>
          <w:rFonts w:ascii="Times New Roman" w:hAnsi="Times New Roman"/>
          <w:b/>
          <w:sz w:val="20"/>
          <w:u w:val="single"/>
        </w:rPr>
        <w:t xml:space="preserve">'s </w:t>
      </w:r>
      <w:r>
        <w:rPr>
          <w:rFonts w:ascii="Times New Roman" w:hAnsi="Times New Roman"/>
          <w:sz w:val="20"/>
          <w:u w:val="single"/>
        </w:rPr>
        <w:t>Response</w:t>
      </w:r>
      <w:r>
        <w:rPr>
          <w:rFonts w:ascii="Times New Roman" w:hAnsi="Times New Roman"/>
          <w:sz w:val="20"/>
        </w:rPr>
        <w:t xml:space="preserve">. Upon receipt by the Company of a facsimile copy of a Conversion Notice, the Company shall immediately send, via facsimile, a confirmation of receipt of such Conversion Notice to such holder and the Company or its designated transfer agent (the </w:t>
      </w:r>
      <w:r>
        <w:rPr>
          <w:rFonts w:ascii="Times New Roman" w:hAnsi="Times New Roman"/>
          <w:b/>
          <w:sz w:val="20"/>
        </w:rPr>
        <w:t xml:space="preserve">"Transfer Agent"), </w:t>
      </w:r>
      <w:r>
        <w:rPr>
          <w:rFonts w:ascii="Times New Roman" w:hAnsi="Times New Roman"/>
          <w:sz w:val="20"/>
        </w:rPr>
        <w:t xml:space="preserve">as applicable, shall, within five (5) business days following the date of receipt by the Company of the certificate representing the shares of Series A Preferred Stock being converted, (x) issue and deliver to the Depository Trust Company </w:t>
      </w:r>
      <w:r>
        <w:rPr>
          <w:rFonts w:ascii="Times New Roman" w:hAnsi="Times New Roman"/>
          <w:b/>
          <w:sz w:val="20"/>
        </w:rPr>
        <w:t xml:space="preserve">("DTC") </w:t>
      </w:r>
      <w:r>
        <w:rPr>
          <w:rFonts w:ascii="Times New Roman" w:hAnsi="Times New Roman"/>
          <w:sz w:val="20"/>
        </w:rPr>
        <w:t xml:space="preserve">account on the holder's behalf via the Deposit Withdrawal Agent Commission System </w:t>
      </w:r>
      <w:r>
        <w:rPr>
          <w:rFonts w:ascii="Times New Roman" w:hAnsi="Times New Roman"/>
          <w:b/>
          <w:sz w:val="20"/>
        </w:rPr>
        <w:t xml:space="preserve">("DWAC") </w:t>
      </w:r>
      <w:r>
        <w:rPr>
          <w:rFonts w:ascii="Times New Roman" w:hAnsi="Times New Roman"/>
          <w:sz w:val="20"/>
        </w:rPr>
        <w:t>as specified in the Conversion Notice, registered in the name of the holder or its designee, for the number of shares of Common Stock to which the holder shall be entitled, and (y) if the certificate so surrendered represents more shares of Series A Preferred Stock than those being converted, issue and deliver to the holder a new certificate for such number of shares of Series A Preferred Stock represented by the surrendered certificate which were not converted.</w:t>
      </w:r>
    </w:p>
    <w:p>
      <w:pPr>
        <w:pStyle w:val="TextBody"/>
        <w:spacing w:before="0" w:after="0"/>
        <w:ind w:left="0" w:right="0" w:hanging="0"/>
        <w:jc w:val="both"/>
        <w:rPr/>
      </w:pPr>
      <w:r>
        <w:rPr/>
        <w:t> </w:t>
      </w:r>
    </w:p>
    <w:p>
      <w:pPr>
        <w:pStyle w:val="TextBody"/>
        <w:spacing w:before="0" w:after="0"/>
        <w:ind w:left="2160" w:right="0" w:firstLine="2160"/>
        <w:rPr/>
      </w:pPr>
      <w:r>
        <w:rPr>
          <w:rFonts w:ascii="Times New Roman" w:hAnsi="Times New Roman"/>
          <w:sz w:val="20"/>
        </w:rPr>
        <w:t>(iii)</w:t>
      </w:r>
      <w:bookmarkStart w:id="191" w:name="TAB283"/>
      <w:bookmarkEnd w:id="191"/>
      <w:r>
        <w:rPr>
          <w:color w:val="000000"/>
          <w:spacing w:val="180"/>
        </w:rPr>
        <w:t> </w:t>
      </w:r>
      <w:r>
        <w:rPr>
          <w:rFonts w:ascii="Times New Roman" w:hAnsi="Times New Roman"/>
          <w:sz w:val="20"/>
          <w:u w:val="single"/>
        </w:rPr>
        <w:t>Intentionally Omitted</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(iv)</w:t>
      </w:r>
      <w:bookmarkStart w:id="192" w:name="TAB284"/>
      <w:bookmarkEnd w:id="192"/>
      <w:r>
        <w:rPr>
          <w:color w:val="000000"/>
          <w:spacing w:val="180"/>
        </w:rPr>
        <w:t> </w:t>
      </w:r>
      <w:r>
        <w:rPr>
          <w:rFonts w:ascii="Times New Roman" w:hAnsi="Times New Roman"/>
          <w:sz w:val="20"/>
          <w:u w:val="single"/>
        </w:rPr>
        <w:t>Record Holder</w:t>
      </w:r>
      <w:r>
        <w:rPr>
          <w:rFonts w:ascii="Times New Roman" w:hAnsi="Times New Roman"/>
          <w:sz w:val="20"/>
        </w:rPr>
        <w:t>. The person or persons entitled to receive the shares of Common Stock issuable upon a conversion of the Series A Preferred Stock shall be treated for all purposes as the record holder or holders of such shares of Common Stock on the Conversion Date.</w:t>
      </w:r>
    </w:p>
    <w:p>
      <w:pPr>
        <w:pStyle w:val="TextBody"/>
        <w:spacing w:before="0" w:after="0"/>
        <w:ind w:left="0" w:right="0" w:hanging="0"/>
        <w:jc w:val="both"/>
        <w:rPr/>
      </w:pPr>
      <w:r>
        <w:rPr/>
        <w:t> </w:t>
      </w:r>
    </w:p>
    <w:p>
      <w:pPr>
        <w:pStyle w:val="TextBody"/>
        <w:spacing w:before="0" w:after="0"/>
        <w:ind w:left="0" w:right="0" w:firstLine="2160"/>
        <w:jc w:val="both"/>
        <w:rPr>
          <w:rFonts w:ascii="Times New Roman" w:hAnsi="Times New Roman"/>
          <w:sz w:val="20"/>
        </w:rPr>
      </w:pPr>
      <w:r>
        <w:rPr>
          <w:rFonts w:ascii="Times New Roman" w:hAnsi="Times New Roman"/>
          <w:sz w:val="20"/>
        </w:rPr>
        <w:t>(v)            </w:t>
      </w:r>
      <w:r>
        <w:rPr>
          <w:rFonts w:ascii="Times New Roman" w:hAnsi="Times New Roman"/>
          <w:sz w:val="20"/>
          <w:u w:val="single"/>
        </w:rPr>
        <w:t>Company's Failure to Timely Convert</w:t>
      </w:r>
      <w:r>
        <w:rPr>
          <w:rFonts w:ascii="Times New Roman" w:hAnsi="Times New Roman"/>
          <w:sz w:val="20"/>
        </w:rPr>
        <w:t xml:space="preserve">. If within five (5) business days of the Company's receipt of the Conversion Notice (the </w:t>
      </w:r>
      <w:r>
        <w:rPr>
          <w:rFonts w:ascii="Times New Roman" w:hAnsi="Times New Roman"/>
          <w:b/>
          <w:sz w:val="20"/>
        </w:rPr>
        <w:t xml:space="preserve">"Share Delivery Period") </w:t>
      </w:r>
      <w:r>
        <w:rPr>
          <w:rFonts w:ascii="Times New Roman" w:hAnsi="Times New Roman"/>
          <w:sz w:val="20"/>
        </w:rPr>
        <w:t xml:space="preserve">the Company shall fail to issue and deliver to a holder the number of shares of Common Stock to which such holder is entitled upon such holder's conversion of the Series A Preferred Stock (a </w:t>
      </w:r>
      <w:r>
        <w:rPr>
          <w:rFonts w:ascii="Times New Roman" w:hAnsi="Times New Roman"/>
          <w:b/>
          <w:sz w:val="20"/>
        </w:rPr>
        <w:t xml:space="preserve">"Conversion Failure"), </w:t>
      </w:r>
      <w:r>
        <w:rPr>
          <w:rFonts w:ascii="Times New Roman" w:hAnsi="Times New Roman"/>
          <w:sz w:val="20"/>
        </w:rPr>
        <w:t>in addition to all other available remedies which such holder may pursue hereunder, the Company shall pay additional damages to such holder on each business day after such fifth (5th) business day that such conversion is not timely effected in an amount equal to 0.5% of the product of (A) the sum of the number of shares of Common Stock not issued to the holder on a timely basis pursuant to Section 5(b)(ii) and to which such holder is entitled and (B) the closing bid price of the Common Stock on the last possible date which the Company could have issued such Common Stock to such holder without violating Section 5(b)(ii). If the Company fails to pay the additional damages set forth in this Section 5(b)(v) within five (5) business days of the date incurred, then such payment shall bear interest at the rate of 2% per month (pro rated for partial months) until such payments are made.</w:t>
      </w:r>
    </w:p>
    <w:p>
      <w:pPr>
        <w:pStyle w:val="TextBody"/>
        <w:spacing w:before="0" w:after="0"/>
        <w:ind w:left="0" w:right="0" w:hanging="0"/>
        <w:jc w:val="both"/>
        <w:rPr/>
      </w:pPr>
      <w:r>
        <w:rPr/>
        <w:t> </w:t>
      </w:r>
    </w:p>
    <w:p>
      <w:pPr>
        <w:pStyle w:val="TextBody"/>
        <w:spacing w:before="0" w:after="0"/>
        <w:ind w:left="1620" w:right="0" w:firstLine="1620"/>
        <w:rPr/>
      </w:pPr>
      <w:r>
        <w:rPr>
          <w:rFonts w:ascii="Times New Roman" w:hAnsi="Times New Roman"/>
          <w:sz w:val="20"/>
        </w:rPr>
        <w:t>(c)</w:t>
      </w:r>
      <w:bookmarkStart w:id="193" w:name="TAB285"/>
      <w:bookmarkEnd w:id="193"/>
      <w:r>
        <w:rPr>
          <w:color w:val="000000"/>
          <w:spacing w:val="180"/>
        </w:rPr>
        <w:t> </w:t>
      </w:r>
      <w:r>
        <w:rPr>
          <w:rFonts w:ascii="Times New Roman" w:hAnsi="Times New Roman"/>
          <w:sz w:val="20"/>
          <w:u w:val="single"/>
        </w:rPr>
        <w:t>Intentionally Omitted</w:t>
      </w:r>
      <w:r>
        <w:rPr>
          <w:rFonts w:ascii="Times New Roman" w:hAnsi="Times New Roman"/>
          <w:sz w:val="20"/>
        </w:rPr>
        <w:t>.</w:t>
      </w:r>
    </w:p>
    <w:p>
      <w:pPr>
        <w:pStyle w:val="TextBody"/>
        <w:spacing w:before="0" w:after="0"/>
        <w:ind w:left="1620" w:right="0" w:firstLine="1620"/>
        <w:rPr/>
      </w:pPr>
      <w:r>
        <w:rPr/>
        <w:t> </w:t>
      </w:r>
    </w:p>
    <w:p>
      <w:pPr>
        <w:pStyle w:val="TextBody"/>
        <w:spacing w:before="0" w:after="0"/>
        <w:ind w:left="1620" w:right="0" w:firstLine="1620"/>
        <w:rPr/>
      </w:pPr>
      <w:r>
        <w:rPr>
          <w:rFonts w:ascii="Times New Roman" w:hAnsi="Times New Roman"/>
          <w:sz w:val="20"/>
        </w:rPr>
        <w:t>(d)</w:t>
      </w:r>
      <w:bookmarkStart w:id="194" w:name="TAB286"/>
      <w:bookmarkEnd w:id="194"/>
      <w:r>
        <w:rPr>
          <w:color w:val="000000"/>
          <w:spacing w:val="180"/>
        </w:rPr>
        <w:t> </w:t>
      </w:r>
      <w:r>
        <w:rPr>
          <w:rFonts w:ascii="Times New Roman" w:hAnsi="Times New Roman"/>
          <w:sz w:val="20"/>
          <w:u w:val="single"/>
        </w:rPr>
        <w:t>Intentionally Omitted</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1620" w:right="0" w:firstLine="1620"/>
        <w:rPr/>
      </w:pPr>
      <w:r>
        <w:rPr>
          <w:rFonts w:ascii="Times New Roman" w:hAnsi="Times New Roman"/>
          <w:sz w:val="20"/>
        </w:rPr>
        <w:t>(e)</w:t>
      </w:r>
      <w:bookmarkStart w:id="195" w:name="TAB287"/>
      <w:bookmarkEnd w:id="195"/>
      <w:r>
        <w:rPr>
          <w:color w:val="000000"/>
          <w:spacing w:val="180"/>
        </w:rPr>
        <w:t> </w:t>
      </w:r>
      <w:r>
        <w:rPr>
          <w:rFonts w:ascii="Times New Roman" w:hAnsi="Times New Roman"/>
          <w:sz w:val="20"/>
          <w:u w:val="single"/>
        </w:rPr>
        <w:t>Adjustments of Conversion Rate</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(i)</w:t>
      </w:r>
      <w:bookmarkStart w:id="196" w:name="TAB288"/>
      <w:bookmarkEnd w:id="196"/>
      <w:r>
        <w:rPr>
          <w:color w:val="000000"/>
          <w:spacing w:val="180"/>
        </w:rPr>
        <w:t> </w:t>
      </w:r>
      <w:r>
        <w:rPr>
          <w:rFonts w:ascii="Times New Roman" w:hAnsi="Times New Roman"/>
          <w:sz w:val="20"/>
          <w:u w:val="single"/>
        </w:rPr>
        <w:t>Adjustments for Stock Splits and Combinations</w:t>
      </w:r>
      <w:r>
        <w:rPr>
          <w:rFonts w:ascii="Times New Roman" w:hAnsi="Times New Roman"/>
          <w:sz w:val="20"/>
        </w:rPr>
        <w:t>. If the Company shall at any time or from time to time after the Issuance Date, effect a stock split of the outstanding Common Stock, the Conversion Rate shall be proportionately increased. If the Company shall at any time or from time to time after the Issuance Date, combine the outstanding shares of Common Stock, the Conversion Rate shall be proportionately decreased. Any adjustments under this Section 5(e)(i) shall be effective at the close of business on the date the stock split or combination occurs.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7" w:name="PGBRK11"/>
      <w:bookmarkStart w:id="198" w:name="PGBRK11"/>
      <w:bookmarkEnd w:id="1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9" w:name="FTR11"/>
      <w:bookmarkStart w:id="200" w:name="FTR11"/>
      <w:bookmarkEnd w:id="2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1" w:name="GLFTR11"/>
      <w:bookmarkEnd w:id="2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2" w:name="PN11"/>
      <w:bookmarkEnd w:id="202"/>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3" w:name="HDR11"/>
      <w:bookmarkStart w:id="204" w:name="HDR11"/>
      <w:bookmarkEnd w:id="2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5" w:name="GLHDR11"/>
      <w:bookmarkEnd w:id="2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(ii)</w:t>
      </w:r>
      <w:bookmarkStart w:id="206" w:name="TAB289"/>
      <w:bookmarkEnd w:id="206"/>
      <w:r>
        <w:rPr>
          <w:color w:val="000000"/>
          <w:spacing w:val="180"/>
        </w:rPr>
        <w:t> </w:t>
      </w:r>
      <w:r>
        <w:rPr>
          <w:rFonts w:ascii="Times New Roman" w:hAnsi="Times New Roman"/>
          <w:sz w:val="20"/>
          <w:u w:val="single"/>
        </w:rPr>
        <w:t>Adjustments for Certain Dividends and Distributions</w:t>
      </w:r>
      <w:r>
        <w:rPr>
          <w:rFonts w:ascii="Times New Roman" w:hAnsi="Times New Roman"/>
          <w:sz w:val="20"/>
        </w:rPr>
        <w:t>. If the Company shall at any time or from time to time after the Issuance Date, make or issue or set a record date for the determination of holders of Common Stock entitled to receive a dividend or other distribution payable in shares of Common Stock, then, and in each event, the Conversion Rate shall be increased as of the time of such issuance or, in the event such record date shall have been fixed, as of the close of business on such record date, by multiplying, as applicable, the Conversion Rate then in effect by a fraction:</w:t>
      </w:r>
    </w:p>
    <w:p>
      <w:pPr>
        <w:pStyle w:val="TextBody"/>
        <w:spacing w:before="0" w:after="0"/>
        <w:ind w:left="0" w:right="0" w:hanging="0"/>
        <w:jc w:val="both"/>
        <w:rPr/>
      </w:pPr>
      <w:r>
        <w:rPr/>
        <w:t> </w:t>
      </w:r>
    </w:p>
    <w:p>
      <w:pPr>
        <w:pStyle w:val="TextBody"/>
        <w:spacing w:before="0" w:after="0"/>
        <w:ind w:left="0" w:right="0" w:firstLine="2880"/>
        <w:rPr/>
      </w:pPr>
      <w:r>
        <w:rPr>
          <w:rFonts w:ascii="Times New Roman" w:hAnsi="Times New Roman"/>
          <w:sz w:val="20"/>
        </w:rPr>
        <w:t>(1)</w:t>
      </w:r>
      <w:bookmarkStart w:id="207" w:name="TAB290"/>
      <w:bookmarkEnd w:id="207"/>
      <w:r>
        <w:rPr>
          <w:color w:val="000000"/>
          <w:spacing w:val="180"/>
        </w:rPr>
        <w:t> </w:t>
      </w:r>
      <w:r>
        <w:rPr>
          <w:rFonts w:ascii="Times New Roman" w:hAnsi="Times New Roman"/>
          <w:sz w:val="20"/>
        </w:rPr>
        <w:t>the numerator of which shall be the total number of shares of Common Stock issued and outstanding immediately after such issuance on the close of business on such record date; and</w:t>
      </w:r>
    </w:p>
    <w:p>
      <w:pPr>
        <w:pStyle w:val="TextBody"/>
        <w:spacing w:before="0" w:after="0"/>
        <w:ind w:left="0" w:right="0" w:hanging="0"/>
        <w:jc w:val="both"/>
        <w:rPr/>
      </w:pPr>
      <w:r>
        <w:rPr/>
        <w:t> </w:t>
      </w:r>
    </w:p>
    <w:p>
      <w:pPr>
        <w:pStyle w:val="TextBody"/>
        <w:spacing w:before="0" w:after="0"/>
        <w:ind w:left="0" w:right="0" w:firstLine="2880"/>
        <w:rPr/>
      </w:pPr>
      <w:r>
        <w:rPr>
          <w:rFonts w:ascii="Times New Roman" w:hAnsi="Times New Roman"/>
          <w:sz w:val="20"/>
        </w:rPr>
        <w:t>(2)</w:t>
      </w:r>
      <w:bookmarkStart w:id="208" w:name="TAB291"/>
      <w:bookmarkEnd w:id="208"/>
      <w:r>
        <w:rPr>
          <w:color w:val="000000"/>
          <w:spacing w:val="180"/>
        </w:rPr>
        <w:t> </w:t>
      </w:r>
      <w:r>
        <w:rPr>
          <w:rFonts w:ascii="Times New Roman" w:hAnsi="Times New Roman"/>
          <w:sz w:val="20"/>
        </w:rPr>
        <w:t>the denominator of which shall be the total number of shares of Common Stock issued and outstanding immediately prior to the time of such issuance on the close of business on such record date.</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(iii)</w:t>
      </w:r>
      <w:bookmarkStart w:id="209" w:name="TAB292"/>
      <w:bookmarkEnd w:id="209"/>
      <w:r>
        <w:rPr>
          <w:color w:val="000000"/>
          <w:spacing w:val="180"/>
        </w:rPr>
        <w:t> </w:t>
      </w:r>
      <w:r>
        <w:rPr>
          <w:rFonts w:ascii="Times New Roman" w:hAnsi="Times New Roman"/>
          <w:sz w:val="20"/>
          <w:u w:val="single"/>
        </w:rPr>
        <w:t>Adjustment for Other Dividends and Distributions</w:t>
      </w:r>
      <w:r>
        <w:rPr>
          <w:rFonts w:ascii="Times New Roman" w:hAnsi="Times New Roman"/>
          <w:sz w:val="20"/>
        </w:rPr>
        <w:t>. If the Company shall, at any time or from time to time after the Issuance Date, make or issue or set a record date for the determination of holders of Common Stock entitled to receive a dividend or other distribution payable in securities of the Company other than shares of Common Stock, then, and in each event, an appropriate revision to the applicable Conversion Rate shall be made and provision shall be made (by adjustments of the Conversion Rate or otherwise) so that the holders of Series A Preferred Stock shall receive upon conversions thereof, in addition to the number of shares of Common Stock receivable thereon, the number of securities of the Company which they would have received had their Series A Preferred Stock been converted into Common Stock on the date of such event and had thereafter, during the period from the date of such event to and including the Conversion Date, retained such securities (together with any distributions payable thereon during such period), giving application to all adjustments called for during such period under this Section 5(e)(iii) with respect to the rights of the holders of the Series A Preferred Stock.</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(iv)</w:t>
      </w:r>
      <w:bookmarkStart w:id="210" w:name="TAB293"/>
      <w:bookmarkEnd w:id="210"/>
      <w:r>
        <w:rPr>
          <w:color w:val="000000"/>
          <w:spacing w:val="180"/>
        </w:rPr>
        <w:t> </w:t>
      </w:r>
      <w:r>
        <w:rPr>
          <w:rFonts w:ascii="Times New Roman" w:hAnsi="Times New Roman"/>
          <w:sz w:val="20"/>
          <w:u w:val="single"/>
        </w:rPr>
        <w:t>Adjustments for Reclassification, Exchange or Substitution</w:t>
      </w:r>
      <w:r>
        <w:rPr>
          <w:rFonts w:ascii="Times New Roman" w:hAnsi="Times New Roman"/>
          <w:sz w:val="20"/>
        </w:rPr>
        <w:t>. If the Common Stock issuable upon conversion of the Series A Preferred Stock at any time or from time to time after the Issuance Date shall be changed to the same or different number of shares of any class or classes of stock, whether by reclassification, exchange, substitution or otherwise (other than by way of a stock split or combination of shares or stock dividends provided for in Sections 5(e)(i), (ii) and (iii), or a reorganization, merger, consolidation, or sale of assets provided for in Section 5(e)(v)), then, and in each event, an appropriate revision to the Conversion Rate shall be made and provisions shall be made so that the holder of each share of Series A Preferred Stock shall have the right thereafter to convert such share of Series A Preferred Stock into the kind and amount of shares of stock and other securities receivable upon reclassification, exchange, substitution or other change, by holders of the number of shares of Common Stock into which such share of Series A Preferred Stock might have been converted immediately prior to such reclassification, exchange, substitution or other change, all subject to further adjustment as provided herein.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1" w:name="PGBRK12"/>
      <w:bookmarkStart w:id="212" w:name="PGBRK12"/>
      <w:bookmarkEnd w:id="2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3" w:name="FTR12"/>
      <w:bookmarkStart w:id="214" w:name="FTR12"/>
      <w:bookmarkEnd w:id="2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5" w:name="GLFTR12"/>
      <w:bookmarkEnd w:id="2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6" w:name="PN12"/>
      <w:bookmarkEnd w:id="216"/>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7" w:name="HDR12"/>
      <w:bookmarkStart w:id="218" w:name="HDR12"/>
      <w:bookmarkEnd w:id="2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9" w:name="GLHDR12"/>
      <w:bookmarkEnd w:id="2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(v)</w:t>
      </w:r>
      <w:bookmarkStart w:id="220" w:name="TAB294"/>
      <w:bookmarkEnd w:id="220"/>
      <w:r>
        <w:rPr>
          <w:color w:val="000000"/>
          <w:spacing w:val="180"/>
        </w:rPr>
        <w:t> </w:t>
      </w:r>
      <w:r>
        <w:rPr>
          <w:rFonts w:ascii="Times New Roman" w:hAnsi="Times New Roman"/>
          <w:sz w:val="20"/>
          <w:u w:val="single"/>
        </w:rPr>
        <w:t>Adjustments for Reorganization, Merger, Consolidation or Sales of Assets</w:t>
      </w:r>
      <w:r>
        <w:rPr>
          <w:rFonts w:ascii="Times New Roman" w:hAnsi="Times New Roman"/>
          <w:sz w:val="20"/>
        </w:rPr>
        <w:t xml:space="preserve">. If at any time or from time to time after the Issuance Date there shall be a capital reorganization of the Company (other than by way of a stock split or combination of shares or stock dividends or distributions provided for in Section 5(e)(i), (ii) and (iii), or a reclassification, exchange or substitution of shares provided for in Section 5(e)(iv)), or a merger or consolidation of the Company with or into another corporation, or the sale of all or substantially all of the Company's properties or assets to any other person (an </w:t>
      </w:r>
      <w:r>
        <w:rPr>
          <w:rFonts w:ascii="Times New Roman" w:hAnsi="Times New Roman"/>
          <w:b/>
          <w:sz w:val="20"/>
        </w:rPr>
        <w:t xml:space="preserve">"Organic Change"), </w:t>
      </w:r>
      <w:r>
        <w:rPr>
          <w:rFonts w:ascii="Times New Roman" w:hAnsi="Times New Roman"/>
          <w:sz w:val="20"/>
        </w:rPr>
        <w:t>then as a part of such Organic Change an appropriate revision to the Conversion Rate shall be made and provision shall be made so that the holder of each share of Series A Preferred Stock shall have the right thereafter to convert such share of Series A Preferred Stock into the kind and amount of shares of stock and other securities or property of the Company or any successor corporation resulting from the Organic Change which the holder of such share of Series A Preferred Stock would have received if such share of Series A Preferred Stock had been converted prior to such Organic Change.</w:t>
      </w:r>
    </w:p>
    <w:p>
      <w:pPr>
        <w:pStyle w:val="TextBody"/>
        <w:spacing w:before="0" w:after="0"/>
        <w:ind w:left="0" w:right="0" w:hanging="0"/>
        <w:jc w:val="both"/>
        <w:rPr/>
      </w:pPr>
      <w:r>
        <w:rPr/>
        <w:t> </w:t>
      </w:r>
    </w:p>
    <w:p>
      <w:pPr>
        <w:pStyle w:val="TextBody"/>
        <w:spacing w:before="0" w:after="0"/>
        <w:ind w:left="0" w:right="0" w:firstLine="2160"/>
        <w:rPr/>
      </w:pPr>
      <w:r>
        <w:rPr>
          <w:rFonts w:ascii="Times New Roman" w:hAnsi="Times New Roman"/>
          <w:sz w:val="20"/>
        </w:rPr>
        <w:t>(vi)</w:t>
      </w:r>
      <w:bookmarkStart w:id="221" w:name="TAB295"/>
      <w:bookmarkEnd w:id="221"/>
      <w:r>
        <w:rPr>
          <w:color w:val="000000"/>
          <w:spacing w:val="180"/>
        </w:rPr>
        <w:t> </w:t>
      </w:r>
      <w:r>
        <w:rPr>
          <w:rFonts w:ascii="Times New Roman" w:hAnsi="Times New Roman"/>
          <w:sz w:val="20"/>
          <w:u w:val="single"/>
        </w:rPr>
        <w:t>Record Date</w:t>
      </w:r>
      <w:r>
        <w:rPr>
          <w:rFonts w:ascii="Times New Roman" w:hAnsi="Times New Roman"/>
          <w:sz w:val="20"/>
        </w:rPr>
        <w:t>. In case the Company shall take record of the holders of its Common Stock or any other Preferred Stock for the purpose of entitling them to subscribe for or purchase Common Stock or Convertible Securities, then the date of the issue or sale of the shares of Common Stock shall be deemed to be such record date.</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(f)</w:t>
      </w:r>
      <w:bookmarkStart w:id="222" w:name="TAB296"/>
      <w:bookmarkEnd w:id="222"/>
      <w:r>
        <w:rPr>
          <w:color w:val="000000"/>
          <w:spacing w:val="180"/>
        </w:rPr>
        <w:t> </w:t>
      </w:r>
      <w:r>
        <w:rPr>
          <w:rFonts w:ascii="Times New Roman" w:hAnsi="Times New Roman"/>
          <w:sz w:val="20"/>
          <w:u w:val="single"/>
        </w:rPr>
        <w:t>No Impairment</w:t>
      </w:r>
      <w:r>
        <w:rPr>
          <w:rFonts w:ascii="Times New Roman" w:hAnsi="Times New Roman"/>
          <w:sz w:val="20"/>
        </w:rPr>
        <w:t>. The Company shall not, by amendment of its Certificate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Section 5 and in the taking of all such action as may be necessary or appropriate in order to protect the Conversion Rights of the holders of the Series A Preferred Stock against impairment. In the event a holder shall elect to convert any shares of Series A Preferred Stock as provided herein, the Company cannot refuse conversion based on any claim that such holder or any one associated or affiliated with such holder has been engaged in any violation of law, unless an injunction from a court, on notice, restraining and/or adjoining conversion of all or of such shares of Series A Preferred Stock shall have been issued.</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(g)</w:t>
      </w:r>
      <w:bookmarkStart w:id="223" w:name="TAB297"/>
      <w:bookmarkEnd w:id="223"/>
      <w:r>
        <w:rPr>
          <w:color w:val="000000"/>
          <w:spacing w:val="180"/>
        </w:rPr>
        <w:t> </w:t>
      </w:r>
      <w:r>
        <w:rPr>
          <w:rFonts w:ascii="Times New Roman" w:hAnsi="Times New Roman"/>
          <w:sz w:val="20"/>
          <w:u w:val="single"/>
        </w:rPr>
        <w:t>Certificates as to Adjustments</w:t>
      </w:r>
      <w:r>
        <w:rPr>
          <w:rFonts w:ascii="Times New Roman" w:hAnsi="Times New Roman"/>
          <w:sz w:val="20"/>
        </w:rPr>
        <w:t>. Upon occurrence of each adjustment or readjustment of the Conversion Rate or number of shares of Common Stock issuable upon conversion of the Series A Preferred Stock pursuant to this Section 5, the Company at its expense shall promptly compute such adjustment or readjustment in accordance with the terms hereof and furnish to each holder of such Series A Preferred Stock a certificate setting forth such adjustment and readjustment, showing in detail the facts upon which such adjustment or readjustment is based. The Company shall, upon written request of the holder of such affected Series A Preferred Stock, at any time, furnish or cause to be furnished to such holder a like certificate setting forth such adjustments and readjustments, the Conversion Rate in effect at the time, and the number of shares of Common Stock and the amount, if any, of other securities or property which at the time would be received upon the conversion of a share of such Series A Preferred Stock. Notwithstanding the foregoing, the Company shall not be obligated to deliver a certificate unless such certificate would reflect an increase or decrease of at least one percent of such adjusted amount.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(h)</w:t>
      </w:r>
      <w:bookmarkStart w:id="224" w:name="TAB298"/>
      <w:bookmarkEnd w:id="224"/>
      <w:r>
        <w:rPr>
          <w:color w:val="000000"/>
          <w:spacing w:val="180"/>
        </w:rPr>
        <w:t> </w:t>
      </w:r>
      <w:r>
        <w:rPr>
          <w:rFonts w:ascii="Times New Roman" w:hAnsi="Times New Roman"/>
          <w:sz w:val="20"/>
          <w:u w:val="single"/>
        </w:rPr>
        <w:t>Issue Taxes</w:t>
      </w:r>
      <w:r>
        <w:rPr>
          <w:rFonts w:ascii="Times New Roman" w:hAnsi="Times New Roman"/>
          <w:sz w:val="20"/>
        </w:rPr>
        <w:t xml:space="preserve">. The Company shall pay any and all issue and other taxes, excluding federal, state or local income taxes, that may be payable in respect of any issue or delivery of shares of Common Stock on conversion of shares of Series A Preferred Stock pursuant hereto; </w:t>
      </w:r>
      <w:r>
        <w:rPr>
          <w:rFonts w:ascii="Times New Roman" w:hAnsi="Times New Roman"/>
          <w:sz w:val="20"/>
          <w:u w:val="single"/>
        </w:rPr>
        <w:t>provided, however</w:t>
      </w:r>
      <w:r>
        <w:rPr>
          <w:rFonts w:ascii="Times New Roman" w:hAnsi="Times New Roman"/>
          <w:sz w:val="20"/>
        </w:rPr>
        <w:t>, that the Company shall not be obligated to pay any transfer taxes resulting from any transfer requested by any holder in connection with any such conversion.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5" w:name="PGBRK13"/>
      <w:bookmarkStart w:id="226" w:name="PGBRK13"/>
      <w:bookmarkEnd w:id="2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7" w:name="FTR13"/>
      <w:bookmarkStart w:id="228" w:name="FTR13"/>
      <w:bookmarkEnd w:id="2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9" w:name="GLFTR13"/>
      <w:bookmarkEnd w:id="2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30" w:name="PN13"/>
      <w:bookmarkEnd w:id="230"/>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1" w:name="HDR13"/>
      <w:bookmarkStart w:id="232" w:name="HDR13"/>
      <w:bookmarkEnd w:id="2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3" w:name="GLHDR13"/>
      <w:bookmarkEnd w:id="2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58" w:firstLine="1440"/>
        <w:jc w:val="both"/>
        <w:rPr/>
      </w:pPr>
      <w:r>
        <w:rPr>
          <w:rFonts w:ascii="Times New Roman" w:hAnsi="Times New Roman"/>
          <w:sz w:val="20"/>
        </w:rPr>
        <w:t>(i)           </w:t>
      </w:r>
      <w:r>
        <w:rPr>
          <w:rFonts w:ascii="Times New Roman" w:hAnsi="Times New Roman"/>
          <w:sz w:val="20"/>
          <w:u w:val="single"/>
        </w:rPr>
        <w:t>Notices</w:t>
      </w:r>
      <w:r>
        <w:rPr>
          <w:rFonts w:ascii="Times New Roman" w:hAnsi="Times New Roman"/>
          <w:sz w:val="20"/>
        </w:rPr>
        <w:t>. All notices and other communications hereunder shall be in writing and shall be deemed given if delivered personally or by facsimile or three (3) business days following (x) being mailed by certified or registered mail, postage prepaid, return-receipt requested, or (y) delivered to an express mail delivery service such as Federal Express, with written receipt by the addressee required, in either case addressed to the holder of record at its address appearing on the books of the Company. The Company will give written notice to each holder of Series A Preferred Stock at least twenty (20) days prior to the date on which the Company closes its books or takes a record (I) with respect to any dividend or distribution upon</w:t>
      </w:r>
    </w:p>
    <w:p>
      <w:pPr>
        <w:pStyle w:val="TextBody"/>
        <w:spacing w:before="0" w:after="0"/>
        <w:ind w:left="0" w:right="0" w:hanging="0"/>
        <w:jc w:val="both"/>
        <w:rPr/>
      </w:pPr>
      <w:r>
        <w:rPr/>
        <w:t> </w:t>
      </w:r>
    </w:p>
    <w:p>
      <w:pPr>
        <w:pStyle w:val="TextBody"/>
        <w:spacing w:before="0" w:after="0"/>
        <w:ind w:left="0" w:right="58" w:firstLine="1440"/>
        <w:jc w:val="both"/>
        <w:rPr>
          <w:rFonts w:ascii="Times New Roman" w:hAnsi="Times New Roman"/>
          <w:sz w:val="20"/>
        </w:rPr>
      </w:pPr>
      <w:r>
        <w:rPr>
          <w:rFonts w:ascii="Times New Roman" w:hAnsi="Times New Roman"/>
          <w:sz w:val="20"/>
        </w:rPr>
        <w:t>the Common Stock, (II) with respect to any pro rata subscription offer to holders of Common Stock or (III) for determining rights to vote with respect to any Organic Change, dissolution, liquidation or winding-up and in no event shall such notice be provided to such holder prior to such information being made known to the public. The Company will also give written notice to each holder of Series A Preferred Stock at least twenty (20) days prior to the date on which any Organic Change, dissolution, liquidation or winding-up will take place and in no event shall such notice be provided to such holder prior to such information being made known to the public.</w:t>
      </w:r>
    </w:p>
    <w:p>
      <w:pPr>
        <w:pStyle w:val="TextBody"/>
        <w:spacing w:before="0" w:after="0"/>
        <w:ind w:left="0" w:right="0" w:hanging="0"/>
        <w:jc w:val="both"/>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 xml:space="preserve">(j) </w:t>
      </w:r>
      <w:r>
        <w:rPr>
          <w:rFonts w:ascii="Times New Roman" w:hAnsi="Times New Roman"/>
          <w:sz w:val="20"/>
          <w:u w:val="single"/>
        </w:rPr>
        <w:t>Fractional Shares</w:t>
      </w:r>
      <w:r>
        <w:rPr>
          <w:rFonts w:ascii="Times New Roman" w:hAnsi="Times New Roman"/>
          <w:sz w:val="20"/>
        </w:rPr>
        <w:t>. No fractional shares of Common Stock shall be issued upon conversion of the Series A Preferred Stock. In lieu of any fractional shares to which the holder would otherwise be entitled, the Company, at its option, shall (i) pay cash equal to the product of such fraction multiplied by the average of the closing bid prices of the Common Stock for the five (5) consecutive trading immediately preceding the Voluntary Conversion Date, or (ii) issue one whole share of Common Stock to the holder.</w:t>
      </w:r>
    </w:p>
    <w:p>
      <w:pPr>
        <w:pStyle w:val="TextBody"/>
        <w:spacing w:before="0" w:after="0"/>
        <w:ind w:left="0" w:right="0" w:hanging="0"/>
        <w:jc w:val="both"/>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 xml:space="preserve">(k) </w:t>
      </w:r>
      <w:r>
        <w:rPr>
          <w:rFonts w:ascii="Times New Roman" w:hAnsi="Times New Roman"/>
          <w:sz w:val="20"/>
          <w:u w:val="single"/>
        </w:rPr>
        <w:t>Reservation of Common Stock</w:t>
      </w:r>
      <w:r>
        <w:rPr>
          <w:rFonts w:ascii="Times New Roman" w:hAnsi="Times New Roman"/>
          <w:sz w:val="20"/>
        </w:rPr>
        <w:t>. The Company shall, so long as any shares of Series A Preferred Stock are outstanding, reserve and keep available out of its authorized and unissued Common Stock, solely for the purpose of effecting the conversion of the Series A Preferred Stock, such number of shares of Common Stock as shall from time to time be sufficient to effect the conversion of all of the Series A Preferred Stock then outstanding (without giving effect to the limitations set forth in Section 7 hereof).</w:t>
      </w:r>
    </w:p>
    <w:p>
      <w:pPr>
        <w:pStyle w:val="TextBody"/>
        <w:spacing w:before="0" w:after="0"/>
        <w:ind w:left="0" w:right="0" w:hanging="0"/>
        <w:jc w:val="both"/>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 xml:space="preserve">(1) </w:t>
      </w:r>
      <w:r>
        <w:rPr>
          <w:rFonts w:ascii="Times New Roman" w:hAnsi="Times New Roman"/>
          <w:sz w:val="20"/>
          <w:u w:val="single"/>
        </w:rPr>
        <w:t>Retirement of Series A Preferred Stock</w:t>
      </w:r>
      <w:r>
        <w:rPr>
          <w:rFonts w:ascii="Times New Roman" w:hAnsi="Times New Roman"/>
          <w:sz w:val="20"/>
        </w:rPr>
        <w:t>. Conversion of Series A Preferred Stock shall be deemed to have been effected on the applicable Voluntary Conversion Date. The Company shall keep written records of the conversion of the shares of Series A Preferred Stock converted by each holder. A holder shall be required to deliver the original certificates representing the shares of Series A Preferred Stock upon any conversion of the Series A Preferred Stock represented by such certificates.</w:t>
      </w:r>
    </w:p>
    <w:p>
      <w:pPr>
        <w:pStyle w:val="TextBody"/>
        <w:spacing w:before="0" w:after="0"/>
        <w:ind w:left="0" w:right="0" w:hanging="0"/>
        <w:jc w:val="both"/>
        <w:rPr/>
      </w:pPr>
      <w:r>
        <w:rPr/>
        <w:t> </w:t>
      </w:r>
    </w:p>
    <w:p>
      <w:pPr>
        <w:pStyle w:val="TextBody"/>
        <w:spacing w:before="0" w:after="0"/>
        <w:ind w:left="0" w:right="0" w:firstLine="1440"/>
        <w:jc w:val="both"/>
        <w:rPr>
          <w:rFonts w:ascii="Times New Roman" w:hAnsi="Times New Roman"/>
          <w:sz w:val="20"/>
        </w:rPr>
      </w:pPr>
      <w:r>
        <w:rPr>
          <w:rFonts w:ascii="Times New Roman" w:hAnsi="Times New Roman"/>
          <w:sz w:val="20"/>
        </w:rPr>
        <w:t xml:space="preserve">(m) </w:t>
      </w:r>
      <w:r>
        <w:rPr>
          <w:rFonts w:ascii="Times New Roman" w:hAnsi="Times New Roman"/>
          <w:sz w:val="20"/>
          <w:u w:val="single"/>
        </w:rPr>
        <w:t>Regulatory Compliance</w:t>
      </w:r>
      <w:r>
        <w:rPr>
          <w:rFonts w:ascii="Times New Roman" w:hAnsi="Times New Roman"/>
          <w:sz w:val="20"/>
        </w:rPr>
        <w:t>. If any shares of Common Stock to be reserved for the purpose of conversion of Series A Preferred Stock require registration or listing with or approval of any governmental authority, stock exchange or other regulatory body under any federal or state law or regulation or otherwise before such shares may be validly issued or delivered upon conversion, the Company shall, at its sole cost and expense, in good faith and as expeditiously as possible, endeavor to secure such registration, listing or approval, as the case may be.</w:t>
      </w:r>
    </w:p>
    <w:p>
      <w:pPr>
        <w:pStyle w:val="TextBody"/>
        <w:spacing w:before="0" w:after="0"/>
        <w:ind w:left="0" w:right="0" w:hanging="0"/>
        <w:jc w:val="both"/>
        <w:rPr/>
      </w:pPr>
      <w:r>
        <w:rPr/>
        <w:t> </w:t>
      </w:r>
    </w:p>
    <w:p>
      <w:pPr>
        <w:pStyle w:val="TextBody"/>
        <w:spacing w:before="0" w:after="0"/>
        <w:ind w:left="0" w:right="58" w:firstLine="720"/>
        <w:jc w:val="both"/>
        <w:rPr>
          <w:rFonts w:ascii="Times New Roman" w:hAnsi="Times New Roman"/>
          <w:sz w:val="20"/>
        </w:rPr>
      </w:pPr>
      <w:r>
        <w:rPr>
          <w:rFonts w:ascii="Times New Roman" w:hAnsi="Times New Roman"/>
          <w:sz w:val="20"/>
        </w:rPr>
        <w:t>6.            </w:t>
      </w:r>
      <w:r>
        <w:rPr>
          <w:rFonts w:ascii="Times New Roman" w:hAnsi="Times New Roman"/>
          <w:sz w:val="20"/>
          <w:u w:val="single"/>
        </w:rPr>
        <w:t>No Preemptive or Redemption Rights</w:t>
      </w:r>
      <w:r>
        <w:rPr>
          <w:rFonts w:ascii="Times New Roman" w:hAnsi="Times New Roman"/>
          <w:sz w:val="20"/>
        </w:rPr>
        <w:t>. No holder of the Series A Preferred Stock shall be entitled to rights to subscribe for, purchase or receive any part of any new or additional shares of any class, whether now or hereafter authorized, or of bonds or debentures, or other evidences of indebtedness convertible into or exchangeable for shares of any class, but all such new or additional shares of any class, or any bond, debentures or other evidences of indebtedness convertible into or exchangeable for shares, may be issued and disposed of by the Board of Directors on such terms and for such consideration (to the extent permitted by law), and to such person or persons as the Board of Directors in their absolute discretion may deem advisable.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4" w:name="PGBRK14"/>
      <w:bookmarkStart w:id="235" w:name="PGBRK14"/>
      <w:bookmarkEnd w:id="2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6" w:name="FTR14"/>
      <w:bookmarkStart w:id="237" w:name="FTR14"/>
      <w:bookmarkEnd w:id="2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8" w:name="GLFTR14"/>
      <w:bookmarkEnd w:id="2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39" w:name="PN14"/>
      <w:bookmarkEnd w:id="23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0" w:name="HDR14"/>
      <w:bookmarkStart w:id="241" w:name="HDR14"/>
      <w:bookmarkEnd w:id="2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2" w:name="GLHDR14"/>
      <w:bookmarkEnd w:id="2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7.</w:t>
      </w:r>
      <w:bookmarkStart w:id="243" w:name="TAB299"/>
      <w:bookmarkEnd w:id="243"/>
      <w:r>
        <w:rPr>
          <w:color w:val="000000"/>
          <w:spacing w:val="180"/>
        </w:rPr>
        <w:t> </w:t>
      </w:r>
      <w:r>
        <w:rPr>
          <w:rFonts w:ascii="Times New Roman" w:hAnsi="Times New Roman"/>
          <w:sz w:val="20"/>
          <w:u w:val="single"/>
        </w:rPr>
        <w:t>Conversion Restriction</w:t>
      </w:r>
      <w:r>
        <w:rPr>
          <w:rFonts w:ascii="Times New Roman" w:hAnsi="Times New Roman"/>
          <w:sz w:val="20"/>
        </w:rPr>
        <w:t xml:space="preserve">. Notwithstanding anything to the contrary set forth in Section 5 of this Certificate of Designation, at no time may a holder of shares of Series A Preferred Stock convert shares of the Series A Preferred Stock if the number of shares of Common Stock to be issued pursuant to such conversion would exceed, when aggregated with all other shares of Common Stock owned by such holder at such time, the number of shares of Common Stock which would result in such holder beneficially owning (as determined in accordance with Section 13(d) of the Securities Exchange Act of 1934, as amended, and the rules thereunder) more than 9.99% of all of the Common Stock outstanding at such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upon a holder of Series A Preferred Stock providing the Company with sixty-one (61) days notice (pursuant to Section 5(i) hereof) that such holder would like to waive Section 7 of this Certificate of Designation with regard to any or all shares of Common Stock issuable upon conversion of Series A Preferred Stock, this Section 7 shall be of no force or effect with regard to those shares of Series A Preferred Stock referenced in the Waiver Notice.</w:t>
      </w:r>
    </w:p>
    <w:p>
      <w:pPr>
        <w:pStyle w:val="TextBody"/>
        <w:spacing w:before="0" w:after="0"/>
        <w:ind w:left="0" w:right="0" w:hanging="0"/>
        <w:jc w:val="both"/>
        <w:rPr/>
      </w:pPr>
      <w:r>
        <w:rPr/>
        <w:t> </w:t>
      </w:r>
    </w:p>
    <w:p>
      <w:pPr>
        <w:pStyle w:val="TextBody"/>
        <w:spacing w:before="0" w:after="0"/>
        <w:ind w:left="900" w:right="0" w:firstLine="900"/>
        <w:rPr/>
      </w:pPr>
      <w:r>
        <w:rPr>
          <w:rFonts w:ascii="Times New Roman" w:hAnsi="Times New Roman"/>
          <w:sz w:val="20"/>
        </w:rPr>
        <w:t>8.</w:t>
      </w:r>
      <w:bookmarkStart w:id="244" w:name="TAB2100"/>
      <w:bookmarkEnd w:id="244"/>
      <w:r>
        <w:rPr>
          <w:color w:val="000000"/>
          <w:spacing w:val="180"/>
        </w:rPr>
        <w:t> </w:t>
      </w:r>
      <w:r>
        <w:rPr>
          <w:rFonts w:ascii="Times New Roman" w:hAnsi="Times New Roman"/>
          <w:sz w:val="20"/>
          <w:u w:val="single"/>
        </w:rPr>
        <w:t>Inability to Fully Convert</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(a)</w:t>
      </w:r>
      <w:bookmarkStart w:id="245" w:name="TAB2101"/>
      <w:bookmarkEnd w:id="245"/>
      <w:r>
        <w:rPr>
          <w:color w:val="000000"/>
          <w:spacing w:val="180"/>
        </w:rPr>
        <w:t> </w:t>
      </w:r>
      <w:r>
        <w:rPr>
          <w:rFonts w:ascii="Times New Roman" w:hAnsi="Times New Roman"/>
          <w:sz w:val="20"/>
          <w:u w:val="single"/>
        </w:rPr>
        <w:t>Holder's Option if Company Cannot Fully Convert</w:t>
      </w:r>
      <w:r>
        <w:rPr>
          <w:rFonts w:ascii="Times New Roman" w:hAnsi="Times New Roman"/>
          <w:sz w:val="20"/>
        </w:rPr>
        <w:t xml:space="preserve">. If, upon the Company's receipt of a Conversion Notice, the Company cannot issue shares of Common Stock for any reason, including, without limitation, because the Company (x) does not have a sufficient number of shares of Common Stock authorized and available or (y) is otherwise prohibited by applicable law or by the rules or regulations of any stock exchange, interdealer quotation system or other self-regulatory organization with jurisdiction over the Company or its securities, from issuing all of the Common Stock which is to be issued to a holder of Series A Preferred Stock pursuant to a Conversion Notice, then the Company shall issue as many shares of Common Stock as it is able to issue in accordance with such holder's Conversion Notice and with respect to the unconverted Series A Preferred Stock (the </w:t>
      </w:r>
      <w:r>
        <w:rPr>
          <w:rFonts w:ascii="Times New Roman" w:hAnsi="Times New Roman"/>
          <w:b/>
          <w:sz w:val="20"/>
        </w:rPr>
        <w:t xml:space="preserve">"Unconverted Preferred Stock") </w:t>
      </w:r>
      <w:r>
        <w:rPr>
          <w:rFonts w:ascii="Times New Roman" w:hAnsi="Times New Roman"/>
          <w:sz w:val="20"/>
        </w:rPr>
        <w:t>the holder, solely at such holder's option, can elect, at any time after receipt of notice from the Company that there is Unconverted Preferred Stock, to void the holder's Conversion Notice as to the number of shares of Common Stock the Company is unable to issue and retain or have returned, as the case may be, the certificates for the shares of the Unconverted Preferred Stock.</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the event a Holder shall elect to convert any shares of Series A Preferred Stock as provided herein, the Company cannot refuse conversion based on any claim that such Holder or any one associated or affiliated with such Holder has been engaged in any violation of law, violation of an agreement to which such Holder is a party or for any reason whatsoever, unless, an injunction from a court, on notice, restraining and or enjoining conversion of all or any of such shares of Series A Preferred Stock shall have issued.</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(b)</w:t>
      </w:r>
      <w:bookmarkStart w:id="246" w:name="TAB2102"/>
      <w:bookmarkEnd w:id="246"/>
      <w:r>
        <w:rPr>
          <w:color w:val="000000"/>
          <w:spacing w:val="180"/>
        </w:rPr>
        <w:t> </w:t>
      </w:r>
      <w:r>
        <w:rPr>
          <w:rFonts w:ascii="Times New Roman" w:hAnsi="Times New Roman"/>
          <w:sz w:val="20"/>
          <w:u w:val="single"/>
        </w:rPr>
        <w:t>Mechanics of Fulfilling; Holder's Election</w:t>
      </w:r>
      <w:r>
        <w:rPr>
          <w:rFonts w:ascii="Times New Roman" w:hAnsi="Times New Roman"/>
          <w:sz w:val="20"/>
        </w:rPr>
        <w:t xml:space="preserve">. The Company shall immediately send via facsimile to a holder of Series A Preferred Stock, upon receipt of a facsimile copy of a Conversion Notice from such holder which cannot be fully satisfied as described in Section 8(a) above, a notice of the Company's inability to fully satisfy such holder's Conversion Notice (the </w:t>
      </w:r>
      <w:r>
        <w:rPr>
          <w:rFonts w:ascii="Times New Roman" w:hAnsi="Times New Roman"/>
          <w:b/>
          <w:sz w:val="20"/>
        </w:rPr>
        <w:t xml:space="preserve">"Inability to Fully Convert Notice"). </w:t>
      </w:r>
      <w:r>
        <w:rPr>
          <w:rFonts w:ascii="Times New Roman" w:hAnsi="Times New Roman"/>
          <w:sz w:val="20"/>
        </w:rPr>
        <w:t>Such Inability to Fully Convert Notice shall indicate (i) the reason why the Company is unable to fully satisfy such holder's Conversion Notice and (ii) the number of shares of Series A Preferred Stock which cannot be converted.</w:t>
      </w:r>
    </w:p>
    <w:p>
      <w:pPr>
        <w:pStyle w:val="TextBody"/>
        <w:spacing w:before="0" w:after="0"/>
        <w:ind w:left="0" w:right="0" w:hanging="0"/>
        <w:jc w:val="both"/>
        <w:rPr/>
      </w:pPr>
      <w:r>
        <w:rPr/>
        <w:t> </w:t>
      </w:r>
    </w:p>
    <w:p>
      <w:pPr>
        <w:pStyle w:val="TextBody"/>
        <w:spacing w:before="0" w:after="0"/>
        <w:ind w:left="0" w:right="0" w:firstLine="900"/>
        <w:rPr/>
      </w:pPr>
      <w:r>
        <w:rPr>
          <w:rFonts w:ascii="Times New Roman" w:hAnsi="Times New Roman"/>
          <w:sz w:val="20"/>
        </w:rPr>
        <w:t>9.</w:t>
      </w:r>
      <w:bookmarkStart w:id="247" w:name="TAB2103"/>
      <w:bookmarkEnd w:id="247"/>
      <w:r>
        <w:rPr>
          <w:color w:val="000000"/>
          <w:spacing w:val="180"/>
        </w:rPr>
        <w:t> </w:t>
      </w:r>
      <w:r>
        <w:rPr>
          <w:rFonts w:ascii="Times New Roman" w:hAnsi="Times New Roman"/>
          <w:sz w:val="20"/>
          <w:u w:val="single"/>
        </w:rPr>
        <w:t>Vote to Change the Terms of or Issue Preferred Stock</w:t>
      </w:r>
      <w:r>
        <w:rPr>
          <w:rFonts w:ascii="Times New Roman" w:hAnsi="Times New Roman"/>
          <w:sz w:val="20"/>
        </w:rPr>
        <w:t>. The affirmative vote at a meeting duly called for such purpose, or the written consent without a meeting, of the holders of not less than sixty-seven percent (67%) of the then outstanding shares of Series A Preferred Stock, shall be required for any change to this Certificate of Designation or the Company's Certificate of Incorporation which would amend, alter, change or repeal any of the powers, designations, preferences and rights of the Series A Preferred Stock.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8" w:name="PGBRK15"/>
      <w:bookmarkStart w:id="249" w:name="PGBRK15"/>
      <w:bookmarkEnd w:id="2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0" w:name="FTR15"/>
      <w:bookmarkStart w:id="251" w:name="FTR15"/>
      <w:bookmarkEnd w:id="2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2" w:name="GLFTR15"/>
      <w:bookmarkEnd w:id="2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53" w:name="PN15"/>
      <w:bookmarkEnd w:id="253"/>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4" w:name="HDR15"/>
      <w:bookmarkStart w:id="255" w:name="HDR15"/>
      <w:bookmarkEnd w:id="2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6" w:name="GLHDR15"/>
      <w:bookmarkEnd w:id="2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firstLine="900"/>
        <w:rPr/>
      </w:pPr>
      <w:r>
        <w:rPr>
          <w:rFonts w:ascii="Times New Roman" w:hAnsi="Times New Roman"/>
          <w:sz w:val="20"/>
        </w:rPr>
        <w:t>10.</w:t>
      </w:r>
      <w:bookmarkStart w:id="257" w:name="TAB2104"/>
      <w:bookmarkEnd w:id="257"/>
      <w:r>
        <w:rPr>
          <w:color w:val="000000"/>
          <w:spacing w:val="180"/>
        </w:rPr>
        <w:t> </w:t>
      </w:r>
      <w:r>
        <w:rPr>
          <w:rFonts w:ascii="Times New Roman" w:hAnsi="Times New Roman"/>
          <w:sz w:val="20"/>
          <w:u w:val="single"/>
        </w:rPr>
        <w:t>Lost or Stolen Certificates</w:t>
      </w:r>
      <w:r>
        <w:rPr>
          <w:rFonts w:ascii="Times New Roman" w:hAnsi="Times New Roman"/>
          <w:sz w:val="20"/>
        </w:rPr>
        <w:t>. Upon receipt by the Company of evidence satisfactory to the Company of the loss, theft, destruction or mutilation of any Preferred Stock Certificates representing the shares of Series A Preferred Stock, and, in the case of loss, theft or destruction, of any indemnification undertaking by the holder to the Company and, in the case of mutilation, upon surrender and cancellation of the Preferred Stock Certificate(s), the Company shall execute and deliver new preferred stock certificate(s) of like tenor and date.</w:t>
      </w:r>
    </w:p>
    <w:p>
      <w:pPr>
        <w:pStyle w:val="TextBody"/>
        <w:spacing w:before="0" w:after="0"/>
        <w:ind w:left="0" w:right="0" w:hanging="0"/>
        <w:jc w:val="both"/>
        <w:rPr/>
      </w:pPr>
      <w:r>
        <w:rPr/>
        <w:t> </w:t>
      </w:r>
    </w:p>
    <w:p>
      <w:pPr>
        <w:pStyle w:val="TextBody"/>
        <w:spacing w:before="0" w:after="0"/>
        <w:ind w:left="0" w:right="0" w:firstLine="900"/>
        <w:rPr/>
      </w:pPr>
      <w:r>
        <w:rPr>
          <w:rFonts w:ascii="Times New Roman" w:hAnsi="Times New Roman"/>
          <w:sz w:val="20"/>
        </w:rPr>
        <w:t>11.</w:t>
      </w:r>
      <w:bookmarkStart w:id="258" w:name="TAB2105"/>
      <w:bookmarkEnd w:id="258"/>
      <w:r>
        <w:rPr>
          <w:color w:val="000000"/>
          <w:spacing w:val="180"/>
        </w:rPr>
        <w:t> </w:t>
      </w:r>
      <w:r>
        <w:rPr>
          <w:rFonts w:ascii="Times New Roman" w:hAnsi="Times New Roman"/>
          <w:sz w:val="20"/>
          <w:u w:val="single"/>
        </w:rPr>
        <w:t>Remedies, Characterizations, Other Obligations, Breaches and Injunctive Relief</w:t>
      </w:r>
      <w:r>
        <w:rPr>
          <w:rFonts w:ascii="Times New Roman" w:hAnsi="Times New Roman"/>
          <w:sz w:val="20"/>
        </w:rPr>
        <w:t>. The remedies provided in this Certificate of Designation shall be cumulative and in addition to all other remedies available under this Certificate of Designation, at law or in equity (including a decree of specific performance and/or other injunctive relief), no remedy contained herein shall be deemed a waiver of compliance with the provisions giving rise to such remedy and nothing herein shall limit a holder's right to pursue actual damages for any failure by the Company to comply with the terms of this Certificate of Designation. Amounts set forth or provided for herein with respect to conversion and the like (and the computation thereof) shall be the amounts to be received by the holder thereof and shall not, except as expressly provided herein, be subject to any other obligation of the Company (or the performance thereof). The Company acknowledges that a breach by it of its obligations hereunder will cause irreparable harm to the holders of the Series A Preferred Stock and that the remedy at law for any such breach may be inadequate. The Company therefore agrees that, in the event of any such breach or threatened breach, the holders of the Series A Preferred Stock shall be entitled, in addition to all other available remedies, to an injunction restraining any breach, without the necessity of showing economic loss and without any bond or other security being required.</w:t>
      </w:r>
    </w:p>
    <w:p>
      <w:pPr>
        <w:pStyle w:val="TextBody"/>
        <w:spacing w:before="0" w:after="0"/>
        <w:ind w:left="0" w:right="0" w:hanging="0"/>
        <w:jc w:val="both"/>
        <w:rPr/>
      </w:pPr>
      <w:r>
        <w:rPr/>
        <w:t> </w:t>
      </w:r>
    </w:p>
    <w:p>
      <w:pPr>
        <w:pStyle w:val="TextBody"/>
        <w:spacing w:before="0" w:after="0"/>
        <w:ind w:left="0" w:right="0" w:firstLine="900"/>
        <w:rPr/>
      </w:pPr>
      <w:r>
        <w:rPr>
          <w:rFonts w:ascii="Times New Roman" w:hAnsi="Times New Roman"/>
          <w:sz w:val="20"/>
        </w:rPr>
        <w:t>12.</w:t>
      </w:r>
      <w:bookmarkStart w:id="259" w:name="TAB2106"/>
      <w:bookmarkEnd w:id="259"/>
      <w:r>
        <w:rPr>
          <w:color w:val="000000"/>
          <w:spacing w:val="180"/>
        </w:rPr>
        <w:t> </w:t>
      </w:r>
      <w:r>
        <w:rPr>
          <w:rFonts w:ascii="Times New Roman" w:hAnsi="Times New Roman"/>
          <w:sz w:val="20"/>
          <w:u w:val="single"/>
        </w:rPr>
        <w:t>Specific Shall Not Limit General; Construction</w:t>
      </w:r>
      <w:r>
        <w:rPr>
          <w:rFonts w:ascii="Times New Roman" w:hAnsi="Times New Roman"/>
          <w:sz w:val="20"/>
        </w:rPr>
        <w:t>. No specific provision contained in this Certificate of Designation shall limit or modify any more general provision contained herein.</w:t>
      </w:r>
    </w:p>
    <w:p>
      <w:pPr>
        <w:pStyle w:val="TextBody"/>
        <w:spacing w:before="0" w:after="0"/>
        <w:ind w:left="0" w:right="0" w:hanging="0"/>
        <w:jc w:val="both"/>
        <w:rPr/>
      </w:pPr>
      <w:r>
        <w:rPr/>
        <w:t> </w:t>
      </w:r>
    </w:p>
    <w:p>
      <w:pPr>
        <w:pStyle w:val="TextBody"/>
        <w:spacing w:before="0" w:after="0"/>
        <w:ind w:left="0" w:right="0" w:firstLine="900"/>
        <w:rPr/>
      </w:pPr>
      <w:r>
        <w:rPr>
          <w:rFonts w:ascii="Times New Roman" w:hAnsi="Times New Roman"/>
          <w:sz w:val="20"/>
        </w:rPr>
        <w:t>13.</w:t>
      </w:r>
      <w:bookmarkStart w:id="260" w:name="TAB2107"/>
      <w:bookmarkEnd w:id="260"/>
      <w:r>
        <w:rPr>
          <w:color w:val="000000"/>
          <w:spacing w:val="180"/>
        </w:rPr>
        <w:t> </w:t>
      </w:r>
      <w:r>
        <w:rPr>
          <w:rFonts w:ascii="Times New Roman" w:hAnsi="Times New Roman"/>
          <w:sz w:val="20"/>
          <w:u w:val="single"/>
        </w:rPr>
        <w:t>Failure or Indulgence Not Waiver</w:t>
      </w:r>
      <w:r>
        <w:rPr>
          <w:rFonts w:ascii="Times New Roman" w:hAnsi="Times New Roman"/>
          <w:sz w:val="20"/>
        </w:rPr>
        <w:t>. No failure or delay on the part of a holder of Series A Preferred Stock in the exercise of any power, right or privilege hereunder shall operate as a waiver thereof, nor shall any single or partial exercise of any such power, right or privilege preclude other or further exercise thereof or of any other right, power or privilege.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1" w:name="PGBRK16"/>
      <w:bookmarkStart w:id="262" w:name="PGBRK16"/>
      <w:bookmarkEnd w:id="2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3" w:name="FTR16"/>
      <w:bookmarkStart w:id="264" w:name="FTR16"/>
      <w:bookmarkEnd w:id="2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5" w:name="GLFTR16"/>
      <w:bookmarkEnd w:id="2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66" w:name="PN16"/>
      <w:bookmarkEnd w:id="266"/>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7" w:name="HDR16"/>
      <w:bookmarkStart w:id="268" w:name="HDR16"/>
      <w:bookmarkEnd w:id="2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69" w:name="GLHDR16"/>
      <w:bookmarkEnd w:id="2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b/>
          <w:sz w:val="20"/>
        </w:rPr>
        <w:t xml:space="preserve">IN WITNESS WHEREOF, </w:t>
      </w:r>
      <w:r>
        <w:rPr>
          <w:rFonts w:ascii="Times New Roman" w:hAnsi="Times New Roman"/>
          <w:sz w:val="20"/>
        </w:rPr>
        <w:t>this Certificate of Designation is executed on Company this 22nd day of December, 2011.</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3960" w:right="0" w:hanging="0"/>
        <w:jc w:val="both"/>
        <w:rPr>
          <w:rFonts w:ascii="Times New Roman" w:hAnsi="Times New Roman"/>
          <w:sz w:val="20"/>
        </w:rPr>
      </w:pPr>
      <w:r>
        <w:rPr>
          <w:rFonts w:ascii="Times New Roman" w:hAnsi="Times New Roman"/>
          <w:sz w:val="20"/>
        </w:rPr>
        <w:t>VISTAGEN THERAPEUTICS, INC.</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3960" w:right="0" w:hanging="0"/>
        <w:jc w:val="both"/>
        <w:rPr>
          <w:rFonts w:ascii="Times New Roman" w:hAnsi="Times New Roman"/>
          <w:sz w:val="20"/>
        </w:rPr>
      </w:pPr>
      <w:r>
        <w:rPr>
          <w:rFonts w:ascii="Times New Roman" w:hAnsi="Times New Roman"/>
          <w:sz w:val="20"/>
        </w:rPr>
        <w:t>By: </w:t>
      </w:r>
      <w:r>
        <w:rPr>
          <w:rFonts w:ascii="Times New Roman" w:hAnsi="Times New Roman"/>
          <w:sz w:val="20"/>
          <w:u w:val="single"/>
        </w:rPr>
        <w:t>/s/ Shawn Singh</w:t>
      </w:r>
    </w:p>
    <w:p>
      <w:pPr>
        <w:pStyle w:val="TextBody"/>
        <w:spacing w:before="0" w:after="0"/>
        <w:ind w:left="3960" w:right="0" w:hanging="0"/>
        <w:jc w:val="both"/>
        <w:rPr/>
      </w:pPr>
      <w:r>
        <w:rPr/>
        <w:t>        </w:t>
      </w:r>
      <w:r>
        <w:rPr>
          <w:rFonts w:ascii="Times New Roman" w:hAnsi="Times New Roman"/>
          <w:sz w:val="20"/>
        </w:rPr>
        <w:t>Name: Shawn Singh</w:t>
      </w:r>
    </w:p>
    <w:p>
      <w:pPr>
        <w:pStyle w:val="TextBody"/>
        <w:spacing w:before="0" w:after="0"/>
        <w:ind w:left="4320" w:right="0" w:hanging="0"/>
        <w:jc w:val="left"/>
        <w:rPr>
          <w:rFonts w:ascii="Times New Roman" w:hAnsi="Times New Roman"/>
          <w:sz w:val="20"/>
        </w:rPr>
      </w:pPr>
      <w:r>
        <w:rPr>
          <w:rFonts w:ascii="Times New Roman" w:hAnsi="Times New Roman"/>
          <w:sz w:val="20"/>
        </w:rPr>
        <w:t>Title:   Chief Executive Officer</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0" w:name="PGBRK17"/>
      <w:bookmarkStart w:id="271" w:name="PGBRK17"/>
      <w:bookmarkEnd w:id="2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2" w:name="FTR17"/>
      <w:bookmarkStart w:id="273" w:name="FTR17"/>
      <w:bookmarkEnd w:id="2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74" w:name="GLFTR17"/>
      <w:bookmarkEnd w:id="2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75" w:name="PN17"/>
      <w:bookmarkEnd w:id="275"/>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6" w:name="HDR17"/>
      <w:bookmarkStart w:id="277" w:name="HDR17"/>
      <w:bookmarkEnd w:id="2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78" w:name="GLHDR17"/>
      <w:bookmarkEnd w:id="2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8280" w:right="0" w:hanging="0"/>
        <w:jc w:val="both"/>
        <w:rPr>
          <w:rFonts w:ascii="Times New Roman" w:hAnsi="Times New Roman"/>
          <w:sz w:val="20"/>
        </w:rPr>
      </w:pPr>
      <w:r>
        <w:rPr>
          <w:rFonts w:ascii="Times New Roman" w:hAnsi="Times New Roman"/>
          <w:sz w:val="20"/>
        </w:rPr>
        <w:t>EXHIBIT A</w:t>
      </w:r>
    </w:p>
    <w:p>
      <w:pPr>
        <w:pStyle w:val="TextBody"/>
        <w:spacing w:before="0" w:after="0"/>
        <w:ind w:left="0" w:right="2880" w:hanging="0"/>
        <w:jc w:val="center"/>
        <w:rPr>
          <w:rFonts w:ascii="Times New Roman" w:hAnsi="Times New Roman"/>
          <w:sz w:val="20"/>
        </w:rPr>
      </w:pPr>
      <w:r>
        <w:rPr>
          <w:rFonts w:ascii="Times New Roman" w:hAnsi="Times New Roman"/>
          <w:sz w:val="20"/>
        </w:rPr>
        <w:t>VISTAGEN THERAPEUTICS, INC. CONVERSION NOTICE</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Reference is made to the Certificate of Designation of the Relative Rights and Preferences of the Series A Convertible Preferred Stock of VistaGen Therapeutics, Inc. (the </w:t>
      </w:r>
      <w:r>
        <w:rPr>
          <w:rFonts w:ascii="Times New Roman" w:hAnsi="Times New Roman"/>
          <w:b/>
          <w:sz w:val="20"/>
        </w:rPr>
        <w:t xml:space="preserve">"Certificate of Designation"). </w:t>
      </w:r>
      <w:r>
        <w:rPr>
          <w:rFonts w:ascii="Times New Roman" w:hAnsi="Times New Roman"/>
          <w:sz w:val="20"/>
        </w:rPr>
        <w:t xml:space="preserve">In accordance with and pursuant to the Certificate of Designation, the undersigned hereby elects to convert the number of shares of Series A Preferred Stock, par value $.001 per share (the "Preferred Shares"), of VistaGen Therapeutics, Inc., a Nevada corporation (the </w:t>
      </w:r>
      <w:r>
        <w:rPr>
          <w:rFonts w:ascii="Times New Roman" w:hAnsi="Times New Roman"/>
          <w:b/>
          <w:sz w:val="20"/>
        </w:rPr>
        <w:t xml:space="preserve">"Company"), </w:t>
      </w:r>
      <w:r>
        <w:rPr>
          <w:rFonts w:ascii="Times New Roman" w:hAnsi="Times New Roman"/>
          <w:sz w:val="20"/>
        </w:rPr>
        <w:t xml:space="preserve">indicated below into shares of Common Stock, par value $.001 per share (the </w:t>
      </w:r>
      <w:r>
        <w:rPr>
          <w:rFonts w:ascii="Times New Roman" w:hAnsi="Times New Roman"/>
          <w:b/>
          <w:sz w:val="20"/>
        </w:rPr>
        <w:t xml:space="preserve">"Common Stock"), </w:t>
      </w:r>
      <w:r>
        <w:rPr>
          <w:rFonts w:ascii="Times New Roman" w:hAnsi="Times New Roman"/>
          <w:sz w:val="20"/>
        </w:rPr>
        <w:t>of the Company, by tendering the stock certificate(s) representing the share(s) of Preferred Shares specified below as of the date specified below.</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Date of Conversion:                                                                                                                               </w:t>
      </w:r>
    </w:p>
    <w:p>
      <w:pPr>
        <w:pStyle w:val="TextBody"/>
        <w:spacing w:before="0" w:after="0"/>
        <w:ind w:left="0" w:right="0" w:hanging="0"/>
        <w:jc w:val="left"/>
        <w:rPr/>
      </w:pPr>
      <w:r>
        <w:rPr/>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Number of Preferred Shares to be converted: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Stock certificate no(s).: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Number of Preferred Shares to be converted: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Common Stock has been sold: YES                                                                           NO</w:t>
      </w:r>
    </w:p>
    <w:p>
      <w:pPr>
        <w:pStyle w:val="TextBody"/>
        <w:spacing w:before="0" w:after="0"/>
        <w:ind w:left="0" w:right="0" w:hanging="0"/>
        <w:jc w:val="left"/>
        <w:rPr/>
      </w:pPr>
      <w:r>
        <w:rPr/>
        <w:t xml:space="preserve">  </w:t>
      </w:r>
      <w:r>
        <w:rPr>
          <w:rFonts w:ascii="Times New Roman" w:hAnsi="Times New Roman"/>
          <w:sz w:val="20"/>
        </w:rPr>
        <w:t>Please confirm the following information: Conversion Rate: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Number of shares of Common Stock to be issued:</w:t>
      </w:r>
    </w:p>
    <w:p>
      <w:pPr>
        <w:pStyle w:val="TextBody"/>
        <w:spacing w:before="0" w:after="0"/>
        <w:ind w:left="0" w:right="0" w:hanging="0"/>
        <w:jc w:val="left"/>
        <w:rPr/>
      </w:pPr>
      <w:r>
        <w:rPr/>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Number of shares of Common Stock beneficially owned or deemed beneficially owned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by the Holder on the Date of Conversion determined in accordance with Section 16 of the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Securities Exchange Act of 1934, as amended:                                                                                                              </w:t>
      </w:r>
    </w:p>
    <w:p>
      <w:pPr>
        <w:pStyle w:val="TextBody"/>
        <w:spacing w:before="0" w:after="0"/>
        <w:ind w:left="0" w:right="0" w:hanging="0"/>
        <w:jc w:val="left"/>
        <w:rPr/>
      </w:pPr>
      <w:r>
        <w:rPr/>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Please issue the Common Stock into which the Preferred Shares are being converted and, if applicable, any check drawn on an account of the Company in the following name and to the following address:</w:t>
      </w:r>
    </w:p>
    <w:p>
      <w:pPr>
        <w:pStyle w:val="TextBody"/>
        <w:spacing w:before="0" w:after="0"/>
        <w:ind w:left="0" w:right="0" w:hanging="0"/>
        <w:jc w:val="left"/>
        <w:rPr/>
      </w:pPr>
      <w:r>
        <w:rPr/>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Issue to:                                                                                                                              </w:t>
      </w:r>
    </w:p>
    <w:p>
      <w:pPr>
        <w:pStyle w:val="TextBody"/>
        <w:spacing w:before="0" w:after="0"/>
        <w:ind w:left="0" w:right="0" w:hanging="0"/>
        <w:jc w:val="left"/>
        <w:rPr/>
      </w:pPr>
      <w:r>
        <w:rPr/>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Facsimile Number:</w:t>
      </w:r>
    </w:p>
    <w:p>
      <w:pPr>
        <w:pStyle w:val="TextBody"/>
        <w:spacing w:before="0" w:after="0"/>
        <w:ind w:left="0" w:right="0" w:hanging="0"/>
        <w:jc w:val="left"/>
        <w:rPr/>
      </w:pPr>
      <w:r>
        <w:rPr/>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Authorization: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By:             _____________</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Title:             _____________</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Dated:</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16134</Words>
  <CharactersWithSpaces>99440</CharactersWithSpaces>
  <Paragraphs>590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