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260" w:hanging="989"/>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1260" w:hanging="989"/>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8"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3800" w:type="dxa"/>
            <w:vAlign w:val="bottom"/>
          </w:tcPr>
          <w:p>
            <w:pPr>
              <w:jc w:val="right"/>
              <w:ind w:right="3612"/>
              <w:spacing w:after="0"/>
              <w:rPr>
                <w:sz w:val="20"/>
                <w:szCs w:val="20"/>
                <w:color w:val="auto"/>
              </w:rPr>
            </w:pPr>
            <w:r>
              <w:rPr>
                <w:rFonts w:ascii="Arial" w:cs="Arial" w:eastAsia="Arial" w:hAnsi="Arial"/>
                <w:sz w:val="18"/>
                <w:szCs w:val="18"/>
                <w:b w:val="1"/>
                <w:bCs w:val="1"/>
                <w:color w:val="auto"/>
              </w:rPr>
              <w:t>.</w:t>
            </w:r>
          </w:p>
        </w:tc>
      </w:tr>
      <w:tr>
        <w:trPr>
          <w:trHeight w:val="451"/>
        </w:trPr>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4"/>
          </w:tcPr>
          <w:p>
            <w:pPr>
              <w:jc w:val="center"/>
              <w:ind w:right="1912"/>
              <w:spacing w:after="0"/>
              <w:rPr>
                <w:sz w:val="20"/>
                <w:szCs w:val="20"/>
                <w:color w:val="auto"/>
              </w:rPr>
            </w:pPr>
            <w:r>
              <w:rPr>
                <w:rFonts w:ascii="Arial" w:cs="Arial" w:eastAsia="Arial" w:hAnsi="Arial"/>
                <w:sz w:val="18"/>
                <w:szCs w:val="18"/>
                <w:b w:val="1"/>
                <w:bCs w:val="1"/>
                <w:color w:val="auto"/>
                <w:w w:val="88"/>
              </w:rPr>
              <w:t>Commission File Number: 001-37761</w:t>
            </w:r>
          </w:p>
        </w:tc>
      </w:tr>
      <w:tr>
        <w:trPr>
          <w:trHeight w:val="574"/>
        </w:trPr>
        <w:tc>
          <w:tcPr>
            <w:tcW w:w="8100" w:type="dxa"/>
            <w:vAlign w:val="bottom"/>
            <w:gridSpan w:val="6"/>
          </w:tcPr>
          <w:p>
            <w:pPr>
              <w:jc w:val="center"/>
              <w:ind w:left="317"/>
              <w:spacing w:after="0"/>
              <w:rPr>
                <w:sz w:val="20"/>
                <w:szCs w:val="20"/>
                <w:color w:val="auto"/>
              </w:rPr>
            </w:pPr>
            <w:r>
              <w:rPr>
                <w:rFonts w:ascii="Arial" w:cs="Arial" w:eastAsia="Arial" w:hAnsi="Arial"/>
                <w:sz w:val="32"/>
                <w:szCs w:val="32"/>
                <w:b w:val="1"/>
                <w:bCs w:val="1"/>
                <w:color w:val="auto"/>
                <w:w w:val="92"/>
              </w:rPr>
              <w:t>VistaGen Therapeutics, Inc.</w:t>
            </w:r>
          </w:p>
        </w:tc>
      </w:tr>
      <w:tr>
        <w:trPr>
          <w:trHeight w:val="222"/>
        </w:trPr>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00" w:type="dxa"/>
            <w:vAlign w:val="bottom"/>
            <w:gridSpan w:val="4"/>
          </w:tcPr>
          <w:p>
            <w:pPr>
              <w:jc w:val="center"/>
              <w:ind w:right="191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426"/>
        </w:trPr>
        <w:tc>
          <w:tcPr>
            <w:tcW w:w="2400" w:type="dxa"/>
            <w:vAlign w:val="bottom"/>
            <w:gridSpan w:val="2"/>
          </w:tcPr>
          <w:p>
            <w:pPr>
              <w:jc w:val="center"/>
              <w:ind w:left="77"/>
              <w:spacing w:after="0"/>
              <w:rPr>
                <w:sz w:val="20"/>
                <w:szCs w:val="20"/>
                <w:color w:val="auto"/>
              </w:rPr>
            </w:pPr>
            <w:r>
              <w:rPr>
                <w:rFonts w:ascii="Arial" w:cs="Arial" w:eastAsia="Arial" w:hAnsi="Arial"/>
                <w:sz w:val="18"/>
                <w:szCs w:val="18"/>
                <w:b w:val="1"/>
                <w:bCs w:val="1"/>
                <w:color w:val="auto"/>
                <w:w w:val="90"/>
              </w:rPr>
              <w:t>Nevada</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left="3292"/>
              <w:spacing w:after="0"/>
              <w:rPr>
                <w:sz w:val="20"/>
                <w:szCs w:val="20"/>
                <w:color w:val="auto"/>
              </w:rPr>
            </w:pPr>
            <w:r>
              <w:rPr>
                <w:rFonts w:ascii="Arial" w:cs="Arial" w:eastAsia="Arial" w:hAnsi="Arial"/>
                <w:sz w:val="18"/>
                <w:szCs w:val="18"/>
                <w:b w:val="1"/>
                <w:bCs w:val="1"/>
                <w:color w:val="auto"/>
                <w:w w:val="87"/>
              </w:rPr>
              <w:t>20-5093315</w:t>
            </w:r>
          </w:p>
        </w:tc>
      </w:tr>
      <w:tr>
        <w:trPr>
          <w:trHeight w:val="216"/>
        </w:trPr>
        <w:tc>
          <w:tcPr>
            <w:tcW w:w="2400" w:type="dxa"/>
            <w:vAlign w:val="bottom"/>
            <w:gridSpan w:val="2"/>
          </w:tcPr>
          <w:p>
            <w:pPr>
              <w:jc w:val="center"/>
              <w:ind w:left="77"/>
              <w:spacing w:after="0"/>
              <w:rPr>
                <w:sz w:val="20"/>
                <w:szCs w:val="20"/>
                <w:color w:val="auto"/>
              </w:rPr>
            </w:pPr>
            <w:r>
              <w:rPr>
                <w:rFonts w:ascii="Arial" w:cs="Arial" w:eastAsia="Arial" w:hAnsi="Arial"/>
                <w:sz w:val="18"/>
                <w:szCs w:val="18"/>
                <w:i w:val="1"/>
                <w:iCs w:val="1"/>
                <w:color w:val="auto"/>
                <w:w w:val="91"/>
              </w:rPr>
              <w:t>(State or other jurisdiction of</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0" w:type="dxa"/>
            <w:vAlign w:val="bottom"/>
          </w:tcPr>
          <w:p>
            <w:pPr>
              <w:jc w:val="center"/>
              <w:ind w:left="2412"/>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2400" w:type="dxa"/>
            <w:vAlign w:val="bottom"/>
            <w:gridSpan w:val="2"/>
          </w:tcPr>
          <w:p>
            <w:pPr>
              <w:jc w:val="center"/>
              <w:ind w:left="77"/>
              <w:spacing w:after="0"/>
              <w:rPr>
                <w:sz w:val="20"/>
                <w:szCs w:val="20"/>
                <w:color w:val="auto"/>
              </w:rPr>
            </w:pPr>
            <w:r>
              <w:rPr>
                <w:rFonts w:ascii="Arial" w:cs="Arial" w:eastAsia="Arial" w:hAnsi="Arial"/>
                <w:sz w:val="18"/>
                <w:szCs w:val="18"/>
                <w:i w:val="1"/>
                <w:iCs w:val="1"/>
                <w:color w:val="auto"/>
                <w:w w:val="93"/>
              </w:rPr>
              <w:t>incorporation or organization)</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0" w:type="dxa"/>
            <w:vAlign w:val="bottom"/>
          </w:tcPr>
          <w:p>
            <w:pPr>
              <w:jc w:val="center"/>
              <w:ind w:left="2412"/>
              <w:spacing w:after="0"/>
              <w:rPr>
                <w:sz w:val="20"/>
                <w:szCs w:val="20"/>
                <w:color w:val="auto"/>
              </w:rPr>
            </w:pPr>
            <w:r>
              <w:rPr>
                <w:rFonts w:ascii="Arial" w:cs="Arial" w:eastAsia="Arial" w:hAnsi="Arial"/>
                <w:sz w:val="18"/>
                <w:szCs w:val="18"/>
                <w:i w:val="1"/>
                <w:iCs w:val="1"/>
                <w:color w:val="auto"/>
                <w:w w:val="92"/>
              </w:rPr>
              <w:t>Identification No.)</w:t>
            </w: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[X]</w:t>
            </w:r>
          </w:p>
        </w:tc>
      </w:tr>
      <w:tr>
        <w:trPr>
          <w:trHeight w:val="222"/>
        </w:trPr>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0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11, 2019, 31,120,465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722630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2018</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20" w:type="dxa"/>
            <w:vAlign w:val="bottom"/>
            <w:gridSpan w:val="10"/>
          </w:tcPr>
          <w:p>
            <w:pPr>
              <w:ind w:left="920"/>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960" w:type="dxa"/>
            <w:vAlign w:val="bottom"/>
            <w:gridSpan w:val="12"/>
            <w:shd w:val="clear" w:color="auto" w:fill="CCEEFF"/>
          </w:tcPr>
          <w:p>
            <w:pPr>
              <w:jc w:val="center"/>
              <w:ind w:right="340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60" w:type="dxa"/>
            <w:vAlign w:val="bottom"/>
            <w:gridSpan w:val="21"/>
          </w:tcPr>
          <w:p>
            <w:pPr>
              <w:ind w:left="1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December 31, 2018 and March 31, 2018</w:t>
              </w:r>
            </w:hyperlink>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60" w:type="dxa"/>
            <w:vAlign w:val="bottom"/>
            <w:gridSpan w:val="21"/>
            <w:shd w:val="clear" w:color="auto" w:fill="CCEEFF"/>
          </w:tcPr>
          <w:p>
            <w:pPr>
              <w:ind w:left="140"/>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for the three and nine months ended December 31, 2018</w:t>
              </w:r>
            </w:hyperlink>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922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2017</w:t>
              </w:r>
            </w:hyperlink>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60" w:type="dxa"/>
            <w:vAlign w:val="bottom"/>
            <w:gridSpan w:val="21"/>
          </w:tcPr>
          <w:p>
            <w:pPr>
              <w:ind w:left="1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nine months ended December 31, 2018 and 2017</w:t>
              </w:r>
            </w:hyperlink>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60" w:type="dxa"/>
            <w:vAlign w:val="bottom"/>
            <w:gridSpan w:val="21"/>
            <w:shd w:val="clear" w:color="auto" w:fill="CCEEFF"/>
          </w:tcPr>
          <w:p>
            <w:pPr>
              <w:ind w:left="1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1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0" w:type="dxa"/>
            <w:vAlign w:val="bottom"/>
            <w:gridSpan w:val="22"/>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0" w:type="dxa"/>
            <w:vAlign w:val="bottom"/>
            <w:gridSpan w:val="22"/>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4. Controls and Procedures</w:t>
              </w:r>
            </w:hyperlink>
          </w:p>
        </w:tc>
        <w:tc>
          <w:tcPr>
            <w:tcW w:w="1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520" w:type="dxa"/>
            <w:vAlign w:val="bottom"/>
            <w:gridSpan w:val="10"/>
            <w:shd w:val="clear" w:color="auto" w:fill="CCEEFF"/>
          </w:tcPr>
          <w:p>
            <w:pPr>
              <w:jc w:val="center"/>
              <w:ind w:right="3840"/>
              <w:spacing w:after="0" w:line="176" w:lineRule="exact"/>
              <w:rPr>
                <w:rFonts w:ascii="Arial" w:cs="Arial" w:eastAsia="Arial" w:hAnsi="Arial"/>
                <w:sz w:val="18"/>
                <w:szCs w:val="18"/>
                <w:b w:val="1"/>
                <w:bCs w:val="1"/>
                <w:color w:val="0000EE"/>
                <w:w w:val="99"/>
              </w:rPr>
            </w:pPr>
            <w:hyperlink w:anchor="page37">
              <w:r>
                <w:rPr>
                  <w:rFonts w:ascii="Arial" w:cs="Arial" w:eastAsia="Arial" w:hAnsi="Arial"/>
                  <w:sz w:val="18"/>
                  <w:szCs w:val="18"/>
                  <w:b w:val="1"/>
                  <w:bCs w:val="1"/>
                  <w:color w:val="0000EE"/>
                  <w:w w:val="99"/>
                </w:rPr>
                <w:t>PART II. OTHER INFORMATION</w:t>
              </w:r>
            </w:hyperlink>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Item 1.</w:t>
              </w:r>
            </w:hyperlink>
          </w:p>
        </w:tc>
        <w:tc>
          <w:tcPr>
            <w:tcW w:w="1340" w:type="dxa"/>
            <w:vAlign w:val="bottom"/>
            <w:tcBorders>
              <w:bottom w:val="single" w:sz="8" w:color="0000EE"/>
            </w:tcBorders>
            <w:gridSpan w:val="7"/>
            <w:shd w:val="clear" w:color="auto" w:fill="CCEEFF"/>
          </w:tcPr>
          <w:p>
            <w:pPr>
              <w:ind w:left="20"/>
              <w:spacing w:after="0" w:line="17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Legal Proceedings</w:t>
              </w:r>
            </w:hyperlink>
          </w:p>
        </w:tc>
        <w:tc>
          <w:tcPr>
            <w:tcW w:w="8520" w:type="dxa"/>
            <w:vAlign w:val="bottom"/>
            <w:tcBorders>
              <w:bottom w:val="single" w:sz="8" w:color="CCEEFF"/>
            </w:tcBorders>
            <w:gridSpan w:val="14"/>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60" w:type="dxa"/>
            <w:vAlign w:val="bottom"/>
            <w:gridSpan w:val="23"/>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1A. Risk Factors</w:t>
              </w:r>
            </w:hyperlink>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Item 2.</w:t>
              </w:r>
            </w:hyperlink>
          </w:p>
        </w:tc>
        <w:tc>
          <w:tcPr>
            <w:tcW w:w="4280" w:type="dxa"/>
            <w:vAlign w:val="bottom"/>
            <w:tcBorders>
              <w:bottom w:val="single" w:sz="8" w:color="0000EE"/>
            </w:tcBorders>
            <w:gridSpan w:val="12"/>
            <w:shd w:val="clear" w:color="auto" w:fill="CCEEFF"/>
          </w:tcPr>
          <w:p>
            <w:pPr>
              <w:ind w:left="20"/>
              <w:spacing w:after="0" w:line="17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Unregistered Sales of Equity Securities and Use of Proceeds</w:t>
              </w:r>
            </w:hyperlink>
          </w:p>
        </w:tc>
        <w:tc>
          <w:tcPr>
            <w:tcW w:w="5580" w:type="dxa"/>
            <w:vAlign w:val="bottom"/>
            <w:tcBorders>
              <w:bottom w:val="single" w:sz="8" w:color="CCEEFF"/>
            </w:tcBorders>
            <w:gridSpan w:val="9"/>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gridSpan w:val="2"/>
          </w:tcPr>
          <w:p>
            <w:pPr>
              <w:spacing w:after="0" w:line="17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Item 3.</w:t>
              </w:r>
            </w:hyperlink>
          </w:p>
        </w:tc>
        <w:tc>
          <w:tcPr>
            <w:tcW w:w="9860" w:type="dxa"/>
            <w:vAlign w:val="bottom"/>
            <w:gridSpan w:val="21"/>
          </w:tcPr>
          <w:p>
            <w:pPr>
              <w:ind w:left="2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Defaults Upon Senior Secured Securities</w:t>
              </w:r>
            </w:hyperlink>
          </w:p>
        </w:tc>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gridSpan w:val="2"/>
            <w:shd w:val="clear" w:color="auto" w:fill="CCEEFF"/>
          </w:tcPr>
          <w:p>
            <w:pPr>
              <w:spacing w:after="0" w:line="17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Item 6.</w:t>
              </w:r>
            </w:hyperlink>
          </w:p>
        </w:tc>
        <w:tc>
          <w:tcPr>
            <w:tcW w:w="986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1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gridSpan w:val="2"/>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0" w:type="dxa"/>
            <w:vAlign w:val="bottom"/>
            <w:gridSpan w:val="22"/>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1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VISTAGEN THERAPEUTICS, INC.</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0"/>
        </w:trPr>
        <w:tc>
          <w:tcPr>
            <w:tcW w:w="1240" w:type="dxa"/>
            <w:vAlign w:val="bottom"/>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1240" w:type="dxa"/>
            <w:vAlign w:val="bottom"/>
          </w:tcPr>
          <w:p>
            <w:pPr>
              <w:spacing w:after="0"/>
              <w:rPr>
                <w:sz w:val="19"/>
                <w:szCs w:val="19"/>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9"/>
        </w:trPr>
        <w:tc>
          <w:tcPr>
            <w:tcW w:w="1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March 31,</w:t>
            </w:r>
          </w:p>
        </w:tc>
      </w:tr>
      <w:tr>
        <w:trPr>
          <w:trHeight w:val="252"/>
        </w:trPr>
        <w:tc>
          <w:tcPr>
            <w:tcW w:w="12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1"/>
                <w:szCs w:val="21"/>
                <w:color w:val="auto"/>
              </w:rPr>
            </w:pPr>
          </w:p>
        </w:tc>
      </w:tr>
      <w:tr>
        <w:trPr>
          <w:trHeight w:val="241"/>
        </w:trPr>
        <w:tc>
          <w:tcPr>
            <w:tcW w:w="12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(Note 2)</w:t>
            </w:r>
          </w:p>
        </w:tc>
      </w:tr>
      <w:tr>
        <w:trPr>
          <w:trHeight w:val="486"/>
        </w:trPr>
        <w:tc>
          <w:tcPr>
            <w:tcW w:w="1240" w:type="dxa"/>
            <w:vAlign w:val="bottom"/>
          </w:tcPr>
          <w:p>
            <w:pPr>
              <w:spacing w:after="0"/>
              <w:rPr>
                <w:sz w:val="24"/>
                <w:szCs w:val="24"/>
                <w:color w:val="auto"/>
              </w:rPr>
            </w:pPr>
          </w:p>
        </w:tc>
        <w:tc>
          <w:tcPr>
            <w:tcW w:w="7580" w:type="dxa"/>
            <w:vAlign w:val="bottom"/>
          </w:tcPr>
          <w:p>
            <w:pPr>
              <w:jc w:val="center"/>
              <w:ind w:right="1232"/>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4"/>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10,378,300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644,800</w:t>
            </w:r>
          </w:p>
        </w:tc>
        <w:tc>
          <w:tcPr>
            <w:tcW w:w="140" w:type="dxa"/>
            <w:vAlign w:val="bottom"/>
          </w:tcPr>
          <w:p>
            <w:pPr>
              <w:spacing w:after="0"/>
              <w:rPr>
                <w:sz w:val="19"/>
                <w:szCs w:val="19"/>
                <w:color w:val="auto"/>
              </w:rPr>
            </w:pPr>
          </w:p>
        </w:tc>
      </w:tr>
      <w:tr>
        <w:trPr>
          <w:trHeight w:val="216"/>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11,023,100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334,900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207,400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Security deposits and 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7,521,800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11,278,300</w:t>
            </w:r>
          </w:p>
        </w:tc>
        <w:tc>
          <w:tcPr>
            <w:tcW w:w="140" w:type="dxa"/>
            <w:vAlign w:val="bottom"/>
          </w:tcPr>
          <w:p>
            <w:pPr>
              <w:spacing w:after="0"/>
              <w:rPr>
                <w:sz w:val="18"/>
                <w:szCs w:val="18"/>
                <w:color w:val="auto"/>
              </w:rPr>
            </w:pPr>
          </w:p>
        </w:tc>
      </w:tr>
      <w:tr>
        <w:trPr>
          <w:trHeight w:val="21"/>
        </w:trPr>
        <w:tc>
          <w:tcPr>
            <w:tcW w:w="1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jc w:val="center"/>
              <w:ind w:right="1232"/>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1,086,700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1,195,700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Current notes payable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1,458,500</w:t>
            </w:r>
          </w:p>
        </w:tc>
        <w:tc>
          <w:tcPr>
            <w:tcW w:w="140" w:type="dxa"/>
            <w:vAlign w:val="bottom"/>
          </w:tcPr>
          <w:p>
            <w:pPr>
              <w:spacing w:after="0"/>
              <w:rPr>
                <w:sz w:val="19"/>
                <w:szCs w:val="19"/>
                <w:color w:val="auto"/>
              </w:rPr>
            </w:pPr>
          </w:p>
        </w:tc>
      </w:tr>
      <w:tr>
        <w:trPr>
          <w:trHeight w:val="216"/>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dividends on Series B Preferred Stock</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Deferred rent liability</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285,600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gridSpan w:val="2"/>
          </w:tcPr>
          <w:p>
            <w:pPr>
              <w:ind w:left="38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3,863,200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2,903,200</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5,829,000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4,361,700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2"/>
        </w:trPr>
        <w:tc>
          <w:tcPr>
            <w:tcW w:w="8820" w:type="dxa"/>
            <w:vAlign w:val="bottom"/>
            <w:gridSpan w:val="2"/>
          </w:tcPr>
          <w:p>
            <w:pPr>
              <w:ind w:left="240"/>
              <w:spacing w:after="0"/>
              <w:rPr>
                <w:sz w:val="20"/>
                <w:szCs w:val="20"/>
                <w:color w:val="auto"/>
              </w:rPr>
            </w:pPr>
            <w:r>
              <w:rPr>
                <w:rFonts w:ascii="Arial" w:cs="Arial" w:eastAsia="Arial" w:hAnsi="Arial"/>
                <w:sz w:val="18"/>
                <w:szCs w:val="18"/>
                <w:color w:val="auto"/>
                <w:w w:val="98"/>
              </w:rPr>
              <w:t>Preferred stock, $0.001 par value; 10,000,000 shares authorized at December 31, 2018 and March 31, 2018: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8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Series A Preferred, 500,000 shares authorized, issued and outstanding at December 31, 2018 and March 31, 2018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21"/>
                <w:szCs w:val="21"/>
                <w:color w:val="auto"/>
              </w:rPr>
            </w:pPr>
          </w:p>
        </w:tc>
      </w:tr>
      <w:tr>
        <w:trPr>
          <w:trHeight w:val="216"/>
        </w:trPr>
        <w:tc>
          <w:tcPr>
            <w:tcW w:w="8820" w:type="dxa"/>
            <w:vAlign w:val="bottom"/>
            <w:gridSpan w:val="2"/>
          </w:tcPr>
          <w:p>
            <w:pPr>
              <w:ind w:left="380"/>
              <w:spacing w:after="0"/>
              <w:rPr>
                <w:sz w:val="20"/>
                <w:szCs w:val="20"/>
                <w:color w:val="auto"/>
              </w:rPr>
            </w:pPr>
            <w:r>
              <w:rPr>
                <w:rFonts w:ascii="Arial" w:cs="Arial" w:eastAsia="Arial" w:hAnsi="Arial"/>
                <w:sz w:val="18"/>
                <w:szCs w:val="18"/>
                <w:color w:val="auto"/>
                <w:w w:val="95"/>
              </w:rPr>
              <w:t>Series B Preferred; 4,000,000 shares authorized at December 31, 2018 and March 31, 2018; 1,160,240 shares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issued and outstanding at December 31, 2018 and March 31, 2018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21"/>
                <w:szCs w:val="21"/>
                <w:color w:val="auto"/>
              </w:rPr>
            </w:pPr>
          </w:p>
        </w:tc>
      </w:tr>
      <w:tr>
        <w:trPr>
          <w:trHeight w:val="216"/>
        </w:trPr>
        <w:tc>
          <w:tcPr>
            <w:tcW w:w="8820" w:type="dxa"/>
            <w:vAlign w:val="bottom"/>
            <w:gridSpan w:val="2"/>
          </w:tcPr>
          <w:p>
            <w:pPr>
              <w:ind w:left="380"/>
              <w:spacing w:after="0"/>
              <w:rPr>
                <w:sz w:val="20"/>
                <w:szCs w:val="20"/>
                <w:color w:val="auto"/>
              </w:rPr>
            </w:pPr>
            <w:r>
              <w:rPr>
                <w:rFonts w:ascii="Arial" w:cs="Arial" w:eastAsia="Arial" w:hAnsi="Arial"/>
                <w:sz w:val="18"/>
                <w:szCs w:val="18"/>
                <w:color w:val="auto"/>
                <w:w w:val="95"/>
              </w:rPr>
              <w:t>Series C Preferred; 3,000,000 shares authorized at December 31, 2018 and March 31, 2018; 2,318,012 shares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issued and outstanding at December 31, 2018 and March 31, 2018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21"/>
                <w:szCs w:val="21"/>
                <w:color w:val="auto"/>
              </w:rPr>
            </w:pP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w w:val="97"/>
              </w:rPr>
              <w:t>Common stock, $0.001 par value; 100,000,000 shares authorized at December 31, 2018 and March 31, 2018;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31,204,380 and 23,068,280 shares issued and outstanding at December 31, 2018 and March 31, 2018, respectively</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31,200</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23,100</w:t>
            </w:r>
          </w:p>
        </w:tc>
        <w:tc>
          <w:tcPr>
            <w:tcW w:w="140" w:type="dxa"/>
            <w:vAlign w:val="bottom"/>
            <w:shd w:val="clear" w:color="auto" w:fill="CCEEFF"/>
          </w:tcPr>
          <w:p>
            <w:pPr>
              <w:spacing w:after="0"/>
              <w:rPr>
                <w:sz w:val="21"/>
                <w:szCs w:val="21"/>
                <w:color w:val="auto"/>
              </w:rPr>
            </w:pPr>
          </w:p>
        </w:tc>
      </w:tr>
      <w:tr>
        <w:trPr>
          <w:trHeight w:val="216"/>
        </w:trPr>
        <w:tc>
          <w:tcPr>
            <w:tcW w:w="882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181,035,800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167,401,400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Treasury stock, at cost, 135,665 shares of common stock held at December 31, 2018 and March 31, 2018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r>
      <w:tr>
        <w:trPr>
          <w:trHeight w:val="223"/>
        </w:trPr>
        <w:tc>
          <w:tcPr>
            <w:tcW w:w="8820" w:type="dxa"/>
            <w:vAlign w:val="bottom"/>
            <w:gridSpan w:val="2"/>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(175,410,100)</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(156,543,800)</w:t>
            </w:r>
          </w:p>
        </w:tc>
      </w:tr>
      <w:tr>
        <w:trPr>
          <w:trHeight w:val="223"/>
        </w:trPr>
        <w:tc>
          <w:tcPr>
            <w:tcW w:w="8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6,916,600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7,521,800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11,278,300</w:t>
            </w:r>
          </w:p>
        </w:tc>
        <w:tc>
          <w:tcPr>
            <w:tcW w:w="140" w:type="dxa"/>
            <w:vAlign w:val="bottom"/>
          </w:tcPr>
          <w:p>
            <w:pPr>
              <w:spacing w:after="0"/>
              <w:rPr>
                <w:sz w:val="18"/>
                <w:szCs w:val="18"/>
                <w:color w:val="auto"/>
              </w:rPr>
            </w:pPr>
          </w:p>
        </w:tc>
      </w:tr>
      <w:tr>
        <w:trPr>
          <w:trHeight w:val="21"/>
        </w:trPr>
        <w:tc>
          <w:tcPr>
            <w:tcW w:w="1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89"/>
              </w:rPr>
              <w:t>Three Months Ended December</w:t>
            </w:r>
          </w:p>
        </w:tc>
        <w:tc>
          <w:tcPr>
            <w:tcW w:w="100" w:type="dxa"/>
            <w:vAlign w:val="bottom"/>
          </w:tcPr>
          <w:p>
            <w:pPr>
              <w:spacing w:after="0"/>
              <w:rPr>
                <w:sz w:val="18"/>
                <w:szCs w:val="18"/>
                <w:color w:val="auto"/>
              </w:rPr>
            </w:pPr>
          </w:p>
        </w:tc>
        <w:tc>
          <w:tcPr>
            <w:tcW w:w="25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8"/>
              </w:rPr>
              <w:t>Nine Months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5,335,500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1,601,800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13,340,300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1,856,800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1,266,000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5,494,100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4,997,400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7,192,300</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2,867,800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18,834,400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10,122,000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(7,192,300)</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(2,867,800)</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(18,834,400)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(10,122,000)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(1,800)</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(6,800)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accounts payable</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(22,700)</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(135,000)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(7,216,800)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(3,004,800)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(18,863,900)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(10,264,700)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(7,216,800)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(3,004,800)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(18,866,300)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(10,267,100)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Accrued dividend on Series B Preferred stock</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(290,900)</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(263,000)</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(848,000)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(766,600)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Deemed dividend from trigger of down round provision feature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(199,200)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(7,507,700)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(3,467,000)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(19,714,300)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(11,232,900)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and diluted net loss attributable to common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per common share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basic</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and diluted net loss attributable to common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per common share</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30,696,312</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13,895,642</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26,418,440</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10,947,556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w:t>
      </w:r>
    </w:p>
    <w:p>
      <w:pPr>
        <w:spacing w:after="0" w:line="200" w:lineRule="exact"/>
        <w:rPr>
          <w:sz w:val="20"/>
          <w:szCs w:val="20"/>
          <w:color w:val="auto"/>
        </w:rPr>
      </w:pPr>
    </w:p>
    <w:p>
      <w:pPr>
        <w:spacing w:after="0" w:line="229"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Nine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r>
      <w:tr>
        <w:trPr>
          <w:trHeight w:val="242"/>
        </w:trPr>
        <w:tc>
          <w:tcPr>
            <w:tcW w:w="8820" w:type="dxa"/>
            <w:vAlign w:val="bottom"/>
          </w:tcPr>
          <w:p>
            <w:pPr>
              <w:ind w:left="6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(18,866,300)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(10,267,100)</w:t>
            </w:r>
          </w:p>
        </w:tc>
      </w:tr>
      <w:tr>
        <w:trPr>
          <w:trHeight w:val="242"/>
        </w:trPr>
        <w:tc>
          <w:tcPr>
            <w:tcW w:w="8820" w:type="dxa"/>
            <w:vAlign w:val="bottom"/>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2,519,700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1,386,900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related to modification of warrants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Fair value of common stock granted for services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277,600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1,554,800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common stock issued for product licenses and option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Fair value of warrants granted for services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extinguishment of accounts payable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511,800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(41,800)</w:t>
            </w:r>
          </w:p>
        </w:tc>
      </w:tr>
      <w:tr>
        <w:trPr>
          <w:trHeight w:val="223"/>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tcPr>
          <w:p>
            <w:pPr>
              <w:ind w:left="2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(10,970,300)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(6,454,700)</w:t>
            </w:r>
          </w:p>
        </w:tc>
      </w:tr>
      <w:tr>
        <w:trPr>
          <w:trHeight w:val="216"/>
        </w:trPr>
        <w:tc>
          <w:tcPr>
            <w:tcW w:w="88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Cash flows from property and investing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Purchases of equipment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w:t>
            </w:r>
          </w:p>
        </w:tc>
      </w:tr>
      <w:tr>
        <w:trPr>
          <w:trHeight w:val="216"/>
        </w:trPr>
        <w:tc>
          <w:tcPr>
            <w:tcW w:w="8820" w:type="dxa"/>
            <w:vAlign w:val="bottom"/>
          </w:tcPr>
          <w:p>
            <w:pPr>
              <w:ind w:left="100"/>
              <w:spacing w:after="0"/>
              <w:rPr>
                <w:sz w:val="20"/>
                <w:szCs w:val="20"/>
                <w:color w:val="auto"/>
              </w:rPr>
            </w:pPr>
            <w:r>
              <w:rPr>
                <w:rFonts w:ascii="Arial" w:cs="Arial" w:eastAsia="Arial" w:hAnsi="Arial"/>
                <w:sz w:val="18"/>
                <w:szCs w:val="18"/>
                <w:color w:val="auto"/>
              </w:rPr>
              <w:t>Construction of tenant improvements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(169,800)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7"/>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(169,800)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w:t>
            </w:r>
          </w:p>
        </w:tc>
      </w:tr>
      <w:tr>
        <w:trPr>
          <w:trHeight w:val="216"/>
        </w:trPr>
        <w:tc>
          <w:tcPr>
            <w:tcW w:w="88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0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6,608,700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16,721,900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exercise of warrants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00"/>
              <w:spacing w:after="0"/>
              <w:rPr>
                <w:sz w:val="20"/>
                <w:szCs w:val="20"/>
                <w:color w:val="auto"/>
              </w:rPr>
            </w:pPr>
            <w:r>
              <w:rPr>
                <w:rFonts w:ascii="Arial" w:cs="Arial" w:eastAsia="Arial" w:hAnsi="Arial"/>
                <w:sz w:val="18"/>
                <w:szCs w:val="18"/>
                <w:color w:val="auto"/>
              </w:rPr>
              <w:t>Repayment of capital lease obligations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(1,700)</w:t>
            </w:r>
          </w:p>
        </w:tc>
      </w:tr>
      <w:tr>
        <w:trPr>
          <w:trHeight w:val="223"/>
        </w:trPr>
        <w:tc>
          <w:tcPr>
            <w:tcW w:w="8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Repayment of notes payable</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(153,400)</w:t>
            </w:r>
          </w:p>
        </w:tc>
      </w:tr>
      <w:tr>
        <w:trPr>
          <w:trHeight w:val="223"/>
        </w:trPr>
        <w:tc>
          <w:tcPr>
            <w:tcW w:w="882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7,047,100</w:t>
            </w:r>
          </w:p>
        </w:tc>
        <w:tc>
          <w:tcPr>
            <w:tcW w:w="2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16,566,800</w:t>
            </w:r>
          </w:p>
        </w:tc>
        <w:tc>
          <w:tcPr>
            <w:tcW w:w="140" w:type="dxa"/>
            <w:vAlign w:val="bottom"/>
            <w:tcBorders>
              <w:top w:val="single" w:sz="8" w:color="CCEEFF"/>
            </w:tcBorders>
          </w:tcPr>
          <w:p>
            <w:pPr>
              <w:spacing w:after="0"/>
              <w:rPr>
                <w:sz w:val="19"/>
                <w:szCs w:val="19"/>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(4,093,000)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10,110,500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10,378,300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2,921,300</w:t>
            </w:r>
          </w:p>
        </w:tc>
        <w:tc>
          <w:tcPr>
            <w:tcW w:w="140" w:type="dxa"/>
            <w:vAlign w:val="bottom"/>
          </w:tcPr>
          <w:p>
            <w:pPr>
              <w:spacing w:after="0"/>
              <w:rPr>
                <w:sz w:val="19"/>
                <w:szCs w:val="19"/>
                <w:color w:val="auto"/>
              </w:rPr>
            </w:pPr>
          </w:p>
        </w:tc>
      </w:tr>
      <w:tr>
        <w:trPr>
          <w:trHeight w:val="257"/>
        </w:trPr>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6,285,300</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13,031,800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8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Supplemental disclosure of noncash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 premiums settled by issuing note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Accrued dividends on Series B Preferred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848,000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766,600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Deemed dividend from trigger of down round provision feature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199,200</w:t>
            </w:r>
          </w:p>
        </w:tc>
        <w:tc>
          <w:tcPr>
            <w:tcW w:w="140" w:type="dxa"/>
            <w:vAlign w:val="bottom"/>
            <w:shd w:val="clear" w:color="auto" w:fill="CCEEFF"/>
          </w:tcPr>
          <w:p>
            <w:pPr>
              <w:spacing w:after="0"/>
              <w:rPr>
                <w:sz w:val="18"/>
                <w:szCs w:val="18"/>
                <w:color w:val="auto"/>
              </w:rPr>
            </w:pPr>
          </w:p>
        </w:tc>
      </w:tr>
      <w:tr>
        <w:trPr>
          <w:trHeight w:val="222"/>
        </w:trPr>
        <w:tc>
          <w:tcPr>
            <w:tcW w:w="8820" w:type="dxa"/>
            <w:vAlign w:val="bottom"/>
          </w:tcPr>
          <w:p>
            <w:pPr>
              <w:ind w:left="180"/>
              <w:spacing w:after="0"/>
              <w:rPr>
                <w:sz w:val="20"/>
                <w:szCs w:val="20"/>
                <w:color w:val="auto"/>
              </w:rPr>
            </w:pPr>
            <w:r>
              <w:rPr>
                <w:rFonts w:ascii="Arial" w:cs="Arial" w:eastAsia="Arial" w:hAnsi="Arial"/>
                <w:sz w:val="18"/>
                <w:szCs w:val="18"/>
                <w:color w:val="auto"/>
              </w:rPr>
              <w:t>Settlement of accounts payable by issuance of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450,000</w:t>
            </w:r>
          </w:p>
        </w:tc>
        <w:tc>
          <w:tcPr>
            <w:tcW w:w="140" w:type="dxa"/>
            <w:vAlign w:val="bottom"/>
          </w:tcPr>
          <w:p>
            <w:pPr>
              <w:spacing w:after="0"/>
              <w:rPr>
                <w:sz w:val="19"/>
                <w:szCs w:val="1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VistaGen Therapeutics. Inc., a Nevada corporation (which may be referred to as </w:t>
      </w:r>
      <w:r>
        <w:rPr>
          <w:rFonts w:ascii="Arial" w:cs="Arial" w:eastAsia="Arial" w:hAnsi="Arial"/>
          <w:sz w:val="16"/>
          <w:szCs w:val="16"/>
          <w:i w:val="1"/>
          <w:iCs w:val="1"/>
          <w:color w:val="auto"/>
        </w:rPr>
        <w:t>VistaGen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our</w:t>
      </w:r>
      <w:r>
        <w:rPr>
          <w:rFonts w:ascii="Arial" w:cs="Arial" w:eastAsia="Arial" w:hAnsi="Arial"/>
          <w:sz w:val="16"/>
          <w:szCs w:val="16"/>
          <w:color w:val="auto"/>
        </w:rPr>
        <w:t xml:space="preserve">, or </w:t>
      </w:r>
      <w:r>
        <w:rPr>
          <w:rFonts w:ascii="Arial" w:cs="Arial" w:eastAsia="Arial" w:hAnsi="Arial"/>
          <w:sz w:val="16"/>
          <w:szCs w:val="16"/>
          <w:i w:val="1"/>
          <w:iCs w:val="1"/>
          <w:color w:val="auto"/>
        </w:rPr>
        <w:t>us</w:t>
      </w:r>
      <w:r>
        <w:rPr>
          <w:rFonts w:ascii="Arial" w:cs="Arial" w:eastAsia="Arial" w:hAnsi="Arial"/>
          <w:sz w:val="16"/>
          <w:szCs w:val="16"/>
          <w:color w:val="auto"/>
        </w:rPr>
        <w:t>), is a clinical-stage biopharmaceutical company focused on developing new generation medicines for multiple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diseases and disorders with high unmet need. We believe each of our CNS pipeline candidates, AV-101, PH10 and PH94B, has the potential to be administered at home and provide rapid-onset therapeutic benefits without psychological or other side effects and safety concerns associated with many current and potential new generation medications for CNS diseases and disorders, such as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and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affecting millions of individuals in the United States and foreign markets. Each drug candidate in our pipeline is either currently in or has successfully completed Phase 2 clinical development. AV-101, our oral NMDA receptor glycine B antagonist, is in Phase 2 development, initially as an adjunctive treatment of MDD. The FDA has granted Fast Track designation for development of AV-101 as both a potential adjunctive treatment of MDD and as a non-opioid treatment for neuropathic pain. PH10, our potentially first-in-class, rapid-onset neuroactive steroid nasal spray for MDD, has completed an initial successful exploratory Phase 2 clinical study and is now being prepared for a multi-dose follow-on Phase 2 clinical study in MDD. PH94B, our potentially first-in-class, rapid-onset neuroactive steroid nasal spray for as-needed (</w:t>
      </w:r>
      <w:r>
        <w:rPr>
          <w:rFonts w:ascii="Arial" w:cs="Arial" w:eastAsia="Arial" w:hAnsi="Arial"/>
          <w:sz w:val="16"/>
          <w:szCs w:val="16"/>
          <w:i w:val="1"/>
          <w:iCs w:val="1"/>
          <w:color w:val="auto"/>
        </w:rPr>
        <w:t>PRN</w:t>
      </w:r>
      <w:r>
        <w:rPr>
          <w:rFonts w:ascii="Arial" w:cs="Arial" w:eastAsia="Arial" w:hAnsi="Arial"/>
          <w:sz w:val="16"/>
          <w:szCs w:val="16"/>
          <w:color w:val="auto"/>
        </w:rPr>
        <w:t>) treatment of SAD, has completed a successful Phase 2 clinical program, a successful pilot Phase 3 study and is now being prepared for pivotal Phase 3 clinical development, with potential to be the first FDA-approved PRN treatment of SAD.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AV-101, an investigational prodrug candidate in Phase 2 clinical development, is an orally bioavailable NMDAR GlyB (N-methyl-D-aspartate receptor glycine B) antagonist in development as a potential new treatment for multiple CNS indications with high unmet need, including MDD, neuropathic pain (</w:t>
      </w:r>
      <w:r>
        <w:rPr>
          <w:rFonts w:ascii="Arial" w:cs="Arial" w:eastAsia="Arial" w:hAnsi="Arial"/>
          <w:sz w:val="16"/>
          <w:szCs w:val="16"/>
          <w:i w:val="1"/>
          <w:iCs w:val="1"/>
          <w:color w:val="auto"/>
        </w:rPr>
        <w:t>NP</w:t>
      </w:r>
      <w:r>
        <w:rPr>
          <w:rFonts w:ascii="Arial" w:cs="Arial" w:eastAsia="Arial" w:hAnsi="Arial"/>
          <w:sz w:val="16"/>
          <w:szCs w:val="16"/>
          <w:color w:val="auto"/>
        </w:rPr>
        <w:t>), levodopa-induced dyskinesia associated with Parkinson’s disease therapy (</w:t>
      </w:r>
      <w:r>
        <w:rPr>
          <w:rFonts w:ascii="Arial" w:cs="Arial" w:eastAsia="Arial" w:hAnsi="Arial"/>
          <w:sz w:val="16"/>
          <w:szCs w:val="16"/>
          <w:i w:val="1"/>
          <w:iCs w:val="1"/>
          <w:color w:val="auto"/>
        </w:rPr>
        <w:t>PD LID)</w:t>
      </w:r>
      <w:r>
        <w:rPr>
          <w:rFonts w:ascii="Arial" w:cs="Arial" w:eastAsia="Arial" w:hAnsi="Arial"/>
          <w:sz w:val="16"/>
          <w:szCs w:val="16"/>
          <w:color w:val="auto"/>
        </w:rPr>
        <w:t xml:space="preserve"> and suicidal ideation (</w:t>
      </w:r>
      <w:r>
        <w:rPr>
          <w:rFonts w:ascii="Arial" w:cs="Arial" w:eastAsia="Arial" w:hAnsi="Arial"/>
          <w:sz w:val="16"/>
          <w:szCs w:val="16"/>
          <w:i w:val="1"/>
          <w:iCs w:val="1"/>
          <w:color w:val="auto"/>
        </w:rPr>
        <w:t>SI</w:t>
      </w:r>
      <w:r>
        <w:rPr>
          <w:rFonts w:ascii="Arial" w:cs="Arial" w:eastAsia="Arial" w:hAnsi="Arial"/>
          <w:sz w:val="16"/>
          <w:szCs w:val="16"/>
          <w:color w:val="auto"/>
        </w:rPr>
        <w:t>). In two NIH-funded AV-101 Phase 1 clinical safety studies, AV-101 was well tolerated in healthy subjects at all doses tested, in both single-ascending and multiple-ascending dose studies, without causing any observed psychological or sedative side effects. The United States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has granted Fast Track designation for development of AV-101 as a potential new treatment for adjunctive treatment of MDD and for treatment of NP.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Depressive Disorder</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Major depressive disorder is a serious biologically-based mood disorder, affecting approximately 16 million adults in the United States according to the U.S. National Institute of Mental Health (the </w:t>
      </w:r>
      <w:r>
        <w:rPr>
          <w:rFonts w:ascii="Arial" w:cs="Arial" w:eastAsia="Arial" w:hAnsi="Arial"/>
          <w:sz w:val="16"/>
          <w:szCs w:val="16"/>
          <w:i w:val="1"/>
          <w:iCs w:val="1"/>
          <w:color w:val="auto"/>
        </w:rPr>
        <w:t>NIMH</w:t>
      </w:r>
      <w:r>
        <w:rPr>
          <w:rFonts w:ascii="Arial" w:cs="Arial" w:eastAsia="Arial" w:hAnsi="Arial"/>
          <w:sz w:val="16"/>
          <w:szCs w:val="16"/>
          <w:color w:val="auto"/>
        </w:rPr>
        <w:t>). The CDC estimates that one in four women and one in six men in the United States have been diagnosed with MDD. Individuals diagnosed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about one in eight Americans aged 12 and over takes an FDA-approved antidepressant, and there are an estimated 11.6 million drug-treated patients suffering from MDD. While current FDA-approved antidepressants are widely used, the STAR*D study, the largest clinical trial conducted in depression to date, found that approximately two-thirds of patients with MDD do not respond to their initial antidepressant treatment, of which approximately 5.1 million patients remain resistant to treatment following the second antidepressant treatment. According to the NIMH, inadequate response to current antidepressants is among the key reasons MDD is a leading public health concern in the United States, creating a significant unmet medical need for new agents with fundamentally different mechanisms of action.</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believe oral AV-101 has potential for multiple applications in global depression markets if successfully developed and approved. Given its excellent tolerability profile, we believe AV-101 has potential as a new generation monotherapy and as an adjunctive therapy to both (i) augment current antidepressants approved by the FDA for patients with MDD who have an inadequate response to standard antidepressants (SSRIs and SNRIs) and (ii) prevent relapse of MDD following successful intravenous or intranasal treatment with 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a member of a class of drugs that block NMDA receptor activity. Ketamine is an FDA-approved, rapid-acting general anesthetic currently administered only by intravenous or intramuscular injection. The off-label use of ketamine in treatment-resistant depression (</w:t>
      </w:r>
      <w:r>
        <w:rPr>
          <w:rFonts w:ascii="Arial" w:cs="Arial" w:eastAsia="Arial" w:hAnsi="Arial"/>
          <w:sz w:val="16"/>
          <w:szCs w:val="16"/>
          <w:i w:val="1"/>
          <w:iCs w:val="1"/>
          <w:color w:val="auto"/>
        </w:rPr>
        <w:t>TRD</w:t>
      </w:r>
      <w:r>
        <w:rPr>
          <w:rFonts w:ascii="Arial" w:cs="Arial" w:eastAsia="Arial" w:hAnsi="Arial"/>
          <w:sz w:val="16"/>
          <w:szCs w:val="16"/>
          <w:color w:val="auto"/>
        </w:rPr>
        <w:t>), defined as those patients who have failed at least two prior treatment attempts involving current antidepressants, has been studied in numerous clinical trials conducted by depression experts at Yale University and other academic institutions, as well as at the NIMH, including by Dr. Carlos Zarate, Jr., the NIMH’s Chief of Experimental Therapeutics &amp; Pathophysiology Branch and of the Section on Neurobiology and Treatment of Mood and Anxiety Disorders. In randomized, placebo-controlled, double blind clinical trials reported by Dr. Zarate and others at the NIMH, a single sub-anesthetic dose of ketamine (0.5 mg/kg over 40 minutes) produced robust and rapid (within twenty-four hours) antidepressant effects in MDD patients who had not responded to at least two prior treatment attempts involving standard antidepressants. These results were in sharp contrast to the very slow-onset activity of SSRIs and SNRIs, which usually require many weeks or more of chronic usage to achieve similar antidepressant effects. We believe AV-101 may have potential to deliver rapid-onset antidepressant effects similar to ketamine, but without causing psychological, sedative or other side effects and safety concerns associated with ketamine, and as an oral therapy conveniently administered at home rather than in a medical setting or involving the required the use of needles.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AV-101 is currently in Phase 2 clinical development in the United States for MDD. ELEVATE is our ongoing Phase 2 multi-center, multi-dose, double blind, placebo-controlled clinical study to evaluate the efficacy and safety of AV-101 as a new generation adjunctive treatment of MDD in adult patients with an inadequate therapeutic response to current FDA-approved antidepressants (the </w:t>
      </w:r>
      <w:r>
        <w:rPr>
          <w:rFonts w:ascii="Arial" w:cs="Arial" w:eastAsia="Arial" w:hAnsi="Arial"/>
          <w:sz w:val="18"/>
          <w:szCs w:val="18"/>
          <w:i w:val="1"/>
          <w:iCs w:val="1"/>
          <w:color w:val="auto"/>
        </w:rPr>
        <w:t>ELEVATE Study</w:t>
      </w:r>
      <w:r>
        <w:rPr>
          <w:rFonts w:ascii="Arial" w:cs="Arial" w:eastAsia="Arial" w:hAnsi="Arial"/>
          <w:sz w:val="18"/>
          <w:szCs w:val="18"/>
          <w:color w:val="auto"/>
        </w:rPr>
        <w:t>). Dr. Maurizio Fava, Professor of Psychiatry at Harvard Medical School and Director, Division of Clinical Research, Massachusetts General Hospital (</w:t>
      </w:r>
      <w:r>
        <w:rPr>
          <w:rFonts w:ascii="Arial" w:cs="Arial" w:eastAsia="Arial" w:hAnsi="Arial"/>
          <w:sz w:val="18"/>
          <w:szCs w:val="18"/>
          <w:i w:val="1"/>
          <w:iCs w:val="1"/>
          <w:color w:val="auto"/>
        </w:rPr>
        <w:t>MGH</w:t>
      </w:r>
      <w:r>
        <w:rPr>
          <w:rFonts w:ascii="Arial" w:cs="Arial" w:eastAsia="Arial" w:hAnsi="Arial"/>
          <w:sz w:val="18"/>
          <w:szCs w:val="18"/>
          <w:color w:val="auto"/>
        </w:rPr>
        <w:t xml:space="preserve">) Research Institute, is the Principal Investigator of the ELEVATE Study assisting our internal team, which is led by Mark Smith, MD, PhD, our Chief Medical Officer. Dr. Fava was the co-Principal Investigator with Dr. A. John Rush of the STAR*D study, the findings of which were published in journals such as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w:t>
      </w:r>
      <w:r>
        <w:rPr>
          <w:rFonts w:ascii="Arial" w:cs="Arial" w:eastAsia="Arial" w:hAnsi="Arial"/>
          <w:sz w:val="18"/>
          <w:szCs w:val="18"/>
          <w:i w:val="1"/>
          <w:iCs w:val="1"/>
          <w:color w:val="auto"/>
        </w:rPr>
        <w:t>NEJM</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Journal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American Medical Association </w:t>
      </w:r>
      <w:r>
        <w:rPr>
          <w:rFonts w:ascii="Arial" w:cs="Arial" w:eastAsia="Arial" w:hAnsi="Arial"/>
          <w:sz w:val="18"/>
          <w:szCs w:val="18"/>
          <w:color w:val="auto"/>
        </w:rPr>
        <w:t>(</w:t>
      </w:r>
      <w:r>
        <w:rPr>
          <w:rFonts w:ascii="Arial" w:cs="Arial" w:eastAsia="Arial" w:hAnsi="Arial"/>
          <w:sz w:val="18"/>
          <w:szCs w:val="18"/>
          <w:i w:val="1"/>
          <w:iCs w:val="1"/>
          <w:color w:val="auto"/>
        </w:rPr>
        <w:t>JAMA</w:t>
      </w:r>
      <w:r>
        <w:rPr>
          <w:rFonts w:ascii="Arial" w:cs="Arial" w:eastAsia="Arial" w:hAnsi="Arial"/>
          <w:sz w:val="18"/>
          <w:szCs w:val="18"/>
          <w:color w:val="auto"/>
        </w:rPr>
        <w:t>).</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AV-101 is also the subject of a small randomized, double-blind, placebo-controlled cross-over Phase 2 clinical study being conducted and funded by the NIMH, 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w:t>
      </w:r>
      <w:r>
        <w:rPr>
          <w:rFonts w:ascii="Arial" w:cs="Arial" w:eastAsia="Arial" w:hAnsi="Arial"/>
          <w:sz w:val="16"/>
          <w:szCs w:val="16"/>
          <w:i w:val="1"/>
          <w:iCs w:val="1"/>
          <w:color w:val="auto"/>
        </w:rPr>
        <w:t>NIMH Study</w:t>
      </w:r>
      <w:r>
        <w:rPr>
          <w:rFonts w:ascii="Arial" w:cs="Arial" w:eastAsia="Arial" w:hAnsi="Arial"/>
          <w:sz w:val="16"/>
          <w:szCs w:val="16"/>
          <w:color w:val="auto"/>
        </w:rPr>
        <w:t>). Dr. Carlos Zarate, Jr., Chief of the NIMH’s Experimental Therapeutics &amp; Pathophysiology Branch and its Section on Neurobiology and Treatment of Mood and Anxiety Disorders, is acting as the Principal Investigator for the NIMH Study. This trial is focused on the pharmacodynamic and potential therapeutic effects in such patients using standard measurements of clinical responses and measurement of responses of a number of biomarkers associated with engagement of the NMDA receptor thought to be associated with clinical response. Dr. Zarate and the NIMH were among the first in the U.S. to conduct clinical studies in MDD patients with inadequate responses to multiple current FDA-approved antidepressants that demonstrated the robust, fast-acting antidepressant effects of ketamine within twenty-four hours of a single sub-anesthetic dose administered by IV injection.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FDA has granted Fast Track designation for development of AV-101 as a potential new adjunctive treatment of MDD.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Suicidal Ideation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According to 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every year approximately 800,000 people worldwide take their own life and many more attempt suicide. The CDC views suicide as a major public health concern in the United States, as rates of suicide have been increasing for both men and women and across all age groups. Suicide is the 10th leading cause of death in the U.S. and is one of just three leading causes that are on the rise. According to experts in the field of suicidal ideation (</w:t>
      </w:r>
      <w:r>
        <w:rPr>
          <w:rFonts w:ascii="Arial" w:cs="Arial" w:eastAsia="Arial" w:hAnsi="Arial"/>
          <w:sz w:val="16"/>
          <w:szCs w:val="16"/>
          <w:i w:val="1"/>
          <w:iCs w:val="1"/>
          <w:color w:val="auto"/>
        </w:rPr>
        <w:t>SI</w:t>
      </w:r>
      <w:r>
        <w:rPr>
          <w:rFonts w:ascii="Arial" w:cs="Arial" w:eastAsia="Arial" w:hAnsi="Arial"/>
          <w:sz w:val="16"/>
          <w:szCs w:val="16"/>
          <w:color w:val="auto"/>
        </w:rPr>
        <w:t>), characterized as suicidal thoughts and behavior, the number of Americans who die by suicide is, since 2010, higher than those who die in motor vehicle accidents. People of all genders, ages, and ethnicities can be at risk for suicide. Suicidal ideation is complex and there is no single cause. The NIMH attributes many different factors contribute to someone making a suicide attempt, including, but not limited to, depression, other mental health disorders or substance abuse disorder. Additionally, according to reports released by the United States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the U.S. Military Veteran population is at significantly higher risk for suicide than the general population.</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collaborating with Baylor College of Medicine (</w:t>
      </w:r>
      <w:r>
        <w:rPr>
          <w:rFonts w:ascii="Arial" w:cs="Arial" w:eastAsia="Arial" w:hAnsi="Arial"/>
          <w:sz w:val="18"/>
          <w:szCs w:val="18"/>
          <w:i w:val="1"/>
          <w:iCs w:val="1"/>
          <w:color w:val="auto"/>
        </w:rPr>
        <w:t>Baylor</w:t>
      </w:r>
      <w:r>
        <w:rPr>
          <w:rFonts w:ascii="Arial" w:cs="Arial" w:eastAsia="Arial" w:hAnsi="Arial"/>
          <w:sz w:val="18"/>
          <w:szCs w:val="18"/>
          <w:color w:val="auto"/>
        </w:rPr>
        <w:t xml:space="preserve">) and the VA on a small Phase 1b clinical trial of AV-101 involving healthy volunteer U.S. Military Veterans from either Operation Enduring Freedom, Operation Iraqi Freedom or Operation New Dawn (the </w:t>
      </w:r>
      <w:r>
        <w:rPr>
          <w:rFonts w:ascii="Arial" w:cs="Arial" w:eastAsia="Arial" w:hAnsi="Arial"/>
          <w:sz w:val="18"/>
          <w:szCs w:val="18"/>
          <w:i w:val="1"/>
          <w:iCs w:val="1"/>
          <w:color w:val="auto"/>
        </w:rPr>
        <w:t>Baylor Study</w:t>
      </w:r>
      <w:r>
        <w:rPr>
          <w:rFonts w:ascii="Arial" w:cs="Arial" w:eastAsia="Arial" w:hAnsi="Arial"/>
          <w:sz w:val="18"/>
          <w:szCs w:val="18"/>
          <w:color w:val="auto"/>
        </w:rPr>
        <w:t>). The Baylor Study is a randomized, double-blind, placebo-controlled cross-over study designed as a target engagement study as the first-step in our plans to test potential anti-suicidal effects of AV-101 in U.S. Military Veterans. Dr. Marijn Lijffijt of Baylor is the Principal Investigator of the Baylor Study. VistaGen and the VA entered into a Material Transfer Cooperative Research and Development Agreement (</w:t>
      </w:r>
      <w:r>
        <w:rPr>
          <w:rFonts w:ascii="Arial" w:cs="Arial" w:eastAsia="Arial" w:hAnsi="Arial"/>
          <w:sz w:val="18"/>
          <w:szCs w:val="18"/>
          <w:i w:val="1"/>
          <w:iCs w:val="1"/>
          <w:color w:val="auto"/>
        </w:rPr>
        <w:t>MT CRADA</w:t>
      </w:r>
      <w:r>
        <w:rPr>
          <w:rFonts w:ascii="Arial" w:cs="Arial" w:eastAsia="Arial" w:hAnsi="Arial"/>
          <w:sz w:val="18"/>
          <w:szCs w:val="18"/>
          <w:color w:val="auto"/>
        </w:rPr>
        <w:t>) regarding clinical trial material for the Baylor Study. Government funding from the VA is being provided for substantially all other study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Neuropathic Pain</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Neuropathic pain (</w:t>
      </w:r>
      <w:r>
        <w:rPr>
          <w:rFonts w:ascii="Arial" w:cs="Arial" w:eastAsia="Arial" w:hAnsi="Arial"/>
          <w:sz w:val="16"/>
          <w:szCs w:val="16"/>
          <w:i w:val="1"/>
          <w:iCs w:val="1"/>
          <w:color w:val="auto"/>
        </w:rPr>
        <w:t>NP</w:t>
      </w:r>
      <w:r>
        <w:rPr>
          <w:rFonts w:ascii="Arial" w:cs="Arial" w:eastAsia="Arial" w:hAnsi="Arial"/>
          <w:sz w:val="16"/>
          <w:szCs w:val="16"/>
          <w:color w:val="auto"/>
        </w:rPr>
        <w:t>), a complex, chronic pain state affecting millions of Americans, results from problems with signals from nerves. The American Chronic Pain Association has identified various causes of NP, including tissue injury, nerve damage or disease, diabetes, infection, toxins, certain types of drugs, such as antivirals and chemotherapeutic agents, certain cancers, and even chronic alcohol intake. With NP, damaged, dysfunctional or injured nerve fibers send incorrect signals to other pain centers and impact nerve function both at the site of injury and areas around the injury. Unfortunately, many NP treatments on the market today have side effects, including anxiety, depression, dizziness, cognitive impairment and/or sedation.</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effects of AV-101 as a potential new treatment for NP were assessed in published peer-reviewed preclinical studies involving four well-established models of pain. In these studies, AV-101 was observed to have robust, dose-dependent anti-nociceptive effects, as measured by dose-dependent reversal of NP in the Chung (nerve ligation), formalin and carrageenan thermal models in rats, and was well-tolerated. The publication, titled: “</w:t>
      </w:r>
      <w:r>
        <w:rPr>
          <w:rFonts w:ascii="Arial" w:cs="Arial" w:eastAsia="Arial" w:hAnsi="Arial"/>
          <w:sz w:val="16"/>
          <w:szCs w:val="16"/>
          <w:i w:val="1"/>
          <w:iCs w:val="1"/>
          <w:color w:val="auto"/>
        </w:rPr>
        <w:t>Characterization of the effects of L-4-chlorokynurenine on nociception in rodents</w:t>
      </w:r>
      <w:r>
        <w:rPr>
          <w:rFonts w:ascii="Arial" w:cs="Arial" w:eastAsia="Arial" w:hAnsi="Arial"/>
          <w:sz w:val="16"/>
          <w:szCs w:val="16"/>
          <w:color w:val="auto"/>
        </w:rPr>
        <w:t>,” by lead author, Tony L. Yaksh, Ph.D., Professor in Anesthesiology at the University of California, San Diego,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published in </w:t>
      </w:r>
      <w:r>
        <w:rPr>
          <w:rFonts w:ascii="Arial" w:cs="Arial" w:eastAsia="Arial" w:hAnsi="Arial"/>
          <w:sz w:val="16"/>
          <w:szCs w:val="16"/>
          <w:i w:val="1"/>
          <w:iCs w:val="1"/>
          <w:color w:val="auto"/>
        </w:rPr>
        <w:t>The Journal of Pain</w:t>
      </w:r>
      <w:r>
        <w:rPr>
          <w:rFonts w:ascii="Arial" w:cs="Arial" w:eastAsia="Arial" w:hAnsi="Arial"/>
          <w:sz w:val="16"/>
          <w:szCs w:val="16"/>
          <w:color w:val="auto"/>
        </w:rPr>
        <w:t xml:space="preserve"> in April 2017 (J Pain. 18:1184-1196, 2017)). Gabapentin, an FDA-approved anticonvulsant, has been associated with sedation and mild cognitive impairment in third party literature. Other commonly prescribed medications for NP include drugs targeting opioid receptors in the brain. Unfortunately, misuse of such drugs can lead to a significantly increased risk of addiction, and, we believe, their therapeutic utility for neuropathic pain is unclear. We are planning to advance AV-101 into an exploratory Phase 2a clinical study, subject to securing sufficient capital, to assess its potential as a new oral non-opioid treatment to reduce debilitating NP, as well as its potential to avoid sedative side effects and cognitive impairment that have been observed in third party literature to be associated with other NP treatments, and to reduce the risk of addiction associated with pain medications targeting opioid receptors.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FDA has granted Fast Track designation for development of AV-101 as a potential new, non-opioid treatment of NP.</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Parkinson’s Disease Levodopa-Induced Dyskinesia</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Parkinson's disease (</w:t>
      </w:r>
      <w:r>
        <w:rPr>
          <w:rFonts w:ascii="Arial" w:cs="Arial" w:eastAsia="Arial" w:hAnsi="Arial"/>
          <w:sz w:val="18"/>
          <w:szCs w:val="18"/>
          <w:i w:val="1"/>
          <w:iCs w:val="1"/>
          <w:color w:val="auto"/>
        </w:rPr>
        <w:t>PD</w:t>
      </w:r>
      <w:r>
        <w:rPr>
          <w:rFonts w:ascii="Arial" w:cs="Arial" w:eastAsia="Arial" w:hAnsi="Arial"/>
          <w:sz w:val="18"/>
          <w:szCs w:val="18"/>
          <w:color w:val="auto"/>
        </w:rPr>
        <w:t>) is a chronic, progressive motor disorder that causes tremors, rigidity, slowed movements and postural instability. The most commonly-prescribed treatments for PD are levodopa-based therapies. Unfortunately, abnormal involuntary movements, called dyskinesias, gradually emerge as a prominent side-effect in response to previously beneficial doses of levodopa. Parkinson’s disease levodopa-induced dyskinesia (</w:t>
      </w:r>
      <w:r>
        <w:rPr>
          <w:rFonts w:ascii="Arial" w:cs="Arial" w:eastAsia="Arial" w:hAnsi="Arial"/>
          <w:sz w:val="18"/>
          <w:szCs w:val="18"/>
          <w:i w:val="1"/>
          <w:iCs w:val="1"/>
          <w:color w:val="auto"/>
        </w:rPr>
        <w:t>PD LID</w:t>
      </w:r>
      <w:r>
        <w:rPr>
          <w:rFonts w:ascii="Arial" w:cs="Arial" w:eastAsia="Arial" w:hAnsi="Arial"/>
          <w:sz w:val="18"/>
          <w:szCs w:val="18"/>
          <w:color w:val="auto"/>
        </w:rPr>
        <w:t>) can be severely disabling, rendering patients unable to perform routine daily tasks.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 preclinical monkey model of PD, AV-101 resulted in a 30% reduction of the mean dyskinesia score associated with PD LID. Importantly, AV-101 did not reduce the anti-parkinsonian therapeutic benefit of levodopa. Moreover, the duration of levodopa response and delay to levodopa effect were not affected by treatment with AV-101. We believe AV-101 has potential to reduce troublesome dyskinesia experienced by many patients with PD as a result of their levodopa therapy, but without interfering with levodopa or causing side effects resulting from certain current PD LID treatments, such as amantadine, including hallucinations, dizziness, dry mouth, swelling of legs and feet, constipation and falls. We are planning to advance clinical development of AV-101 for PD LID in an exploratory Phase 2 clinical study, subject to securing sufficient capital, as our next initiative in PD LID.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2018, we acquired, on a non-cash basis through the issuance of unregistered shares of our common stock, a license from Pherin Pharmaceuticals, Inc. (</w:t>
      </w:r>
      <w:r>
        <w:rPr>
          <w:rFonts w:ascii="Arial" w:cs="Arial" w:eastAsia="Arial" w:hAnsi="Arial"/>
          <w:sz w:val="18"/>
          <w:szCs w:val="18"/>
          <w:i w:val="1"/>
          <w:iCs w:val="1"/>
          <w:color w:val="auto"/>
        </w:rPr>
        <w:t>Pherin</w:t>
      </w:r>
      <w:r>
        <w:rPr>
          <w:rFonts w:ascii="Arial" w:cs="Arial" w:eastAsia="Arial" w:hAnsi="Arial"/>
          <w:sz w:val="18"/>
          <w:szCs w:val="18"/>
          <w:color w:val="auto"/>
        </w:rPr>
        <w:t>) giving us the exclusive worldwide rights to develop and commercialize PH94B, a rapid-onset neurosteroid nasal spray with potential to be the first FDA-approved PRN treatment for SAD.</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PH94B is a synthetic investigational neuroactive steroid for which Phase 2 clinical data showed that the product was well tolerated and demonstrated a rapid onset of effect, as measured by the Subjective Units of Distress (</w:t>
      </w:r>
      <w:r>
        <w:rPr>
          <w:rFonts w:ascii="Arial" w:cs="Arial" w:eastAsia="Arial" w:hAnsi="Arial"/>
          <w:sz w:val="16"/>
          <w:szCs w:val="16"/>
          <w:i w:val="1"/>
          <w:iCs w:val="1"/>
          <w:color w:val="auto"/>
        </w:rPr>
        <w:t>SUD</w:t>
      </w:r>
      <w:r>
        <w:rPr>
          <w:rFonts w:ascii="Arial" w:cs="Arial" w:eastAsia="Arial" w:hAnsi="Arial"/>
          <w:sz w:val="16"/>
          <w:szCs w:val="16"/>
          <w:color w:val="auto"/>
        </w:rPr>
        <w:t>) and the Liebowitz Social Anxiety Scale (</w:t>
      </w:r>
      <w:r>
        <w:rPr>
          <w:rFonts w:ascii="Arial" w:cs="Arial" w:eastAsia="Arial" w:hAnsi="Arial"/>
          <w:sz w:val="16"/>
          <w:szCs w:val="16"/>
          <w:i w:val="1"/>
          <w:iCs w:val="1"/>
          <w:color w:val="auto"/>
        </w:rPr>
        <w:t>LSAS</w:t>
      </w:r>
      <w:r>
        <w:rPr>
          <w:rFonts w:ascii="Arial" w:cs="Arial" w:eastAsia="Arial" w:hAnsi="Arial"/>
          <w:sz w:val="16"/>
          <w:szCs w:val="16"/>
          <w:color w:val="auto"/>
        </w:rPr>
        <w:t>) in SAD, a social phobia that affects as many as 22 million American adults according to the NIMH. SAD is characterized by an intense and persistent fear of embarrassment, humiliation, judgment and rejection in everyday social or performance situations, leading to avoidance of anxiety and fear-producing social situations when possible. SAD has a significant impact on the individual’s employment, social activities and overall quality of life. According to the NIMH, an estimated 7% of the U.S. population suffers from SAD. SAD is commonly treated chronically with antidepressants, which have slow onset of effect (several weeks or months) and known side effects that may make them unattractive to individuals intermittently or episodically affected by SAD.</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Administered as a nasal spray, PH94B is designed to act locally on peripheral nasal chemosensory receptors to trigger rapid activation of the limbic system areas of the brain associated with SAD. In prior clinical studies, PH94B demonstrated rapid (10-15 minutes) anxiety reduction for subjects with SAD, measured by the SUD and LSAS, and was not observed to be addictive, sedative or have other adverse events. Benzodiazepines and beta blockers, which are currently prescribed off-label to treat SAD, have been found in third party literature to have these addictive or sedative properties, and have other adverse effects when used to treat SAD.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clinical studies in which PH94B was observed to have rapid-onset of effect on anxiety reduction, as measured by the SUD and LSAS, and to be well-tolerated, and in light of its novel route of administration and on-demand dosing design, we believe PH94B has potential to be the first FDA-approved medication for long-term PRN treatment of individuals with SAD.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PH10</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October 2018, we acquired, on a non-cash basis through the issuance of unregistered shares of our common stock, a second license from Pherin giving us the exclusive worldwide rights to develop and commercialize PH10, a synthetic investigational neuroactive steroid nasal spray for which exploratory Phase 2 clinical data showed that it was well tolerated and demonstrated a rapid onset of antidepressant effects. PH10 is designed to bind locally on nasal chemosensory receptors and trigger responses in the hypothalamus, amygdala, prefrontal cortex and hippocampus affecting depression. It is believed that PH10 may initiate nerve impulses that follow defined pathways to directly affect brain function. In a small exploratory Phase 2a study in patients with MDD, PH10 showed a rapid-onset antidepressant effect, as measured by the Hamilton Depression Rating Scale (</w:t>
      </w:r>
      <w:r>
        <w:rPr>
          <w:rFonts w:ascii="Arial" w:cs="Arial" w:eastAsia="Arial" w:hAnsi="Arial"/>
          <w:sz w:val="16"/>
          <w:szCs w:val="16"/>
          <w:i w:val="1"/>
          <w:iCs w:val="1"/>
          <w:color w:val="auto"/>
        </w:rPr>
        <w:t>HAM</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D</w:t>
      </w:r>
      <w:r>
        <w:rPr>
          <w:rFonts w:ascii="Arial" w:cs="Arial" w:eastAsia="Arial" w:hAnsi="Arial"/>
          <w:sz w:val="16"/>
          <w:szCs w:val="16"/>
          <w:color w:val="auto"/>
        </w:rPr>
        <w:t>), without psychological side effects or safety concerns. PH10 is a new generation antidepressant with a mechanism of action that is fundamentally different from all current antidepressants. As with AV-101, we believe PH10 intranasal has potential for multiple applications in global depression markets, as a stand-alone first line therapy and as an adjunctive therapy, if successfully developed and approved. In addition to its potential as a first-line monotherapy administered conveniently at-home, we believe PH10 has potential as an adjunctive therapy to (i) augment current antidepressants approved by the FDA for patients with MDD who have an inadequate response to standard antidepressants (SSRIs and SNRIs), and (ii) prevent relapse of MDD following successful treatment with ketamine, either intravenously- or intranasally-administered ketamine.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VistaStem</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our CNS business, we have two additional programs through our wholly-owned subsidiary VistaGen Therapeutics, Inc., a California corporation, dba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VistaStem is focused on applying stem cell technology to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CNS pipeline or out-licensing. We have exclusively sublicensed to BlueRock Therapeutics LP, a next generation cell therapy and RM company established by Bayer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the BlueRock Agreement, we may pursue additional VistaStem collaborations or licensing transactions involving stem cell-derived blood, cartilage, and/or liver cells RM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VistaStem is our wholly-owned subsidiary. Our Condensed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wholly-owned inactive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w:t>
      </w:r>
      <w:r>
        <w:rPr>
          <w:rFonts w:ascii="Arial" w:cs="Arial" w:eastAsia="Arial" w:hAnsi="Arial"/>
          <w:sz w:val="18"/>
          <w:szCs w:val="18"/>
          <w:i w:val="1"/>
          <w:iCs w:val="1"/>
          <w:color w:val="auto"/>
        </w:rPr>
        <w:t>U.S. GAAP</w:t>
      </w:r>
      <w:r>
        <w:rPr>
          <w:rFonts w:ascii="Arial" w:cs="Arial" w:eastAsia="Arial" w:hAnsi="Arial"/>
          <w:sz w:val="18"/>
          <w:szCs w:val="18"/>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2018 has been derived from our audited consolidated financial statements at that date but does not include all disclosures required by U.S. GAAP. The operating results for the three and nine months ended December 31, 2018 are not necessarily indicative of the operating results to be expected for our fiscal year ending March 31, 2019, or for any other future interim or other period.</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notes to Condensed Consolidated Financial Statements contained in this Report should be read in conjunction with our audited Consolidated Financial Statements for our fiscal year ended March 31, 2018 contained in our Annual Report on Form 10-K, as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26, 2018.</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$175.4 million accumulated from inception (May 1998) through December 31, 2018. We expect losses and negative cash flows from operations to continue for the foreseeable future as we engage in further development of AV-101, PH94B and PH10, execute our drug rescue programs and pursue potential drug development and regenerative medicine opportunities.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in May 1998 through December 31, 2018, we have financed our operations and technology acquisitions primarily through the issuance and sale of our equity and debt securities for cash proceeds of approximately $68.6 million, as well as from an aggregate of approximately $17.6 million of government research grant awards (excluding the fair market value of the NIMH Study and the Baylor Study), strategic collaboration payments, intellectual property sublicensing and other revenues. Additionally, we have issued equity securities with an approximate value at issuance of $38.1 million in non-cash acquisitions of product licenses and in settlements of certain liabilities, including liabilities for professional services rendered to us or as compensation for such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we had cash and cash equivalents of approximately $6.3 million.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Our cash position at December 31, 2018 considered with our recurring and anticipated losses, negative cash flows from operations and limited stockholders’ equity make it probable, in the absence of additional financing, that we will not have sufficient resources to fund our planned operations for the twelve months following the issuance of these financial statements, during which time we plan to complete our ELEVATE study, prepare for pivotal Phase 3 development of PH94B, conduct additional clinical and preclinical studies involving AV-101 and prepare for a Phase 2 clinical trial of PH10, and raises substantial doubt that we can continue as a going concern. Nevertheless, when necessary and advantageous, we plan to raise additional capital, primarily through the sale of our equity securities in one or more private placements to accredited investors or in public offerings. Subject to certain restrictions, our effective Registration Statement on Form S-3 (Registration No. 333-215671)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remains available for future sales of our equity securities in one or more public offerings from time to time. While we may make additional sales of our equity securities under the S-3 Registration Statement, we do not have an obligation to do so. As in the past, we expect that, when and as necessary, we will be successful in raising additional capital from the sale of our equity securities either in one or more public offerings or in one or more private placement transactions with individual accredited investors or institutions.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potential sale of our equity securities, we may also seek to enter into research, development and/or commercialization collaborations that could generate revenue or provide funding, including non-dilutive funding, for development of AV-101, PH94B, PH10 and/or additional product candidates. We may also seek additional government grant awards or agreements similar, for example, to our current CRADA with the NIMH, which provides for the NIMH to fully fund the NIMH Study, or similar to our relationships with Baylor and the VA in connection with the Baylor Study. Such strategic collaborations may provide non-dilutive resources to advance our strategic initiatives while reducing a portion of our future cash outlays and working capital requirements. We may also pursue intellectual property arrangements similar to the BlueRock Agreement with other parties. Although we may seek additional collaborations that could generate revenue and/or non-dilutive funding for development of AV-101, PH94B, PH10 or other product candidates, as well as new government grant awards and/or agreements similar to our CRADA with NIMH, no assurance can be provided that any such collaborations, awards or agreements will occur in the future.</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timing, scope and nature of opportunities related to our success and the success of certain other companies in clinical trials, including our development and commercialization of our current product candidates and various potential drug rescue applications of our stem cell technology platform, the availability of, and our ability to obtain, government grant awards and agreements, and our ability to enter into collaborations on terms acceptable to us. To further advance the clinical development of AV-101, PH10 and PH94B, and, to a lesser extent, drug rescue applications of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Notwithstanding the foregoing, there can be no assurance that future financings or government or other strategic collaborations will be available to us in sufficient amounts, in a timely manner, or on terms acceptable to us, if at all. If we are unable to obtain substantial additional financing on a timely basis when needed in 2019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historically to value warrants and warrant modifications. With the exception of the BlueRock Agreement pursuant to which we recorded sublicense revenue in the third quarter of our fiscal year ended March 31, 2017, we do not currently have, nor have we had during the periods covered by this Report, any arrangements requiring the recognition of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AV-101, PH94B, PH10, and stem cell research and development costs, and costs related to the application and prosecution of patents related to those product candidates and, to a lesser extent, our stem cell technology platform. All such costs are charged to expense as incurred. We also record accruals for estimated ongoing clinical trial costs. Clinical trial costs represent costs incurred by contract research organizations (</w:t>
      </w:r>
      <w:r>
        <w:rPr>
          <w:rFonts w:ascii="Arial" w:cs="Arial" w:eastAsia="Arial" w:hAnsi="Arial"/>
          <w:sz w:val="16"/>
          <w:szCs w:val="16"/>
          <w:i w:val="1"/>
          <w:iCs w:val="1"/>
          <w:color w:val="auto"/>
        </w:rPr>
        <w:t>CRO</w:t>
      </w:r>
      <w:r>
        <w:rPr>
          <w:rFonts w:ascii="Arial" w:cs="Arial" w:eastAsia="Arial" w:hAnsi="Arial"/>
          <w:sz w:val="16"/>
          <w:szCs w:val="16"/>
          <w:color w:val="auto"/>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 Costs incurred in obtaining product or technology licenses are charged immediately to research and development expense if the product or technology licensed has not achieved regulatory approval or reached technical feasibility and has no alternative future uses. In September 2018, we acquired an exclusive license to develop and commercialize PH94B and an option to acquire a license to develop and commercialize PH10 by issuing an aggregate of 1,630,435 unregistered shares of our Common Stock having a fair market value of $2,250,000. In October 2018, we exercised our option to acquire an exclusive license to develop and commercialize PH10 by issuing 925,926 shares of our unregistered Common Stock having a fair market value of $2,000,000. Since, at the date of each acquisition, neither product candidate has achieved regulatory approval and each will require significant additional development and expense, we have expensed the costs related to acquiring the licenses and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 compensation cost for all stock-based awards to employees and non-employee consultants based on the grant date fair value of the award. We record non-cash, stock-based compensation expense over the period during which the employee is required to perform services in exchange for the award, which generally represents the scheduled vesting period. We have not granted restricted stock awards to employees nor do we have any awards with market or performance conditions. For option grants to non-employees, we re-measure the fair value of the awards as they vest and the resulting value is recognized as an expense during the period over which the services are performed. Non-cash expense attributable to compensatory grants of stock to non-employees is determined by the quoted market price of the stock on the date of grant and is either recognized as fully-earned at the time of the grant or expensed ratably over the term of the related service agreement, depending on the terms of the specific agreement.</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three and nine months ended December 31,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Three Months Ended December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Nine Months Ended December</w:t>
            </w:r>
          </w:p>
        </w:tc>
      </w:tr>
      <w:tr>
        <w:trPr>
          <w:trHeight w:val="237"/>
        </w:trPr>
        <w:tc>
          <w:tcPr>
            <w:tcW w:w="6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6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r>
      <w:tr>
        <w:trPr>
          <w:trHeight w:val="243"/>
        </w:trPr>
        <w:tc>
          <w:tcPr>
            <w:tcW w:w="6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 expense:</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Stock option grants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274,900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299,100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955,600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627,400</w:t>
            </w: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Stock option grants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459,800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390,200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1,564,100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759,500</w:t>
            </w:r>
          </w:p>
        </w:tc>
        <w:tc>
          <w:tcPr>
            <w:tcW w:w="14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734,700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689,300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2,519,700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1,386,900</w:t>
            </w:r>
          </w:p>
        </w:tc>
        <w:tc>
          <w:tcPr>
            <w:tcW w:w="140" w:type="dxa"/>
            <w:vAlign w:val="bottom"/>
          </w:tcPr>
          <w:p>
            <w:pPr>
              <w:spacing w:after="0"/>
              <w:rPr>
                <w:sz w:val="18"/>
                <w:szCs w:val="18"/>
                <w:color w:val="auto"/>
              </w:rPr>
            </w:pPr>
          </w:p>
        </w:tc>
      </w:tr>
      <w:tr>
        <w:trPr>
          <w:trHeight w:val="21"/>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In August 2018, our Board approved the grant of options from our 2016 Amended and Restated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to purchase an aggregate of 860,000 shares of our Common Stock at an exercise price of $1.27 per share to the independent members of our Board, our officers and our employees. We valued the options granted in August 2018 using the Black-Scholes Option Pricing Model and the following weighted average assumptions:</w:t>
      </w:r>
    </w:p>
    <w:p>
      <w:pPr>
        <w:spacing w:after="0" w:line="182" w:lineRule="exact"/>
        <w:rPr>
          <w:sz w:val="20"/>
          <w:szCs w:val="20"/>
          <w:color w:val="auto"/>
        </w:rPr>
      </w:pPr>
    </w:p>
    <w:tbl>
      <w:tblPr>
        <w:tblLayout w:type="fixed"/>
        <w:tblInd w:w="2860" w:type="dxa"/>
        <w:tblCellMar>
          <w:top w:w="0" w:type="dxa"/>
          <w:left w:w="0" w:type="dxa"/>
          <w:bottom w:w="0" w:type="dxa"/>
          <w:right w:w="0" w:type="dxa"/>
        </w:tblCellMar>
      </w:tblPr>
      <w:tr>
        <w:trPr>
          <w:trHeight w:val="237"/>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280" w:type="dxa"/>
            <w:vAlign w:val="bottom"/>
          </w:tcPr>
          <w:p>
            <w:pPr>
              <w:spacing w:after="0"/>
              <w:rPr>
                <w:sz w:val="20"/>
                <w:szCs w:val="20"/>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August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Dividend rate</w:t>
            </w:r>
          </w:p>
        </w:tc>
        <w:tc>
          <w:tcPr>
            <w:tcW w:w="2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August 2018, our Board also approved the modification of outstanding options having exercise prices over $1.56 per share and held by independent members of our Board, our officers and our employees to reduce the exercise prices thereof to $1.50 per share. We calculated the fair value of the options immediately before and after the modification using the Black-Scholes Option Pricing Model and the weighted average assumptions indicated in the table below. We immediately recognized the additional fair value attributable to vested options, $258,100, as stock compensation expense, which is included in the figures reported above. The additional fair value resulting from the modification is being expensed over the remaining vesting period of the modified options.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expected term in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Number of option shares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2,419,503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2,419,503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October 2018, we granted to certain professional service providers and consultants options to purchase an aggregate of 250,000 shares of our common stock at exercise prices ranging from $1.52 per share to $2.20 per share, reflecting the quoted closing price of our common stock on the Nasdaq Capital Market on the date of the grant. We valued the options granted in October 2018 using the Black-Scholes Option Pricing Model and the following weighted average assumptions: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w w:val="91"/>
              </w:rPr>
              <w:t>October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00" w:type="dxa"/>
            <w:vAlign w:val="bottom"/>
          </w:tcPr>
          <w:p>
            <w:pPr>
              <w:jc w:val="right"/>
              <w:ind w:right="1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Dividend rate</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At December 31, 2018, there were stock options outstanding to purchase 6,410,338 shares of our common stock at a weighted average exercise price of $1.47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Subsequent Events</w:t>
      </w:r>
      <w:r>
        <w:rPr>
          <w:rFonts w:ascii="Arial" w:cs="Arial" w:eastAsia="Arial" w:hAnsi="Arial"/>
          <w:sz w:val="18"/>
          <w:szCs w:val="18"/>
          <w:color w:val="auto"/>
        </w:rPr>
        <w:t>, for information regarding option grants and exercises occurring since December 31,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net loss attributable to common stockholders per share of common stock excludes the effect of dilution and is computed by dividing net loss increased by the accrual of dividends on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net loss for all periods presented, potentially dilutive securities were excluded from the computation of diluted net loss per share, as their effect would be antidilutive. Potentially dilutive securities excluded in determining diluted net loss attributable to common stockholders per common share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6"/>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7580" w:type="dxa"/>
            <w:vAlign w:val="bottom"/>
          </w:tcPr>
          <w:p>
            <w:pPr>
              <w:spacing w:after="0"/>
              <w:rPr>
                <w:sz w:val="24"/>
                <w:szCs w:val="24"/>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360" w:type="dxa"/>
            <w:vAlign w:val="bottom"/>
            <w:tcBorders>
              <w:top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1,160,240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1,160,240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89"/>
              </w:rPr>
              <w:t>Outstanding options under the Amended and Restated 2016 (formerly 2008) and 1999 Stock Incentive Plans (1999 Plan in</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3"/>
          </w:tcPr>
          <w:p>
            <w:pPr>
              <w:spacing w:after="0"/>
              <w:rPr>
                <w:sz w:val="20"/>
                <w:szCs w:val="20"/>
                <w:color w:val="auto"/>
              </w:rPr>
            </w:pPr>
            <w:r>
              <w:rPr>
                <w:rFonts w:ascii="Arial" w:cs="Arial" w:eastAsia="Arial" w:hAnsi="Arial"/>
                <w:sz w:val="18"/>
                <w:szCs w:val="18"/>
                <w:color w:val="auto"/>
              </w:rPr>
              <w:t>2017 only)</w:t>
            </w:r>
          </w:p>
        </w:tc>
        <w:tc>
          <w:tcPr>
            <w:tcW w:w="1100" w:type="dxa"/>
            <w:vAlign w:val="bottom"/>
          </w:tcPr>
          <w:p>
            <w:pPr>
              <w:jc w:val="right"/>
              <w:spacing w:after="0"/>
              <w:rPr>
                <w:sz w:val="20"/>
                <w:szCs w:val="20"/>
                <w:color w:val="auto"/>
              </w:rPr>
            </w:pPr>
            <w:r>
              <w:rPr>
                <w:rFonts w:ascii="Arial" w:cs="Arial" w:eastAsia="Arial" w:hAnsi="Arial"/>
                <w:sz w:val="18"/>
                <w:szCs w:val="18"/>
                <w:color w:val="auto"/>
              </w:rPr>
              <w:t>6,410,338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3,279,871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21,499,955</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16,918,292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32,138,545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24,426,415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ind w:left="200" w:hanging="192"/>
        <w:spacing w:after="0" w:line="210" w:lineRule="auto"/>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Assumes exchange under the terms of the October 11, 2012 Note Exchange and Purchase Agreement, as amended.</w:t>
      </w:r>
    </w:p>
    <w:p>
      <w:pPr>
        <w:spacing w:after="0" w:line="7" w:lineRule="exact"/>
        <w:rPr>
          <w:rFonts w:ascii="Arial" w:cs="Arial" w:eastAsia="Arial" w:hAnsi="Arial"/>
          <w:sz w:val="23"/>
          <w:szCs w:val="23"/>
          <w:color w:val="auto"/>
          <w:vertAlign w:val="superscript"/>
        </w:rPr>
      </w:pPr>
    </w:p>
    <w:p>
      <w:pPr>
        <w:ind w:right="180" w:firstLine="8"/>
        <w:spacing w:after="0" w:line="239" w:lineRule="auto"/>
        <w:tabs>
          <w:tab w:leader="none" w:pos="18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B 10% Convertible Preferred Stock, effective May 5, 2015.</w:t>
      </w:r>
    </w:p>
    <w:p>
      <w:pPr>
        <w:ind w:right="560" w:firstLine="8"/>
        <w:spacing w:after="0" w:line="248" w:lineRule="auto"/>
        <w:tabs>
          <w:tab w:leader="none" w:pos="18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C Convertible Preferred Stock, effective January 25,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use derivative instruments for hedging of market risks or for trading or speculative purposes. We carried no assets or liabilities that are measured on a recurring basis at fair value at December 31, 2018 or March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described below, there have been no recent accounting pronouncements or changes in accounting pronouncements during the nine months ended December 31, 2018, as compared to the recent accounting pronouncements described in our Form 10-K for our fiscal year ended March 31, 2018, that are of significance or potential significance to us.</w:t>
      </w:r>
    </w:p>
    <w:p>
      <w:pPr>
        <w:spacing w:after="0" w:line="194"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In June 2018, the Financial Accounting Standards Board (</w:t>
      </w:r>
      <w:r>
        <w:rPr>
          <w:rFonts w:ascii="Arial" w:cs="Arial" w:eastAsia="Arial" w:hAnsi="Arial"/>
          <w:sz w:val="15"/>
          <w:szCs w:val="15"/>
          <w:i w:val="1"/>
          <w:iCs w:val="1"/>
          <w:color w:val="auto"/>
        </w:rPr>
        <w:t>FASB</w:t>
      </w:r>
      <w:r>
        <w:rPr>
          <w:rFonts w:ascii="Arial" w:cs="Arial" w:eastAsia="Arial" w:hAnsi="Arial"/>
          <w:sz w:val="15"/>
          <w:szCs w:val="15"/>
          <w:color w:val="auto"/>
        </w:rPr>
        <w:t>) issued Accounting Standards Update (</w:t>
      </w:r>
      <w:r>
        <w:rPr>
          <w:rFonts w:ascii="Arial" w:cs="Arial" w:eastAsia="Arial" w:hAnsi="Arial"/>
          <w:sz w:val="15"/>
          <w:szCs w:val="15"/>
          <w:i w:val="1"/>
          <w:iCs w:val="1"/>
          <w:color w:val="auto"/>
        </w:rPr>
        <w:t>ASU</w:t>
      </w:r>
      <w:r>
        <w:rPr>
          <w:rFonts w:ascii="Arial" w:cs="Arial" w:eastAsia="Arial" w:hAnsi="Arial"/>
          <w:sz w:val="15"/>
          <w:szCs w:val="15"/>
          <w:color w:val="auto"/>
        </w:rPr>
        <w:t xml:space="preserve">) 2018-07, </w:t>
      </w:r>
      <w:r>
        <w:rPr>
          <w:rFonts w:ascii="Arial" w:cs="Arial" w:eastAsia="Arial" w:hAnsi="Arial"/>
          <w:sz w:val="15"/>
          <w:szCs w:val="15"/>
          <w:i w:val="1"/>
          <w:iCs w:val="1"/>
          <w:color w:val="auto"/>
        </w:rPr>
        <w:t>Compensation-Stock Compensation (Topic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718), Improvements to Nonemployee Share-Based Payment Accounting </w:t>
      </w:r>
      <w:r>
        <w:rPr>
          <w:rFonts w:ascii="Arial" w:cs="Arial" w:eastAsia="Arial" w:hAnsi="Arial"/>
          <w:sz w:val="15"/>
          <w:szCs w:val="15"/>
          <w:color w:val="auto"/>
        </w:rPr>
        <w:t>(</w:t>
      </w:r>
      <w:r>
        <w:rPr>
          <w:rFonts w:ascii="Arial" w:cs="Arial" w:eastAsia="Arial" w:hAnsi="Arial"/>
          <w:sz w:val="15"/>
          <w:szCs w:val="15"/>
          <w:i w:val="1"/>
          <w:iCs w:val="1"/>
          <w:color w:val="auto"/>
        </w:rPr>
        <w:t>ASU 2018-07</w:t>
      </w:r>
      <w:r>
        <w:rPr>
          <w:rFonts w:ascii="Arial" w:cs="Arial" w:eastAsia="Arial" w:hAnsi="Arial"/>
          <w:sz w:val="15"/>
          <w:szCs w:val="15"/>
          <w:color w:val="auto"/>
        </w:rPr>
        <w:t>). ASU 2018-07 expands the scope of Topic 718 to include share-based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payment transactions for acquiring goods and services from nonemployees. Under ASU 2018-07, consistent with the accounting requirement for employee share-based payment awards, nonemployee share-based payment awards within the scope of Topic 718 are to be measured at the grant-date fair value of the equity instruments that an entity is obligated to issue when the good has been delivered or the service has been rendered and any other conditions necessary to earn the right to benefit from the instruments have been satisfied. Equity-classified nonemployee share-based payment awards are to be measured at the grant date. The definition of the term grant date is amended to generally state the date at which a grantor and a grantee reach a mutual understanding of the key terms and conditions of a share-based payment award. ASU 2018-07 specifies that Topic 718 applies to all share-based payment transactions in which a grantor acquires goods or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w:t>
      </w:r>
      <w:r>
        <w:rPr>
          <w:rFonts w:ascii="Arial" w:cs="Arial" w:eastAsia="Arial" w:hAnsi="Arial"/>
          <w:sz w:val="15"/>
          <w:szCs w:val="15"/>
          <w:i w:val="1"/>
          <w:iCs w:val="1"/>
          <w:color w:val="auto"/>
        </w:rPr>
        <w:t>Topic 606</w:t>
      </w:r>
      <w:r>
        <w:rPr>
          <w:rFonts w:ascii="Arial" w:cs="Arial" w:eastAsia="Arial" w:hAnsi="Arial"/>
          <w:sz w:val="15"/>
          <w:szCs w:val="15"/>
          <w:color w:val="auto"/>
        </w:rPr>
        <w:t>). ASU 2018-07 is effective for public companies for fiscal years beginning after December 15, 2018, including interim periods within that fiscal year. Early adoption is permitted, but no earlier than an entity’s adoption date of Topic 606. We expect to adopt ASU 2018-07 as of April 1, 2019, and we are evaluating the expected impact of this new guidance on our consolidated financial statements. While we are still determining the value of our headquarters facility lease, we anticipate recording a right-of-use asset that will be amortized on a straight-line basis. We are evaluating our contracts with clinical research organizations, but do not believe such contracts contain embedded leases.</w:t>
      </w:r>
    </w:p>
    <w:p>
      <w:pPr>
        <w:spacing w:after="0" w:line="16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which will replace the existing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and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current guidance for operating leases. This standard will become effective for our fiscal year beginning April 1, 2019, with early adoption permitted. We expect to adopt the standard as of April 1, 2019, and are continuing to evaluate the expected impact of this new guidance on our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w w:val="93"/>
              </w:rPr>
              <w:t>Prepaid expenses and other current assets are composed of the following at December 31, 2018 and March 31, 2018:</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9"/>
        </w:trPr>
        <w:tc>
          <w:tcPr>
            <w:tcW w:w="1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r>
      <w:tr>
        <w:trPr>
          <w:trHeight w:val="252"/>
        </w:trPr>
        <w:tc>
          <w:tcPr>
            <w:tcW w:w="12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r>
      <w:tr>
        <w:trPr>
          <w:trHeight w:val="243"/>
        </w:trPr>
        <w:tc>
          <w:tcPr>
            <w:tcW w:w="12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AV-101 materials and services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Public offering filing fees and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88,400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853,800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644,800</w:t>
            </w:r>
          </w:p>
        </w:tc>
        <w:tc>
          <w:tcPr>
            <w:tcW w:w="140" w:type="dxa"/>
            <w:vAlign w:val="bottom"/>
          </w:tcPr>
          <w:p>
            <w:pPr>
              <w:spacing w:after="0"/>
              <w:rPr>
                <w:sz w:val="18"/>
                <w:szCs w:val="18"/>
                <w:color w:val="auto"/>
              </w:rPr>
            </w:pPr>
          </w:p>
        </w:tc>
      </w:tr>
      <w:tr>
        <w:trPr>
          <w:trHeight w:val="21"/>
        </w:trPr>
        <w:tc>
          <w:tcPr>
            <w:tcW w:w="1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prepaid professional services is primarily attributable to the unexpensed portion of the fair value of securities we have issued to certain professional service providers as full or partial compensation for services. The fair value of the securities issued is being expensed ratably over the term of the related service agreement.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Note 5. Property and Equipment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Property and equipment is composed of the following at December 31, 2018 and March 31, 2018:</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9"/>
        </w:trPr>
        <w:tc>
          <w:tcPr>
            <w:tcW w:w="8820" w:type="dxa"/>
            <w:vAlign w:val="bottom"/>
          </w:tcPr>
          <w:p>
            <w:pPr>
              <w:spacing w:after="0"/>
              <w:rPr>
                <w:sz w:val="24"/>
                <w:szCs w:val="24"/>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r>
      <w:tr>
        <w:trPr>
          <w:trHeight w:val="252"/>
        </w:trPr>
        <w:tc>
          <w:tcPr>
            <w:tcW w:w="8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r>
      <w:tr>
        <w:trPr>
          <w:trHeight w:val="243"/>
        </w:trPr>
        <w:tc>
          <w:tcPr>
            <w:tcW w:w="8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Tenant improvements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214,400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Computers and network equipment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60"/>
              <w:spacing w:after="0"/>
              <w:rPr>
                <w:sz w:val="20"/>
                <w:szCs w:val="20"/>
                <w:color w:val="auto"/>
              </w:rPr>
            </w:pPr>
            <w:r>
              <w:rPr>
                <w:rFonts w:ascii="Arial" w:cs="Arial" w:eastAsia="Arial" w:hAnsi="Arial"/>
                <w:sz w:val="18"/>
                <w:szCs w:val="18"/>
                <w:color w:val="auto"/>
              </w:rPr>
              <w:t>Office furniture and equipment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79,700</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1,241,800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(906,900)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(842,100)</w:t>
            </w:r>
          </w:p>
        </w:tc>
      </w:tr>
      <w:tr>
        <w:trPr>
          <w:trHeight w:val="216"/>
        </w:trPr>
        <w:tc>
          <w:tcPr>
            <w:tcW w:w="882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334,900</w:t>
            </w: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207,400</w:t>
            </w:r>
          </w:p>
        </w:tc>
        <w:tc>
          <w:tcPr>
            <w:tcW w:w="140" w:type="dxa"/>
            <w:vAlign w:val="bottom"/>
            <w:tcBorders>
              <w:top w:val="single" w:sz="8" w:color="CCEEFF"/>
            </w:tcBorders>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increase in tenant improvements reflects recently completed construction at our South San Francisco, California offices. Under the terms of our November 2016 lease extension agreement, our landlord has provided a cash reimbursement of $158,600 of such tenant improvement costs. Such reimbursement is a component of the deferred rent liability shown on our Condensed Consolidated Balance Sheet at December 31, 2018.</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Accrued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are composed of the following at December 31, 2018 and March 31,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52"/>
        </w:trPr>
        <w:tc>
          <w:tcPr>
            <w:tcW w:w="8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5"/>
        </w:trPr>
        <w:tc>
          <w:tcPr>
            <w:tcW w:w="8820" w:type="dxa"/>
            <w:vAlign w:val="bottom"/>
          </w:tcPr>
          <w:p>
            <w:pPr>
              <w:ind w:left="40"/>
              <w:spacing w:after="0"/>
              <w:rPr>
                <w:sz w:val="20"/>
                <w:szCs w:val="20"/>
                <w:color w:val="auto"/>
              </w:rPr>
            </w:pPr>
            <w:r>
              <w:rPr>
                <w:rFonts w:ascii="Arial" w:cs="Arial" w:eastAsia="Arial" w:hAnsi="Arial"/>
                <w:sz w:val="18"/>
                <w:szCs w:val="18"/>
                <w:color w:val="auto"/>
              </w:rPr>
              <w:t>Accrued AV-101 clinical trial, development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related expenses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Accrued professional services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827,100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Note 7. Notes Payable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8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The following table summarizes our unsecured promissory notes at December 31, 2018 and March 31, 2018:</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b w:val="1"/>
                <w:bCs w:val="1"/>
                <w:color w:val="auto"/>
              </w:rPr>
              <w:t>December 31, 2018</w:t>
            </w:r>
          </w:p>
        </w:tc>
        <w:tc>
          <w:tcPr>
            <w:tcW w:w="5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8"/>
                <w:szCs w:val="18"/>
                <w:b w:val="1"/>
                <w:bCs w:val="1"/>
                <w:color w:val="auto"/>
                <w:w w:val="90"/>
              </w:rPr>
              <w:t>March 31, 2018</w:t>
            </w:r>
          </w:p>
        </w:tc>
        <w:tc>
          <w:tcPr>
            <w:tcW w:w="5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1"/>
        </w:trPr>
        <w:tc>
          <w:tcPr>
            <w:tcW w:w="4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32"/>
              <w:spacing w:after="0"/>
              <w:rPr>
                <w:sz w:val="20"/>
                <w:szCs w:val="20"/>
                <w:color w:val="auto"/>
              </w:rPr>
            </w:pPr>
            <w:r>
              <w:rPr>
                <w:rFonts w:ascii="Arial" w:cs="Arial" w:eastAsia="Arial" w:hAnsi="Arial"/>
                <w:sz w:val="18"/>
                <w:szCs w:val="18"/>
                <w:color w:val="auto"/>
                <w:w w:val="92"/>
              </w:rPr>
              <w:t>Principal</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8"/>
                <w:szCs w:val="18"/>
                <w:color w:val="auto"/>
                <w:w w:val="87"/>
              </w:rPr>
              <w:t>Accrued</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8"/>
                <w:szCs w:val="18"/>
                <w:color w:val="auto"/>
                <w:w w:val="90"/>
              </w:rPr>
              <w:t>Accrued</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4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center"/>
              <w:ind w:right="32"/>
              <w:spacing w:after="0"/>
              <w:rPr>
                <w:sz w:val="20"/>
                <w:szCs w:val="20"/>
                <w:color w:val="auto"/>
              </w:rPr>
            </w:pPr>
            <w:r>
              <w:rPr>
                <w:rFonts w:ascii="Arial" w:cs="Arial" w:eastAsia="Arial" w:hAnsi="Arial"/>
                <w:sz w:val="18"/>
                <w:szCs w:val="18"/>
                <w:color w:val="auto"/>
                <w:w w:val="86"/>
              </w:rPr>
              <w:t>Balance</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8"/>
                <w:szCs w:val="18"/>
                <w:color w:val="auto"/>
                <w:w w:val="89"/>
              </w:rPr>
              <w:t>Interest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Balance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8"/>
                <w:szCs w:val="18"/>
                <w:color w:val="auto"/>
                <w:w w:val="86"/>
              </w:rPr>
              <w:t>Interest</w:t>
            </w:r>
          </w:p>
        </w:tc>
        <w:tc>
          <w:tcPr>
            <w:tcW w:w="840" w:type="dxa"/>
            <w:vAlign w:val="bottom"/>
            <w:gridSpan w:val="3"/>
          </w:tcPr>
          <w:p>
            <w:pPr>
              <w:ind w:left="100"/>
              <w:spacing w:after="0"/>
              <w:rPr>
                <w:sz w:val="20"/>
                <w:szCs w:val="20"/>
                <w:color w:val="auto"/>
              </w:rPr>
            </w:pPr>
            <w:r>
              <w:rPr>
                <w:rFonts w:ascii="Arial" w:cs="Arial" w:eastAsia="Arial" w:hAnsi="Arial"/>
                <w:sz w:val="18"/>
                <w:szCs w:val="18"/>
                <w:color w:val="auto"/>
              </w:rPr>
              <w:t>Total</w:t>
            </w:r>
          </w:p>
        </w:tc>
      </w:tr>
      <w:tr>
        <w:trPr>
          <w:trHeight w:val="241"/>
        </w:trPr>
        <w:tc>
          <w:tcPr>
            <w:tcW w:w="4140" w:type="dxa"/>
            <w:vAlign w:val="bottom"/>
          </w:tcPr>
          <w:p>
            <w:pPr>
              <w:spacing w:after="0"/>
              <w:rPr>
                <w:sz w:val="20"/>
                <w:szCs w:val="20"/>
                <w:color w:val="auto"/>
              </w:rPr>
            </w:pPr>
            <w:r>
              <w:rPr>
                <w:rFonts w:ascii="Arial" w:cs="Arial" w:eastAsia="Arial" w:hAnsi="Arial"/>
                <w:sz w:val="18"/>
                <w:szCs w:val="18"/>
                <w:color w:val="auto"/>
              </w:rPr>
              <w:t>6.50% (2018) Notes payable</w:t>
            </w:r>
          </w:p>
        </w:tc>
        <w:tc>
          <w:tcPr>
            <w:tcW w:w="5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 insurance premium financing company (current)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53,900</w:t>
            </w:r>
          </w:p>
        </w:tc>
        <w:tc>
          <w:tcPr>
            <w:tcW w:w="10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In May 2018, we executed a 6.50% promissory note in the principal amount of $160,500 in connection with certain insurance policy premiums. The note is payable in monthly installments of $16,500, including principal and interest, through March 2019, and had an outstanding principal balance of $49,100 at December 31, 2018. In February 2018, we executed a 7.15% promissory note in the principal amount of $59,700 in connection with other insurance policy premiums. That note was payable in monthly installments of $6,200, including principal and interest, through December 2018, and had been fully paid at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Summer 2018 Private Placement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Between June 2018 and October 2018, we completed a self-placed private placement with accredited investors, pursuant to which we sold units, at a purchase price of $1.25 per unit, consisting of 4,605,000 unregistered shares of our common stock and warrants, exercisable through February 28, 2022, to purchase 4,605,000 unregistered shares of our common stock at an exercise price of $1.50 per share (the </w:t>
      </w:r>
      <w:r>
        <w:rPr>
          <w:rFonts w:ascii="Arial" w:cs="Arial" w:eastAsia="Arial" w:hAnsi="Arial"/>
          <w:sz w:val="16"/>
          <w:szCs w:val="16"/>
          <w:i w:val="1"/>
          <w:iCs w:val="1"/>
          <w:color w:val="auto"/>
        </w:rPr>
        <w:t>Summer 2018 Private Placement</w:t>
      </w:r>
      <w:r>
        <w:rPr>
          <w:rFonts w:ascii="Arial" w:cs="Arial" w:eastAsia="Arial" w:hAnsi="Arial"/>
          <w:sz w:val="16"/>
          <w:szCs w:val="16"/>
          <w:color w:val="auto"/>
        </w:rPr>
        <w:t>). The purchasers of the units have no registration rights with respect to the shares of common stock, warrants or the shares of common stock issuable upon exercise of the warrants comprising the units sold. The warrants are not exercisable until at least six months and one day following the date of issuance. We received aggregate cash proceeds of $5,756,200 in connection with the Summer 2018 Private Placement and the entire amount of the proceeds was credited to stockholders’ equity.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Fall 2018 Private Placement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Summer 2018 Private Placement was oversubscribed. To accommodate additional investor interest, during October 2018, we accepted subscription agreements from accredited investors, pursuant to which we sold to such investors units, at a unit purchase price equal to $0.15 above the closing quoted market price of our common stock on the Nasdaq Capital Market on the effective date of the investor’s subscription agreement, consisting of an aggregate of 420,939 unregistered shares of our common stock and four-year, immediately exercisable warrants to purchase 420,939 unregistered shares of our Common Stock at a per share exercise price equal to the closing quoted market price of our common stock on the Nasdaq Capital Market on the effective date of the investor’s subscription agreement (the </w:t>
      </w:r>
      <w:r>
        <w:rPr>
          <w:rFonts w:ascii="Arial" w:cs="Arial" w:eastAsia="Arial" w:hAnsi="Arial"/>
          <w:sz w:val="16"/>
          <w:szCs w:val="16"/>
          <w:i w:val="1"/>
          <w:iCs w:val="1"/>
          <w:color w:val="auto"/>
        </w:rPr>
        <w:t>Fall 2018 Private Placement</w:t>
      </w:r>
      <w:r>
        <w:rPr>
          <w:rFonts w:ascii="Arial" w:cs="Arial" w:eastAsia="Arial" w:hAnsi="Arial"/>
          <w:sz w:val="16"/>
          <w:szCs w:val="16"/>
          <w:color w:val="auto"/>
        </w:rPr>
        <w:t>). The purchasers of the units have no registration rights with respect to the shares of common stock, warrants or the shares of common stock issuable upon exercise of the warrants comprising the units sold. We received aggregate cash proceeds of $812,500 in connection with the Fall 2018 Private Placement and settled an outstanding professional service payable by accepting a subscription agreement in the amount of $40,000 and issuing the corresponding number of shares of common stock and warrants. The entire amount of the proceeds of the Fall 2018 Private Placement was credited to stockholders’ equity. The fair value of the common stock and warrant issued in the Fall 2018 Private Placement in settlement of the professional services payable was determined to be $62,700 on the effective date of the agreement. Accordingly, we recognized a loss on extinguishment of accounts payable in the amount of $22,700 in the accompanying Condensed Consolidated Statement of Operations and Comprehensive Loss for the quarter and nine months ended December 31,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Warrants issued in Summer 2018 Private Placement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Subsequent to the completion of the Summer 2018 Private Placement, we amended warrants to purchase an aggregate of 304,000 shares of our common stock issued to investors who submitted Summer 2018 Private Placement subscription agreements between October 3, 2018 and October 5, 2018 to increase the exercise price of their warrants from $1.50 per share to $1.59 per share or $1.69 per share, depending on the effective date of the related subscription agreement, to comply with certain provisions of The Nasdaq Stock Market Rules applicable to the private placement. As additional consideration for agreeing to the increase in the warrant exercise price, we granted the investors additional warrants to purchase an aggregate of 23,800 unregistered shares of our common stock at an exercise price of $1.75 per share through February 28, 2022. We calculated the fair value of the modified warrants immediately before and after the modification using the Black Scholes Option Pricing Model and determined that the increase in the exercise price resulted in a decrease in the fair value of the warrants, which decrease is not recognized. We calculated the fair value of the new warrants using the Black Scholes Option Pricing Model and the weighted average assumptions indicated in the table below, recognizing $25,800 as the fair value of the new warrants and as warrant modification expense, included as a component of general and administrative expenses, in our Condensed Consolidated Statement of Operations and Comprehensive Loss for the quarter and nine months ended December 31, 2018.</w:t>
      </w:r>
    </w:p>
    <w:p>
      <w:pPr>
        <w:spacing w:after="0" w:line="17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New</w:t>
            </w:r>
          </w:p>
        </w:tc>
        <w:tc>
          <w:tcPr>
            <w:tcW w:w="0" w:type="dxa"/>
            <w:vAlign w:val="bottom"/>
          </w:tcPr>
          <w:p>
            <w:pPr>
              <w:spacing w:after="0"/>
              <w:rPr>
                <w:sz w:val="1"/>
                <w:szCs w:val="1"/>
                <w:color w:val="auto"/>
              </w:rPr>
            </w:pPr>
          </w:p>
        </w:tc>
      </w:tr>
      <w:tr>
        <w:trPr>
          <w:trHeight w:val="237"/>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Warrants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Product Licenses and Option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As indicated in Note 1, </w:t>
      </w:r>
      <w:r>
        <w:rPr>
          <w:rFonts w:ascii="Arial" w:cs="Arial" w:eastAsia="Arial" w:hAnsi="Arial"/>
          <w:sz w:val="16"/>
          <w:szCs w:val="16"/>
          <w:i w:val="1"/>
          <w:iCs w:val="1"/>
          <w:color w:val="auto"/>
        </w:rPr>
        <w:t>Description of Business</w:t>
      </w:r>
      <w:r>
        <w:rPr>
          <w:rFonts w:ascii="Arial" w:cs="Arial" w:eastAsia="Arial" w:hAnsi="Arial"/>
          <w:sz w:val="16"/>
          <w:szCs w:val="16"/>
          <w:color w:val="auto"/>
        </w:rPr>
        <w:t xml:space="preserve">, and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in September 2018 we issued an aggregate of 1,630,435 shares of our unregistered common stock having a fair market value of $2,250,000, based on the $1.38 per share quoted closing market price of our common stock on the Nasdaq Capital Market, to Pherin to acquire an exclusive worldwide license to develop and commercialize PH94B and an option to acquire a similar license for PH10. In October 2018, we exercised our option to acquire an exclusive worldwide license to develop and commercialize PH10 by issuing 925,926 shares of our unregistered common stock having a fair market value of $2,000,000, based on the $2.16 per share closing quoted market price of our common stock on the Nasdaq Capital Market, to Pherin under the terms of the PH10 license agreement. Under the terms of the PH94B and PH10 license agreements, we are obligated to make additional cash payments and pay royalties to Pherin in the event that certain regulatory and performance-based milestones and commercial sales are achieved. Additionally, in connection with the license agreements, we are obligated to pay to Pherin monthly support payments of $10,000 for a term of the earlier of 18 months or the termination of the license agreement, however no monthly support payment is required under the 18-month period identified in the PH10 license agreement if support payments are being made under the terms of the PH94B license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and Warrants to Professional Services Providers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quarter ended June 30, 2018, we issued an aggregate of 100,000 shares of our unregistered common stock having a fair value on the date of issuance of $123,000 as full or partial compensation to an investor relations service provider and under a financial advisory agreement. During the quarter ended September 30, 2018, we issued 50,000 shares of our unregistered common stock having a fair value on the date of issuance of $68,000 as partial compensation to a corporate awareness service provider. We also issued four-year warrants to three service providers to purchase an aggregate of 288,000 unregistered shares of our common stock at an exercise price of $1.50 per share as full or partial compensation for investor relations and corporate awareness services. We valued the warrants at an aggregate fair value of $266,900 using the Black-Scholes Option Pricing Model and the following grant date weighted average assumptions: exercise price per share: $1.50; market price per share: $1.40; risk-free interest rate: 2.71%; contractual term: 4 years; volatility: 94.17%; dividend rate: 0%; deriving a value per warrant share of $0.93. The fair value of the common stock and warrants is being recognized in expense ratably over the term of the underlying contracts.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Through December 31, 2018, the holders of warrants exercisable at $1.50 per share issued in our December 2017 public offering fully or partially exercised such warrants to purchase an aggregate of 403,800 registered shares of our common stock and we received cash proceeds of $605,700. Following the warrant issuances and exercises described above, at December 31, 2018, we had warrants outstanding to purchase shares of our common stock at a weighted average exercise price of $2.54 per share as follows:</w:t>
      </w:r>
    </w:p>
    <w:p>
      <w:pPr>
        <w:spacing w:after="0" w:line="19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6"/>
              </w:rPr>
              <w:t>Weighted</w:t>
            </w: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w:t>
            </w:r>
          </w:p>
        </w:tc>
      </w:tr>
      <w:tr>
        <w:trPr>
          <w:trHeight w:val="216"/>
        </w:trPr>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at</w:t>
            </w:r>
          </w:p>
        </w:tc>
      </w:tr>
      <w:tr>
        <w:trPr>
          <w:trHeight w:val="216"/>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80" w:type="dxa"/>
            <w:vAlign w:val="bottom"/>
          </w:tcPr>
          <w:p>
            <w:pPr>
              <w:spacing w:after="0"/>
              <w:rPr>
                <w:sz w:val="18"/>
                <w:szCs w:val="18"/>
                <w:color w:val="auto"/>
              </w:rPr>
            </w:pPr>
          </w:p>
        </w:tc>
        <w:tc>
          <w:tcPr>
            <w:tcW w:w="2340" w:type="dxa"/>
            <w:vAlign w:val="bottom"/>
          </w:tcPr>
          <w:p>
            <w:pPr>
              <w:ind w:left="740"/>
              <w:spacing w:after="0"/>
              <w:rPr>
                <w:sz w:val="20"/>
                <w:szCs w:val="20"/>
                <w:color w:val="auto"/>
              </w:rPr>
            </w:pPr>
            <w:r>
              <w:rPr>
                <w:rFonts w:ascii="Arial" w:cs="Arial" w:eastAsia="Arial" w:hAnsi="Arial"/>
                <w:sz w:val="18"/>
                <w:szCs w:val="18"/>
                <w:b w:val="1"/>
                <w:bCs w:val="1"/>
                <w:color w:val="auto"/>
              </w:rPr>
              <w:t>Exercise Price</w:t>
            </w:r>
          </w:p>
        </w:tc>
        <w:tc>
          <w:tcPr>
            <w:tcW w:w="2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December 31,</w:t>
            </w:r>
          </w:p>
        </w:tc>
      </w:tr>
      <w:tr>
        <w:trPr>
          <w:trHeight w:val="237"/>
        </w:trPr>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 Share</w:t>
            </w:r>
          </w:p>
        </w:tc>
        <w:tc>
          <w:tcPr>
            <w:tcW w:w="8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22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2018</w:t>
            </w:r>
          </w:p>
        </w:tc>
      </w:tr>
      <w:tr>
        <w:trPr>
          <w:trHeight w:val="216"/>
        </w:trPr>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$1.50</w:t>
            </w:r>
          </w:p>
        </w:tc>
        <w:tc>
          <w:tcPr>
            <w:tcW w:w="2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$1.50</w:t>
            </w:r>
          </w:p>
        </w:tc>
        <w:tc>
          <w:tcPr>
            <w:tcW w:w="220" w:type="dxa"/>
            <w:vAlign w:val="bottom"/>
            <w:shd w:val="clear" w:color="auto" w:fill="CCEEFF"/>
          </w:tcPr>
          <w:p>
            <w:pPr>
              <w:spacing w:after="0"/>
              <w:rPr>
                <w:sz w:val="18"/>
                <w:szCs w:val="18"/>
                <w:color w:val="auto"/>
              </w:rPr>
            </w:pP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11/30/2021 to 12/13/2022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14,335,200</w:t>
            </w:r>
          </w:p>
        </w:tc>
      </w:tr>
      <w:tr>
        <w:trPr>
          <w:trHeight w:val="216"/>
        </w:trPr>
        <w:tc>
          <w:tcPr>
            <w:tcW w:w="2340" w:type="dxa"/>
            <w:vAlign w:val="bottom"/>
          </w:tcPr>
          <w:p>
            <w:pPr>
              <w:jc w:val="center"/>
              <w:spacing w:after="0"/>
              <w:rPr>
                <w:sz w:val="20"/>
                <w:szCs w:val="20"/>
                <w:color w:val="auto"/>
              </w:rPr>
            </w:pPr>
            <w:r>
              <w:rPr>
                <w:rFonts w:ascii="Arial" w:cs="Arial" w:eastAsia="Arial" w:hAnsi="Arial"/>
                <w:sz w:val="18"/>
                <w:szCs w:val="18"/>
                <w:color w:val="auto"/>
                <w:w w:val="88"/>
              </w:rPr>
              <w:t>$1.59 to $1.80</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84"/>
              </w:rPr>
              <w:t>$1.67</w:t>
            </w:r>
          </w:p>
        </w:tc>
        <w:tc>
          <w:tcPr>
            <w:tcW w:w="2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2/28/2022 to 10/10/2022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625,619</w:t>
            </w:r>
          </w:p>
        </w:tc>
      </w:tr>
      <w:tr>
        <w:trPr>
          <w:trHeight w:val="216"/>
        </w:trPr>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$1.82</w:t>
            </w:r>
          </w:p>
        </w:tc>
        <w:tc>
          <w:tcPr>
            <w:tcW w:w="2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$1.82</w:t>
            </w:r>
          </w:p>
        </w:tc>
        <w:tc>
          <w:tcPr>
            <w:tcW w:w="25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3/7/2023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1,388,931</w:t>
            </w:r>
          </w:p>
        </w:tc>
      </w:tr>
      <w:tr>
        <w:trPr>
          <w:trHeight w:val="216"/>
        </w:trPr>
        <w:tc>
          <w:tcPr>
            <w:tcW w:w="2340" w:type="dxa"/>
            <w:vAlign w:val="bottom"/>
          </w:tcPr>
          <w:p>
            <w:pPr>
              <w:jc w:val="center"/>
              <w:spacing w:after="0"/>
              <w:rPr>
                <w:sz w:val="20"/>
                <w:szCs w:val="20"/>
                <w:color w:val="auto"/>
              </w:rPr>
            </w:pPr>
            <w:r>
              <w:rPr>
                <w:rFonts w:ascii="Arial" w:cs="Arial" w:eastAsia="Arial" w:hAnsi="Arial"/>
                <w:sz w:val="18"/>
                <w:szCs w:val="18"/>
                <w:color w:val="auto"/>
                <w:w w:val="88"/>
              </w:rPr>
              <w:t>$2.00 to $4.50</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84"/>
              </w:rPr>
              <w:t>$2.23</w:t>
            </w:r>
          </w:p>
        </w:tc>
        <w:tc>
          <w:tcPr>
            <w:tcW w:w="2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9/216/2019 to 10/16/2022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721,693</w:t>
            </w:r>
          </w:p>
        </w:tc>
      </w:tr>
      <w:tr>
        <w:trPr>
          <w:trHeight w:val="216"/>
        </w:trPr>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$5.30</w:t>
            </w:r>
          </w:p>
        </w:tc>
        <w:tc>
          <w:tcPr>
            <w:tcW w:w="2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$5.30</w:t>
            </w:r>
          </w:p>
        </w:tc>
        <w:tc>
          <w:tcPr>
            <w:tcW w:w="25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5/16/2021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2,705,883</w:t>
            </w:r>
          </w:p>
        </w:tc>
      </w:tr>
      <w:tr>
        <w:trPr>
          <w:trHeight w:val="216"/>
        </w:trPr>
        <w:tc>
          <w:tcPr>
            <w:tcW w:w="2340" w:type="dxa"/>
            <w:vAlign w:val="bottom"/>
          </w:tcPr>
          <w:p>
            <w:pPr>
              <w:jc w:val="center"/>
              <w:spacing w:after="0"/>
              <w:rPr>
                <w:sz w:val="20"/>
                <w:szCs w:val="20"/>
                <w:color w:val="auto"/>
              </w:rPr>
            </w:pPr>
            <w:r>
              <w:rPr>
                <w:rFonts w:ascii="Arial" w:cs="Arial" w:eastAsia="Arial" w:hAnsi="Arial"/>
                <w:sz w:val="18"/>
                <w:szCs w:val="18"/>
                <w:color w:val="auto"/>
                <w:w w:val="88"/>
              </w:rPr>
              <w:t>$6.00</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84"/>
              </w:rPr>
              <w:t>$6.00</w:t>
            </w:r>
          </w:p>
        </w:tc>
        <w:tc>
          <w:tcPr>
            <w:tcW w:w="220" w:type="dxa"/>
            <w:vAlign w:val="bottom"/>
          </w:tcPr>
          <w:p>
            <w:pPr>
              <w:spacing w:after="0"/>
              <w:rPr>
                <w:sz w:val="18"/>
                <w:szCs w:val="18"/>
                <w:color w:val="auto"/>
              </w:rPr>
            </w:pPr>
          </w:p>
        </w:tc>
        <w:tc>
          <w:tcPr>
            <w:tcW w:w="2340" w:type="dxa"/>
            <w:vAlign w:val="bottom"/>
          </w:tcPr>
          <w:p>
            <w:pPr>
              <w:jc w:val="center"/>
              <w:ind w:left="12"/>
              <w:spacing w:after="0"/>
              <w:rPr>
                <w:sz w:val="20"/>
                <w:szCs w:val="20"/>
                <w:color w:val="auto"/>
              </w:rPr>
            </w:pPr>
            <w:r>
              <w:rPr>
                <w:rFonts w:ascii="Arial" w:cs="Arial" w:eastAsia="Arial" w:hAnsi="Arial"/>
                <w:sz w:val="18"/>
                <w:szCs w:val="18"/>
                <w:color w:val="auto"/>
                <w:w w:val="88"/>
              </w:rPr>
              <w:t>9/26/2019 to 11/30/2019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97,750</w:t>
            </w:r>
          </w:p>
        </w:tc>
      </w:tr>
      <w:tr>
        <w:trPr>
          <w:trHeight w:val="216"/>
        </w:trPr>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$7.00</w:t>
            </w:r>
          </w:p>
        </w:tc>
        <w:tc>
          <w:tcPr>
            <w:tcW w:w="2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$7.00</w:t>
            </w:r>
          </w:p>
        </w:tc>
        <w:tc>
          <w:tcPr>
            <w:tcW w:w="220" w:type="dxa"/>
            <w:vAlign w:val="bottom"/>
            <w:shd w:val="clear" w:color="auto" w:fill="CCEEFF"/>
          </w:tcPr>
          <w:p>
            <w:pPr>
              <w:spacing w:after="0"/>
              <w:rPr>
                <w:sz w:val="18"/>
                <w:szCs w:val="18"/>
                <w:color w:val="auto"/>
              </w:rPr>
            </w:pPr>
          </w:p>
        </w:tc>
        <w:tc>
          <w:tcPr>
            <w:tcW w:w="23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3/19/2019 to 3/3/2023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1,309,431</w:t>
            </w:r>
          </w:p>
        </w:tc>
      </w:tr>
      <w:tr>
        <w:trPr>
          <w:trHeight w:val="223"/>
        </w:trPr>
        <w:tc>
          <w:tcPr>
            <w:tcW w:w="2340" w:type="dxa"/>
            <w:vAlign w:val="bottom"/>
          </w:tcPr>
          <w:p>
            <w:pPr>
              <w:jc w:val="center"/>
              <w:spacing w:after="0"/>
              <w:rPr>
                <w:sz w:val="20"/>
                <w:szCs w:val="20"/>
                <w:color w:val="auto"/>
              </w:rPr>
            </w:pPr>
            <w:r>
              <w:rPr>
                <w:rFonts w:ascii="Arial" w:cs="Arial" w:eastAsia="Arial" w:hAnsi="Arial"/>
                <w:sz w:val="18"/>
                <w:szCs w:val="18"/>
                <w:color w:val="auto"/>
                <w:w w:val="87"/>
              </w:rPr>
              <w:t>$8.00 to $20.00</w:t>
            </w: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87"/>
              </w:rPr>
              <w:t>$12.33</w:t>
            </w:r>
          </w:p>
        </w:tc>
        <w:tc>
          <w:tcPr>
            <w:tcW w:w="220" w:type="dxa"/>
            <w:vAlign w:val="bottom"/>
          </w:tcPr>
          <w:p>
            <w:pPr>
              <w:spacing w:after="0"/>
              <w:rPr>
                <w:sz w:val="19"/>
                <w:szCs w:val="19"/>
                <w:color w:val="auto"/>
              </w:rPr>
            </w:pPr>
          </w:p>
        </w:tc>
        <w:tc>
          <w:tcPr>
            <w:tcW w:w="2340" w:type="dxa"/>
            <w:vAlign w:val="bottom"/>
          </w:tcPr>
          <w:p>
            <w:pPr>
              <w:jc w:val="center"/>
              <w:ind w:left="12"/>
              <w:spacing w:after="0"/>
              <w:rPr>
                <w:sz w:val="20"/>
                <w:szCs w:val="20"/>
                <w:color w:val="auto"/>
              </w:rPr>
            </w:pPr>
            <w:r>
              <w:rPr>
                <w:rFonts w:ascii="Arial" w:cs="Arial" w:eastAsia="Arial" w:hAnsi="Arial"/>
                <w:sz w:val="18"/>
                <w:szCs w:val="18"/>
                <w:color w:val="auto"/>
                <w:w w:val="88"/>
              </w:rPr>
              <w:t>9/15/2019 to 3/25/2021</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315,448</w:t>
            </w:r>
          </w:p>
        </w:tc>
      </w:tr>
      <w:tr>
        <w:trPr>
          <w:trHeight w:val="257"/>
        </w:trPr>
        <w:tc>
          <w:tcPr>
            <w:tcW w:w="234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4"/>
              </w:rPr>
              <w:t>$2.54</w:t>
            </w:r>
          </w:p>
        </w:tc>
        <w:tc>
          <w:tcPr>
            <w:tcW w:w="22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21,499,955</w:t>
            </w:r>
          </w:p>
        </w:tc>
      </w:tr>
    </w:tbl>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the warrants outstanding at December 31, 2018, 2,705,883 shares of common stock underlying the warrants exercisable at $5.30 per share issued in our May 2016 public offering, 1,388,931 shares of common stock underlying the warrants exercisable at $1.82 per share issued in our September 2017 public offering and 9,596,200 shares of common stock underlying the warrants exercisable at $1.50 per share issued in our December 2017 public offering are registered for resale by the warrant holders. The common shares issuable upon exercise of our remaining outstanding warrants are unregistered. At December 31, 2018, none of our outstanding warrants are subject to down round anti-dilution protection features and all of the outstanding warrants are exercisable by the holders only by payment in cash of the stated exercise price per share.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is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CRL is a contract research, development and regulatory services organization (</w:t>
      </w:r>
      <w:r>
        <w:rPr>
          <w:rFonts w:ascii="Arial" w:cs="Arial" w:eastAsia="Arial" w:hAnsi="Arial"/>
          <w:sz w:val="16"/>
          <w:szCs w:val="16"/>
          <w:i w:val="1"/>
          <w:iCs w:val="1"/>
          <w:color w:val="auto"/>
        </w:rPr>
        <w:t>CRO</w:t>
      </w:r>
      <w:r>
        <w:rPr>
          <w:rFonts w:ascii="Arial" w:cs="Arial" w:eastAsia="Arial" w:hAnsi="Arial"/>
          <w:sz w:val="16"/>
          <w:szCs w:val="16"/>
          <w:color w:val="auto"/>
        </w:rPr>
        <w:t>) that we have engaged for a wide range of material aspects related to the nonclinical and clinical development and regulatory affairs associated with our efforts to develop and commercialize AV-101 for MDD, including our ELEVATE Study, and other potential CNS indications, PH94B, PH10, and other potential product candidates. At December 31, 2018, CBV held approximately 3% of our outstanding Common Stock.</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In July 2017, we entered into a Master Services Agreement (</w:t>
      </w:r>
      <w:r>
        <w:rPr>
          <w:rFonts w:ascii="Arial" w:cs="Arial" w:eastAsia="Arial" w:hAnsi="Arial"/>
          <w:sz w:val="15"/>
          <w:szCs w:val="15"/>
          <w:i w:val="1"/>
          <w:iCs w:val="1"/>
          <w:color w:val="auto"/>
        </w:rPr>
        <w:t>MSA</w:t>
      </w:r>
      <w:r>
        <w:rPr>
          <w:rFonts w:ascii="Arial" w:cs="Arial" w:eastAsia="Arial" w:hAnsi="Arial"/>
          <w:sz w:val="15"/>
          <w:szCs w:val="15"/>
          <w:color w:val="auto"/>
        </w:rPr>
        <w:t>) with CRL, which replaced a substantially similar May 2007 master services agreement, pursuant to which CRL may assist us in the evaluation, development, commercialization and marketing of our potential product candidates,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and our prior May 2007 master services agreement, we incurred expenses of $1,067,300 and $292,700 during the quarters ended December 31, 2018 and 2017, respectively, and $2,697,100 and $904,900 during the nine months ended December 31, 2018 and 2017, respectively. We anticipate periodic expenses for CRO services from CRL related to nonclinical and clinical development of, and regulatory affairs related to, AV-101, PH94B, PH10 and other potential product candidates will increase in future periods.</w:t>
      </w:r>
    </w:p>
    <w:p>
      <w:pPr>
        <w:spacing w:after="0" w:line="15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noted above, in September 2018, we issued an aggregate of 1,630,435 shares of our unregistered common stock having a fair market value of $2,250,000 to acquire an exclusive worldwide license to develop and commercialize PH94B and an option to acquire a similar license for PH10. In October 2018, we issued an additional 925,926 shares of our unregistered common stock having a fair market value of $2,000,000 to exercise the option to acquire an exclusive worldwide license to develop and commercialize PH10. The acquisition of the licenses and option was recorded as research and development expense. Additionally, during the nine months ended December 31, 2018, we have recorded $40,000 of monthly support payments to Pherin under the terms of the PH94B license agreement. At December 31, 2018, Pherin held approximately 8% of our outstanding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February 11, 2019 and have identified the following matters requiring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and Exercise of Options from 2016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January 2019, in connection with the appointment of a new independent member to our Board, the Board authorized the grant of options to purchase 25,000 shares of our common stock under our 2016 Plan at an exercise price of $1.74 per share, the quoted closing price of our common stock on the Nasdaq Capital Market on the date of the grant. Additionally, one of our officers and one of our independent Board members exercised options to purchase an aggregate of 26,750 registered shares of our common stock at an exercise price of $1.50 per share and we received cash proceeds of $40,100. Also in January 2019, the Compensation Committee of the Board authorized the grant of options to purchase 220,000 shares of our common stock at an exercise price of $1.70 per share, the quoted closing price of our common stock on the Nasdaq Capital Market on the date of the grant, to one of our executive officers. In February 2019, we granted 25,000 shares of common stock from our 2016 Plan as partial compensation under the terms of a social media services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agencies, the impact of competitive products, product development, commercialization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Board and stockholders.</w:t>
      </w:r>
    </w:p>
    <w:p>
      <w:pPr>
        <w:spacing w:after="0" w:line="3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VistaGen Therapeutics. Inc., a Nevada corporation (which may be referred to as </w:t>
      </w:r>
      <w:r>
        <w:rPr>
          <w:rFonts w:ascii="Arial" w:cs="Arial" w:eastAsia="Arial" w:hAnsi="Arial"/>
          <w:sz w:val="16"/>
          <w:szCs w:val="16"/>
          <w:i w:val="1"/>
          <w:iCs w:val="1"/>
          <w:color w:val="auto"/>
        </w:rPr>
        <w:t>VistaGen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our</w:t>
      </w:r>
      <w:r>
        <w:rPr>
          <w:rFonts w:ascii="Arial" w:cs="Arial" w:eastAsia="Arial" w:hAnsi="Arial"/>
          <w:sz w:val="16"/>
          <w:szCs w:val="16"/>
          <w:color w:val="auto"/>
        </w:rPr>
        <w:t xml:space="preserve">, or </w:t>
      </w:r>
      <w:r>
        <w:rPr>
          <w:rFonts w:ascii="Arial" w:cs="Arial" w:eastAsia="Arial" w:hAnsi="Arial"/>
          <w:sz w:val="16"/>
          <w:szCs w:val="16"/>
          <w:i w:val="1"/>
          <w:iCs w:val="1"/>
          <w:color w:val="auto"/>
        </w:rPr>
        <w:t>us</w:t>
      </w:r>
      <w:r>
        <w:rPr>
          <w:rFonts w:ascii="Arial" w:cs="Arial" w:eastAsia="Arial" w:hAnsi="Arial"/>
          <w:sz w:val="16"/>
          <w:szCs w:val="16"/>
          <w:color w:val="auto"/>
        </w:rPr>
        <w:t>), is a clinical-stage biopharmaceutical company focused on developing new generation medicines for multiple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diseases and disorders with high unmet need. We believe each of our CNS pipeline candidates, AV-101, PH10 and PH94B, has the potential to be administered at home and provide rapid-onset therapeutic benefits without psychological or other side effects and safety concerns associated with many current and potential new generation medications for CNS diseases and disorders, such as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and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affecting millions of individuals in the United States and foreign markets. Each drug candidate in our pipeline is either currently in or has successfully completed Phase 2 clinical development. AV-101, our oral NMDA receptor glycine B antagonist, is in Phase 2 development, initially as an adjunctive treatment of MDD. The FDA has granted Fast Track designation for development of AV-101 as both a potential adjunctive treatment of MDD and as a non-opioid treatment for neuropathic pain. PH10, our potentially first-in-class, rapid-onset neuroactive steroid nasal spray for MDD, has completed an initial successful exploratory Phase 2 clinical study and is now being prepared for a multi-dose follow-on Phase 2 clinical study in MDD. PH94B, our potentially first-in-class, rapid-onset neuroactive steroid nasal spray for as-needed (</w:t>
      </w:r>
      <w:r>
        <w:rPr>
          <w:rFonts w:ascii="Arial" w:cs="Arial" w:eastAsia="Arial" w:hAnsi="Arial"/>
          <w:sz w:val="16"/>
          <w:szCs w:val="16"/>
          <w:i w:val="1"/>
          <w:iCs w:val="1"/>
          <w:color w:val="auto"/>
        </w:rPr>
        <w:t>PRN</w:t>
      </w:r>
      <w:r>
        <w:rPr>
          <w:rFonts w:ascii="Arial" w:cs="Arial" w:eastAsia="Arial" w:hAnsi="Arial"/>
          <w:sz w:val="16"/>
          <w:szCs w:val="16"/>
          <w:color w:val="auto"/>
        </w:rPr>
        <w:t>) treatment of SAD, has completed a successful Phase 2 clinical program, a successful pilot Phase 3 study and is now being prepared for pivotal Phase 3 clinical development, with potential to be the first FDA-approved PRN treatment of SAD.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AV-101, an investigational prodrug candidate in Phase 2 clinical development, is an orally bioavailable NMDAR GlyB (N-methyl-D-aspartate receptor glycine B) antagonist in development as a potential new treatment for multiple CNS indications with high unmet need, including MDD, neuropathic pain (</w:t>
      </w:r>
      <w:r>
        <w:rPr>
          <w:rFonts w:ascii="Arial" w:cs="Arial" w:eastAsia="Arial" w:hAnsi="Arial"/>
          <w:sz w:val="16"/>
          <w:szCs w:val="16"/>
          <w:i w:val="1"/>
          <w:iCs w:val="1"/>
          <w:color w:val="auto"/>
        </w:rPr>
        <w:t>NP</w:t>
      </w:r>
      <w:r>
        <w:rPr>
          <w:rFonts w:ascii="Arial" w:cs="Arial" w:eastAsia="Arial" w:hAnsi="Arial"/>
          <w:sz w:val="16"/>
          <w:szCs w:val="16"/>
          <w:color w:val="auto"/>
        </w:rPr>
        <w:t>), levodopa-induced dyskinesia associated with Parkinson’s disease therapy (</w:t>
      </w:r>
      <w:r>
        <w:rPr>
          <w:rFonts w:ascii="Arial" w:cs="Arial" w:eastAsia="Arial" w:hAnsi="Arial"/>
          <w:sz w:val="16"/>
          <w:szCs w:val="16"/>
          <w:i w:val="1"/>
          <w:iCs w:val="1"/>
          <w:color w:val="auto"/>
        </w:rPr>
        <w:t>PD LID)</w:t>
      </w:r>
      <w:r>
        <w:rPr>
          <w:rFonts w:ascii="Arial" w:cs="Arial" w:eastAsia="Arial" w:hAnsi="Arial"/>
          <w:sz w:val="16"/>
          <w:szCs w:val="16"/>
          <w:color w:val="auto"/>
        </w:rPr>
        <w:t xml:space="preserve"> and suicidal ideation (</w:t>
      </w:r>
      <w:r>
        <w:rPr>
          <w:rFonts w:ascii="Arial" w:cs="Arial" w:eastAsia="Arial" w:hAnsi="Arial"/>
          <w:sz w:val="16"/>
          <w:szCs w:val="16"/>
          <w:i w:val="1"/>
          <w:iCs w:val="1"/>
          <w:color w:val="auto"/>
        </w:rPr>
        <w:t>SI</w:t>
      </w:r>
      <w:r>
        <w:rPr>
          <w:rFonts w:ascii="Arial" w:cs="Arial" w:eastAsia="Arial" w:hAnsi="Arial"/>
          <w:sz w:val="16"/>
          <w:szCs w:val="16"/>
          <w:color w:val="auto"/>
        </w:rPr>
        <w:t>). In two NIH-funded AV-101 Phase 1 clinical safety studies, AV-101 was well tolerated in healthy subjects at all doses tested, in both single-ascending and multiple-ascending dose studies, without causing any observed psychological or sedative side effects. The United States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has granted Fast Track designation for development of AV-101 as a potential new treatment for adjunctive treatment of MDD and for treatment of NP.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Depressive Disorder</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Major depressive disorder is a serious biologically-based mood disorder, affecting approximately 16 million adults in the United States according to the U.S. National Institute of Mental Health (the </w:t>
      </w:r>
      <w:r>
        <w:rPr>
          <w:rFonts w:ascii="Arial" w:cs="Arial" w:eastAsia="Arial" w:hAnsi="Arial"/>
          <w:sz w:val="16"/>
          <w:szCs w:val="16"/>
          <w:i w:val="1"/>
          <w:iCs w:val="1"/>
          <w:color w:val="auto"/>
        </w:rPr>
        <w:t>NIMH</w:t>
      </w:r>
      <w:r>
        <w:rPr>
          <w:rFonts w:ascii="Arial" w:cs="Arial" w:eastAsia="Arial" w:hAnsi="Arial"/>
          <w:sz w:val="16"/>
          <w:szCs w:val="16"/>
          <w:color w:val="auto"/>
        </w:rPr>
        <w:t>). The CDC estimates that one in four women and one in six men in the United States have been diagnosed with MDD. Individuals diagnosed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about one in eight Americans aged 12 and over takes an FDA-approved antidepressant, and there are an estimated 11.6 million drug-treated patients suffering from MDD. While current FDA-approved antidepressants are widely used, the STAR*D study, the largest clinical trial conducted in depression to date, found that approximately two-thirds of patients with MDD do not respond to their initial antidepressant treatment, of which approximately 5.1 million patients remain resistant to treatment following the second antidepressant treatment. According to the NIMH, inadequate response to current antidepressants is among the key reasons MDD is a leading public health concern in the United States, creating a significant unmet medical need for new agents with fundamentally different mechanisms of action.</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believe oral AV-101 has potential for multiple applications in global depression markets if successfully developed and approved. AV-101 has potential as an adjunctive therapy to (i) augment current antidepressants approved by the FDA for patients with MDD who have an inadequate response to standard antidepressants (SSRIs and SNRIs) and (ii) prevent relapse of MDD following successful intravenous or intranasal treatment with 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a member of a class of drugs that block NMDA receptor activity. Given its excellent tolerability profile, we believe it may also have potential as a first-line monotherapy conveniently administered at home. Ketamine is an FDA-approved, rapid-acting general anesthetic currently administered only by intravenous or intramuscular injection. The off-label use of ketamine in treatment-resistant depression (</w:t>
      </w:r>
      <w:r>
        <w:rPr>
          <w:rFonts w:ascii="Arial" w:cs="Arial" w:eastAsia="Arial" w:hAnsi="Arial"/>
          <w:sz w:val="16"/>
          <w:szCs w:val="16"/>
          <w:i w:val="1"/>
          <w:iCs w:val="1"/>
          <w:color w:val="auto"/>
        </w:rPr>
        <w:t>TRD</w:t>
      </w:r>
      <w:r>
        <w:rPr>
          <w:rFonts w:ascii="Arial" w:cs="Arial" w:eastAsia="Arial" w:hAnsi="Arial"/>
          <w:sz w:val="16"/>
          <w:szCs w:val="16"/>
          <w:color w:val="auto"/>
        </w:rPr>
        <w:t>), defined as those patients who have failed at least two prior treatment attempts involving current antidepressants, has been studied in numerous clinical trials conducted by depression experts at Yale University and other academic institutions, as well as at the NIMH, including by Dr. Carlos Zarate, Jr., the NIMH’s Chief of Experimental Therapeutics &amp; Pathophysiology Branch and of the Section on Neurobiology and Treatment of Mood and Anxiety Disorders. In randomized, placebo-controlled, double blind clinical trials reported by Dr. Zarate and others at the NIMH, a single sub-anesthetic dose of ketamine (0.5 mg/kg over 40 minutes) produced robust and rapid (within twenty-four hours) antidepressant effects in MDD patients who had not responded to at least two prior treatment attempts involving standard antidepressants. These results were in sharp contrast to the very slow-onset activity of standard antidepressants, which usually require many weeks or more of chronic usage to achieve similar antidepressant effects. We believe AV-101 may have potential to deliver fast-acting antidepressant effects similar to ketamine, but as an oral therapy on an at-home basis, without the requirement for administration in a medical setting or the required the use of needles, and without causing psychological, sedative or other side effects and safety concerns associated with ketamine and certain other fast-acting newer generation antidepressant drug candidates.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AV-101 is currently in Phase 2 clinical development in the United States for MDD. ELEVATE is our ongoing Phase 2 multi-center, multi-dose, double blind, placebo-controlled clinical study to evaluate the efficacy and safety of AV-101 as a new generation adjunctive treatment of MDD in adult patients with an inadequate therapeutic response to current FDA-approved antidepressants (the </w:t>
      </w:r>
      <w:r>
        <w:rPr>
          <w:rFonts w:ascii="Arial" w:cs="Arial" w:eastAsia="Arial" w:hAnsi="Arial"/>
          <w:sz w:val="18"/>
          <w:szCs w:val="18"/>
          <w:i w:val="1"/>
          <w:iCs w:val="1"/>
          <w:color w:val="auto"/>
        </w:rPr>
        <w:t>ELEVATE Study</w:t>
      </w:r>
      <w:r>
        <w:rPr>
          <w:rFonts w:ascii="Arial" w:cs="Arial" w:eastAsia="Arial" w:hAnsi="Arial"/>
          <w:sz w:val="18"/>
          <w:szCs w:val="18"/>
          <w:color w:val="auto"/>
        </w:rPr>
        <w:t>). Dr. Maurizio Fava, Professor of Psychiatry at Harvard Medical School and Director, Division of Clinical Research, Massachusetts General Hospital (</w:t>
      </w:r>
      <w:r>
        <w:rPr>
          <w:rFonts w:ascii="Arial" w:cs="Arial" w:eastAsia="Arial" w:hAnsi="Arial"/>
          <w:sz w:val="18"/>
          <w:szCs w:val="18"/>
          <w:i w:val="1"/>
          <w:iCs w:val="1"/>
          <w:color w:val="auto"/>
        </w:rPr>
        <w:t>MGH</w:t>
      </w:r>
      <w:r>
        <w:rPr>
          <w:rFonts w:ascii="Arial" w:cs="Arial" w:eastAsia="Arial" w:hAnsi="Arial"/>
          <w:sz w:val="18"/>
          <w:szCs w:val="18"/>
          <w:color w:val="auto"/>
        </w:rPr>
        <w:t xml:space="preserve">) Research Institute, is the Principal Investigator of the ELEVATE Study assisting our internal team, which is led by Mark Smith, MD, PhD, our Chief Medical Officer. Dr. Fava was the co-Principal Investigator with Dr. A. John Rush of the STAR*D study, the findings of which were published in journals such as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w:t>
      </w:r>
      <w:r>
        <w:rPr>
          <w:rFonts w:ascii="Arial" w:cs="Arial" w:eastAsia="Arial" w:hAnsi="Arial"/>
          <w:sz w:val="18"/>
          <w:szCs w:val="18"/>
          <w:i w:val="1"/>
          <w:iCs w:val="1"/>
          <w:color w:val="auto"/>
        </w:rPr>
        <w:t>NEJM</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Journal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American Medical Association </w:t>
      </w:r>
      <w:r>
        <w:rPr>
          <w:rFonts w:ascii="Arial" w:cs="Arial" w:eastAsia="Arial" w:hAnsi="Arial"/>
          <w:sz w:val="18"/>
          <w:szCs w:val="18"/>
          <w:color w:val="auto"/>
        </w:rPr>
        <w:t>(</w:t>
      </w:r>
      <w:r>
        <w:rPr>
          <w:rFonts w:ascii="Arial" w:cs="Arial" w:eastAsia="Arial" w:hAnsi="Arial"/>
          <w:sz w:val="18"/>
          <w:szCs w:val="18"/>
          <w:i w:val="1"/>
          <w:iCs w:val="1"/>
          <w:color w:val="auto"/>
        </w:rPr>
        <w:t>JAMA</w:t>
      </w:r>
      <w:r>
        <w:rPr>
          <w:rFonts w:ascii="Arial" w:cs="Arial" w:eastAsia="Arial" w:hAnsi="Arial"/>
          <w:sz w:val="18"/>
          <w:szCs w:val="18"/>
          <w:color w:val="auto"/>
        </w:rPr>
        <w:t>).</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AV-101 is also the subject of a small randomized, double-blind, placebo-controlled cross-over Phase 2 clinical study being conducted and funded by the NIMH, 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w:t>
      </w:r>
      <w:r>
        <w:rPr>
          <w:rFonts w:ascii="Arial" w:cs="Arial" w:eastAsia="Arial" w:hAnsi="Arial"/>
          <w:sz w:val="16"/>
          <w:szCs w:val="16"/>
          <w:i w:val="1"/>
          <w:iCs w:val="1"/>
          <w:color w:val="auto"/>
        </w:rPr>
        <w:t>NIMH Study</w:t>
      </w:r>
      <w:r>
        <w:rPr>
          <w:rFonts w:ascii="Arial" w:cs="Arial" w:eastAsia="Arial" w:hAnsi="Arial"/>
          <w:sz w:val="16"/>
          <w:szCs w:val="16"/>
          <w:color w:val="auto"/>
        </w:rPr>
        <w:t>). Dr. Carlos Zarate, Jr., Chief of the NIMH’s Experimental Therapeutics &amp; Pathophysiology Branch and its Section on Neurobiology and Treatment of Mood and Anxiety Disorders, is acting as the Principal Investigator for the NIMH Study. This trial is focused on the pharmacodynamic and potential therapeutic effects in such patients using standard measurements of clinical responses and measurement of responses of a number of biomarkers associated with engagement of the NMDA receptor thought to be associated with clinical response. Dr. Zarate and the NIMH were among the first in the U.S. to conduct clinical studies in MDD patients with inadequate responses to multiple current FDA-approved antidepressants that demonstrated the robust, fast-acting antidepressant effects of ketamine within twenty-four hours of a single sub-anesthetic dose administered by IV injection.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FDA has granted Fast Track designation for development of AV-101 as a potential new adjunctive treatment of MDD.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Suicidal Ideation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According to 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every year approximately 800,000 people worldwide take their own life and many more attempt suicide. The CDC views suicide as a major public health concern in the United States as rates of suicide have been increasing for both men and women and across all age groups. Suicide is the 10th leading cause of death in the U.S. and is one of just three leading causes that are on the rise. According to experts in the field of suicidal ideation, characterized as suicidal thoughts and behavior, the number of Americans who die by suicide is, since 2010, higher than those who die in motor vehicle accidents. People of all genders, ages, and ethnicities can be at risk for suicide. Suicidal ideation is complex and there is no single cause. The NIMH attributes many different factors contribute to someone making a suicide attempt, including, but not limited to, depression, other mental health disorders or substance abuse disorder. Additionally, according to reports released by the United States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the U.S. Military Veteran population is at significantly higher risk for suicide than the general population.</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collaborating with Baylor College of Medicine (</w:t>
      </w:r>
      <w:r>
        <w:rPr>
          <w:rFonts w:ascii="Arial" w:cs="Arial" w:eastAsia="Arial" w:hAnsi="Arial"/>
          <w:sz w:val="18"/>
          <w:szCs w:val="18"/>
          <w:i w:val="1"/>
          <w:iCs w:val="1"/>
          <w:color w:val="auto"/>
        </w:rPr>
        <w:t>Baylor</w:t>
      </w:r>
      <w:r>
        <w:rPr>
          <w:rFonts w:ascii="Arial" w:cs="Arial" w:eastAsia="Arial" w:hAnsi="Arial"/>
          <w:sz w:val="18"/>
          <w:szCs w:val="18"/>
          <w:color w:val="auto"/>
        </w:rPr>
        <w:t xml:space="preserve">) and the VA on a small Phase 1b clinical trial of AV-101 involving healthy volunteer U.S. Military Veterans from either Operation Enduring Freedom, Operation Iraqi Freedom or Operation New Dawn (the </w:t>
      </w:r>
      <w:r>
        <w:rPr>
          <w:rFonts w:ascii="Arial" w:cs="Arial" w:eastAsia="Arial" w:hAnsi="Arial"/>
          <w:sz w:val="18"/>
          <w:szCs w:val="18"/>
          <w:i w:val="1"/>
          <w:iCs w:val="1"/>
          <w:color w:val="auto"/>
        </w:rPr>
        <w:t>Baylor Study</w:t>
      </w:r>
      <w:r>
        <w:rPr>
          <w:rFonts w:ascii="Arial" w:cs="Arial" w:eastAsia="Arial" w:hAnsi="Arial"/>
          <w:sz w:val="18"/>
          <w:szCs w:val="18"/>
          <w:color w:val="auto"/>
        </w:rPr>
        <w:t>). The Baylor Study is a randomized, double-blind, placebo-controlled cross-over study designed as a target engagement study as the first-step in our plans to test potential anti-suicidal effects of AV-101 in U.S. Military Veterans. Dr. Marijn Lijffijt of Baylor is the Principal Investigator of the Baylor Study. VistaGen and the VA entered into a Material Transfer Cooperative Research and Development Agreement (</w:t>
      </w:r>
      <w:r>
        <w:rPr>
          <w:rFonts w:ascii="Arial" w:cs="Arial" w:eastAsia="Arial" w:hAnsi="Arial"/>
          <w:sz w:val="18"/>
          <w:szCs w:val="18"/>
          <w:i w:val="1"/>
          <w:iCs w:val="1"/>
          <w:color w:val="auto"/>
        </w:rPr>
        <w:t>MT CRADA</w:t>
      </w:r>
      <w:r>
        <w:rPr>
          <w:rFonts w:ascii="Arial" w:cs="Arial" w:eastAsia="Arial" w:hAnsi="Arial"/>
          <w:sz w:val="18"/>
          <w:szCs w:val="18"/>
          <w:color w:val="auto"/>
        </w:rPr>
        <w:t>) regarding clinical trial material for the Baylor Study. Government funding from the VA is being provided for substantially all other study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Neuropathic Pain</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Neuropathic pain, a complex, chronic pain state affecting millions of Americans, results from problems with signals from nerves. The American Chronic Pain Association has identified various causes of NP, including tissue injury, nerve damage or disease, diabetes, infection, toxins, certain types of drugs, such as antivirals and chemotherapeutic agents, certain cancers, and even chronic alcohol intake. With NP, damaged, dysfunctional or injured nerve fibers send incorrect signals to other pain centers and impact nerve function both at the site of injury and areas around the injury. Unfortunately, many NP treatments on the market today have side effects, including anxiety, depression, dizziness, cognitive impairment and/or sedation.</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effects of AV-101 as a potential new treatment for NP were assessed in published peer-reviewed preclinical studies involving four well-established models of pain. In these studies, AV-101 was observed to have robust, dose-dependent anti-nociceptive effects, as measured by dose-dependent reversal of NP in the Chung (nerve ligation), formalin and carrageenan thermal models in rats, and was well-tolerated. The publication, titled: “</w:t>
      </w:r>
      <w:r>
        <w:rPr>
          <w:rFonts w:ascii="Arial" w:cs="Arial" w:eastAsia="Arial" w:hAnsi="Arial"/>
          <w:sz w:val="16"/>
          <w:szCs w:val="16"/>
          <w:i w:val="1"/>
          <w:iCs w:val="1"/>
          <w:color w:val="auto"/>
        </w:rPr>
        <w:t>Characterization of the effects of L-4-chlorokynurenine on nociception in rodents</w:t>
      </w:r>
      <w:r>
        <w:rPr>
          <w:rFonts w:ascii="Arial" w:cs="Arial" w:eastAsia="Arial" w:hAnsi="Arial"/>
          <w:sz w:val="16"/>
          <w:szCs w:val="16"/>
          <w:color w:val="auto"/>
        </w:rPr>
        <w:t>,” by lead author, Tony L. Yaksh, Ph.D., Professor in Anesthesiology at the University of California, San Diego,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published in </w:t>
      </w:r>
      <w:r>
        <w:rPr>
          <w:rFonts w:ascii="Arial" w:cs="Arial" w:eastAsia="Arial" w:hAnsi="Arial"/>
          <w:sz w:val="16"/>
          <w:szCs w:val="16"/>
          <w:i w:val="1"/>
          <w:iCs w:val="1"/>
          <w:color w:val="auto"/>
        </w:rPr>
        <w:t>The Journal of Pain</w:t>
      </w:r>
      <w:r>
        <w:rPr>
          <w:rFonts w:ascii="Arial" w:cs="Arial" w:eastAsia="Arial" w:hAnsi="Arial"/>
          <w:sz w:val="16"/>
          <w:szCs w:val="16"/>
          <w:color w:val="auto"/>
        </w:rPr>
        <w:t xml:space="preserve"> in April 2017 (J Pain. 18:1184-1196, 2017)). Gabapentin, an FDA-approved anticonvulsant, has been associated with sedation and mild cognitive impairment in third party literature. Other commonly prescribed medications for NP include drugs targeting opioid receptors in the brain. Unfortunately, misuse of such drugs can lead to a significantly increased risk of addiction, and, we believe, their therapeutic utility for neuropathic pain is unclear. We are planning to advance AV-101 into an exploratory Phase 2a clinical study, subject to securing sufficient capital, to assess its potential as a new oral non-opioid treatment to reduce debilitating NP, as well as its potential to avoid sedative side effects and cognitive impairment that have been observed in third party literature to be associated with other NP treatments, and to reduce the risk of addiction associated with pain medications targeting opioid receptors.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FDA has granted Fast Track designation for development of AV-101 as a potential new, non-opioid treatment of NP.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Parkinson’s Disease Levodopa-Induced Dyskinesia</w:t>
      </w:r>
    </w:p>
    <w:p>
      <w:pPr>
        <w:spacing w:after="0" w:line="22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Parkinson's disease (</w:t>
      </w:r>
      <w:r>
        <w:rPr>
          <w:rFonts w:ascii="Arial" w:cs="Arial" w:eastAsia="Arial" w:hAnsi="Arial"/>
          <w:sz w:val="15"/>
          <w:szCs w:val="15"/>
          <w:i w:val="1"/>
          <w:iCs w:val="1"/>
          <w:color w:val="auto"/>
        </w:rPr>
        <w:t>PD</w:t>
      </w:r>
      <w:r>
        <w:rPr>
          <w:rFonts w:ascii="Arial" w:cs="Arial" w:eastAsia="Arial" w:hAnsi="Arial"/>
          <w:sz w:val="15"/>
          <w:szCs w:val="15"/>
          <w:color w:val="auto"/>
        </w:rPr>
        <w:t>) is a chronic, progressive motor disorder that causes tremors, rigidity, slowed movements and postural instability. The most commonly-prescribed treatments for PD are levodopa-based therapies. Unfortunately, abnormal involuntary movements, called dyskinesias, gradually emerge as a prominent side-effect in response to previously beneficial doses of levodopa. PD LID can be severely disabling, rendering patients unable to perform routine daily tasks.</w:t>
      </w:r>
    </w:p>
    <w:p>
      <w:pPr>
        <w:spacing w:after="0" w:line="14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 preclinical monkey model of PD, AV-101 resulted in a 30% reduction of the mean dyskinesia score associated with PD LID. Importantly, AV-101 did not reduce the anti-parkinsonian therapeutic benefit of levodopa. Moreover, the duration of levodopa response and delay to levodopa effect were not affected by treatment with AV-101. We believe AV-101 has potential to reduce troublesome dyskinesia experienced by many patients with PD as a result of their levodopa therapy, but without interfering with levodopa or causing side effects resulting from certain current PD LID treatments, such as amantadine, including hallucinations, dizziness, dry mouth, swelling of legs and feet, constipation and falls. We are planning to advance clinical development of AV-101 for PD LID in an exploratory Phase 2 clinical study, subject to securing sufficient capital, as our next initiative in PD 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2018, we acquired, on a non-cash basis through the issuance of unregistered shares of our common stock, a license from Pherin Pharmaceuticals, Inc. (</w:t>
      </w:r>
      <w:r>
        <w:rPr>
          <w:rFonts w:ascii="Arial" w:cs="Arial" w:eastAsia="Arial" w:hAnsi="Arial"/>
          <w:sz w:val="18"/>
          <w:szCs w:val="18"/>
          <w:i w:val="1"/>
          <w:iCs w:val="1"/>
          <w:color w:val="auto"/>
        </w:rPr>
        <w:t>Pherin</w:t>
      </w:r>
      <w:r>
        <w:rPr>
          <w:rFonts w:ascii="Arial" w:cs="Arial" w:eastAsia="Arial" w:hAnsi="Arial"/>
          <w:sz w:val="18"/>
          <w:szCs w:val="18"/>
          <w:color w:val="auto"/>
        </w:rPr>
        <w:t>) giving us the exclusive worldwide rights to develop and commercialize PH94B, a rapid-onset neurosteroid nasal spray with potential to be the first FDA-approved PRN treatment for SAD.</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PH94B is a synthetic investigational neuroactive steroid for which Phase 2 clinical data showed that the product was well tolerated and demonstrated a rapid onset of effect, as measured by the Subjective Units of Distress (</w:t>
      </w:r>
      <w:r>
        <w:rPr>
          <w:rFonts w:ascii="Arial" w:cs="Arial" w:eastAsia="Arial" w:hAnsi="Arial"/>
          <w:sz w:val="16"/>
          <w:szCs w:val="16"/>
          <w:i w:val="1"/>
          <w:iCs w:val="1"/>
          <w:color w:val="auto"/>
        </w:rPr>
        <w:t>SUD</w:t>
      </w:r>
      <w:r>
        <w:rPr>
          <w:rFonts w:ascii="Arial" w:cs="Arial" w:eastAsia="Arial" w:hAnsi="Arial"/>
          <w:sz w:val="16"/>
          <w:szCs w:val="16"/>
          <w:color w:val="auto"/>
        </w:rPr>
        <w:t>) and the Liebowitz Social Anxiety Scale (</w:t>
      </w:r>
      <w:r>
        <w:rPr>
          <w:rFonts w:ascii="Arial" w:cs="Arial" w:eastAsia="Arial" w:hAnsi="Arial"/>
          <w:sz w:val="16"/>
          <w:szCs w:val="16"/>
          <w:i w:val="1"/>
          <w:iCs w:val="1"/>
          <w:color w:val="auto"/>
        </w:rPr>
        <w:t>LSAS</w:t>
      </w:r>
      <w:r>
        <w:rPr>
          <w:rFonts w:ascii="Arial" w:cs="Arial" w:eastAsia="Arial" w:hAnsi="Arial"/>
          <w:sz w:val="16"/>
          <w:szCs w:val="16"/>
          <w:color w:val="auto"/>
        </w:rPr>
        <w:t>) in SAD, a social phobia that affects as many as 22 million American adults according to the NIMH. SAD is characterized by an intense and persistent fear of embarrassment, humiliation, judgment and rejection in everyday social or performance situations, leading to avoidance of anxiety and fear-producing social situations when possible. SAD has a significant impact on the individual’s employment, social activities and overall quality of life. According to the NIMH, an estimated 7% of the U.S. population suffers from SAD. SAD is commonly treated chronically with antidepressants, which have slow onset of effect (several weeks or months) and known side effects that may make them unattractive to individuals intermittently or episodically affected by SAD.</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Administered as a nasal spray, PH94B is designed to act locally on peripheral nasal chemosensory receptors to trigger rapid activation of the limbic system areas of the brain associated with SAD. In prior clinical studies, PH94B demonstrated rapid (10-15 minutes) anxiety reduction for subjects with SAD, measured by the SUD and LSAS, and was not observed to be addictive, sedative or have other adverse events. Benzodiazepines and beta blockers, which are currently prescribed off-label to treat SAD, have been found in third party literature to have these addictive or sedative properties, and have other adverse effects when used to treat SAD.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clinical studies in which PH94B was observed to have rapid onset of effect on anxiety reduction, as measured by the SUD and LSAS, and to be well-tolerated, and in light of its novel route of administration and on-demand dosing design, we believe PH94B has potential to be the first FDA-approved medication for long-term PRN treatment of individuals with SAD.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PH10</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October 2018, we acquired, on a non-cash basis through the issuance of unregistered shares of our common stock, a second license from Pherin giving us the exclusive worldwide rights to develop and commercialize PH10, a synthetic investigational neuroactive steroid nasal spray for which exploratory Phase 2 clinical data showed that it was well tolerated and demonstrated a rapid onset of antidepressant effects. PH10 is designed to bind locally on nasal chemosensory receptors and trigger responses in the hypothalamus, amygdala, prefrontal cortex and hippocampus affecting depression. It is believed that PH10 may initiate nerve impulses that follow defined pathways to directly affect brain function. In a small exploratory Phase 2a study in patients with MDD, PH10 showed a rapid-onset antidepressant effect, as measured by the Hamilton Depression Rating Scale (</w:t>
      </w:r>
      <w:r>
        <w:rPr>
          <w:rFonts w:ascii="Arial" w:cs="Arial" w:eastAsia="Arial" w:hAnsi="Arial"/>
          <w:sz w:val="16"/>
          <w:szCs w:val="16"/>
          <w:i w:val="1"/>
          <w:iCs w:val="1"/>
          <w:color w:val="auto"/>
        </w:rPr>
        <w:t>HAM</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D</w:t>
      </w:r>
      <w:r>
        <w:rPr>
          <w:rFonts w:ascii="Arial" w:cs="Arial" w:eastAsia="Arial" w:hAnsi="Arial"/>
          <w:sz w:val="16"/>
          <w:szCs w:val="16"/>
          <w:color w:val="auto"/>
        </w:rPr>
        <w:t>), without psychological side effects or safety concerns. PH10 is a new generation antidepressant with a mechanism of action that is fundamentally different from all current antidepressants. As with AV-101, we believe PH10 intranasal has potential for multiple applications in global depression markets, as a stand-alone first line therapy and as an adjunctive therapy, if successfully developed and approved. In addition to its potential as a first-line monotherapy administered conveniently at-home, we believe PH10 has potential as an adjunctive therapy to (i) augment current antidepressants approved by the FDA for patients with MDD who have an inadequate response to standard antidepressants (SSRIs and SNRIs), and (ii) prevent relapse of MDD following successful treatment with ketamine, either intravenously- or intranasally-administered ketamine.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VistaStem</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our CNS business, we have two additional programs through our wholly-owned subsidiary VistaGen Therapeutics, Inc., a California corporation, dba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VistaStem is focused on applying stem cell technology to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CNS pipeline or out-licensing. We have exclusively sublicensed to BlueRock Therapeutics LP, a next generation cell therapy and RM company established by Bayer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the BlueRock Agreement, we may pursue additional VistaStem collaborations or licensing transactions involving stem cell-derived blood, cartilage, and/or liver cells RM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VistaStem is our wholly-owned subsidiary. Our Condensed Consolidated Financial Statements in this Report also include the accounts of VistaStem’s two wholly-owned inactive subsidiaries, Artemis Neuroscience, Inc., a Maryland corporation, and VistaStem Canada, Inc., a corporation organized under the laws of Ontario, Canada.</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2018, as filed with the SEC on June 26, 2018, and in Note 3 to the accompanying unaudited Condensed Consolidated Financial Statements included in Part 1, Item 1 of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We have not yet achieved recurring revenue-generating status from any of our product candidates or technologies. Since inception, we have devoted substantially all of our time and efforts to developing our initial CNS product candidate, AV-101, from early nonclinical studies to our ongoing Phase 2 clinical development program in MDD, as well as stem cell technology research and development, bioassay development, small molecule drug development, and creating, protecting and patenting intellectual property (</w:t>
      </w:r>
      <w:r>
        <w:rPr>
          <w:rFonts w:ascii="Arial" w:cs="Arial" w:eastAsia="Arial" w:hAnsi="Arial"/>
          <w:sz w:val="15"/>
          <w:szCs w:val="15"/>
          <w:i w:val="1"/>
          <w:iCs w:val="1"/>
          <w:color w:val="auto"/>
        </w:rPr>
        <w:t>IP</w:t>
      </w:r>
      <w:r>
        <w:rPr>
          <w:rFonts w:ascii="Arial" w:cs="Arial" w:eastAsia="Arial" w:hAnsi="Arial"/>
          <w:sz w:val="15"/>
          <w:szCs w:val="15"/>
          <w:color w:val="auto"/>
        </w:rPr>
        <w:t>) related to our product candidates and technologies, with the corollary initiatives of recruiting and retaining personnel and raising working capital. As disclosed above, we have recently acquired the rights to develop and commercialize PH94B and PH10. As of December 31, 2018, we had an accumulated deficit of approximately $175.4 million. Our net loss for the quarters ended December 31, 2018 and 2017 was approximately $7.2 million and $3.0 million, respectively. We expect losses to continue for the foreseeable future, primarily as we continue to conduct our ELEVATE Study, pursue further clinical development of AV-101 for the adjunctive treatment of MDD and for a range of other CNS indications, and further develop PH94B and PH10.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Nine Months Ended December 31, 2018</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December 31, 2018, we continued to (i) advance nonclinical development, including manufacturing, and clinical development of AV-101 as a potential new generation antidepressant and as a potential new therapeutic alternative for several CNS indications with significant unmet need, (ii) expand the regulatory and intellectual property foundation to support broad clinical development and, ultimately, commercialization of AV-101 in the U.S. and foreign markets, (iii) expand our neuropsychiatry pipeline by acquiring exclusive worldwide licenses to PH94B, a novel drug candidate for treatment of SAD, and PH10, a novel drug candidate for treatment of MDD, and (iv) on a limited basis, advance drug rescue applications of our stem cell technology to further expand our CNS pipeline.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continued to conduct our ELEVATE Study throughout the fiscal year, in addition to producing supplies of AV-101 and conducting certain Phase 3-enabling nonclinical studies involving AV-101.</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our CRADA with the NIH, the NIH continues to fund, and Dr. Carlos Zarate Jr. of the NIMH continues to conduct, the NIMH Study at no cost to us other than having supplied AV-101 and placebo for use in connection with the NIMH Study.</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Pursuant to our MT CRADA with the VA and our arrangements with Baylor, Baylor commenced the Baylor Study to define a dose-response relationship between AV-101 and relevant biomarkers related to NMDA function and others possibly related to suicidal ideation in U.S. Military Veterans.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and October 2018, we acquired, on a non-cash basis through the issuance of our common stock, licenses from Pherin giving us the exclusive worldwide rights to develop and commercialize PH94B, a rapid-onset drug candidate designed to be administered as a nasal spray with potential to be the first FDA-approved PRN medication for SAD, and PH10, a rapid-onset drug candidate designed to be administered as a nasal spray for treatment of MDD. We are actively pursuing nonclinical and regulatory initiatives necessary to facilitate pivotal Phase 3 clinical development of PH94B for SAD and Phase 2 clinical development of PH10 for MDD.</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pursue initiatives to secure a broad portfolio of patent protection for AV-101 that covers the treatment of multiple CNS indications, unit dose formulations of AV-101 effective to treat depression and chemical synthesis methods. With respect to CNS treatments, we obtained patents in several countries for the treatment of depression and we are pursuing patent applications related to treatment of L-DOPA induced dyskinesias, certain types of neuropathic pain, tinnitus and obsessive-compulsive disorder. Additional patent applications to other aspects of prognostic testing and treatment using AV-101 are under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2018 and subsequently, we have pursued patent applications in the U.S., Australia, China, Europe, Japan and other selected countries and regions with significant commercial potential. Several of these patent applications were allowed or have been granted in the U.S. and other major pharmaceutical markets during the nine months covered by this Report. Based on patent issuances or allowances to-date in several countries, we believe that pending counterpart patent applications related to AV-101 currently under review in other countries also are likely to be granted, although there can be no assurance that all pending applications will ultimately be granted.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an exclusive license from Pherin to its portfolio of patent assets around PH94B, under clinical development for the treatment of SAD. Patents have issued in several countries, including the U.S., Australia, Canada, China, Europe, Japan, Korea and Mexico.</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We also have an exclusive license from Pherin to its portfolio of patent assets around PH10, under clinical development for the treatment of depressive disorders.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Patents in this portfolio have issued in Australia, China, Europe and Japan. Applications are pending in the U.S., Canada, Korea and Mexico.</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with AV-101, we plan to seek regulatory exclusivity in countries where this is available for the therapeutic use of PH94B, with initial emphasis on treating SAD, as our lead indication in clinical development, and for the therapeutic use of PH10, with our lead indication being the treatment of major depressive disorder.</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obtained and are pursuing patent rights to the production of several types of stem cells and cells differentiated from those stem cells, including cardiomyocytes, hematopoietic cells, chondrocytes, cartilage cells and hepatocytes, as well as the use of certain cell types that have been differentiated from pluripotent stem cells for therapeutic purposes, including cell-based therapy and regenerative medicine.</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 xml:space="preserve">Between June 2018 and October 2018, we completed a self-placed private placement with accredited investors, pursuant to which we sold units, at a purchase price of $1.25 per unit, consisting of 4,605,000 unregistered shares of our common stock and warrants, exercisable through February 28, 2022, to purchase 4,605,000 unregistered shares of our common stock at an exercise price of $1.50 per share (the </w:t>
      </w:r>
      <w:r>
        <w:rPr>
          <w:rFonts w:ascii="Arial" w:cs="Arial" w:eastAsia="Arial" w:hAnsi="Arial"/>
          <w:sz w:val="15"/>
          <w:szCs w:val="15"/>
          <w:i w:val="1"/>
          <w:iCs w:val="1"/>
          <w:color w:val="auto"/>
        </w:rPr>
        <w:t>Summer 2018 Private Placement</w:t>
      </w:r>
      <w:r>
        <w:rPr>
          <w:rFonts w:ascii="Arial" w:cs="Arial" w:eastAsia="Arial" w:hAnsi="Arial"/>
          <w:sz w:val="15"/>
          <w:szCs w:val="15"/>
          <w:color w:val="auto"/>
        </w:rPr>
        <w:t xml:space="preserve">). We received aggregate cash proceeds of $5,756,200 from the Summer 2018 Private Placement. The Summer 2018 Private Placement was oversubscribed. To accommodate additional investor interest, during October 2018, we accepted subscription agreements from accredited investors, pursuant to which we sold to such investors units, at a unit purchase price equal to $0.15 above the closing quoted market price of our common stock on the Nasdaq Capital Market on the effective date of the investor’s subscription agreement, consisting of an aggregate of 420,939 unregistered shares of our common stock and four-year, immediately exercisable warrants to purchase 420,939 unregistered shares of our Common Stock at a per share exercise price equal to the closing quoted market price of our common stock on the Nasdaq Capital Market on the effective date of the investor’s subscription agreement (the </w:t>
      </w:r>
      <w:r>
        <w:rPr>
          <w:rFonts w:ascii="Arial" w:cs="Arial" w:eastAsia="Arial" w:hAnsi="Arial"/>
          <w:sz w:val="15"/>
          <w:szCs w:val="15"/>
          <w:i w:val="1"/>
          <w:iCs w:val="1"/>
          <w:color w:val="auto"/>
        </w:rPr>
        <w:t>Fall 2018 Private Placement</w:t>
      </w:r>
      <w:r>
        <w:rPr>
          <w:rFonts w:ascii="Arial" w:cs="Arial" w:eastAsia="Arial" w:hAnsi="Arial"/>
          <w:sz w:val="15"/>
          <w:szCs w:val="15"/>
          <w:color w:val="auto"/>
        </w:rPr>
        <w:t>). We received aggregate cash proceeds of $812,500 in connection with the Fall 2018 Private Placement and settled an outstanding professional service payable by accepting a subscription agreement in the amount of $40,000 and issuing the corresponding number of shares and warrants. During the nine months ended December 31, 2018, we have also received cash proceeds of $605,700 from the exercise of outstanding warrants to purchase an aggregate of 403,800 shares our common stock.</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matter of course, we continue to minimize, to the greatest extent possible, cash commitments and expenditures for both internal and external research and development and general and administrative services. To further advance the clinical and nonclinical development of AV-101, PH94B, PH10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December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results of our operations for the three months ended December 31, 2018 and 2017 (amounts in thousands).</w:t>
      </w:r>
    </w:p>
    <w:p>
      <w:pPr>
        <w:spacing w:after="0" w:line="242"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color w:val="auto"/>
        </w:rPr>
        <w:t>Three Months Ended December</w:t>
      </w:r>
    </w:p>
    <w:p>
      <w:pPr>
        <w:spacing w:after="0" w:line="44"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on extinguishment of accounts payable</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(7,217)</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Deemed dividend from trigger of down round</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provision feature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reported no revenue for either the quarter ended December 31, 2018 or 2017 and we presently have no recurring revenue generating arrangements with respect to AV-101, PH94B, PH10 or other potential product candidates. While we may potentially receive payments or royalties under the BlueRock Agreement in the future in the event certain performance-based milestones and commercial sales are achieved, there can be no assurance that the BlueRock Agreement will provide revenue to us in the near term or at all.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expense increased to $5.3 million compared to $1.6 million for the quarters ended December 31, 2018 and 2017, respectively. The October 2018 acquisition of the PH10 license through the issuance of our common stock, which resulted in $2.0 million of noncash expense, coupled with continuing expenses of the ELEVATE Study and various nonclinical activities, including manufacturing additional quantities of AV-101, are the primary drivers of the increase in research and development expense. In addition to the PH10 license acquisition, other noncash expenses included in research and development expense, including stock compensation, depreciation and a portion of rent expense in both periods and a portion of AV-101 project expenses in the quarter ended December 31, 2018, aggregated approximately $297,000 and $385,000 for the quarters ended December 31, 2018 and 2017 respectively. The following table indicates the primary components of research and development expense for each of the periods (amounts in thousands):</w:t>
      </w:r>
    </w:p>
    <w:p>
      <w:pPr>
        <w:spacing w:after="0" w:line="16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ELEVATE study and other AV-101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PH94B and PH10 licenses and other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VistaStem and all other projects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salaries and benefits expense reflects the impact of salary increases granted to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and members of our scientific staff effective in July 2018 offset by decreased bonus payments in the quarter ended December 31, 2018 versus the quarter ended December 31, 2017.</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Stock-based compensation expense reflects the routine amortization of option grants made to our CSO, CMO and scientific staff in June 2016 and thereafter, all earlier grants having become fully vested and amortized prior to the quarter ended December 31, 2018. Grants awarded after December 2017 account for approximately $92,000 of 2018 expense. Expense attributable to these grants is generally being amortized over two-year to four-year vesting periods, with one-quarter of the grants made in February 2018 and August 2018 being immediately vested and expensed upon grant, in accordance with the terms of the respective grants.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Consulting services reflects fees paid or accrued for scientific, nonclinical and clinical development and regulatory advisory services rendered to us by third-parties, in 2017, primarily by members of our Scientific Advisory Board and CNS Clinical and Regulatory Advisory Board. The increase in 2018 expense reflects consulting and support services in connection with our acquisition of the exclusive licenses to PH94B and PH10 and related consulting arrangements.</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Technology license expense reflects both recurring annual license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this expense includes legal counsel and other costs we have incurred to advance pending patent applications in the U.S. and numerous foreign countries with respect to AV-101 and our stem cell technology platform. Acquisition of the PH94B and PH10 licenses contributed only nominally to this expense in 2018.</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AV-101 project expense for the quarter ended December 31, 2018, primarily reflects the continuing costs of conducting the ELEVATE Study, including various CRO, investigator and clinical site costs, as well as expense incurred to manufacture additional quantities of AV-101 for use in future Phase 3-enabling nonclinical trials and clinical development of AV-101 for MDD and other potential CNS indications. AV-101 project expense for the quarter ended December 31, 2017 included costs incurred to develop our current more efficient and cost-effective proprietary manufacturing methods for AV-101, and to produce quantities of AV-101 in preparation for the ELEVATE Study and Baylor Study.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indicated above, PH94B and PH10 expense includes the non-cash expense related to the October 2018 acquisition of the PH10 license through the issuance of $2.0 million fair value of 925,926 unregistered shares of our common stock to Pherin under the terms of the option exercise and license. Additional expense relates to initiatives advancing the further development of PH94B.</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Stem cell and other project related expenses reflects costs associated with drug rescue applications of our stem cell technology in both years.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 expense is essentially unchanged between the periods and reflects commercial property rents prevalent in the South San Francisco real estate market at the time of our November 2016 lease amendment extending the lease of our headquarters facilities in South San Francisco by five years from July 31, 2017 to July 31, 2022 and the related accounting for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General and administrative expense increased to approximately $1.8 million, from approximately $1.3 million for the quarters ended December 31, 2018 and 2017, respectively. Noncash expense, $588,000 in the quarter ended December 31, 2018, increased from $485,000 in the quarter ended December 31, 2017 primarily due to increases in stock-based compensation and in noncash components of investor and public relations and warrant modification expenses. The following table indicates the primary components of general and administrative expense for each of the periods (amounts in thousands):</w:t>
      </w:r>
    </w:p>
    <w:p>
      <w:pPr>
        <w:spacing w:after="0" w:line="16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salaries and benefits primarily reflects the impact of salary increases granted effective July 2018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Vice President-Corporate Development (</w:t>
      </w:r>
      <w:r>
        <w:rPr>
          <w:rFonts w:ascii="Arial" w:cs="Arial" w:eastAsia="Arial" w:hAnsi="Arial"/>
          <w:sz w:val="18"/>
          <w:szCs w:val="18"/>
          <w:i w:val="1"/>
          <w:iCs w:val="1"/>
          <w:color w:val="auto"/>
        </w:rPr>
        <w:t>VP Corporate Development</w:t>
      </w:r>
      <w:r>
        <w:rPr>
          <w:rFonts w:ascii="Arial" w:cs="Arial" w:eastAsia="Arial" w:hAnsi="Arial"/>
          <w:sz w:val="18"/>
          <w:szCs w:val="18"/>
          <w:color w:val="auto"/>
        </w:rPr>
        <w:t>) and a non-officer member of our administrative staff, offset by reduced bonus payments in the quarter ended December 31, 2018.</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Stock-based compensation expense reflects the routine amortization of option grants made to our CEO, CFO, VP Corporate Development and administrative staff in June 2016 and thereafter, all earlier grants having become fully vested and amortized prior to the quarter ended December 31, 2018. Grants awarded after December 2017 account for approximately $196,000 of 2018 expense. Expense attributable to these grants is generally being amortized over two-year to four-year vesting periods, with one-quarter of the grants made in February 2018 and August 2018 being immediately vested and expensed upon grant, in accordance with the terms of the respective grants.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Board fees represents fees paid as consideration for the Board and Board Committee services of the independent members of our Board.</w:t>
      </w:r>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Legal, accounting and other professional fees for the quarters ended December 31, 2018 and 2017 includes expense related to routine legal fees as well as the accounting expense related to the review of the financial statements for the third quarter of each fiscal year. In 2018, we also incurred $68,000 attributable to services provided by an international business development consultant. We incurred no non-cash expense in the quarters ended December 31, 2018 or 2017.</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Investor and public relations expense includes the fees of our various external service providers for a broad spectrum of investor relations and public relations services, and well as market awareness and strategic advisory and support functions and initiatives that included numerous meetings in multiple U.S. markets and other communication activities focused on expanding market awareness of the Company and its research and development programs, including among registered investment professionals and investment advisors, and individual and institutional investors. In the quarter ended December 31, 2018, in addition to cash fees and expenses we incurred for such activities, we recognized $102,000 of noncash expense attributable to the amortization of the fair value of stock and warrants granted in the previous quarter to various corporate development, investor relations, and market awareness service providers. The balance of the fair value of the securities granted remains recorded as a prepaid expense at December 31, 2018 and is being amortized over the remaining service period of the respective contracts. In the quarter ended December 31, 2017, in addition to cash fees and expenses we incurred, we granted an aggregate of 70,000 unregistered shares of our common stock to certain investor relations, market awareness and strategic business advisory service providers for their services and recognized noncash expense of $84,000, representing the fair value of the stock at the time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In both periods, travel expense reflects costs associated with management presentations and meetings held in multiple U.S. markets, and certain international markets in 2018, with existing and potential individual and institutional investors, investment professionals and advisors, media, and securities analysts, as well as various investor relations, market awareness and corporate development and partnering initiatives and in monitoring the progress of our ELEVATE Study in 2018.</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 expense is essentially unchanged between the periods and primarily reflects commercial property rents prevalent in the South San Francisco real estate market at the time of our November 2016 lease amendment extending the lease of our headquarters facilities in South San Francisco by five years from July 31, 2017 to July 31, 2022 and the related accounting for the amendment.</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quarter ended December 31, 2018, we modified certain warrants issued in the Summer 2018 Private Placement to comply with certain provisions of The Nasdaq Stock Market Rules applicable to the private placement by increasing the exercise price of such warrants to purchase an aggregate of 304,000 shares of our common stock from $1.50 per share to $1.59 per share or $1.69 per share, depending on the effective date of the related subscription agreement. As additional consideration for the modification, we granted the investors additional warrants to purchase an aggregate of 23,800 unregistered shares of our common stock at an exercise price of $1.75 per share through February 28, 2022. We determined that the modification decreased the fair value of the modified warrants, which decrease is not recognized; however, the fair value of the new warrants was determined to be $25,800, which we recognized as noncash warrant modification expense. During the quarter ended December 31, 2017, we modified outstanding warrants issued in private placement transactions between August 2017 and November 2017 to purchase an aggregate of 178,572 shares of our common stock to reduce the exercise prices from a weighted average of $2.32 per share to a weighted average of $1.58 per share. We recognized the calculated increase in the fair value of the warrants, $13,000, as noncash warrant modification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totaled $1,800 for the quarter ended December 31, 2018 compared to $2,000 for the quarter ended December 31, 2017. Interest expense in both periods relates to interest paid on insurance premium financing and on a capital lease of office equipment.</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Fall 2018 Private Placement, we settled an outstanding professional service payable by accepting a subscription agreement in the amount of $40,000 and issuing the corresponding number of shares of Common Stock and warrants. The fair value of the common stock and warrant issued in settlement of the payable was determined to be $62,700 on the effective date of the agreement. Accordingly, we recognized a loss on extinguishment of accounts payable in the amount of $22,700 in the quarter ended December 31, 2018. During the quarter ended December 31, 2017, we issued 500,000 unregistered shares of our common stock having a fair value at the time of issuance of $585,000 and a cash payment of $76,500 to a contract manufacturing organization in settlement of $526,500 of open accounts payable. We recognized a corresponding loss on settlement of accounts payable in the amount of $135,000 for the quarter ended December 31, 2017.</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recognized $290,900 and $263,000 for the quarters ended December 31, 2018 and 2017, respectively, representing the 10% cumulative dividend payable on outstanding shares of Series B Preferred as an additional deduction in arriving at net loss attributable to common stockholders in the accompanying Condensed Consolidated Statement of Operations and Comprehensive Loss included in Part I of this Report. There have been no conversions of outstanding shares of Series B Preferred stock into shares of our common stock since August 2016.</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sale of units consisting of common stock and warrants in our December 2017 public offering at an offering price of $1.50 per unit triggered the anti-dilution provisions of the Series A2 Warrants to purchase an aggregate of 503,641 shares of our common stock issued in our September 2017 public offering. In accordance with the anti-dilution terms and formula contained in the Series A2 warrants, the exercise price of the Series A2 Warrants was reduced from the initial exercise price of $1.82 per share to $0.001 per share. We recognized the effect of triggering the down round feature, $199,200, as a component of net loss attributable to common stockholders in the quarter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December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nine months ended December 31, 2018 and 2017 (amounts in thousands).</w:t>
      </w:r>
    </w:p>
    <w:p>
      <w:pPr>
        <w:spacing w:after="0" w:line="219"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Nine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on extinguishment of accounts payable</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(18,864)</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jc w:val="right"/>
              <w:ind w:right="5232"/>
              <w:spacing w:after="0"/>
              <w:rPr>
                <w:sz w:val="20"/>
                <w:szCs w:val="20"/>
                <w:color w:val="auto"/>
              </w:rPr>
            </w:pPr>
            <w:r>
              <w:rPr>
                <w:rFonts w:ascii="Arial" w:cs="Arial" w:eastAsia="Arial" w:hAnsi="Arial"/>
                <w:sz w:val="18"/>
                <w:szCs w:val="18"/>
                <w:color w:val="auto"/>
                <w:w w:val="94"/>
              </w:rPr>
              <w:t>Accrued dividend on Series B Preferred Stock</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(848)</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jc w:val="right"/>
              <w:ind w:right="5252"/>
              <w:spacing w:after="0"/>
              <w:rPr>
                <w:sz w:val="20"/>
                <w:szCs w:val="20"/>
                <w:color w:val="auto"/>
              </w:rPr>
            </w:pPr>
            <w:r>
              <w:rPr>
                <w:rFonts w:ascii="Arial" w:cs="Arial" w:eastAsia="Arial" w:hAnsi="Arial"/>
                <w:sz w:val="18"/>
                <w:szCs w:val="18"/>
                <w:color w:val="auto"/>
                <w:w w:val="96"/>
              </w:rPr>
              <w:t>Deemed dividend from trigger of down round</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provision feature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(19,714)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reported no revenue for either period presented and we presently have no recurring revenue generating arrangements with respect to AV-101, PH94B, PH10, or other potential product candidates. While we may potentially receive additional payments and royalties under our December 2015 BlueRock Agreement in the future in the event certain performance-based milestones and commercial sales are achieved, there can be no assurance that the BlueRock Agreement will provide additional revenue to us in the near term or at all.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expense increased to $13.3 million compared to $5.1 million for the nine months ended December 31, 2018 and 2017, respectively. The noncash acquisition of the PH94B license and the PH10 option and license through the issuance of our common stock, which resulted in an aggregate of $4.25 million of expense, coupled with expenses related to conducting the ELEVATE Study and various nonclinical activities, including manufacturing additional quantities of AV-101, are the primary drivers of the increase in research and development expense. Other noncash expenses included in research and development expense, including stock compensation, depreciation and a portion of rent expense in both periods and a portion of AV-101 project expenses in the nine months ended December 31, 2018, aggregated approximately $1,026,000 and $1,228,000 for the nine months ended December 31, 2018 and 2017 respectively. The following table indicates the primary components of research and development expense for each of the periods (amounts in thousands):</w:t>
      </w:r>
    </w:p>
    <w:p>
      <w:pPr>
        <w:spacing w:after="0" w:line="16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ELEVATE study and other AV-101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PH94B and PH10 licenses and other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VistaStem and all other projects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salaries and benefits expense reflects the impact of salary increases and bonus payments granted to our CMO, CSO and members of our scientific staff effective in July 2018, offset by the impact of a staff termination in the quarter ended June 30, 2017.</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Stock-based compensation expense increased significantly in the nine months ended December 31, 2018 as a result of (i) the impact of new options granted to our CMO, CSO, and members of our scientific staff in August 2018 which options were 25% vested upon grant and vest ratably until becoming fully-vested within two years thereafter, and (ii) the modification in August 2018 of outstanding options held by our CMO, CSO and members of our scientific staff having exercise prices over $1.56 per share to reduce the exercise price to $1.50 per share. Stock compensation expense attributable to grants made subsequent to December 31, 2017 and including the $104,000 immediately recognized impact of the modification of exercise prices accounted for approximately $312,000 in the nine months ended December 31, 2018. Current year expense is attributable to grants made in June 2016 and thereafter, all earlier grants having become fully vested and amortized prior to September 30, 2018.</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Consulting services reflects fees paid or accrued for scientific, nonclinical and clinical development and regulatory advisory services rendered to us by third-parties, in 2017, primarily by members of our scientific and CNS clinical and regulatory advisory boards. The increase in 2018 expense reflects consulting and support services in connection with our acquisition of the exclusive licenses to PH94B and PH10 and related consulting arrangements.</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Technology license expense reflects both recurring annual license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this expense includes legal counsel and other costs we have incurred to advance pending patent applications in the U.S. and numerous foreign countries with respect to AV-101 and our stem cell technology platform. Acquisition of the PH94B and PH10 licenses contributed only nominally to this expense in 2018.</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AV-101 project expense for the nine months ended December 31, 2018, primarily reflects the continuing costs of conducting the ELEVATE Study, including various CRO, investigator and clinical site costs, as well as expense incurred to manufacture additional quantities of AV-101 for use in future nonclinical and clinical trials of AV-101 for MDD and other potential CNS indications. AV-101 project expense for the nine months ended December 31, 2017 primarily reflected costs incurred to develop our current more efficient and cost-effective proprietary manufacturing methods for AV-101, and to produce quantities of AV-101 in preparation for the ELEVATE Study and Baylor Study.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indicated above, noncash expense related to the acquisition of the PH94B and PH10 licenses and PH10 option reflects the $4.25 million fair value of an aggregate of 2,556,361 unregistered shares of our common stock issued to Pherin in September 2018 and October 2018 under the terms of the license and option agreements. Additional expense relates to initiatives advancing the further development of PH94B.</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Stem cell and other project related expenses reflects costs associated with drug rescue applications of our stem cell technology in both years.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 expense is essentially unchanged between the periods and reflects commercial property rents prevalent in the South San Francisco real estate market at the time of our November 2016 lease amendment extending the lease of our headquarters facilities in South San Francisco by five years from July 31, 2017 to July 31, 2022 and the related accounting for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General and administrative expense increased to approximately $5.5 million from approximately $5.0 million for the nine months ended December 31, 2018 and 2017, respectively, due to a modest increase in cash compensation costs and a significant increase in noncash stock-based compensation expense offset by reductions in certain professional services expenses and in noncash warrant modification expense. Noncash expense components represented approximately $1,883,000 and $2,232,000 for the nine months ended December 31, 2018 and 2017, respectively. Such non-cash expenses included, in both periods, stock compensation expense, a portion of professional services and investor relations expense, a portion of rent expense, and warrant modification expense. The following table indicates the primary components of general and administrative expense for each of the periods (amounts in thousands):</w:t>
      </w:r>
    </w:p>
    <w:p>
      <w:pPr>
        <w:spacing w:after="0" w:line="168"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salaries and benefits primarily reflects the impact of salary increases and bonus payments granted effective July 2018 to our CEO, CFO, VP Corporate Development and a non-officer member of our administrative staff.</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Stock-based compensation expense increased significantly for the nine months ended December 31, 2018 as a result of (i) the impact of new options granted to our CEO in February 2018 and to our CFO, VP Corporate Development and our administrative staff in February 2018 and August 2018, each of which were 25% vested upon grant and vest ratably until becoming fully-vested within two years thereafter, and (ii) the modification in August 2018 of outstanding options held by our CEO, CFO, VP Corporate Development and our administrative staff having exercise prices over $1.56 per share to reduce the exercise price to $1.50 per share. Stock compensation expense attributable to grants made subsequent to December 31, 2017 and including the $154,000 immediately recognized impact of the modification of exercise prices accounted for approximately $660,000 in the nine months ended December 31, 2018. Current year expense is attributable to grants made in June 2016 and thereafter, all earlier grants having become fully vested and amortized prior to the quarter ended September 30,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Board fees represents fees paid as consideration for the Board and Board Committee services of the independent members of our Board.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Legal, accounting and other professional fees for the nine months ended December 31, 2018 and 2017 includes expense related to routine legal fees as well as the accounting expense related to the annual audit of the prior year’s financial statements and the review of the financial statements for the first three quarters of the current fiscal year. Additionally, in 2018, we incurred $81,000 attributable to services provided by an international business development consultant. In addition to cash fees incurred, in the nine months ended December 31, 2017, we granted an aggregate of 20,000 unregistered shares of our common stock having an aggregate fair value of $30,800 to legal services providers as compensation for services and an aggregate of 150,000 unregistered shares of our common stock having an aggregate fair value of $234,000 to two investment banking firms pursuant to financial advisory agreements. We incurred no noncash expense in the nine months ended December 31, 2018.</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Investor and public relations expense includes the fees of our various external service providers for a broad spectrum of investor relations and public relations services, as well as market awareness, strategic advisory and support functions and initiatives that included numerous meetings in multiple U.S. markets and other communication activities focused on expanding market awareness of the Company and its research and development programs, including among registered investment professionals and investment advisors, and individual and institutional investors. During the nine months ended December 31, 2018, in addition to cash fees and expenses, we granted: (i) an aggregate of 100,000 unregistered shares of our common stock to certain financial advisory service providers in the quarter ended June 30, 2018 as full or partial compensation for their services and recognized noncash expense of approximately $123,000 representing the fair value of the stock at the time of issuance; and (ii) an aggregate of 50,000 unregistered shares of our common stock and four-year warrants to purchase an aggregate of 288,000 unregistered shares of our common stock having an aggregate fair value of approximately $336,000 to various corporate development, investor relations, and market awareness service providers and recognized aggregate non-cash expense of approximately $169,000 in the two quarters ended December 31, 2018. The balance of the fair value of the securities granted in the quarter ended September 30, 2018 remains recorded as a prepaid expense and is being amortized over the remaining service period of the respective contracts. In the nine months ended December 31, 2017, in addition to cash fees and expenses we incurred, we granted an aggregate of 552,000 shares of our unregistered common stock to various corporate development, investor relations, market awareness and business advisory service providers as full or partial compensation for their services and recognized noncash expense totaling $847,300, representing the fair value of the stock at the time of issuance.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In both periods, travel expense reflects costs associated with management presentations and meetings held in multiple U.S. markets, and certain international markets in 2018, with existing and potential individual and institutional investors, investment professionals and advisors, media, and securities analysts, as well as various investor relations, market awareness and corporate development and partnering initiatives and in monitoring the progress of our ELEVATE Study in 2018.</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 expense is essentially unchanged between the periods and primarily reflects commercial property rents prevalent in the South San Francisco real estate market at the time of our November 2016 lease amendment extending the lease of our headquarters facilities in South San Francisco by five years from July 31, 2017 to July 31, 2022 and the related accounting for the amendment.</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quarter ended December 31, 2018, we modified certain warrants issued in the Summer 2018 Private Placement to comply with certain provisions of The Nasdaq Stock Market Rules applicable to the offering by increasing the exercise price of such warrants to purchase an aggregate of 304,000 shares of our common stock from $1.50 per share to $1.59 per share or $1.69 per share, depending on the effective date of the related subscription agreement. As additional consideration for the modification, we granted the investors additional warrants to purchase an aggregate of 23,800 unregistered shares of our common stock at an exercise price of $1.75 per share through February 28, 2022. We determined that the modification decreased the fair value of the modified warrants, which decrease is not recognized; however, the fair value of the new warrants was determined to be $25,800, which we recognized as noncash warrant modification expense. In September 2017, we reduced the exercise price of 247,500 warrants issued in our Spring 2017 private placement offering from a weighted average exercise price of $3.99 per share to $2.00 per share. We also issued to each of the investors in the spring 2017 private placement additional warrants to purchase an aggregate total of 247,501 shares of common stock, with an exercise price of $2.00 per share. We recognized noncash expense of $279,700 in the quarter ended September 30, 2017 representing the increase in fair value of the warrants granted initially and the fair value of the additional warrants granted. During the quarter ended December 31, 2017, we modified outstanding warrants issued in private placement transactions between August 2017 and November 2017 to purchase an aggregate of 178,572 shares of our common stock to reduce the exercise prices from a weighted average of $2.32 per share to a weighted average of $1.58 per share. We recognized the calculated increase in the fair value of the warrants, $13,000, as noncash warrant modification expense.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totaled $6,800 for the nine months ended December 31, 2018 compared to $7,700 reported for the nine months ended December 31, 2017.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in both periods relates to interest paid on insurance premium financing and on a capital lease of office equipment.</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Fall 2018 Private Placement, we settled an outstanding professional service payable by accepting a subscription agreement in the amount of $40,000 and issuing the corresponding number of shares of common stock and warrants. The fair value of the common stock and warrant issued in settlement of the payable was determined to be $62,700 on the effective date of the agreement. Accordingly, we recognized a loss on extinguishment of accounts payable in the amount of $22,700 in the quarter and nine months ended December 31, 2018. During the quarter ended December 31, 2017, we issued 500,000 unregistered shares of our common stock having a fair value at the time of issuance of $585,000 and a cash payment of $76,500 to a contract manufacturing organization in settlement of $526,500 of open accounts payable. We recognized a corresponding loss on settlement of accounts payable in the amount of $135,000 for the quarter and nine months ended December 31, 2017.</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recognized $848,000 and $766,600 for the nine months ended December 31, 2018 and 2017, respectively, representing the 10% cumulative dividend payable on outstanding shares of our Series B Preferred stock as an additional deduction in arriving at net loss attributable to common stockholders in the accompanying Condensed Consolidated Statement of Operations and Comprehensive Loss included in Part I of this Report. There have been no conversions of outstanding shares of Series B Preferred stock into shares of our common stock since August 2016.</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sale of units consisting of common stock and warrants in our December 2017 public offering at an offering price of $1.50 per unit triggered the anti-dilution provisions of the Series A2 Warrants to purchase an aggregate of 503,641 shares of our common stock issued in our September 2017 public offering. In accordance with the anti-dilution terms and formula contained in the Series A2 warrants, the exercise price of the Series A2 Warrants was reduced from the initial exercise price of $1.82 per share to $0.001 per share. We recognized the effect of triggering the down round feature, $199,200, as a component of net loss attributable to common stockholders in the quarter and nine months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in May 1998 through December 31, 2018, we have financed our operations and technology acquisitions primarily through the issuance and sale of our equity and debt securities for cash proceeds of approximately $68.6 million, as well as from an aggregate of approximately $17.6 million of government research grant awards (excluding the fair market value of the NIMH Study and the Baylor Study), strategic collaboration payments, intellectual property sublicensing and other revenues. Additionally, we have issued equity securities with an approximate value at issuance of $38.1 million in non-cash acquisitions of product licenses and in settlements of certain liabilities, including liabilities for professional services rendered to us or as compensation for such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we had cash and cash equivalents of approximately $6.3 million.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Although our cash position at December 31, 2018 considered with our recurring and anticipated losses, negative cash flows from operations and limited stockholders’ equity make it probable, in the absence of additional financing, that we will not have sufficient resources to fund our planned operations for the twelve months following the issuance of these financial statements, during which time we plan to complete our ELEVATE study, prepare for a pivotal Phase 3 clinical trial of PH94B, conduct additional clinical and nonclinical studies involving AV-101 and prepare for a Phase 2 clinical trial of PH10, and raises substantial doubt that we can continue as a going concern. Nevertheless, when necessary and advantageous, we plan to raise additional capital, primarily through the sale of our equity securities in one or more private placements to accredited investors or in public offerings. Subject to certain restrictions, our effective Registration Statement on Form S-3 (Registration No. 333-215671)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remains available for future sales of our equity securities in one or more public offerings from time to time. While we may make additional sales of our equity securities under the S-3 Registration Statement, we do not have an obligation to do so. As we have been in the past, we expect that, if and as necessary, we will be successful in raising additional capital from the sale of our equity securities either in one or more public offerings or in one or more private placement transactions with individual accredited investors or institutions.</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potential sale of our equity securities, we may also seek to enter research, development and/or commercialization collaborations that could generate revenue or provide funding, including non-dilutive funding, for development of AV-101, PH94B, PH10 and/or additional product candidates. We may also seek additional government grant awards or agreements similar, for example, to our current CRADA with the NIMH, which provides for the NIMH to fully fund the NIMH Study, or similar to our relationships with Baylor and the VA in connection with the Baylor Study. Such strategic collaborations may provide non-dilutive resources to advance our strategic initiatives while reducing a portion of our future cash outlays and working capital requirements. We may also pursue intellectual property arrangements similar to the BlueRock Agreement with other parties. Although we may seek additional collaborations that could generate revenue and/or non-dilutive funding for development of AV-101, PH94B, PH10 or other product candidates, as well as new government grant awards and/or agreements similar to our CRADA with NIMH, no assurance can be provided that any such collaborations, awards or agreements will occur in the future.</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AV-101, PH94B, PH10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Notwithstanding the foregoing, there can be no assurance that future financings or government or other strategic collaborations will be available to us in sufficient amounts, in a timely manner, or on terms acceptable to us, if at all. If we are unable to obtain substantial additional financing on a timely basis when needed in 2019 and beyond,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19"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(10,970)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increase in cash used in operations results primarily from the conduct of our ELEVATE Study, which commenced at the end of the fourth quarter of our fiscal year ended March 31, 2018. Contributing additionally to the increase are modest increases in employee cash compensation and benefits and an increase in various investor relations and corporate development and awareness initiatives. The increase in cash used in investing activities reflects the cost of tenant improvements at our office and laboratory facilities in South San Francisco, CA, substantially all of which were reimbursed by our landlord under the terms of our November 2016 lease extension, which reimbursement is reflected in operating activities. Cash provided by financing activities in 2018 primarily reflects the cash proceeds from our Summer 2018 Private Placement, Fall 2018 Private Placement and warrant exercises and, in 2017, the proceeds of our September 2017 and December 2017 public offerings, net of routine note and capital lease payments in both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For information relating to recent accounting pronouncements and the expected impact of such pronouncements on our condensed consolidated financial statements, see Note 3 of the Notes to Condensed Consolidated Financial Statements included elsewhere in this Report.</w:t>
      </w:r>
    </w:p>
    <w:p>
      <w:pPr>
        <w:spacing w:after="0" w:line="16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Annual Report on Form 10-K for our fiscal year ended March 31, 2018 filed with the Securities and Exchange Commission on June 26, 2018, we identified two material weaknesses in our internal control over financial reporting relating to (i) segregation of duties and (ii) the functionality of our accounting software. Management has determined that current resources would be more appropriately applied elsewhere and when resources permit, they will alleviate such material weaknesses through various steps, which may include the addition of qualified financial personnel and/or the acquisition and implementation of alternative accounting software. Accordingly, 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Investing in our securities involves a high degree of risk. You should consider carefully the risks and uncertainties described below, together with all of the other information in this Quarterly Report on Form 10-Q (Report) and in our Annual Report on Form 10-K filed with the Securities and Exchange Commission for the fiscal year ended March 31, 2018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one or more of our current drug candidates and we cannot be certain that we will be able to obtain regulatory approval for, or successfully commercialize any of our product candidates.</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currently depends heavily on the successful development, regulatory approval and commercialization of one or more of our current drug candidates, as well as, but to a more limited extent, our ability to acquire, license or produce, develop and commercialize additional product candidates. Each of our current drug candidates will require substantial additional nonclinical and clinical development and regulatory approval before any of them may be commercialized, and there can be no assurance that any of them will ever achieve regulatory approval. Any drug rescue NCE we produce will require substantial nonclinical development, all phases of clinical development,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United States, only a small percentage will successfully complete the required FDA regulatory approval process and will be commercialized. Accordingly, we cannot assure you that any of our current drug candidates or any future product candidates will be successfully developed or commercialized.</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not permitted to market our product candidates in the United States until we receive approval of an NDA from the FDA, or in any foreign countries until we receive the requisite approval from such countries. Obtaining FDA approval of a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is a complex, lengthy, expensive and uncertain process. The FDA may refuse to permit the filing of our NDA, delay, limit or deny approval of an NDA for many reasons, including, among others:</w:t>
      </w:r>
    </w:p>
    <w:p>
      <w:pPr>
        <w:spacing w:after="0" w:line="161" w:lineRule="exact"/>
        <w:rPr>
          <w:sz w:val="20"/>
          <w:szCs w:val="20"/>
          <w:color w:val="auto"/>
        </w:rPr>
      </w:pPr>
    </w:p>
    <w:p>
      <w:pPr>
        <w:jc w:val="both"/>
        <w:ind w:left="240" w:hanging="232"/>
        <w:spacing w:after="0" w:line="306" w:lineRule="auto"/>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submit an NDA and it is reviewed by an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60" w:lineRule="exact"/>
        <w:rPr>
          <w:rFonts w:ascii="Arial" w:cs="Arial" w:eastAsia="Arial" w:hAnsi="Arial"/>
          <w:sz w:val="16"/>
          <w:szCs w:val="16"/>
          <w:color w:val="auto"/>
        </w:rPr>
      </w:pPr>
    </w:p>
    <w:p>
      <w:pPr>
        <w:ind w:left="240" w:right="20" w:hanging="232"/>
        <w:spacing w:after="0" w:line="268"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FDA advisory committee may recommend, or the FDA may require, a Risk Evaluation and Mitigation Strategy (</w:t>
      </w:r>
      <w:r>
        <w:rPr>
          <w:rFonts w:ascii="Arial" w:cs="Arial" w:eastAsia="Arial" w:hAnsi="Arial"/>
          <w:sz w:val="18"/>
          <w:szCs w:val="18"/>
          <w:i w:val="1"/>
          <w:iCs w:val="1"/>
          <w:color w:val="auto"/>
        </w:rPr>
        <w:t>REMS</w:t>
      </w:r>
      <w:r>
        <w:rPr>
          <w:rFonts w:ascii="Arial" w:cs="Arial" w:eastAsia="Arial" w:hAnsi="Arial"/>
          <w:sz w:val="18"/>
          <w:szCs w:val="18"/>
          <w:color w:val="auto"/>
        </w:rPr>
        <w:t>) safety program as a condition of approval or post-approval;</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FDA advisory committee or the FDA or applicable regulatory agency may determine that there is insufficient evidence of overall effectiveness in an NDA and require additional clinical studies;</w:t>
      </w:r>
    </w:p>
    <w:p>
      <w:pPr>
        <w:spacing w:after="0" w:line="185" w:lineRule="exact"/>
        <w:rPr>
          <w:rFonts w:ascii="Arial" w:cs="Arial" w:eastAsia="Arial" w:hAnsi="Arial"/>
          <w:sz w:val="18"/>
          <w:szCs w:val="18"/>
          <w:color w:val="auto"/>
        </w:rPr>
      </w:pPr>
    </w:p>
    <w:p>
      <w:pPr>
        <w:ind w:left="240" w:hanging="232"/>
        <w:spacing w:after="0" w:line="332" w:lineRule="auto"/>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39" w:lineRule="exact"/>
        <w:rPr>
          <w:rFonts w:ascii="Arial" w:cs="Arial" w:eastAsia="Arial" w:hAnsi="Arial"/>
          <w:sz w:val="16"/>
          <w:szCs w:val="16"/>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Certain of our product candidates, including PH94B and PH10, may be subject to regulation as combination products, which means that they are composed of both a drug product and device product.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w:t>
      </w:r>
      <w:r>
        <w:rPr>
          <w:rFonts w:ascii="Arial" w:cs="Arial" w:eastAsia="Arial" w:hAnsi="Arial"/>
          <w:sz w:val="16"/>
          <w:szCs w:val="16"/>
          <w:color w:val="231F20"/>
        </w:rPr>
        <w:t>A combination product with a drug primary mode of action generally would be reviewed and</w:t>
      </w:r>
      <w:r>
        <w:rPr>
          <w:rFonts w:ascii="Arial" w:cs="Arial" w:eastAsia="Arial" w:hAnsi="Arial"/>
          <w:sz w:val="16"/>
          <w:szCs w:val="16"/>
          <w:color w:val="auto"/>
        </w:rPr>
        <w:t xml:space="preserve"> </w:t>
      </w:r>
      <w:r>
        <w:rPr>
          <w:rFonts w:ascii="Arial" w:cs="Arial" w:eastAsia="Arial" w:hAnsi="Arial"/>
          <w:sz w:val="16"/>
          <w:szCs w:val="16"/>
          <w:color w:val="231F20"/>
        </w:rPr>
        <w:t xml:space="preserve">approved pursuant to the drug approval processes under the United States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w:t>
      </w:r>
      <w:r>
        <w:rPr>
          <w:rFonts w:ascii="Arial" w:cs="Arial" w:eastAsia="Arial" w:hAnsi="Arial"/>
          <w:sz w:val="16"/>
          <w:szCs w:val="16"/>
          <w:color w:val="000000"/>
        </w:rPr>
        <w:t>Under FDA regulations, combination products are</w:t>
      </w:r>
      <w:r>
        <w:rPr>
          <w:rFonts w:ascii="Arial" w:cs="Arial" w:eastAsia="Arial" w:hAnsi="Arial"/>
          <w:sz w:val="16"/>
          <w:szCs w:val="16"/>
          <w:color w:val="231F20"/>
        </w:rPr>
        <w:t xml:space="preserve"> </w:t>
      </w:r>
      <w:r>
        <w:rPr>
          <w:rFonts w:ascii="Arial" w:cs="Arial" w:eastAsia="Arial" w:hAnsi="Arial"/>
          <w:sz w:val="16"/>
          <w:szCs w:val="16"/>
          <w:color w:val="000000"/>
        </w:rPr>
        <w:t>subject to cGMP requirements applicable to both drugs and devices, including the Quality System (</w:t>
      </w:r>
      <w:r>
        <w:rPr>
          <w:rFonts w:ascii="Arial" w:cs="Arial" w:eastAsia="Arial" w:hAnsi="Arial"/>
          <w:sz w:val="16"/>
          <w:szCs w:val="16"/>
          <w:i w:val="1"/>
          <w:iCs w:val="1"/>
          <w:color w:val="000000"/>
        </w:rPr>
        <w:t>QS</w:t>
      </w:r>
      <w:r>
        <w:rPr>
          <w:rFonts w:ascii="Arial" w:cs="Arial" w:eastAsia="Arial" w:hAnsi="Arial"/>
          <w:sz w:val="16"/>
          <w:szCs w:val="16"/>
          <w:color w:val="000000"/>
        </w:rPr>
        <w:t>) regulations applicable to medical devices. Problems associated with the device component of the combination product candidate may delay or prevent approval.</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been granted Fast Track designation from the FDA for development of AV-101 for the adjunctive treatment of MDD and for the treatment of neuropathic pain. However, these designations may not actually lead to faster development or regulatory review or approval processes for AV-101. Further, there is no guarantee the FDA will grant Fast Track designation for AV-101 as a treatment option for other CNS indications or for any of our other product candidates in the future.</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the FDA granted Fast Track designation for development of AV-101 for the adjunctive treatment of MDD in patients with an inadequate response to current antidepressants. In September 2018, the FDA granted Fast Track designation for development of AV-101 for the treatment of neuropathic pain. However, these FDA Fast Track designations may not lead to a faster development or regulatory review or approval process for AV-101 and the FDA may withdraw Fast Track designation of AV-101 for either or both indications if it believes that the respective designation is no longer supported by data from our clinical development programs.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apply for Fast Track designation for AV-101 as a treatment option for other CNS indications, as well as for other product candidates. The FDA has broad discretion whether or not to grant a Fast Track designation, and even if we believe AV-101 and other product candidates may be eligible for this designation, we cannot be sure that the review or approval will compare to conventional FDA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results of preclinical studies and early clinical trials of AV-101, PH94B, PH10 and/or our other product candidates, if any, including positive results, may not be predictive of the results of later-stage clinical trials. AV-101, PH94B, PH10 or other product candidates in later stages of clinical development may fail to show the desired safety and efficacy results despite having progressed through nonclinical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With respect to our current product candidates, we have not yet completed a Phase 2 clinical trial for AV-101, and if the NIMH Study and/or our ELEVATE Study, or any future clinical study of AV-101, or if one or more of the future Phase 3 clinical trials of PH94B for SAD or future Phase 2 clinical trial of PH10 for MDD, fail(s) to produce positive results, the development timeline and regulatory approval and commercialization prospects for AV-101, PH94B, or PH10 and, correspondingly, our business and financial prospects,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serious adverse events or other undesirable side effects or safety concerns attributable to AV-101 are identified during the NIMH Study, Baylor Study, other investigator-sponsored clinical trials, in our clinical trials of AV-101, including our ELEVATE study, or our clinical trials of PH94B or PH10, it may adversely affect or delay our clinical development and commercialization of AV-101, PH94B or PH10.</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AV-101 is currently being tested by the NIMH in the NIMH Study and by Baylor in the Baylor Study and may be subjected to testing in the future for other CNS indications in additional investigator-sponsored clinical trials. If serious adverse events or other undesirable side effects or safety concerns, or unexpected characteristics attributable to AV-101 are observed in the NIMH Study, Baylor Study, other investigator-sponsored clinical trials of AV-101, our clinical trials of AV-101, including our ELEVATE Study, or in our clinical trials of PH94B or PH10, it may adversely affect or delay our clinical development and commercialization of AV-101, PH94B or PH10,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8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and require us to take them off the market;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specific warnings, a contraindication or field alerts to physicians and pharmacies;</w:t>
      </w:r>
    </w:p>
    <w:p>
      <w:pPr>
        <w:spacing w:after="0" w:line="248" w:lineRule="exact"/>
        <w:rPr>
          <w:rFonts w:ascii="Arial" w:cs="Arial" w:eastAsia="Arial" w:hAnsi="Arial"/>
          <w:sz w:val="16"/>
          <w:szCs w:val="16"/>
          <w:color w:val="auto"/>
        </w:rPr>
      </w:pPr>
    </w:p>
    <w:p>
      <w:pPr>
        <w:ind w:left="660" w:right="180" w:hanging="652"/>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the product outweigh its risks;</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required to change the way a product is distributed or administered, conduct additional clinical trials or change the labeling of a product;</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required to conduct additional post-marketing studies or surveillance;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to regulatory investigations, government enforcement actions, litigation or product liability claims;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may become less competitive or 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clinical trials and nonclinical studies of AV-101, PH94B, PH10 or other our product candidates could result in increased costs to us and could delay, prevent or limit our ability to generate revenue and continue our business.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will need to complete our ELEVATE Study, at least two pivotal Phase 3 clinical trials, additional toxicology and other standard nonclinical and clinical safety studies, as well as certain standard smaller clinical studies prior to the submission of an NDA to the FDA for AV-101 as an adjunctive treatment for MDD in patients with an inadequate response to current antidepressants, or any other CNS indication. Similarly, we will need to complete at least two pivotal Phase 3 clinical studies of PH94B, additional toxicology and other standard nonclinical and clinical safety studies, as well as certain standard smaller clinical studies prior to our submission of an NDA for PH94B as an on demand treatment for SAD. For PH10, we will need to complete at least one additional Phase 2 clinical study, two pivotal Phase 3 clinical trials, additional toxicology and other standard nonclinical and clinical safety studies, as well as certain standard smaller clinical studies prior to the submission of an NDA to the FDA for PH10 as treatment for MDD, or any other CNS indication. Successful completion of our nonclinical and clinical trials is a prerequisite to submitting an NDA to the FDA and, consequently, the ultimate approval required before commercial marketing of any product candidate we may develop. Except as disclosed herein, we do not know whether the NIMH Study, Baylor Study, our ELEVATE Study or any of our future-planned nonclinical and clinical trials of AV-101, PH94B, PH10 or any other product candidate will be completed on schedule, if at all, as the commencement and completion of nonclinical and clinical trials can be delayed or prevented for a number of reasons, including, among others:</w:t>
      </w:r>
    </w:p>
    <w:p>
      <w:pPr>
        <w:spacing w:after="0" w:line="181" w:lineRule="exact"/>
        <w:rPr>
          <w:sz w:val="20"/>
          <w:szCs w:val="20"/>
          <w:color w:val="auto"/>
        </w:rPr>
      </w:pPr>
    </w:p>
    <w:p>
      <w:pPr>
        <w:ind w:left="240" w:hanging="232"/>
        <w:spacing w:after="0" w:line="268"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deny permission to proceed with planned clinical trials or any other clinical trials we may initiate, or may place a planned or ongoing clinical trial on hold;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filing or receiving approvals from the FDA of additional Investigational New Drug applications (</w:t>
      </w:r>
      <w:r>
        <w:rPr>
          <w:rFonts w:ascii="Arial" w:cs="Arial" w:eastAsia="Arial" w:hAnsi="Arial"/>
          <w:sz w:val="18"/>
          <w:szCs w:val="18"/>
          <w:i w:val="1"/>
          <w:iCs w:val="1"/>
          <w:color w:val="auto"/>
        </w:rPr>
        <w:t>INDs</w:t>
      </w:r>
      <w:r>
        <w:rPr>
          <w:rFonts w:ascii="Arial" w:cs="Arial" w:eastAsia="Arial" w:hAnsi="Arial"/>
          <w:sz w:val="18"/>
          <w:szCs w:val="18"/>
          <w:color w:val="auto"/>
        </w:rPr>
        <w:t>) that may be required;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results from nonclinical or clinical studies;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severe or unexpected adverse drug-related side effects experienced by patients in a clinical trial;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61"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nonclinical carcinogenicity studies, adverse side effects or lack of effectiveness;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Changes in regulatory requirements, FDA guidance or unanticipated events during our nonclinical studies and clinical trials of AV-101, PH94B, PH10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Changes in regulatory requirements, FDA guidance or unanticipated events during our nonclinical studies and clinical trials of AV-101, PH94B, PH10 or other product candidates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AV-101, PH94B, PH10 or other product candidates may be harmed and our ability to generate product revenue will be delayed.</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i w:val="1"/>
          <w:iCs w:val="1"/>
          <w:color w:val="auto"/>
        </w:rPr>
        <w:t>We rely, and expect that we will continue to rely, on third parties to conduct our nonclinical and clinical trials of our current product candidates and will continue to do so for any other product candidates. If these third parties do not successfully carry out their contractual duties and/or meet expected deadlines, completion of our nonclinical or clinical trials and development of AV-101, PH94B, PH10 or other product candidates may be delayed and we may not be able to obtain regulatory approval for or commercialize AV-101, PH94B, PH10 or other product candidates and our business could be substantially harmed.</w:t>
      </w:r>
    </w:p>
    <w:p>
      <w:pPr>
        <w:spacing w:after="0" w:line="1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have the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and other third parties, such as CROs,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Outside parties may:</w:t>
      </w:r>
    </w:p>
    <w:p>
      <w:pPr>
        <w:spacing w:after="0" w:line="172"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the NIMH, Baylor or other independent investigators does not relieve us of our regulatory responsibilities. We and our CROs, the NIMH, Baylor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NIMH Study, Baylor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our relationships with one or more of our third-party collaborators terminates, we may not be able to enter into arrangements with alternative third-party collaborators. If such third-party collaborators, including our CROs, the NIMH, Baylor or the VA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7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rely completely on third-parties to manufacture, formulate, hold and distribute supplies of our product candidates for all nonclinical and clinical studies, and we intend to continue to rely on third parties to produce all nonclinical, clinical and commercial supplies of our product candidates in the future.</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currently have, nor do we plan to acquire or develop, any internal infrastructure or technical capabilities to manufacture, formulate, hold or distribute supplies of our product candidates, for use in nonclinical and clinical studies or commercial scale. As a result, with respect to our product candidates, we rely, and will continue to rely, completely on contract manufacturing organizations (</w:t>
      </w:r>
      <w:r>
        <w:rPr>
          <w:rFonts w:ascii="Arial" w:cs="Arial" w:eastAsia="Arial" w:hAnsi="Arial"/>
          <w:sz w:val="16"/>
          <w:szCs w:val="16"/>
          <w:i w:val="1"/>
          <w:iCs w:val="1"/>
          <w:color w:val="auto"/>
        </w:rPr>
        <w:t>CMO</w:t>
      </w:r>
      <w:r>
        <w:rPr>
          <w:rFonts w:ascii="Arial" w:cs="Arial" w:eastAsia="Arial" w:hAnsi="Arial"/>
          <w:sz w:val="16"/>
          <w:szCs w:val="16"/>
          <w:color w:val="auto"/>
        </w:rPr>
        <w:t>s) to manufacture active pharmaceutical ingredient (</w:t>
      </w:r>
      <w:r>
        <w:rPr>
          <w:rFonts w:ascii="Arial" w:cs="Arial" w:eastAsia="Arial" w:hAnsi="Arial"/>
          <w:sz w:val="16"/>
          <w:szCs w:val="16"/>
          <w:i w:val="1"/>
          <w:iCs w:val="1"/>
          <w:color w:val="auto"/>
        </w:rPr>
        <w:t>API</w:t>
      </w:r>
      <w:r>
        <w:rPr>
          <w:rFonts w:ascii="Arial" w:cs="Arial" w:eastAsia="Arial" w:hAnsi="Arial"/>
          <w:sz w:val="16"/>
          <w:szCs w:val="16"/>
          <w:color w:val="auto"/>
        </w:rPr>
        <w:t>) and formulate, hold and distribute final drug product. The facilities used by our CMOs to manufacture AV-101, PH94B and PH10 API and AV-101, PH94B and PH10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do not directly control the manufacturing process or the supply or quality of materials used in the manufacturing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or successfully manufacture our product candidates, including AV-101, PH94B and PH10 API and finished drug product, that conforms to our specifications and the strict regulatory requirements of the FDA or applicable foreign regulatory agencies, production of sufficient supplies of our product candidates, including AV-101, PH94B and PH10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AV-101, PH94B and PH10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AV-101, PH94B and PH10, we do not yet have long-term supply agreements in place with our CMOs and each batch of AV-101, PH94B and PH10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AV-101, PH94B and PH10 API and finished drug product will be adequate to support our planned nonclinical and clinical studies of AV-101, PH94B and PH10, no assurance can be given that unanticipated supply shortages or CMO-related delays in the manufacture and formulation of AV-101, PH94B or PH10 API and/or finished drug product will not occur in the future.</w:t>
      </w:r>
    </w:p>
    <w:p>
      <w:pPr>
        <w:spacing w:after="0" w:line="19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certain of our product candidates, including PH94B and PH10, may be considered drug-device combination products. Third-party manufacturers may not be able to comply with cGMP requirements applicable to drug/device combination products, including applicable provisions of the FDA’s drug cGMP regulations, device cGMP requirements embodied in the Quality System Regulation (</w:t>
      </w:r>
      <w:r>
        <w:rPr>
          <w:rFonts w:ascii="Arial" w:cs="Arial" w:eastAsia="Arial" w:hAnsi="Arial"/>
          <w:sz w:val="16"/>
          <w:szCs w:val="16"/>
          <w:i w:val="1"/>
          <w:iCs w:val="1"/>
          <w:color w:val="auto"/>
        </w:rPr>
        <w:t>QSR</w:t>
      </w:r>
      <w:r>
        <w:rPr>
          <w:rFonts w:ascii="Arial" w:cs="Arial" w:eastAsia="Arial" w:hAnsi="Arial"/>
          <w:sz w:val="16"/>
          <w:szCs w:val="16"/>
          <w:color w:val="auto"/>
        </w:rPr>
        <w:t>)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pursuant to inspections that will be conducted after we submit our NDA to the FDA.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AV-101, PH94B, PH10 or any other product candidate in the United States, we may never receive regulatory approval to market AV-101, PH94B, PH10 or any other product candidate outside of the United States.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not yet selected any markets outside of the United States where we intend to seek regulatory approval to market AV-101, PH94B, PH10 or any other product candidate. In order to market AV-101, PH94B, PH10 or any other product candidate outside of the United States,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any of our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Before we can commercialize our product candidates, the United States Drug Enforcement Administration (</w:t>
      </w:r>
      <w:r>
        <w:rPr>
          <w:rFonts w:ascii="Arial" w:cs="Arial" w:eastAsia="Arial" w:hAnsi="Arial"/>
          <w:sz w:val="16"/>
          <w:szCs w:val="16"/>
          <w:i w:val="1"/>
          <w:iCs w:val="1"/>
          <w:color w:val="auto"/>
        </w:rPr>
        <w:t>DEA</w:t>
      </w:r>
      <w:r>
        <w:rPr>
          <w:rFonts w:ascii="Arial" w:cs="Arial" w:eastAsia="Arial" w:hAnsi="Arial"/>
          <w:sz w:val="16"/>
          <w:szCs w:val="16"/>
          <w:color w:val="auto"/>
        </w:rPr>
        <w:t>) may need to determine whether such product candidates will be considered to be a controlled substance, taking into account the recommendation of the FDA.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will consider any of our current or future product candidate to be controlled substances, we cannot yet give any assurance that such product candidates, including AV-101, will not be regulated as controlled substances.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any of our product candidates are regulated as controlled substances, depending on the DEA controlled substance schedule in which the product candidates are placed,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Moreover, if any of our product candidates are regulated as controlled substances, we and our CMOs would be subject to initial and periodic DEA inspection. If we or our CMOs are not able to obtain or maintain any necessary DEA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do not currently have any internal resources for the sale, marketing and distribution of pharmaceutical products, and we may not create such internal capabilities in the foreseeable future. Therefore,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or establish those capabilities prior to market approval. If we are unable to establish adequate contractual arrangements for such sales, marketing and distribution capabilities, or if we are unable to do so on commercially reasonable terms, or if we are unable to establish such capabilities on our own, our business, results of operations, financial condition and prospects will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ind w:left="240" w:hanging="232"/>
        <w:spacing w:after="0" w:line="332" w:lineRule="auto"/>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39" w:lineRule="exact"/>
        <w:rPr>
          <w:rFonts w:ascii="Arial" w:cs="Arial" w:eastAsia="Arial" w:hAnsi="Arial"/>
          <w:sz w:val="16"/>
          <w:szCs w:val="16"/>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 or other applicable regulatory authorities;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safety program. Any REMS safety program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8"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Currently, management is unaware of any FDA-approved oral adjunctive therapy for MDD patients with an inadequate response to standard antidepressants having the same mechanism of action and safety profile as our orally administered AV-101 or our intranasally-administered PH10. However, new antidepressant products with other mechanisms of action or products approved for other indications, including the FDA-approved anesthetic ketamine hydrochloride administered intravenously, are being or may be used off-label for treatment of MDD, as well as other CNS indications for which AV-101 or PH10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used before or instead of standard antidepressant medications to treat patients with MDD. Management is also unaware of any FDA-approved rapid-onset, on-demand treatment for SAD having the same mechanism of action and safety profile as our PH94B.</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field of new generation, oral adjunctive treatments for adult patients with MDD with an inadequate response to standard FDA-approved antidepressants, we believe our principal competitor may be Allergan’s AGN-241751. Additional potential competitors may include, but not be limited to, academic and private commercial clinics providing intravenous ketamine therapy on an off-label basis, Alkermes’ oral opioid system modulator ALKS-5461, Allergan’s intravenous peptide rapastinel, and Johnson &amp; Johnson/Janssen’s intranasally-administered esketamine. With respect to PH94B and current FDA-approved treatment options for SAD, our competition may include, but is not limited to, certain current generic antidepressants approved by the FDA for treatment of SAD and certain classes of drugs used on an off-label basis for SAD, including benzodiazapines such as alprazolam, and beta blockers such as propranolol.</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With respect to AV-101 and PH10, we believe that a range of pharmaceutical and biotechnology companies have programs to develop drug candidates for the treatment of depression, including MDD, Parkinson’s disease levodopa-induced dyskinesia, neuropathic pain, epilepsy, and other neurological conditions and diseases, including, but not limited to, Abbott Laboratories, Acadia, Allergan, Alkermes, Aptynix, AstraZeneca, Eli Lilly, GlaxoSmithKline, IntraCellular, Johnson &amp; Johnson/Janssen, Lundbeck, Merck, Novartis, Ono, Otsuka, Pfizer, Roche, Sage, Sumitomo Dainippon, and Takeda, as well as any affiliates of the foregoing companies.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Johnson &amp; Johnson/Janssen and a sublingual formulation of the sodium channel blocker riluzole in development by Biohaven.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Although AV-101 is in Phase 2 clinical development for treatment of MDD, and we are preparing for Phase 2 development of AV-101 for treatment of neuropathic pain and PD LID, for Phase 3 development of PH94B for on-demand treatment of SAD, and a Phase 2 study of PH10 for treatment of MDD, we may fail to pursue additional development opportunities for AV-101, PH94B or PH10,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we currently have limited financial and management resources, we necessarily focus on a limited number of research and development programs and product candidates and are currently focused primarily on development of AV-101, PH94B and PH10, with additional limited focus on NCE drug rescue and, through a third-party collaboration, RM. As a result, we may forego or delay pursuit of opportunities with other product candidates or for other potential CNS-related indications for AV-101, PH94B and/or PH10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4" w:lineRule="exact"/>
        <w:rPr>
          <w:sz w:val="20"/>
          <w:szCs w:val="20"/>
          <w:color w:val="auto"/>
        </w:rPr>
      </w:pPr>
    </w:p>
    <w:p>
      <w:pPr>
        <w:jc w:val="both"/>
        <w:ind w:left="240" w:hanging="232"/>
        <w:spacing w:after="0" w:line="306" w:lineRule="auto"/>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jc w:val="both"/>
        <w:ind w:left="240" w:hanging="232"/>
        <w:spacing w:after="0" w:line="259"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4" w:lineRule="exact"/>
        <w:rPr>
          <w:rFonts w:ascii="Arial" w:cs="Arial" w:eastAsia="Arial" w:hAnsi="Arial"/>
          <w:sz w:val="18"/>
          <w:szCs w:val="18"/>
          <w:color w:val="auto"/>
        </w:rPr>
      </w:pPr>
    </w:p>
    <w:p>
      <w:pPr>
        <w:jc w:val="both"/>
        <w:ind w:left="240" w:hanging="232"/>
        <w:spacing w:after="0" w:line="306" w:lineRule="auto"/>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6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5" w:lineRule="exact"/>
        <w:rPr>
          <w:rFonts w:ascii="Arial" w:cs="Arial" w:eastAsia="Arial" w:hAnsi="Arial"/>
          <w:sz w:val="18"/>
          <w:szCs w:val="18"/>
          <w:color w:val="auto"/>
        </w:rPr>
      </w:pPr>
    </w:p>
    <w:p>
      <w:pPr>
        <w:jc w:val="both"/>
        <w:ind w:left="240" w:hanging="232"/>
        <w:spacing w:after="0" w:line="256"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7" w:lineRule="exact"/>
        <w:rPr>
          <w:rFonts w:ascii="Arial" w:cs="Arial" w:eastAsia="Arial" w:hAnsi="Arial"/>
          <w:sz w:val="18"/>
          <w:szCs w:val="18"/>
          <w:color w:val="auto"/>
        </w:rPr>
      </w:pPr>
    </w:p>
    <w:p>
      <w:pPr>
        <w:jc w:val="both"/>
        <w:ind w:left="240" w:right="20" w:hanging="232"/>
        <w:spacing w:after="0" w:line="306" w:lineRule="auto"/>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6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PH94B and PH10, if approved. In particular, a product may not be promoted for uses that are not approved by the FDA or such other regulatory agencies as reflected in the product’s approved labeling. For example, if we receive FDA marketing approval for AV-101 as an adjunctive treatment of MDD, physicians may prescribe AV-101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seek FDA Orphan Drug designation for one or more of our product candidates. Even if we have obtained FDA Orphan Drug designation for a product candidate, there may be limits to the regulatory exclusivity afforded by such designation.</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in the future, choose to seek FDA Orphan Drug designation for one or more of our current or future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9"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different standards of patentability and different availability of prior art in some foreign countries as compared with the U.S.;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a development stage biopharmaceutical company with no current revenues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a development stage biopharmaceutical company. Although we have one drug candidate in Phase 2 development and are preparing to advance another drug candidate into Phase 2 development and a third drug candidate into pivotal Phase 3 clinical trials,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collaborators:</w:t>
      </w:r>
    </w:p>
    <w:p>
      <w:pPr>
        <w:spacing w:after="0" w:line="170"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AV-101, PH94B, PH10 and/or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and</w:t>
      </w:r>
    </w:p>
    <w:p>
      <w:pPr>
        <w:spacing w:after="0" w:line="22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future success is highly dependent upon our ability to successfully develop and commercialize any of our current product candidates, acquire or license additional product candidates, or discover, as well as produce, develop and commercialize proprietary drug rescue NCEs using our stem cell technology, and we cannot provide any assurance that we will successfully develop and commercialize AV-101, PH94B, PH10 or acquire or license additional product candidates or discover and develop drug rescue NCEs, or that, if produced, AV-101, PH94B, PH10 or any other product candidate will be successfully commercialized.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Business development and research and development programs designed to identify, acquire or license additional product candidates, or, as the case may be, produce drug rescue NCEs require substantial technical, financial and human resources, whether or not any additional product candidate is acquired or licensed or NCEs are ultimately identified and produced.</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PH94B, PH10, drug rescue NCEs and/or other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AV-101, PH94B, PH10,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limited operating history with respect to drug development, including our anticipated focus on the identification and acquisition of additional product candidates or the assessment of potential drug rescue NCEs and no operating history with respect to the production of drug rescue NCEs, and we may never be able to produce a drug rescue NCE.</w:t>
      </w:r>
    </w:p>
    <w:p>
      <w:pPr>
        <w:spacing w:after="0" w:line="19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If we are unable to develop and commercialize AV-101, PH94B, PH10 or acquire or license additional product candidates,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With respect to drug rescue, 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partners, including:</w:t>
      </w:r>
    </w:p>
    <w:p>
      <w:pPr>
        <w:spacing w:after="0" w:line="186"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identify potential drug rescue candidates in the public domain, obtain sufficient quantities of them, and assess them using our bioassay systems;</w:t>
      </w:r>
    </w:p>
    <w:p>
      <w:pPr>
        <w:spacing w:after="0" w:line="248" w:lineRule="exact"/>
        <w:rPr>
          <w:rFonts w:ascii="Arial" w:cs="Arial" w:eastAsia="Arial" w:hAnsi="Arial"/>
          <w:sz w:val="16"/>
          <w:szCs w:val="16"/>
          <w:color w:val="auto"/>
        </w:rPr>
      </w:pPr>
    </w:p>
    <w:p>
      <w:pPr>
        <w:ind w:left="240" w:right="20" w:hanging="232"/>
        <w:spacing w:after="0" w:line="268" w:lineRule="auto"/>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5" w:lineRule="exact"/>
        <w:rPr>
          <w:rFonts w:ascii="Arial" w:cs="Arial" w:eastAsia="Arial" w:hAnsi="Arial"/>
          <w:sz w:val="18"/>
          <w:szCs w:val="18"/>
          <w:color w:val="auto"/>
        </w:rPr>
      </w:pPr>
    </w:p>
    <w:p>
      <w:pPr>
        <w:ind w:left="240" w:hanging="232"/>
        <w:spacing w:after="0" w:line="332" w:lineRule="auto"/>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sell or out-license them to partners, the resources such partners choose to dedicate to development and commercialization of any drug rescue NCEs they acquire or license from us.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we do acquire additional product candidates or produce proprietary drug rescue NCEs, we can give no assurance that we will be able to develop and commercialize them as marketable drugs, on our own or in collaboration with others. Before we generate any revenues from AV-101, PH94B, PH10 or additional acquired or licensed products candidates or any drug rescue NCEs, we or our potential collaborators must complete preclinical and clinical development programs, submit clinical and manufacturing data to the FDA, qualify a third party CMO, receive regulatory approval in one or more jurisdictions, satisfy the FDA that our CMO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Success of our subsidiary, VistaStem, is partly dependent on our ability to use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to identify and predict, accurately and efficiently, the potential toxic and nontoxic cardiac effects of drug rescue candidates and drug rescue NCEs.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not capable of providing physiologically relevant and clinically predictive information regarding human cardiac biology, our drug rescue business will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Although not currently requiring significant investment of capital, the success of our VistaStem drug rescue programs is highly dependent upon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will be more efficient or accurate at predicting the heart safety of new drug candidates than the testing models currently used.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generate revenue from our VistaStem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human pluripotent stem cell technology is technically complex, and the time and resources necessary to develop various human cell types and customized bioassay systems, although not significant at present, are difficult to predict in advance. We might decide to devote significant additional personnel and financial resources to research and development activities designed to expand, in the case of drug rescue, and explore, in the case of drug discovery and RM, potential applications of our stem cell technology platform. In particular, we may conduct exploratory nonclinical RM programs involving blood, bone, cartilage, and/or liver cells. Although we and our third-party collaborators have developed proprietary protocols to produce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such regulation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Compliance with these laws and regulations can be costly,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$14.3 million and $10.3 million during the fiscal years ended March 31, 2018 and 2017, respectively. We incurred a net loss of approximately $18.9 million in the nine months ended December 31, 2018, and, as of that date, we had an accumulated deficit of approximately $175.4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become profitable depends upon our ability to generate revenues. To date, we have generated approximately $17.7 million in revenues, including receipt of non-dilutive cash payments from collaborators, sublicense revenue, and research and development grant awards from the NIH, however not including the fair market value of the NIMH Study sponsored and conducted by the NIMH under our NIMH CRADA, or the Baylor Study being conducted by Baylor.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PH94B, PH10 or another product candidate, or we enter into one or more development and commercialization agreements with respect to AV-101, PH94B, PH10 or one or more other product candidates. Our ability to generate revenue depends on a number of factors, including, but not limited to, our ability to:</w:t>
      </w:r>
    </w:p>
    <w:p>
      <w:pPr>
        <w:spacing w:after="0" w:line="172"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initiate and successfully complete all safety studies required to obtain United States and foreign marketing approval for our product candidates;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timely complete and compose successful regulatory submissions such as NDAs or comparable documents for both United States and foreign jurisdictions;</w:t>
      </w:r>
    </w:p>
    <w:p>
      <w:pPr>
        <w:spacing w:after="0" w:line="248"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for sales and marketing capabilities; and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we enter into a commercialization collaboration or partnership with respect to the commercialization of our product candidates,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audited consolidated financial statements for the year ended March 31, 2018 as well as the unaudited condensed consolidated financial statements for the quarter ended December 31, 2018 included elsewhere in this Report were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this offering as well as future sales of our securities or potentially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any future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VistaStem’s stem cell technology platform. In particular, we have expended substantial resources on research and development of methods and processes relating to the production of AV-101 API and drug product, advancing AV-101 through IND-enabling preclinical development, Phase 1 clinical safety studies, and into ongoing Phase 2 clinical development, including preparation for and launch of our ELEVATE Study, as well as research and development of our stem cell technology platform, including development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drug rescue and our cardiac stem cell technology for potential regenerative medicine applications in connection with the Bluerock Agreement, and we expect to continue to expend substantial resources for the foreseeable future developing and commercializing our product candidates on our own or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December 31, 2018, we had cash and cash equivalents of approximately $6.3 million. We do not believe this amount alone is sufficient to enable us to fund our planned operations for at least the twelve months following the issuance of the financial statements included elsewhere in this Report. We expect to seek additional capital to produce additional AV-101 study material for future nonclinical and clinical studies of AV-101, conduct AV-101 Phase 3-enabling studies, conduct pivotal Phase 3 clinical studies of AV-101 in MDD, conduct AV-101 Phase 2 studies in CNS indications other than MDD, produce PH94B study material, conduct PH94B pivotal Phase 3 clinical trials, produce PH10 study material and conduct a Phase 2 clinical trial of PH10, acquire or license and conduct research and development of additional product candidates and to fund our internal operations.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we have no current source of revenue to sustain our present activities, and we do not expect to generate revenue until, and unless, we (i) out-license or sell a product candidate to a third-party, (ii) enter into additional license arrangements involving our stem cell technology, or (iii) obtain approval from the FDA or other regulatory authorities and successfully commercialize, on our own or through a future collaboration, one or more of our product candidates.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the outcome of our ongoing research and development activities, including the outcome of ongoing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have completed in the past, and are considering, a range of potential financing transactions, including the offering described herein, additional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later in 2018 or thereafter.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conducting preclinical and clinical studies;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collaborative arrangements and the financial terms of such agreements;</w:t>
      </w:r>
    </w:p>
    <w:p>
      <w:pPr>
        <w:spacing w:after="0" w:line="248" w:lineRule="exact"/>
        <w:rPr>
          <w:rFonts w:ascii="Arial" w:cs="Arial" w:eastAsia="Arial" w:hAnsi="Arial"/>
          <w:sz w:val="16"/>
          <w:szCs w:val="16"/>
          <w:color w:val="auto"/>
        </w:rPr>
      </w:pPr>
    </w:p>
    <w:p>
      <w:pPr>
        <w:ind w:left="300" w:hanging="29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obtaining, maintaining and enforcing patents to preserve our intellectual property;</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5"/>
          <w:szCs w:val="15"/>
          <w:b w:val="1"/>
          <w:bCs w:val="1"/>
          <w:color w:val="auto"/>
        </w:rPr>
        <w:t>.</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identified material weaknesses in our internal control over financial reporting. In particular, we concluded that (i) the size and capabilities of the Company’s staff does not permit appropriate segregation of duties to prevent one individual from overriding the internal control system by initiating, authorizing and completing all transactions, and (ii) the Company utilizes accounting software that does not prevent erroneous or unauthorized changes to previous reporting periods and/or can be adjusted so as to not provide an adequate auditing trail of entries made in the accounting software.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We intend to pursue private and public equity offerings, debt financings, strategic collaborations and licensing arrangements during 2019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6"/>
          <w:szCs w:val="16"/>
          <w:i w:val="1"/>
          <w:iCs w:val="1"/>
          <w:color w:val="auto"/>
        </w:rPr>
        <w:t>NINDS</w:t>
      </w:r>
      <w:r>
        <w:rPr>
          <w:rFonts w:ascii="Arial" w:cs="Arial" w:eastAsia="Arial" w:hAnsi="Arial"/>
          <w:sz w:val="16"/>
          <w:szCs w:val="16"/>
          <w:color w:val="auto"/>
        </w:rPr>
        <w:t>) and the NIMH, and the California Institute for Regenerative Medicine (</w:t>
      </w:r>
      <w:r>
        <w:rPr>
          <w:rFonts w:ascii="Arial" w:cs="Arial" w:eastAsia="Arial" w:hAnsi="Arial"/>
          <w:sz w:val="16"/>
          <w:szCs w:val="16"/>
          <w:i w:val="1"/>
          <w:iCs w:val="1"/>
          <w:color w:val="auto"/>
        </w:rPr>
        <w:t>CIRM</w:t>
      </w:r>
      <w:r>
        <w:rPr>
          <w:rFonts w:ascii="Arial" w:cs="Arial" w:eastAsia="Arial" w:hAnsi="Arial"/>
          <w:sz w:val="16"/>
          <w:szCs w:val="16"/>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2018, we had federal and state net operating loss carryforwards of approximately $88.5 million and $63.5 million, respectively, which begin to expire in fiscal 2019.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senior management and key scientific personnel, we may be unable to successfully produce, develop and commercialize our product candidates.</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Chief Financial Officer, and Vice President – Corporate Development as well as our other employees, consultants and scientific collaborators. As of the date of this Report, we have nine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should we elect to expand our research and development and administrative activities. We may not be able to attract and retain quality personnel on acceptable terms.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rely on a broad and diverse range of strategic consultants and advisors, including manufacturing, nonclinical and clinical development, and regulatory advisors,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seek to advance development of our product candidates, we may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PH94B, PH10, any drug rescue NCE, other product candidate, or RM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2"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product candidates that we may develop;</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Our efforts to comply with these regulations are likely to result in increased general and administrative expenses and management time and attention directed to compliance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 development programs or otherwise materially harm our operations.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AV-101, PH94B, PH10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 candidates, or form strategic alliances, in the future, and we may not realize the benefits of such acquisitions.</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acquire additional businesses or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we consider important to the development of our business. We also rely on trade secrets to protect aspects of our business that are not amenable to, or that we do not consider appropriate for, patent protection.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or have licensed patents and patent applications related to AV-101, PH94B, PH10 and human pluripotent stem cell technology.</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own or have licensed issued patents and patent applications relating to AV-101, PH94B and PH10 in the United States, selected countries in the European Union and other jurisdictions, we cannot yet, with respect to AV-101 or PH10, provide any assurances that any of our pending United States and additional foreign patent applications will mature into issued patents and, if they do, that any of our patents will include claims with a scope sufficient to protect our product candidates or otherwise provide any competitive advantage. Nor can we provide any assurances that any of our issued patents, if challenged, will be found to be valid and enforceable.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or maintain patent protection.</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patent positions of biotechnology and pharmaceutical companies, including our patent positions with respect to our product candidates, involve complex legal and factual questions, and, therefore, the issuance, scope, validity and enforceability of any additional patent claims that we may obtain cannot be predicted with certainty. This uncertainty includes changes to the patent laws through either legislative action to change statutory patent law or court action that may reinterpret existing law in ways affecting the scope or validity of issued patents.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In addition, some patent-related uncertainty exists because of the challenge in finding and addressing all of the relevant and material prior art in the biotechnology and pharmaceutical fields. Such prior art includes scientific publications, investment blogs, granted patents and published patent applications. For example, some reports in the trade press and announcements by the Company, made public before the filing date of our AV-101 patent applications, mentioned that AV-101 was in development for certain therapeutic purposes. These include a web post, published by the Company on the NIH clinical trials website prior to filing the Company’s initial AV-101 patent applications, which stated that our then contemplated Phase 1b study would assess the safety, pharmacokinetics and antihyperalgesic effect of AV-101 at particular unit doses on capsaicin-induced hyperalgesia. This web post was not submitted to the United States Patent and Trademark Office (</w:t>
      </w:r>
      <w:r>
        <w:rPr>
          <w:rFonts w:ascii="Arial" w:cs="Arial" w:eastAsia="Arial" w:hAnsi="Arial"/>
          <w:sz w:val="15"/>
          <w:szCs w:val="15"/>
          <w:i w:val="1"/>
          <w:iCs w:val="1"/>
          <w:color w:val="auto"/>
        </w:rPr>
        <w:t>USPTO</w:t>
      </w:r>
      <w:r>
        <w:rPr>
          <w:rFonts w:ascii="Arial" w:cs="Arial" w:eastAsia="Arial" w:hAnsi="Arial"/>
          <w:sz w:val="15"/>
          <w:szCs w:val="15"/>
          <w:color w:val="auto"/>
        </w:rPr>
        <w:t>) in our two granted US patents related to (1) unit dose formulations of AV-101 effective to treat depression and (2) methods of treating depression with AV-101, respectively. It has been submitted in our pending AV-101 patent applications which also claim (1) unit dose formulations of AV-101 effective to treat depression and (2) methods of treating depression with AV-101. This prior art web post describes unit doses for a then future study contemplated by the Company, does not mention treatment of depression and does not provide any preclinical or clinical study data relating to depression or any other medical condition, disease or disorder. The Company is considering entering this web post in the record for the aforementioned two issued US patents. Such prior art, as well as the potential existence of other prior art about which we are currently unaware may be related to our patent applications and patents, may provide patent uncertainty and could prevent a pending patent application from being granted or result in an issued patent being held invalid or unenforceable.</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Our ability to obtain and maintain valid and enforceable patents depends on whether the differences between our technology and the prior art allow our technology to be patentable over the prior art. Even if patents do successfully issue, third parties may challenge the validity, enforceability or scope of such issued patents or any other issued patents we own or license, which may result in such patents being narrowed, invalidated or held unenforceable. United States patents and patent applications may also be subject to interference proceedings,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ultimately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effectivetechnologies, designs or methods. 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240" w:right="20" w:hanging="232"/>
        <w:spacing w:after="0" w:line="332" w:lineRule="auto"/>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issued patents related to AV-101, PH94B, PH10 or any pending patent applications, if issued, will include claims having a scope sufficient to protect AV-101, PH94B, PH10 or any other products or product candidates, particularly considering that the compound patent to AV-101 has expired;</w:t>
      </w:r>
    </w:p>
    <w:p>
      <w:pPr>
        <w:spacing w:after="0" w:line="139" w:lineRule="exact"/>
        <w:rPr>
          <w:rFonts w:ascii="Arial" w:cs="Arial" w:eastAsia="Arial" w:hAnsi="Arial"/>
          <w:sz w:val="16"/>
          <w:szCs w:val="16"/>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our patents, if issued, will ultimately be found to be valid and enforceable, including on the basis of prior art relating to our patent applications and patents;</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97" w:lineRule="exact"/>
        <w:rPr>
          <w:sz w:val="20"/>
          <w:szCs w:val="20"/>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 license from the holder of the asserted intellectual property, which license may not be available on reasonable terms, if at all; and</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USPTO, the European Patent Office (</w:t>
      </w:r>
      <w:r>
        <w:rPr>
          <w:rFonts w:ascii="Arial" w:cs="Arial" w:eastAsia="Arial" w:hAnsi="Arial"/>
          <w:sz w:val="18"/>
          <w:szCs w:val="18"/>
          <w:i w:val="1"/>
          <w:iCs w:val="1"/>
          <w:color w:val="auto"/>
        </w:rPr>
        <w:t>EPO</w:t>
      </w:r>
      <w:r>
        <w:rPr>
          <w:rFonts w:ascii="Arial" w:cs="Arial" w:eastAsia="Arial" w:hAnsi="Arial"/>
          <w:sz w:val="18"/>
          <w:szCs w:val="18"/>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 Any lawsuit we are engaged in to protect or enforce our patents or the patents of our licensors could be expensive, time-consuming and unsuccessful.</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Further, 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or derivation proceedings before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 can.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or one of our licensing partners initiated legal proceedings against a third-party to enforce a patent covering one of our product candidates, including patents related to AV-101, PH94B or PH10,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EPO,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properties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on intellectual property of the licensor that is not subject to the licensing agreement;</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0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non-United States product manufacturers for products covered by such intellectual property.</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we apply for additional United States 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the United States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PH94B or PH10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United States patent law could diminish the value of patents in general, thereby impairing our ability to protect our products.</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United States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addition, recent United States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6"/>
          <w:szCs w:val="16"/>
          <w:i w:val="1"/>
          <w:iCs w:val="1"/>
          <w:color w:val="auto"/>
        </w:rPr>
        <w:t>Mayo Collaborative Services, DBA</w:t>
      </w:r>
      <w:r>
        <w:rPr>
          <w:rFonts w:ascii="Arial" w:cs="Arial" w:eastAsia="Arial" w:hAnsi="Arial"/>
          <w:sz w:val="16"/>
          <w:szCs w:val="16"/>
          <w:color w:val="auto"/>
        </w:rPr>
        <w:t xml:space="preserve"> </w:t>
      </w:r>
      <w:r>
        <w:rPr>
          <w:rFonts w:ascii="Arial" w:cs="Arial" w:eastAsia="Arial" w:hAnsi="Arial"/>
          <w:sz w:val="16"/>
          <w:szCs w:val="16"/>
          <w:i w:val="1"/>
          <w:iCs w:val="1"/>
          <w:color w:val="auto"/>
        </w:rPr>
        <w:t>Mayo Medical Laboratories, et al. v. Prometheus Laboratories, Inc.</w:t>
      </w:r>
      <w:r>
        <w:rPr>
          <w:rFonts w:ascii="Arial" w:cs="Arial" w:eastAsia="Arial" w:hAnsi="Arial"/>
          <w:sz w:val="16"/>
          <w:szCs w:val="16"/>
          <w:color w:val="auto"/>
        </w:rPr>
        <w:t>, the Court held that several claims drawn to measuring drug metabolite levels from patient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xml:space="preserve">.,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6"/>
          <w:szCs w:val="16"/>
          <w:i w:val="1"/>
          <w:iCs w:val="1"/>
          <w:color w:val="auto"/>
        </w:rPr>
        <w:t>Ariosa Diagnostics, Inc. v. Sequenom, Inc</w:t>
      </w:r>
      <w:r>
        <w:rPr>
          <w:rFonts w:ascii="Arial" w:cs="Arial" w:eastAsia="Arial" w:hAnsi="Arial"/>
          <w:sz w:val="16"/>
          <w:szCs w:val="16"/>
          <w:color w:val="auto"/>
        </w:rPr>
        <w:t>., the Court of Appeals for the Federal Circuit held that methods for detecting fetal genetic defects were not patent eligible subject matter.</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increasing uncertainty regarding our ability to obtain future patents, this combination of events has created uncertainty with respect to the value of patents, once obtained. Depending on these and other decisions by the United States Congress, the federal courts and the USPTO, the laws and regulations governing patents could change in unpredictable ways that would weaken our ability to obtain new patents or to enforce any patents that may issue in the future.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7" w:lineRule="exact"/>
        <w:rPr>
          <w:sz w:val="20"/>
          <w:szCs w:val="20"/>
          <w:color w:val="auto"/>
        </w:rPr>
      </w:pPr>
    </w:p>
    <w:p>
      <w:pPr>
        <w:ind w:left="240" w:hanging="232"/>
        <w:spacing w:after="0" w:line="268"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9" w:name="page70"/>
    <w:bookmarkEnd w:id="6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highly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limited number of institutional stockholders could limit your ability to influence the outcome of key transactions, including changes in control.</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limited number of institutional stockholders own a substantial portion of our outstanding preferred stock, consisting of shares of our Series A Preferred, Series B Preferred, and Series C Preferred, all of which is convertible, at the option of the holders (but subject to certain beneficial ownership restrictions), into a substantial number of shares of our common stock. Accordingly, should a few of these institutional holders convert their shares of preferred stock into common stock, such stockholders may exert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the Company, even if such a change of control is approved by our Board and would benefit our other stockholders. Furthermore, the interests of such institutional stockholders may not always coincide with your interests or the interests of other common stockholders and an institutional holder may act in a manner that advances its best interests and not necessarily those of other stockholders.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Restated Articles of Incorporation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has authorized the issuance of (i) 500,000 shares of Series A Preferred, all of which shares are issued and outstanding at December 31, 2018; (ii) 4.0 million shares of Series B 10% Convertible Preferred stock, of which approximately 1.2 million shares remain issued and outstanding at December 31, 2018; and (iii) 3.0 million shares of Series C Convertible Preferred Stock, of which approximately 2.3 million shares are issued and outstanding at December 31, 2018.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the reporting requirements of the Securities Exchange Act of 1934, as amended (</w:t>
      </w:r>
      <w:r>
        <w:rPr>
          <w:rFonts w:ascii="Arial" w:cs="Arial" w:eastAsia="Arial" w:hAnsi="Arial"/>
          <w:sz w:val="18"/>
          <w:szCs w:val="18"/>
          <w:i w:val="1"/>
          <w:iCs w:val="1"/>
          <w:color w:val="auto"/>
        </w:rPr>
        <w:t>Exchange Act</w:t>
      </w:r>
      <w:r>
        <w:rPr>
          <w:rFonts w:ascii="Arial" w:cs="Arial" w:eastAsia="Arial" w:hAnsi="Arial"/>
          <w:sz w:val="18"/>
          <w:szCs w:val="18"/>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resources that we could otherwise use to achieve our research and development and other strategic objectives.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9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420" w:type="dxa"/>
            <w:vAlign w:val="bottom"/>
            <w:gridSpan w:val="2"/>
          </w:tcPr>
          <w:p>
            <w:pPr>
              <w:ind w:left="49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auto"/>
            </w:tcBorders>
            <w:shd w:val="clear" w:color="auto" w:fill="CCEEFF"/>
          </w:tcPr>
          <w:p>
            <w:pPr>
              <w:spacing w:after="0" w:line="176" w:lineRule="exact"/>
              <w:rPr>
                <w:rFonts w:ascii="Arial" w:cs="Arial" w:eastAsia="Arial" w:hAnsi="Arial"/>
                <w:sz w:val="18"/>
                <w:szCs w:val="18"/>
                <w:color w:val="auto"/>
                <w:w w:val="79"/>
              </w:rPr>
            </w:pPr>
            <w:hyperlink r:id="rId92">
              <w:r>
                <w:rPr>
                  <w:rFonts w:ascii="Arial" w:cs="Arial" w:eastAsia="Arial" w:hAnsi="Arial"/>
                  <w:sz w:val="18"/>
                  <w:szCs w:val="18"/>
                  <w:color w:val="auto"/>
                  <w:w w:val="79"/>
                </w:rPr>
                <w:t>10.</w:t>
              </w:r>
              <w:r>
                <w:rPr>
                  <w:rFonts w:ascii="Arial" w:cs="Arial" w:eastAsia="Arial" w:hAnsi="Arial"/>
                  <w:sz w:val="18"/>
                  <w:szCs w:val="18"/>
                  <w:u w:val="single" w:color="auto"/>
                  <w:color w:val="auto"/>
                  <w:w w:val="79"/>
                </w:rPr>
                <w:t>1</w:t>
              </w:r>
            </w:hyperlink>
          </w:p>
        </w:tc>
        <w:tc>
          <w:tcPr>
            <w:tcW w:w="680" w:type="dxa"/>
            <w:vAlign w:val="bottom"/>
            <w:tcBorders>
              <w:bottom w:val="single" w:sz="8" w:color="CCEEFF"/>
            </w:tcBorders>
            <w:shd w:val="clear" w:color="auto" w:fill="CCEEFF"/>
          </w:tcPr>
          <w:p>
            <w:pPr>
              <w:spacing w:after="0"/>
              <w:rPr>
                <w:sz w:val="15"/>
                <w:szCs w:val="15"/>
                <w:color w:val="auto"/>
              </w:rPr>
            </w:pPr>
          </w:p>
        </w:tc>
        <w:tc>
          <w:tcPr>
            <w:tcW w:w="9220" w:type="dxa"/>
            <w:vAlign w:val="bottom"/>
            <w:tcBorders>
              <w:bottom w:val="single" w:sz="8" w:color="CCEEFF"/>
            </w:tcBorders>
            <w:shd w:val="clear" w:color="auto" w:fill="CCEEFF"/>
          </w:tcPr>
          <w:p>
            <w:pPr>
              <w:ind w:left="380"/>
              <w:spacing w:after="0" w:line="176" w:lineRule="exact"/>
              <w:rPr>
                <w:sz w:val="20"/>
                <w:szCs w:val="20"/>
                <w:color w:val="auto"/>
              </w:rPr>
            </w:pPr>
            <w:r>
              <w:rPr>
                <w:rFonts w:ascii="Arial" w:cs="Arial" w:eastAsia="Arial" w:hAnsi="Arial"/>
                <w:sz w:val="18"/>
                <w:szCs w:val="18"/>
                <w:color w:val="auto"/>
                <w:w w:val="91"/>
                <w:shd w:val="clear" w:color="auto" w:fill="CCEEFF"/>
              </w:rPr>
              <w:t>Indemnification Agreement, dated January 10, 2019, by and between VistaGen Therapeutics, Inc. and Ann Cunningham,</w:t>
            </w:r>
          </w:p>
        </w:tc>
        <w:tc>
          <w:tcPr>
            <w:tcW w:w="1200" w:type="dxa"/>
            <w:vAlign w:val="bottom"/>
            <w:tcBorders>
              <w:bottom w:val="single" w:sz="8" w:color="CCEEFF"/>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90"/>
              </w:rPr>
              <w:t>incorporated 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reference from Exhibit 10.1 to the Company’s Current Report on Form 8-K filed on January 15,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auto"/>
            </w:tcBorders>
            <w:shd w:val="clear" w:color="auto" w:fill="CCEEFF"/>
          </w:tcPr>
          <w:p>
            <w:pPr>
              <w:spacing w:after="0" w:line="176" w:lineRule="exact"/>
              <w:rPr>
                <w:rFonts w:ascii="Arial" w:cs="Arial" w:eastAsia="Arial" w:hAnsi="Arial"/>
                <w:sz w:val="18"/>
                <w:szCs w:val="18"/>
                <w:color w:val="auto"/>
                <w:w w:val="79"/>
              </w:rPr>
            </w:pPr>
            <w:hyperlink w:anchor="page75">
              <w:r>
                <w:rPr>
                  <w:rFonts w:ascii="Arial" w:cs="Arial" w:eastAsia="Arial" w:hAnsi="Arial"/>
                  <w:sz w:val="18"/>
                  <w:szCs w:val="18"/>
                  <w:color w:val="auto"/>
                  <w:w w:val="79"/>
                </w:rPr>
                <w:t>31.</w:t>
              </w:r>
              <w:r>
                <w:rPr>
                  <w:rFonts w:ascii="Arial" w:cs="Arial" w:eastAsia="Arial" w:hAnsi="Arial"/>
                  <w:sz w:val="18"/>
                  <w:szCs w:val="18"/>
                  <w:u w:val="single" w:color="auto"/>
                  <w:color w:val="auto"/>
                  <w:w w:val="79"/>
                </w:rPr>
                <w:t>1</w:t>
              </w:r>
            </w:hyperlink>
          </w:p>
        </w:tc>
        <w:tc>
          <w:tcPr>
            <w:tcW w:w="680" w:type="dxa"/>
            <w:vAlign w:val="bottom"/>
            <w:tcBorders>
              <w:bottom w:val="single" w:sz="8" w:color="CCEEFF"/>
            </w:tcBorders>
            <w:shd w:val="clear" w:color="auto" w:fill="CCEEFF"/>
          </w:tcPr>
          <w:p>
            <w:pPr>
              <w:spacing w:after="0"/>
              <w:rPr>
                <w:sz w:val="15"/>
                <w:szCs w:val="15"/>
                <w:color w:val="auto"/>
              </w:rPr>
            </w:pPr>
          </w:p>
        </w:tc>
        <w:tc>
          <w:tcPr>
            <w:tcW w:w="10420" w:type="dxa"/>
            <w:vAlign w:val="bottom"/>
            <w:tcBorders>
              <w:bottom w:val="single" w:sz="8" w:color="CCEEFF"/>
            </w:tcBorders>
            <w:gridSpan w:val="2"/>
            <w:shd w:val="clear" w:color="auto" w:fill="CCEEFF"/>
          </w:tcPr>
          <w:p>
            <w:pPr>
              <w:ind w:left="380"/>
              <w:spacing w:after="0" w:line="176" w:lineRule="exact"/>
              <w:rPr>
                <w:sz w:val="20"/>
                <w:szCs w:val="20"/>
                <w:color w:val="auto"/>
              </w:rPr>
            </w:pPr>
            <w:r>
              <w:rPr>
                <w:rFonts w:ascii="Arial" w:cs="Arial" w:eastAsia="Arial" w:hAnsi="Arial"/>
                <w:sz w:val="18"/>
                <w:szCs w:val="18"/>
                <w:color w:val="auto"/>
                <w:w w:val="94"/>
              </w:rPr>
              <w:t>Certification of the Principal Executive Officer required by Rule 13a-14(a) under the Securities Exchange Act of 1934, as amended,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auto"/>
            </w:tcBorders>
            <w:shd w:val="clear" w:color="auto" w:fill="CCEEFF"/>
          </w:tcPr>
          <w:p>
            <w:pPr>
              <w:spacing w:after="0" w:line="176" w:lineRule="exact"/>
              <w:rPr>
                <w:rFonts w:ascii="Arial" w:cs="Arial" w:eastAsia="Arial" w:hAnsi="Arial"/>
                <w:sz w:val="18"/>
                <w:szCs w:val="18"/>
                <w:color w:val="auto"/>
                <w:w w:val="79"/>
              </w:rPr>
            </w:pPr>
            <w:hyperlink w:anchor="page76">
              <w:r>
                <w:rPr>
                  <w:rFonts w:ascii="Arial" w:cs="Arial" w:eastAsia="Arial" w:hAnsi="Arial"/>
                  <w:sz w:val="18"/>
                  <w:szCs w:val="18"/>
                  <w:color w:val="auto"/>
                  <w:w w:val="79"/>
                </w:rPr>
                <w:t>31.</w:t>
              </w:r>
              <w:r>
                <w:rPr>
                  <w:rFonts w:ascii="Arial" w:cs="Arial" w:eastAsia="Arial" w:hAnsi="Arial"/>
                  <w:sz w:val="18"/>
                  <w:szCs w:val="18"/>
                  <w:u w:val="single" w:color="auto"/>
                  <w:color w:val="auto"/>
                  <w:w w:val="79"/>
                </w:rPr>
                <w:t>2</w:t>
              </w:r>
            </w:hyperlink>
          </w:p>
        </w:tc>
        <w:tc>
          <w:tcPr>
            <w:tcW w:w="680" w:type="dxa"/>
            <w:vAlign w:val="bottom"/>
            <w:tcBorders>
              <w:bottom w:val="single" w:sz="8" w:color="CCEEFF"/>
            </w:tcBorders>
            <w:shd w:val="clear" w:color="auto" w:fill="CCEEFF"/>
          </w:tcPr>
          <w:p>
            <w:pPr>
              <w:spacing w:after="0"/>
              <w:rPr>
                <w:sz w:val="15"/>
                <w:szCs w:val="15"/>
                <w:color w:val="auto"/>
              </w:rPr>
            </w:pPr>
          </w:p>
        </w:tc>
        <w:tc>
          <w:tcPr>
            <w:tcW w:w="10420" w:type="dxa"/>
            <w:vAlign w:val="bottom"/>
            <w:tcBorders>
              <w:bottom w:val="single" w:sz="8" w:color="CCEEFF"/>
            </w:tcBorders>
            <w:gridSpan w:val="2"/>
            <w:shd w:val="clear" w:color="auto" w:fill="CCEEFF"/>
          </w:tcPr>
          <w:p>
            <w:pPr>
              <w:ind w:left="380"/>
              <w:spacing w:after="0" w:line="176" w:lineRule="exact"/>
              <w:rPr>
                <w:sz w:val="20"/>
                <w:szCs w:val="20"/>
                <w:color w:val="auto"/>
              </w:rPr>
            </w:pPr>
            <w:r>
              <w:rPr>
                <w:rFonts w:ascii="Arial" w:cs="Arial" w:eastAsia="Arial" w:hAnsi="Arial"/>
                <w:sz w:val="18"/>
                <w:szCs w:val="18"/>
                <w:color w:val="auto"/>
                <w:w w:val="88"/>
              </w:rPr>
              <w:t>Certification of the Principal Financial Officer required by Rule 13a-14(a) under the Securities Exchange Act of 1934, as amended, as adopted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380" w:hanging="1372"/>
        <w:spacing w:after="0" w:line="268" w:lineRule="auto"/>
        <w:tabs>
          <w:tab w:leader="none" w:pos="1380" w:val="left"/>
        </w:tabs>
        <w:numPr>
          <w:ilvl w:val="0"/>
          <w:numId w:val="24"/>
        </w:numPr>
        <w:rPr>
          <w:rFonts w:ascii="Arial" w:cs="Arial" w:eastAsia="Arial" w:hAnsi="Arial"/>
          <w:sz w:val="18"/>
          <w:szCs w:val="18"/>
          <w:u w:val="single" w:color="auto"/>
          <w:color w:val="auto"/>
        </w:rPr>
      </w:pPr>
      <w:r>
        <w:rPr>
          <w:rFonts w:ascii="Arial" w:cs="Arial" w:eastAsia="Arial" w:hAnsi="Arial"/>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Instance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7" w:lineRule="exact"/>
        <w:rPr>
          <w:sz w:val="20"/>
          <w:szCs w:val="20"/>
          <w:color w:val="auto"/>
        </w:rPr>
      </w:pPr>
    </w:p>
    <w:p>
      <w:pPr>
        <w:ind w:firstLine="20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19"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4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2"/>
        <w:spacing w:after="0" w:line="259" w:lineRule="auto"/>
        <w:tabs>
          <w:tab w:leader="none" w:pos="127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2"/>
        <w:spacing w:after="0" w:line="332" w:lineRule="auto"/>
        <w:tabs>
          <w:tab w:leader="none" w:pos="958"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2"/>
        <w:spacing w:after="0" w:line="259" w:lineRule="auto"/>
        <w:tabs>
          <w:tab w:leader="none" w:pos="97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2"/>
        <w:spacing w:after="0" w:line="268" w:lineRule="auto"/>
        <w:tabs>
          <w:tab w:leader="none" w:pos="108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9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20"/>
                <w:szCs w:val="20"/>
                <w:color w:val="auto"/>
              </w:rPr>
            </w:pPr>
            <w:r>
              <w:rPr>
                <w:rFonts w:ascii="Arial" w:cs="Arial" w:eastAsia="Arial" w:hAnsi="Arial"/>
                <w:sz w:val="18"/>
                <w:szCs w:val="18"/>
                <w:color w:val="auto"/>
              </w:rPr>
              <w:t>February 12, 2019</w:t>
            </w:r>
          </w:p>
        </w:tc>
        <w:tc>
          <w:tcPr>
            <w:tcW w:w="4920" w:type="dxa"/>
            <w:vAlign w:val="bottom"/>
            <w:gridSpan w:val="2"/>
          </w:tcPr>
          <w:p>
            <w:pPr>
              <w:spacing w:after="0"/>
              <w:rPr>
                <w:sz w:val="20"/>
                <w:szCs w:val="20"/>
                <w:color w:val="auto"/>
              </w:rPr>
            </w:pPr>
            <w:r>
              <w:rPr>
                <w:rFonts w:ascii="Arial" w:cs="Arial" w:eastAsia="Arial" w:hAnsi="Arial"/>
                <w:sz w:val="18"/>
                <w:szCs w:val="18"/>
                <w:color w:val="auto"/>
              </w:rPr>
              <w:t>/s/ Shawn K. Singh</w:t>
            </w:r>
          </w:p>
        </w:tc>
      </w:tr>
      <w:tr>
        <w:trPr>
          <w:trHeight w:val="228"/>
        </w:trPr>
        <w:tc>
          <w:tcPr>
            <w:tcW w:w="6500" w:type="dxa"/>
            <w:vAlign w:val="bottom"/>
          </w:tcPr>
          <w:p>
            <w:pPr>
              <w:spacing w:after="0"/>
              <w:rPr>
                <w:sz w:val="19"/>
                <w:szCs w:val="19"/>
                <w:color w:val="auto"/>
              </w:rPr>
            </w:pPr>
          </w:p>
        </w:tc>
        <w:tc>
          <w:tcPr>
            <w:tcW w:w="1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Shawn K. Singh</w:t>
            </w:r>
          </w:p>
        </w:tc>
        <w:tc>
          <w:tcPr>
            <w:tcW w:w="3580" w:type="dxa"/>
            <w:vAlign w:val="bottom"/>
          </w:tcPr>
          <w:p>
            <w:pPr>
              <w:spacing w:after="0"/>
              <w:rPr>
                <w:sz w:val="19"/>
                <w:szCs w:val="19"/>
                <w:color w:val="auto"/>
              </w:rPr>
            </w:pPr>
          </w:p>
        </w:tc>
      </w:tr>
      <w:tr>
        <w:trPr>
          <w:trHeight w:val="222"/>
        </w:trPr>
        <w:tc>
          <w:tcPr>
            <w:tcW w:w="650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1522"/>
        </w:trPr>
        <w:tc>
          <w:tcPr>
            <w:tcW w:w="6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4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2"/>
        <w:spacing w:after="0" w:line="259" w:lineRule="auto"/>
        <w:tabs>
          <w:tab w:leader="none" w:pos="127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2"/>
        <w:spacing w:after="0" w:line="332" w:lineRule="auto"/>
        <w:tabs>
          <w:tab w:leader="none" w:pos="958"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2"/>
        <w:spacing w:after="0" w:line="259" w:lineRule="auto"/>
        <w:tabs>
          <w:tab w:leader="none" w:pos="976"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2"/>
        <w:spacing w:after="0" w:line="268" w:lineRule="auto"/>
        <w:tabs>
          <w:tab w:leader="none" w:pos="108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9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ind w:left="60"/>
              <w:spacing w:after="0"/>
              <w:rPr>
                <w:sz w:val="20"/>
                <w:szCs w:val="20"/>
                <w:color w:val="auto"/>
              </w:rPr>
            </w:pPr>
            <w:r>
              <w:rPr>
                <w:rFonts w:ascii="Arial" w:cs="Arial" w:eastAsia="Arial" w:hAnsi="Arial"/>
                <w:sz w:val="18"/>
                <w:szCs w:val="18"/>
                <w:color w:val="auto"/>
              </w:rPr>
              <w:t>February 12, 2019</w:t>
            </w:r>
          </w:p>
        </w:tc>
        <w:tc>
          <w:tcPr>
            <w:tcW w:w="1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/s/ Jerrold D. Dotson</w:t>
            </w:r>
          </w:p>
        </w:tc>
        <w:tc>
          <w:tcPr>
            <w:tcW w:w="4140" w:type="dxa"/>
            <w:vAlign w:val="bottom"/>
          </w:tcPr>
          <w:p>
            <w:pPr>
              <w:spacing w:after="0"/>
              <w:rPr>
                <w:sz w:val="18"/>
                <w:szCs w:val="18"/>
                <w:color w:val="auto"/>
              </w:rPr>
            </w:pPr>
          </w:p>
        </w:tc>
      </w:tr>
      <w:tr>
        <w:trPr>
          <w:trHeight w:val="228"/>
        </w:trPr>
        <w:tc>
          <w:tcPr>
            <w:tcW w:w="5720" w:type="dxa"/>
            <w:vAlign w:val="bottom"/>
          </w:tcPr>
          <w:p>
            <w:pPr>
              <w:spacing w:after="0"/>
              <w:rPr>
                <w:sz w:val="19"/>
                <w:szCs w:val="19"/>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Jerrold D. Dotson</w:t>
            </w:r>
          </w:p>
        </w:tc>
      </w:tr>
      <w:tr>
        <w:trPr>
          <w:trHeight w:val="222"/>
        </w:trPr>
        <w:tc>
          <w:tcPr>
            <w:tcW w:w="5720" w:type="dxa"/>
            <w:vAlign w:val="bottom"/>
          </w:tcPr>
          <w:p>
            <w:pPr>
              <w:spacing w:after="0"/>
              <w:rPr>
                <w:sz w:val="19"/>
                <w:szCs w:val="19"/>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Principal Financial Officer</w:t>
            </w:r>
          </w:p>
        </w:tc>
      </w:tr>
      <w:tr>
        <w:trPr>
          <w:trHeight w:val="1765"/>
        </w:trPr>
        <w:tc>
          <w:tcPr>
            <w:tcW w:w="57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December 31, 2018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9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32"/>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2" Type="http://schemas.openxmlformats.org/officeDocument/2006/relationships/hyperlink" Target="http://www.sec.gov/Archives/edgar/data/1411685/000165495419000496/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2020-01-09T20:25:56Z</dcterms:created>
  <dcterms:modified xsi:type="dcterms:W3CDTF">2020-01-09T20:25:56Z</dcterms:modified>
</cp:coreProperties>
</file>