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Vistagen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92840H400</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92840H400</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Great Point Partners,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2,055,834.00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2,055,834.00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2,055,834.00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92840H400</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Dr. Jeffrey R. Jay, M.D.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2,055,834.00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2,055,834.00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2,055,834.00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92840H400</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Ms. Lillian Nordahl</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2,055,834.00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2,055,834.00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2,055,834.00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5"/>
        <w:gridCol w:w="8895"/>
        <w:gridCol w:w="155"/>
      </w:tblGrid>
      <w:tr>
        <w:trPr/>
        <w:tc>
          <w:tcPr>
            <w:tcW w:w="1155"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Vistagen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343 Allerton Avenue,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2.</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Great Point Partners, LLC Dr. Jeffrey R. Jay, M.D. Ms. Lillian Nordahl The Reporting Persons have entered into a Joint Filing Agreement, dated February 17, 2026, a copy of which is filed with this SCHEDULE 13G/A as Exhibit A, pursuant to which the Reporting Persons have agreed to file this statement jointly in accordance with the provisions of Rule 13d-1(k)(1) under the Act.</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165 Mason Street, 3rd Floor Greenwich, CT 06830</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Citizenship: </w:t>
            </w:r>
          </w:p>
          <w:p>
            <w:pPr>
              <w:pStyle w:val="TableContents"/>
              <w:bidi w:val="0"/>
              <w:spacing w:before="0" w:after="0"/>
              <w:jc w:val="left"/>
              <w:rPr/>
            </w:pPr>
            <w:r>
              <w:rPr/>
              <w:t>Great Point Partners, LLC is a limited liability company organized under the laws of the State of Delaware. Dr. Jeffrey R. Jay, M.D. is a citizen of the United States. Ms. Lillian Nordahl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jc w:val="left"/>
              <w:rPr/>
            </w:pPr>
            <w:r>
              <w:rPr/>
              <w:t xml:space="preserve">CUSIP No.: </w:t>
            </w:r>
          </w:p>
          <w:p>
            <w:pPr>
              <w:pStyle w:val="TableContents"/>
              <w:bidi w:val="0"/>
              <w:spacing w:before="0" w:after="0"/>
              <w:jc w:val="left"/>
              <w:rPr/>
            </w:pPr>
            <w:r>
              <w:rPr/>
              <w:t>92840H400</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(f)</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(g)</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(h)</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(j)</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(k)</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9050" w:type="dxa"/>
            <w:gridSpan w:val="2"/>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4.</w:t>
            </w:r>
          </w:p>
        </w:tc>
        <w:tc>
          <w:tcPr>
            <w:tcW w:w="889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2,055,834</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4.95  %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2,055,834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2,055,834 The information required by Items 4(a) - (c) is set forth in Rows (5) - (11) of the cover pages for the Reporting Persons and is incorporated herein by reference. The percentage set forth in Row (11) of the cover pages for the Reporting Persons are based on a total of 41,551,285 shares outstanding, which is the sum of (i) 39,495,451 common shares outstanding as reported by the Issuer in its Form 10-Q filed with the Securities and Exchange Commission (the "SEC") on November 12, 2025 and (ii) 2,055,834 shares of Common Stock issuable upon exercise of Warrants held by the reporting persons (subject to the Beneficial Ownership Cap). The reporting persons hold in the aggregate warrants to purchase 2,055,834 shares of Common Stock; however, the provisions of such warrants restrict the exercise of such warrants to the extent that, after giving effect to such exercise, the holder of the warrants and its affiliates, together with any other person or entities with which such holder would constitute a group, would beneficially own in excess of 9.99% of the number of shares of Common Stock outstanding immediately after giving effect to such exercise (the "Beneficial Ownership Cap"). As a result, all shares underlying such warrants are beneficially owned by the reporting persons.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4.</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7.</w:t>
            </w:r>
          </w:p>
        </w:tc>
        <w:tc>
          <w:tcPr>
            <w:tcW w:w="88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8.</w:t>
            </w:r>
          </w:p>
        </w:tc>
        <w:tc>
          <w:tcPr>
            <w:tcW w:w="889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9.</w:t>
            </w:r>
          </w:p>
        </w:tc>
        <w:tc>
          <w:tcPr>
            <w:tcW w:w="889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Great Point Partners, LLC</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9"/>
        <w:gridCol w:w="4336"/>
      </w:tblGrid>
      <w:tr>
        <w:trPr/>
        <w:tc>
          <w:tcPr>
            <w:tcW w:w="586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Dr. Jeffrey R. Jay, M.D</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Dr. Jeffrey R. Jay, M.D - Senior Managing Member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02/17/2026</w:t>
                  </w:r>
                </w:p>
              </w:tc>
            </w:tr>
          </w:tbl>
          <w:p>
            <w:pPr>
              <w:pStyle w:val="TableContents"/>
              <w:bidi w:val="0"/>
              <w:spacing w:before="0" w:after="283"/>
              <w:jc w:val="left"/>
              <w:rPr/>
            </w:pPr>
            <w:r>
              <w:rPr/>
            </w:r>
          </w:p>
        </w:tc>
        <w:tc>
          <w:tcPr>
            <w:tcW w:w="4336" w:type="dxa"/>
            <w:tcBorders/>
            <w:vAlign w:val="center"/>
          </w:tcPr>
          <w:p>
            <w:pPr>
              <w:pStyle w:val="TableContents"/>
              <w:bidi w:val="0"/>
              <w:spacing w:before="0" w:after="283"/>
              <w:jc w:val="left"/>
              <w:rPr>
                <w:sz w:val="4"/>
                <w:szCs w:val="4"/>
              </w:rPr>
            </w:pPr>
            <w:r>
              <w:rPr>
                <w:sz w:val="4"/>
                <w:szCs w:val="4"/>
              </w:rPr>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Dr. Jeffrey R. Jay, M.D.</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3"/>
        <w:gridCol w:w="4462"/>
      </w:tblGrid>
      <w:tr>
        <w:trPr/>
        <w:tc>
          <w:tcPr>
            <w:tcW w:w="57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Dr. Jeffrey R. Jay, M.D</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Dr. Jeffrey R. Jay, M.D</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02/17/2026</w:t>
                  </w:r>
                </w:p>
              </w:tc>
            </w:tr>
          </w:tbl>
          <w:p>
            <w:pPr>
              <w:pStyle w:val="TableContents"/>
              <w:bidi w:val="0"/>
              <w:spacing w:before="0" w:after="283"/>
              <w:jc w:val="left"/>
              <w:rPr/>
            </w:pPr>
            <w:r>
              <w:rPr/>
            </w:r>
          </w:p>
        </w:tc>
        <w:tc>
          <w:tcPr>
            <w:tcW w:w="4462" w:type="dxa"/>
            <w:tcBorders/>
            <w:vAlign w:val="center"/>
          </w:tcPr>
          <w:p>
            <w:pPr>
              <w:pStyle w:val="TableContents"/>
              <w:bidi w:val="0"/>
              <w:spacing w:before="0" w:after="283"/>
              <w:jc w:val="left"/>
              <w:rPr>
                <w:sz w:val="4"/>
                <w:szCs w:val="4"/>
              </w:rPr>
            </w:pPr>
            <w:r>
              <w:rPr>
                <w:sz w:val="4"/>
                <w:szCs w:val="4"/>
              </w:rPr>
            </w:r>
          </w:p>
        </w:tc>
      </w:tr>
    </w:tbl>
    <w:tbl>
      <w:tblPr>
        <w:tblW w:w="4332" w:type="dxa"/>
        <w:jc w:val="left"/>
        <w:tblInd w:w="0" w:type="dxa"/>
        <w:tblLayout w:type="fixed"/>
        <w:tblCellMar>
          <w:top w:w="28" w:type="dxa"/>
          <w:left w:w="28" w:type="dxa"/>
          <w:bottom w:w="28" w:type="dxa"/>
          <w:right w:w="28" w:type="dxa"/>
        </w:tblCellMar>
      </w:tblPr>
      <w:tblGrid>
        <w:gridCol w:w="2166"/>
        <w:gridCol w:w="2166"/>
      </w:tblGrid>
      <w:tr>
        <w:trPr/>
        <w:tc>
          <w:tcPr>
            <w:tcW w:w="2166" w:type="dxa"/>
            <w:tcBorders/>
            <w:vAlign w:val="center"/>
          </w:tcPr>
          <w:p>
            <w:pPr>
              <w:pStyle w:val="TableContents"/>
              <w:bidi w:val="0"/>
              <w:spacing w:before="0" w:after="0"/>
              <w:jc w:val="left"/>
              <w:rPr/>
            </w:pPr>
            <w:r>
              <w:rPr/>
              <w:t> </w:t>
            </w:r>
          </w:p>
          <w:tbl>
            <w:tblPr>
              <w:tblW w:w="2041" w:type="dxa"/>
              <w:jc w:val="left"/>
              <w:tblInd w:w="0" w:type="dxa"/>
              <w:tblLayout w:type="fixed"/>
              <w:tblCellMar>
                <w:top w:w="28" w:type="dxa"/>
                <w:left w:w="28" w:type="dxa"/>
                <w:bottom w:w="28" w:type="dxa"/>
                <w:right w:w="28" w:type="dxa"/>
              </w:tblCellMar>
            </w:tblPr>
            <w:tblGrid>
              <w:gridCol w:w="2041"/>
            </w:tblGrid>
            <w:tr>
              <w:trPr/>
              <w:tc>
                <w:tcPr>
                  <w:tcW w:w="2041" w:type="dxa"/>
                  <w:tcBorders/>
                  <w:vAlign w:val="center"/>
                </w:tcPr>
                <w:p>
                  <w:pPr>
                    <w:pStyle w:val="TableContents"/>
                    <w:bidi w:val="0"/>
                    <w:spacing w:before="0" w:after="0"/>
                    <w:jc w:val="left"/>
                    <w:rPr/>
                  </w:pPr>
                  <w:r>
                    <w:rPr/>
                    <w:t>Ms. Lillian Nordahl</w:t>
                  </w:r>
                </w:p>
              </w:tc>
            </w:tr>
          </w:tbl>
          <w:p>
            <w:pPr>
              <w:pStyle w:val="TableContents"/>
              <w:bidi w:val="0"/>
              <w:spacing w:before="0" w:after="283"/>
              <w:jc w:val="left"/>
              <w:rPr/>
            </w:pPr>
            <w:r>
              <w:rPr/>
            </w:r>
          </w:p>
        </w:tc>
        <w:tc>
          <w:tcPr>
            <w:tcW w:w="2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3"/>
        <w:gridCol w:w="4402"/>
      </w:tblGrid>
      <w:tr>
        <w:trPr/>
        <w:tc>
          <w:tcPr>
            <w:tcW w:w="58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Ms. Lillian Nordahl</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Ms. Lillian Nordahl</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02/17/2026</w:t>
                  </w:r>
                </w:p>
              </w:tc>
            </w:tr>
          </w:tbl>
          <w:p>
            <w:pPr>
              <w:pStyle w:val="TableContents"/>
              <w:bidi w:val="0"/>
              <w:spacing w:before="0" w:after="283"/>
              <w:jc w:val="left"/>
              <w:rPr/>
            </w:pPr>
            <w:r>
              <w:rPr/>
            </w:r>
          </w:p>
        </w:tc>
        <w:tc>
          <w:tcPr>
            <w:tcW w:w="44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STATEMENT PURSUANT TO RULE 13d-1(k) The undersigned hereby agree as follows: (i) Each of them is individually eligible to use the SCHEDULE 13G/A to which this Exhibit is attached, and such SCHEDULE 13G/A is filed on behalf of each of them; and (ii) Each of them is responsible for the timely filing of such SCHEDULE 13G/A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Dated: February 17, 2026 Great Point Partners, LLC By: /s/ Dr. Jeffrey R. Jay, M.D. Dr. Jeffrey R. Jay, M.D., as Senior Managing Member Dr. Jeffrey R. Jay, M.D. By: /s/ Dr. Jeffrey R. Jay, M.D. Dr. Jeffrey R. Jay, M.D. Ms. Lillian Nordahl By: /s/ Ms. Lillian Nordahl Ms. Lillian Nordahl</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1592</Words>
  <Characters>8050</Characters>
  <CharactersWithSpaces>9590</CharactersWithSpaces>
  <Paragraphs>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