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619" w:firstLine="737"/>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4" w:lineRule="auto"/>
        <w:rPr>
          <w:sz w:val="20"/>
          <w:szCs w:val="20"/>
          <w:color w:val="auto"/>
        </w:rPr>
      </w:pPr>
      <w:r>
        <w:rPr>
          <w:rFonts w:ascii="Courier New" w:cs="Courier New" w:eastAsia="Courier New" w:hAnsi="Courier New"/>
          <w:sz w:val="18"/>
          <w:szCs w:val="18"/>
          <w:color w:val="auto"/>
        </w:rPr>
        <w:t>__________</w:t>
      </w:r>
    </w:p>
    <w:p>
      <w:pPr>
        <w:spacing w:after="0" w:line="4" w:lineRule="exact"/>
        <w:rPr>
          <w:sz w:val="24"/>
          <w:szCs w:val="24"/>
          <w:color w:val="auto"/>
        </w:rPr>
      </w:pPr>
    </w:p>
    <w:p>
      <w:pPr>
        <w:ind w:right="2199" w:firstLine="737"/>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740"/>
        <w:spacing w:after="0" w:line="234" w:lineRule="auto"/>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38" w:lineRule="auto"/>
        <w:rPr>
          <w:sz w:val="20"/>
          <w:szCs w:val="20"/>
          <w:color w:val="auto"/>
        </w:rPr>
      </w:pPr>
      <w:r>
        <w:rPr>
          <w:rFonts w:ascii="Courier New" w:cs="Courier New" w:eastAsia="Courier New" w:hAnsi="Courier New"/>
          <w:sz w:val="18"/>
          <w:szCs w:val="18"/>
          <w:color w:val="auto"/>
        </w:rPr>
        <w:t>not be deemed to be filed for the purpose of Section 18 of the Securities</w:t>
      </w: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 that</w:t>
      </w:r>
    </w:p>
    <w:p>
      <w:pPr>
        <w:spacing w:after="0" w:line="237" w:lineRule="auto"/>
        <w:rPr>
          <w:sz w:val="20"/>
          <w:szCs w:val="20"/>
          <w:color w:val="auto"/>
        </w:rPr>
      </w:pPr>
      <w:r>
        <w:rPr>
          <w:rFonts w:ascii="Courier New" w:cs="Courier New" w:eastAsia="Courier New" w:hAnsi="Courier New"/>
          <w:sz w:val="18"/>
          <w:szCs w:val="18"/>
          <w:color w:val="auto"/>
        </w:rPr>
        <w:t>section of the Act but shall be subject to all other provisions of the Act</w:t>
      </w:r>
    </w:p>
    <w:p>
      <w:pPr>
        <w:spacing w:after="0"/>
        <w:rPr>
          <w:sz w:val="20"/>
          <w:szCs w:val="20"/>
          <w:color w:val="auto"/>
        </w:rPr>
      </w:pPr>
      <w:r>
        <w:rPr>
          <w:rFonts w:ascii="Courier New" w:cs="Courier New" w:eastAsia="Courier New" w:hAnsi="Courier New"/>
          <w:sz w:val="18"/>
          <w:szCs w:val="18"/>
          <w:color w:val="auto"/>
        </w:rPr>
        <w:t>(however,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ectPr>
          <w:pgSz w:w="11900" w:h="16838" w:orient="portrait"/>
          <w:cols w:equalWidth="0" w:num="1">
            <w:col w:w="10219"/>
          </w:cols>
          <w:pgMar w:left="24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4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241,774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241,774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241,774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94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946"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946" w:right="1440" w:bottom="537"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ectPr>
          <w:pgSz w:w="11900" w:h="16838" w:orient="portrait"/>
          <w:cols w:equalWidth="0" w:num="1">
            <w:col w:w="10219"/>
          </w:cols>
          <w:pgMar w:left="240" w:top="136" w:right="1440" w:bottom="133"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Sabby Volatility Warrant Master Fund, Ltd.</w:t>
      </w: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7" w:lineRule="auto"/>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line="237" w:lineRule="auto"/>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ectPr>
          <w:pgSz w:w="11900" w:h="16838" w:orient="portrait"/>
          <w:cols w:equalWidth="0" w:num="1">
            <w:col w:w="10219"/>
          </w:cols>
          <w:pgMar w:left="240" w:top="339"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Sabby Healthcare Master Fund, Ltd. - Cayman Islands</w:t>
      </w:r>
    </w:p>
    <w:p>
      <w:pPr>
        <w:spacing w:after="0" w:line="4"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 par value $0.001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If This Statement is filed pursuant to Section 240.13d-1(b) or 240.13d-2(b), or (c), check whether the person filing is 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An investment adviser in accordance with Section 240.13d-1(b)(1)(ii)(E);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ectPr>
          <w:pgSz w:w="11900" w:h="16838" w:orient="portrait"/>
          <w:cols w:equalWidth="0" w:num="1">
            <w:col w:w="10219"/>
          </w:cols>
          <w:pgMar w:left="240" w:top="744"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w:t>
      </w:r>
    </w:p>
    <w:p>
      <w:pPr>
        <w:spacing w:after="0" w:line="233" w:lineRule="auto"/>
        <w:rPr>
          <w:sz w:val="20"/>
          <w:szCs w:val="20"/>
          <w:color w:val="auto"/>
        </w:rPr>
      </w:pPr>
      <w:r>
        <w:rPr>
          <w:rFonts w:ascii="Courier New" w:cs="Courier New" w:eastAsia="Courier New" w:hAnsi="Courier New"/>
          <w:sz w:val="18"/>
          <w:szCs w:val="18"/>
          <w:color w:val="auto"/>
        </w:rPr>
        <w:t>80a-3);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 non-U.S. institution in accordance with Section 240.13d-1(b)(1)(ii)(J);</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Group, in accordance with Section 240.13d-1(b)(1)(ii)(K). If filing as 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2"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Sabby Healthcare Master Fund, Ltd. -</w:t>
      </w:r>
      <w:r>
        <w:rPr>
          <w:sz w:val="20"/>
          <w:szCs w:val="20"/>
          <w:color w:val="auto"/>
        </w:rPr>
        <w:tab/>
      </w:r>
      <w:r>
        <w:rPr>
          <w:rFonts w:ascii="Courier New" w:cs="Courier New" w:eastAsia="Courier New" w:hAnsi="Courier New"/>
          <w:sz w:val="16"/>
          <w:szCs w:val="16"/>
          <w:color w:val="auto"/>
        </w:rPr>
        <w:t>418,158</w:t>
      </w:r>
    </w:p>
    <w:p>
      <w:pPr>
        <w:spacing w:after="0" w:line="201"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241,774</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418,158</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Hal Mintz -</w:t>
      </w:r>
      <w:r>
        <w:rPr>
          <w:sz w:val="20"/>
          <w:szCs w:val="20"/>
          <w:color w:val="auto"/>
        </w:rPr>
        <w:tab/>
      </w:r>
      <w:r>
        <w:rPr>
          <w:rFonts w:ascii="Courier New" w:cs="Courier New" w:eastAsia="Courier New" w:hAnsi="Courier New"/>
          <w:sz w:val="16"/>
          <w:szCs w:val="16"/>
          <w:color w:val="auto"/>
        </w:rPr>
        <w:t>418,158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 - 4.99%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11" w:name="page12"/>
    <w:bookmarkEnd w:id="11"/>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418,158</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241,774</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241,774</w:t>
      </w:r>
    </w:p>
    <w:p>
      <w:pPr>
        <w:sectPr>
          <w:pgSz w:w="11900" w:h="16838" w:orient="portrait"/>
          <w:cols w:equalWidth="0" w:num="1">
            <w:col w:w="10219"/>
          </w:cols>
          <w:pgMar w:left="240" w:top="144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418,158</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418,158</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36"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418,158</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As calculated in accordance with Rule 13d-3 of the Securities Exchange Act of 1934, as amended, (i) Sabby Healthcare Master Fund, Ltd. and</w:t>
      </w:r>
    </w:p>
    <w:p>
      <w:pPr>
        <w:spacing w:after="0" w:line="6"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Sabby Volatility Master Fund, Ltd. beneficially own 418,158 and 241,774 shares of the Issuer's common stock (Common Stock), respectively, representing approximately 4.99% and 2.89% of the Common Stock, respectively, and (ii) Sabby Management, LLC and Hal Mintz each beneficially own 418,158 shares of the Common Stock, representing approximately 4.99%</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of the Common Stock. Sabby Management, LLC and Hal Mintz do not directly own any shares of Common Stock, but each indirectly owns 418,158 shares of Common Stock. Sabby Management, LLC, a Delaware limited liability company, indirectly owns 418,158 shares of Common Stock because it serves as the investment manager of Sabby Healthcare Master Fund, Ltd. and</w:t>
      </w:r>
    </w:p>
    <w:p>
      <w:pPr>
        <w:spacing w:after="0" w:line="6"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Sabby Volatility Warrant Master Fund, Ltd., Cayman Islands companies. Mr. Mintz indirectly owns 418,158 shares of Common Stock in his capacity as manager of Sabby Management, LLC.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ectPr>
          <w:pgSz w:w="11900" w:h="16838" w:orient="portrait"/>
          <w:cols w:equalWidth="0" w:num="1">
            <w:col w:w="10219"/>
          </w:cols>
          <w:pgMar w:left="240" w:top="136" w:right="1440" w:bottom="335"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10,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ectPr>
          <w:pgSz w:w="11900" w:h="16838" w:orient="portrait"/>
          <w:cols w:equalWidth="0" w:num="1">
            <w:col w:w="10219"/>
          </w:cols>
          <w:pgMar w:left="240" w:top="541" w:right="1440" w:bottom="0" w:gutter="0" w:footer="0" w:header="0"/>
        </w:sectPr>
      </w:pPr>
    </w:p>
    <w:bookmarkStart w:id="15" w:name="page16"/>
    <w:bookmarkEnd w:id="15"/>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The undersigned hereby agree that this Statement on Schedule 13G with respect to the beneficial ownership of shares of Common Stock of Rexahn Pharmaceuticals, Inc. is filed jointly, on behalf of each of them.</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10,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Ltd.,</w:t>
      </w:r>
    </w:p>
    <w:p>
      <w:pPr>
        <w:spacing w:after="0" w:line="20" w:lineRule="exact"/>
        <w:rPr>
          <w:sz w:val="20"/>
          <w:szCs w:val="20"/>
          <w:color w:val="auto"/>
        </w:rPr>
      </w:pPr>
      <w:r>
        <w:rPr>
          <w:sz w:val="20"/>
          <w:szCs w:val="20"/>
          <w:color w:val="auto"/>
        </w:rPr>
        <w:br w:type="column"/>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Director</w:t>
      </w:r>
    </w:p>
    <w:p>
      <w:pPr>
        <w:spacing w:after="0" w:line="200" w:lineRule="exact"/>
        <w:rPr>
          <w:sz w:val="20"/>
          <w:szCs w:val="20"/>
          <w:color w:val="auto"/>
        </w:rPr>
      </w:pPr>
    </w:p>
    <w:p>
      <w:pPr>
        <w:sectPr>
          <w:pgSz w:w="11900" w:h="16838" w:orient="portrait"/>
          <w:cols w:equalWidth="0" w:num="2">
            <w:col w:w="540" w:space="0"/>
            <w:col w:w="9679"/>
          </w:cols>
          <w:pgMar w:left="240" w:top="344"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ectPr>
          <w:pgSz w:w="11900" w:h="16838" w:orient="portrait"/>
          <w:cols w:equalWidth="0" w:num="1">
            <w:col w:w="10219"/>
          </w:cols>
          <w:pgMar w:left="24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Hal Mintz</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Hal Mintz</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2020-01-15T20:34:26Z</dcterms:created>
  <dcterms:modified xsi:type="dcterms:W3CDTF">2020-01-15T20:34:26Z</dcterms:modified>
</cp:coreProperties>
</file>