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189230</wp:posOffset>
            </wp:positionH>
            <wp:positionV relativeFrom="page">
              <wp:posOffset>237490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312420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SECURITIES AND EXCHANGE COMMISSION</w:t>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Washington, D.C. 20549</w:t>
      </w:r>
    </w:p>
    <w:p>
      <w:pPr>
        <w:spacing w:after="0" w:line="154"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FORM 8-K</w:t>
      </w:r>
    </w:p>
    <w:p>
      <w:pPr>
        <w:spacing w:after="0" w:line="163"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CURRENT REPORT</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6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 xml:space="preserve">Date of Report (Date of earliest event reported): </w:t>
      </w:r>
      <w:r>
        <w:rPr>
          <w:rFonts w:ascii="Arial" w:cs="Arial" w:eastAsia="Arial" w:hAnsi="Arial"/>
          <w:sz w:val="13"/>
          <w:szCs w:val="13"/>
          <w:b w:val="1"/>
          <w:bCs w:val="1"/>
          <w:u w:val="single" w:color="auto"/>
          <w:color w:val="auto"/>
        </w:rPr>
        <w:t>March 30, 2020</w:t>
      </w:r>
    </w:p>
    <w:p>
      <w:pPr>
        <w:spacing w:after="0" w:line="15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VistaGen Therapeutics, Inc.</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282"/>
          </w:cols>
          <w:pgMar w:left="298" w:top="706" w:right="319" w:bottom="1440" w:gutter="0" w:footer="0" w:header="0"/>
        </w:sectPr>
      </w:pPr>
    </w:p>
    <w:p>
      <w:pPr>
        <w:spacing w:after="0" w:line="149" w:lineRule="exact"/>
        <w:rPr>
          <w:sz w:val="24"/>
          <w:szCs w:val="24"/>
          <w:color w:val="auto"/>
        </w:rPr>
      </w:pPr>
    </w:p>
    <w:p>
      <w:pPr>
        <w:jc w:val="center"/>
        <w:ind w:right="498"/>
        <w:spacing w:after="0"/>
        <w:rPr>
          <w:sz w:val="20"/>
          <w:szCs w:val="20"/>
          <w:color w:val="auto"/>
        </w:rPr>
      </w:pPr>
      <w:r>
        <w:rPr>
          <w:rFonts w:ascii="Arial" w:cs="Arial" w:eastAsia="Arial" w:hAnsi="Arial"/>
          <w:sz w:val="13"/>
          <w:szCs w:val="13"/>
          <w:b w:val="1"/>
          <w:bCs w:val="1"/>
          <w:color w:val="auto"/>
        </w:rPr>
        <w:t>NEVADA</w:t>
      </w:r>
    </w:p>
    <w:p>
      <w:pPr>
        <w:spacing w:after="0" w:line="16" w:lineRule="exact"/>
        <w:rPr>
          <w:sz w:val="24"/>
          <w:szCs w:val="24"/>
          <w:color w:val="auto"/>
        </w:rPr>
      </w:pPr>
    </w:p>
    <w:p>
      <w:pPr>
        <w:jc w:val="center"/>
        <w:ind w:right="498"/>
        <w:spacing w:after="0"/>
        <w:rPr>
          <w:sz w:val="20"/>
          <w:szCs w:val="20"/>
          <w:color w:val="auto"/>
        </w:rPr>
      </w:pPr>
      <w:r>
        <w:rPr>
          <w:rFonts w:ascii="Arial" w:cs="Arial" w:eastAsia="Arial" w:hAnsi="Arial"/>
          <w:sz w:val="12"/>
          <w:szCs w:val="12"/>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380"/>
        <w:spacing w:after="0"/>
        <w:rPr>
          <w:sz w:val="20"/>
          <w:szCs w:val="20"/>
          <w:color w:val="auto"/>
        </w:rPr>
      </w:pPr>
      <w:r>
        <w:rPr>
          <w:rFonts w:ascii="Arial" w:cs="Arial" w:eastAsia="Arial" w:hAnsi="Arial"/>
          <w:sz w:val="13"/>
          <w:szCs w:val="13"/>
          <w:b w:val="1"/>
          <w:bCs w:val="1"/>
          <w:color w:val="auto"/>
        </w:rPr>
        <w:t>000-54014</w:t>
      </w:r>
    </w:p>
    <w:p>
      <w:pPr>
        <w:spacing w:after="0" w:line="16" w:lineRule="exact"/>
        <w:rPr>
          <w:sz w:val="24"/>
          <w:szCs w:val="24"/>
          <w:color w:val="auto"/>
        </w:rPr>
      </w:pPr>
    </w:p>
    <w:p>
      <w:pPr>
        <w:jc w:val="center"/>
        <w:ind w:right="1380"/>
        <w:spacing w:after="0"/>
        <w:rPr>
          <w:sz w:val="20"/>
          <w:szCs w:val="20"/>
          <w:color w:val="auto"/>
        </w:rPr>
      </w:pPr>
      <w:r>
        <w:rPr>
          <w:rFonts w:ascii="Arial" w:cs="Arial" w:eastAsia="Arial" w:hAnsi="Arial"/>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20-5093315</w:t>
      </w:r>
    </w:p>
    <w:p>
      <w:pPr>
        <w:spacing w:after="0" w:line="16" w:lineRule="exact"/>
        <w:rPr>
          <w:sz w:val="24"/>
          <w:szCs w:val="24"/>
          <w:color w:val="auto"/>
        </w:rPr>
      </w:pPr>
    </w:p>
    <w:p>
      <w:pPr>
        <w:jc w:val="center"/>
        <w:ind w:right="880"/>
        <w:spacing w:after="0"/>
        <w:rPr>
          <w:sz w:val="20"/>
          <w:szCs w:val="20"/>
          <w:color w:val="auto"/>
        </w:rPr>
      </w:pPr>
      <w:r>
        <w:rPr>
          <w:rFonts w:ascii="Arial" w:cs="Arial" w:eastAsia="Arial" w:hAnsi="Arial"/>
          <w:sz w:val="11"/>
          <w:szCs w:val="11"/>
          <w:i w:val="1"/>
          <w:iCs w:val="1"/>
          <w:color w:val="auto"/>
        </w:rPr>
        <w:t>(IRS Employer Identification Number)</w:t>
      </w:r>
    </w:p>
    <w:p>
      <w:pPr>
        <w:spacing w:after="0" w:line="177" w:lineRule="exact"/>
        <w:rPr>
          <w:sz w:val="24"/>
          <w:szCs w:val="24"/>
          <w:color w:val="auto"/>
        </w:rPr>
      </w:pPr>
    </w:p>
    <w:p>
      <w:pPr>
        <w:sectPr>
          <w:pgSz w:w="11900" w:h="16838" w:orient="portrait"/>
          <w:cols w:equalWidth="0" w:num="3">
            <w:col w:w="4222" w:space="720"/>
            <w:col w:w="2780" w:space="720"/>
            <w:col w:w="2840"/>
          </w:cols>
          <w:pgMar w:left="298" w:top="706" w:right="319" w:bottom="1440" w:gutter="0" w:footer="0" w:header="0"/>
          <w:type w:val="continuous"/>
        </w:sectPr>
      </w:pPr>
    </w:p>
    <w:p>
      <w:pPr>
        <w:ind w:left="5182"/>
        <w:spacing w:after="0"/>
        <w:rPr>
          <w:sz w:val="20"/>
          <w:szCs w:val="20"/>
          <w:color w:val="auto"/>
        </w:rPr>
      </w:pPr>
      <w:r>
        <w:rPr>
          <w:rFonts w:ascii="Arial" w:cs="Arial" w:eastAsia="Arial" w:hAnsi="Arial"/>
          <w:sz w:val="13"/>
          <w:szCs w:val="13"/>
          <w:b w:val="1"/>
          <w:bCs w:val="1"/>
          <w:color w:val="auto"/>
        </w:rPr>
        <w:t>343 Allerton Ave.</w:t>
      </w:r>
    </w:p>
    <w:p>
      <w:pPr>
        <w:spacing w:after="0" w:line="16" w:lineRule="exact"/>
        <w:rPr>
          <w:sz w:val="24"/>
          <w:szCs w:val="24"/>
          <w:color w:val="auto"/>
        </w:rPr>
      </w:pPr>
    </w:p>
    <w:p>
      <w:pPr>
        <w:ind w:left="4602"/>
        <w:spacing w:after="0"/>
        <w:rPr>
          <w:sz w:val="20"/>
          <w:szCs w:val="20"/>
          <w:color w:val="auto"/>
        </w:rPr>
      </w:pPr>
      <w:r>
        <w:rPr>
          <w:rFonts w:ascii="Arial" w:cs="Arial" w:eastAsia="Arial" w:hAnsi="Arial"/>
          <w:sz w:val="13"/>
          <w:szCs w:val="13"/>
          <w:b w:val="1"/>
          <w:bCs w:val="1"/>
          <w:color w:val="auto"/>
        </w:rPr>
        <w:t>South San Francisco, California 94090</w:t>
      </w:r>
    </w:p>
    <w:p>
      <w:pPr>
        <w:spacing w:after="0" w:line="7" w:lineRule="exact"/>
        <w:rPr>
          <w:sz w:val="24"/>
          <w:szCs w:val="24"/>
          <w:color w:val="auto"/>
        </w:rPr>
      </w:pPr>
    </w:p>
    <w:p>
      <w:pPr>
        <w:ind w:left="4662"/>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(650) 577-3600</w:t>
      </w:r>
    </w:p>
    <w:p>
      <w:pPr>
        <w:spacing w:after="0" w:line="16" w:lineRule="exact"/>
        <w:rPr>
          <w:sz w:val="24"/>
          <w:szCs w:val="24"/>
          <w:color w:val="auto"/>
        </w:rPr>
      </w:pPr>
    </w:p>
    <w:p>
      <w:pPr>
        <w:jc w:val="center"/>
        <w:ind w:right="-21"/>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Not Applicable</w:t>
      </w:r>
    </w:p>
    <w:p>
      <w:pPr>
        <w:spacing w:after="0" w:line="16" w:lineRule="exact"/>
        <w:rPr>
          <w:sz w:val="24"/>
          <w:szCs w:val="24"/>
          <w:color w:val="auto"/>
        </w:rPr>
      </w:pPr>
    </w:p>
    <w:p>
      <w:pPr>
        <w:jc w:val="center"/>
        <w:ind w:right="-41"/>
        <w:spacing w:after="0"/>
        <w:rPr>
          <w:sz w:val="20"/>
          <w:szCs w:val="20"/>
          <w:color w:val="auto"/>
        </w:rPr>
      </w:pPr>
      <w:r>
        <w:rPr>
          <w:rFonts w:ascii="Arial" w:cs="Arial" w:eastAsia="Arial" w:hAnsi="Arial"/>
          <w:sz w:val="11"/>
          <w:szCs w:val="11"/>
          <w:i w:val="1"/>
          <w:iCs w:val="1"/>
          <w:color w:val="auto"/>
        </w:rPr>
        <w:t>(Former name or former address, if changed since last report)</w:t>
      </w:r>
    </w:p>
    <w:p>
      <w:pPr>
        <w:sectPr>
          <w:pgSz w:w="11900" w:h="16838" w:orient="portrait"/>
          <w:cols w:equalWidth="0" w:num="1">
            <w:col w:w="11282"/>
          </w:cols>
          <w:pgMar w:left="298" w:top="706" w:right="319" w:bottom="1440" w:gutter="0" w:footer="0" w:header="0"/>
          <w:type w:val="continuous"/>
        </w:sectPr>
      </w:pPr>
    </w:p>
    <w:p>
      <w:pPr>
        <w:spacing w:after="0" w:line="289" w:lineRule="exact"/>
        <w:rPr>
          <w:sz w:val="24"/>
          <w:szCs w:val="24"/>
          <w:color w:val="auto"/>
        </w:rPr>
      </w:pPr>
    </w:p>
    <w:p>
      <w:pPr>
        <w:ind w:left="2"/>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 -12)</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 -2(b))</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 -4(c))</w:t>
      </w:r>
    </w:p>
    <w:p>
      <w:pPr>
        <w:spacing w:after="0" w:line="153" w:lineRule="exact"/>
        <w:rPr>
          <w:sz w:val="24"/>
          <w:szCs w:val="24"/>
          <w:color w:val="auto"/>
        </w:rPr>
      </w:pPr>
    </w:p>
    <w:tbl>
      <w:tblPr>
        <w:tblLayout w:type="fixed"/>
        <w:tblInd w:w="2" w:type="dxa"/>
        <w:tblCellMar>
          <w:top w:w="0" w:type="dxa"/>
          <w:left w:w="0" w:type="dxa"/>
          <w:bottom w:w="0" w:type="dxa"/>
          <w:right w:w="0" w:type="dxa"/>
        </w:tblCellMar>
      </w:tblPr>
      <w:tr>
        <w:trPr>
          <w:trHeight w:val="161"/>
        </w:trPr>
        <w:tc>
          <w:tcPr>
            <w:tcW w:w="406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84"/>
        </w:trPr>
        <w:tc>
          <w:tcPr>
            <w:tcW w:w="14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1720" w:type="dxa"/>
            <w:vAlign w:val="bottom"/>
          </w:tcPr>
          <w:p>
            <w:pPr>
              <w:spacing w:after="0"/>
              <w:rPr>
                <w:sz w:val="24"/>
                <w:szCs w:val="24"/>
                <w:color w:val="auto"/>
              </w:rPr>
            </w:pPr>
          </w:p>
        </w:tc>
        <w:tc>
          <w:tcPr>
            <w:tcW w:w="4220" w:type="dxa"/>
            <w:vAlign w:val="bottom"/>
            <w:gridSpan w:val="3"/>
          </w:tcPr>
          <w:p>
            <w:pPr>
              <w:jc w:val="center"/>
              <w:ind w:right="1060"/>
              <w:spacing w:after="0"/>
              <w:rPr>
                <w:sz w:val="20"/>
                <w:szCs w:val="20"/>
                <w:color w:val="auto"/>
              </w:rPr>
            </w:pPr>
            <w:r>
              <w:rPr>
                <w:rFonts w:ascii="Arial" w:cs="Arial" w:eastAsia="Arial" w:hAnsi="Arial"/>
                <w:sz w:val="13"/>
                <w:szCs w:val="13"/>
                <w:color w:val="auto"/>
                <w:w w:val="90"/>
              </w:rPr>
              <w:t>Trading Symbol(s)</w:t>
            </w:r>
          </w:p>
        </w:tc>
        <w:tc>
          <w:tcPr>
            <w:tcW w:w="224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65"/>
        </w:trPr>
        <w:tc>
          <w:tcPr>
            <w:tcW w:w="4060" w:type="dxa"/>
            <w:vAlign w:val="bottom"/>
            <w:gridSpan w:val="3"/>
          </w:tcPr>
          <w:p>
            <w:pPr>
              <w:jc w:val="center"/>
              <w:ind w:right="300"/>
              <w:spacing w:after="0"/>
              <w:rPr>
                <w:sz w:val="20"/>
                <w:szCs w:val="20"/>
                <w:color w:val="auto"/>
              </w:rPr>
            </w:pPr>
            <w:r>
              <w:rPr>
                <w:rFonts w:ascii="Arial" w:cs="Arial" w:eastAsia="Arial" w:hAnsi="Arial"/>
                <w:sz w:val="13"/>
                <w:szCs w:val="13"/>
                <w:color w:val="auto"/>
                <w:w w:val="87"/>
              </w:rPr>
              <w:t>Common Stock, par value $0.001 per share</w:t>
            </w:r>
          </w:p>
        </w:tc>
        <w:tc>
          <w:tcPr>
            <w:tcW w:w="1100" w:type="dxa"/>
            <w:vAlign w:val="bottom"/>
          </w:tcPr>
          <w:p>
            <w:pPr>
              <w:spacing w:after="0"/>
              <w:rPr>
                <w:sz w:val="14"/>
                <w:szCs w:val="14"/>
                <w:color w:val="auto"/>
              </w:rPr>
            </w:pPr>
          </w:p>
        </w:tc>
        <w:tc>
          <w:tcPr>
            <w:tcW w:w="3120" w:type="dxa"/>
            <w:vAlign w:val="bottom"/>
            <w:gridSpan w:val="2"/>
          </w:tcPr>
          <w:p>
            <w:pPr>
              <w:jc w:val="center"/>
              <w:ind w:right="2160"/>
              <w:spacing w:after="0"/>
              <w:rPr>
                <w:sz w:val="20"/>
                <w:szCs w:val="20"/>
                <w:color w:val="auto"/>
              </w:rPr>
            </w:pPr>
            <w:r>
              <w:rPr>
                <w:rFonts w:ascii="Arial" w:cs="Arial" w:eastAsia="Arial" w:hAnsi="Arial"/>
                <w:sz w:val="13"/>
                <w:szCs w:val="13"/>
                <w:color w:val="auto"/>
                <w:w w:val="99"/>
              </w:rPr>
              <w:t>VTGN</w:t>
            </w:r>
          </w:p>
        </w:tc>
        <w:tc>
          <w:tcPr>
            <w:tcW w:w="2240" w:type="dxa"/>
            <w:vAlign w:val="bottom"/>
          </w:tcPr>
          <w:p>
            <w:pPr>
              <w:jc w:val="center"/>
              <w:spacing w:after="0"/>
              <w:rPr>
                <w:sz w:val="20"/>
                <w:szCs w:val="20"/>
                <w:color w:val="auto"/>
              </w:rPr>
            </w:pPr>
            <w:r>
              <w:rPr>
                <w:rFonts w:ascii="Arial" w:cs="Arial" w:eastAsia="Arial" w:hAnsi="Arial"/>
                <w:sz w:val="13"/>
                <w:szCs w:val="13"/>
                <w:color w:val="auto"/>
                <w:w w:val="89"/>
              </w:rPr>
              <w:t>Nasdaq Capital Market</w:t>
            </w:r>
          </w:p>
        </w:tc>
      </w:tr>
    </w:tbl>
    <w:p>
      <w:pPr>
        <w:spacing w:after="0" w:line="151" w:lineRule="exact"/>
        <w:rPr>
          <w:sz w:val="24"/>
          <w:szCs w:val="24"/>
          <w:color w:val="auto"/>
        </w:rPr>
      </w:pPr>
    </w:p>
    <w:p>
      <w:pPr>
        <w:ind w:left="2"/>
        <w:spacing w:after="0" w:line="269"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9" w:lineRule="exact"/>
        <w:rPr>
          <w:sz w:val="24"/>
          <w:szCs w:val="24"/>
          <w:color w:val="auto"/>
        </w:rPr>
      </w:pPr>
    </w:p>
    <w:p>
      <w:pPr>
        <w:ind w:left="9702"/>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11" w:lineRule="exact"/>
        <w:rPr>
          <w:sz w:val="24"/>
          <w:szCs w:val="24"/>
          <w:color w:val="auto"/>
        </w:rPr>
      </w:pPr>
    </w:p>
    <w:p>
      <w:pPr>
        <w:ind w:left="2"/>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357505</wp:posOffset>
            </wp:positionV>
            <wp:extent cx="71704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518795</wp:posOffset>
            </wp:positionV>
            <wp:extent cx="71704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2"/>
          </w:cols>
          <w:pgMar w:left="298" w:top="70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3.01 Notice of Delisting or Failure to Satisfy a Continued Listing Rule or Standard; Transfer of Listing.</w:t>
      </w:r>
    </w:p>
    <w:p>
      <w:pPr>
        <w:spacing w:after="0" w:line="167"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3"/>
          <w:szCs w:val="13"/>
          <w:color w:val="auto"/>
        </w:rPr>
        <w:t>On March 30, 2020, VistaGen Therapeutics, Inc. (the “</w:t>
      </w:r>
      <w:r>
        <w:rPr>
          <w:rFonts w:ascii="Arial" w:cs="Arial" w:eastAsia="Arial" w:hAnsi="Arial"/>
          <w:sz w:val="13"/>
          <w:szCs w:val="13"/>
          <w:i w:val="1"/>
          <w:iCs w:val="1"/>
          <w:color w:val="auto"/>
        </w:rPr>
        <w:t>Company</w:t>
      </w:r>
      <w:r>
        <w:rPr>
          <w:rFonts w:ascii="Arial" w:cs="Arial" w:eastAsia="Arial" w:hAnsi="Arial"/>
          <w:sz w:val="13"/>
          <w:szCs w:val="13"/>
          <w:color w:val="auto"/>
        </w:rPr>
        <w:t>”) received a letter (the “</w:t>
      </w:r>
      <w:r>
        <w:rPr>
          <w:rFonts w:ascii="Arial" w:cs="Arial" w:eastAsia="Arial" w:hAnsi="Arial"/>
          <w:sz w:val="13"/>
          <w:szCs w:val="13"/>
          <w:i w:val="1"/>
          <w:iCs w:val="1"/>
          <w:color w:val="auto"/>
        </w:rPr>
        <w:t>Letter</w:t>
      </w:r>
      <w:r>
        <w:rPr>
          <w:rFonts w:ascii="Arial" w:cs="Arial" w:eastAsia="Arial" w:hAnsi="Arial"/>
          <w:sz w:val="13"/>
          <w:szCs w:val="13"/>
          <w:color w:val="auto"/>
        </w:rPr>
        <w:t>”) from the Listing Qualifications Staff of The Nasdaq Stock Market, LLC (“</w:t>
      </w:r>
      <w:r>
        <w:rPr>
          <w:rFonts w:ascii="Arial" w:cs="Arial" w:eastAsia="Arial" w:hAnsi="Arial"/>
          <w:sz w:val="13"/>
          <w:szCs w:val="13"/>
          <w:i w:val="1"/>
          <w:iCs w:val="1"/>
          <w:color w:val="auto"/>
        </w:rPr>
        <w:t>Nasdaq</w:t>
      </w:r>
      <w:r>
        <w:rPr>
          <w:rFonts w:ascii="Arial" w:cs="Arial" w:eastAsia="Arial" w:hAnsi="Arial"/>
          <w:sz w:val="13"/>
          <w:szCs w:val="13"/>
          <w:color w:val="auto"/>
        </w:rPr>
        <w:t>”) notifying the Company that the listing of its shares of common stock, par value $0.001 per share (“</w:t>
      </w:r>
      <w:r>
        <w:rPr>
          <w:rFonts w:ascii="Arial" w:cs="Arial" w:eastAsia="Arial" w:hAnsi="Arial"/>
          <w:sz w:val="13"/>
          <w:szCs w:val="13"/>
          <w:i w:val="1"/>
          <w:iCs w:val="1"/>
          <w:color w:val="auto"/>
        </w:rPr>
        <w:t>Common Stock</w:t>
      </w:r>
      <w:r>
        <w:rPr>
          <w:rFonts w:ascii="Arial" w:cs="Arial" w:eastAsia="Arial" w:hAnsi="Arial"/>
          <w:sz w:val="13"/>
          <w:szCs w:val="13"/>
          <w:color w:val="auto"/>
        </w:rPr>
        <w:t>”), was not in compliance with Nasdaq Listing Rule 5550(b)(2) (the “</w:t>
      </w:r>
      <w:r>
        <w:rPr>
          <w:rFonts w:ascii="Arial" w:cs="Arial" w:eastAsia="Arial" w:hAnsi="Arial"/>
          <w:sz w:val="13"/>
          <w:szCs w:val="13"/>
          <w:i w:val="1"/>
          <w:iCs w:val="1"/>
          <w:color w:val="auto"/>
        </w:rPr>
        <w:t>MVLS Rule</w:t>
      </w:r>
      <w:r>
        <w:rPr>
          <w:rFonts w:ascii="Arial" w:cs="Arial" w:eastAsia="Arial" w:hAnsi="Arial"/>
          <w:sz w:val="13"/>
          <w:szCs w:val="13"/>
          <w:color w:val="auto"/>
        </w:rPr>
        <w:t>”) for continued listing on the Nasdaq Capital Market, as the market value of the Company's listed securities was less than $35 million for the previous 30 consecutive business days. Under Nasdaq Listing Rule 5810(c)(3)(C), the Company has a period of 180 calendar days, or until September 28, 2020, to regain compliance with the MVLS Rule. To regain compliance, during this 180-day compliance period, the market value of the Company's listed securities must be $35 million or more for a minimum of 10 consecutive business days.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Letter has no immediate effect on the continued listing status of the Company's Common Stock on the Nasdaq Capital Market, and, therefore, the Company's listing remains fully effective.</w:t>
      </w:r>
    </w:p>
    <w:p>
      <w:pPr>
        <w:spacing w:after="0" w:line="175" w:lineRule="exact"/>
        <w:rPr>
          <w:sz w:val="20"/>
          <w:szCs w:val="20"/>
          <w:color w:val="auto"/>
        </w:rPr>
      </w:pPr>
    </w:p>
    <w:p>
      <w:pPr>
        <w:jc w:val="both"/>
        <w:ind w:firstLine="469"/>
        <w:spacing w:after="0" w:line="281" w:lineRule="auto"/>
        <w:rPr>
          <w:sz w:val="20"/>
          <w:szCs w:val="20"/>
          <w:color w:val="auto"/>
        </w:rPr>
      </w:pPr>
      <w:r>
        <w:rPr>
          <w:rFonts w:ascii="Arial" w:cs="Arial" w:eastAsia="Arial" w:hAnsi="Arial"/>
          <w:sz w:val="12"/>
          <w:szCs w:val="12"/>
          <w:color w:val="auto"/>
        </w:rPr>
        <w:t>There can be no assurance that the Company will regain compliance with the MVLS Rule during the 180-day period in which to regain compliance or maintain compliance with the other Nasdaq listing requirements. Regardless of any outcome in connection with the MVLS Rule, as disclosed in the Company’s Current Report on Form 8-K, filed on January 31, 2020, if the Company fails to regain compliance with the minimum bid price requirement set forth in Nasdaq Listing Rule 5550(a)(2) for at least ten consecutive business days prior to July 29, 2020, its Common Stock will continue to be subject to delisting by Nasdaq, provided, however, that, if such requirement is not met by July 29, 2020, Nasdaq may grant the Company a second 180 calendar day period to regain compliance if, by such date, the Company (i) is in compliance with the MVLS Rule and all other initial listing standards for the Nasdaq Capital Market, other than the minimum closing bid price requirement and (ii) notifies Nasdaq of its intent to cure the deficiency.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8.01 Other Items.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April 3, 2020, the Company began utilizing a new corporate presentation. A copy of the updated corporate presentation is attached to this Current Report on Form 8-K as Exhibit 99.1.</w:t>
      </w:r>
    </w:p>
    <w:p>
      <w:pPr>
        <w:spacing w:after="0" w:line="163" w:lineRule="exact"/>
        <w:rPr>
          <w:sz w:val="20"/>
          <w:szCs w:val="20"/>
          <w:color w:val="auto"/>
        </w:rPr>
      </w:pPr>
    </w:p>
    <w:p>
      <w:pPr>
        <w:jc w:val="both"/>
        <w:ind w:firstLine="469"/>
        <w:spacing w:after="0" w:line="260" w:lineRule="auto"/>
        <w:rPr>
          <w:sz w:val="20"/>
          <w:szCs w:val="20"/>
          <w:color w:val="auto"/>
        </w:rPr>
      </w:pPr>
      <w:r>
        <w:rPr>
          <w:rFonts w:ascii="Arial" w:cs="Arial" w:eastAsia="Arial" w:hAnsi="Arial"/>
          <w:sz w:val="13"/>
          <w:szCs w:val="13"/>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r>
        <w:rPr>
          <w:rFonts w:ascii="Arial" w:cs="Arial" w:eastAsia="Arial" w:hAnsi="Arial"/>
          <w:sz w:val="13"/>
          <w:szCs w:val="13"/>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20"/>
                <w:szCs w:val="20"/>
                <w:color w:val="auto"/>
              </w:rPr>
            </w:pPr>
            <w:r>
              <w:rPr>
                <w:rFonts w:ascii="Arial" w:cs="Arial" w:eastAsia="Arial" w:hAnsi="Arial"/>
                <w:sz w:val="13"/>
                <w:szCs w:val="13"/>
                <w:b w:val="1"/>
                <w:bCs w:val="1"/>
                <w:color w:val="auto"/>
              </w:rPr>
              <w:t>(d) Exhibits Index</w:t>
            </w:r>
          </w:p>
        </w:tc>
        <w:tc>
          <w:tcPr>
            <w:tcW w:w="220" w:type="dxa"/>
            <w:vAlign w:val="bottom"/>
          </w:tcPr>
          <w:p>
            <w:pPr>
              <w:spacing w:after="0"/>
              <w:rPr>
                <w:sz w:val="14"/>
                <w:szCs w:val="14"/>
                <w:color w:val="auto"/>
              </w:rPr>
            </w:pPr>
          </w:p>
        </w:tc>
        <w:tc>
          <w:tcPr>
            <w:tcW w:w="9920" w:type="dxa"/>
            <w:vAlign w:val="bottom"/>
          </w:tcPr>
          <w:p>
            <w:pPr>
              <w:spacing w:after="0"/>
              <w:rPr>
                <w:sz w:val="14"/>
                <w:szCs w:val="14"/>
                <w:color w:val="auto"/>
              </w:rPr>
            </w:pPr>
          </w:p>
        </w:tc>
      </w:tr>
      <w:tr>
        <w:trPr>
          <w:trHeight w:val="313"/>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Exhibit No.</w:t>
            </w:r>
          </w:p>
        </w:tc>
        <w:tc>
          <w:tcPr>
            <w:tcW w:w="220" w:type="dxa"/>
            <w:vAlign w:val="bottom"/>
          </w:tcPr>
          <w:p>
            <w:pPr>
              <w:spacing w:after="0"/>
              <w:rPr>
                <w:sz w:val="24"/>
                <w:szCs w:val="24"/>
                <w:color w:val="auto"/>
              </w:rPr>
            </w:pPr>
          </w:p>
        </w:tc>
        <w:tc>
          <w:tcPr>
            <w:tcW w:w="9920" w:type="dxa"/>
            <w:vAlign w:val="bottom"/>
            <w:tcBorders>
              <w:bottom w:val="single" w:sz="8" w:color="auto"/>
            </w:tcBorders>
          </w:tcPr>
          <w:p>
            <w:pPr>
              <w:ind w:left="4640"/>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20" w:type="dxa"/>
            <w:vAlign w:val="bottom"/>
          </w:tcPr>
          <w:p>
            <w:pPr>
              <w:spacing w:after="0"/>
              <w:rPr>
                <w:sz w:val="13"/>
                <w:szCs w:val="13"/>
                <w:color w:val="auto"/>
              </w:rPr>
            </w:pPr>
          </w:p>
        </w:tc>
      </w:tr>
      <w:tr>
        <w:trPr>
          <w:trHeight w:val="156"/>
        </w:trPr>
        <w:tc>
          <w:tcPr>
            <w:tcW w:w="1140" w:type="dxa"/>
            <w:vAlign w:val="bottom"/>
            <w:shd w:val="clear" w:color="auto" w:fill="CCEEFF"/>
          </w:tcPr>
          <w:p>
            <w:pPr>
              <w:jc w:val="center"/>
              <w:ind w:right="377"/>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99.1</w:t>
              </w:r>
            </w:hyperlink>
          </w:p>
        </w:tc>
        <w:tc>
          <w:tcPr>
            <w:tcW w:w="10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VistaGen Therapeutics, Inc. Corporate Presentation, dated April 2020.</w:t>
            </w:r>
          </w:p>
        </w:tc>
      </w:tr>
      <w:tr>
        <w:trPr>
          <w:trHeight w:val="1426"/>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42" w:right="319" w:bottom="1440" w:gutter="0" w:footer="0" w:header="0"/>
        </w:sectPr>
      </w:pPr>
    </w:p>
    <w:bookmarkStart w:id="2" w:name="page3"/>
    <w:bookmarkEnd w:id="2"/>
    <w:p>
      <w:pPr>
        <w:ind w:left="5580"/>
        <w:spacing w:after="0"/>
        <w:rPr>
          <w:sz w:val="20"/>
          <w:szCs w:val="20"/>
          <w:color w:val="auto"/>
        </w:rPr>
      </w:pPr>
      <w:r>
        <w:rPr>
          <w:rFonts w:ascii="Arial" w:cs="Arial" w:eastAsia="Arial" w:hAnsi="Arial"/>
          <w:sz w:val="13"/>
          <w:szCs w:val="13"/>
          <w:b w:val="1"/>
          <w:bCs w:val="1"/>
          <w:color w:val="auto"/>
        </w:rPr>
        <w:t>Signatures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VistaGen Therapeutics, Inc.</w:t>
      </w:r>
    </w:p>
    <w:p>
      <w:pPr>
        <w:spacing w:after="0" w:line="163" w:lineRule="exact"/>
        <w:rPr>
          <w:sz w:val="20"/>
          <w:szCs w:val="20"/>
          <w:color w:val="auto"/>
        </w:rPr>
      </w:pPr>
    </w:p>
    <w:p>
      <w:pPr>
        <w:spacing w:after="0"/>
        <w:tabs>
          <w:tab w:leader="none" w:pos="5380" w:val="left"/>
          <w:tab w:leader="none" w:pos="5940" w:val="left"/>
        </w:tabs>
        <w:rPr>
          <w:sz w:val="20"/>
          <w:szCs w:val="20"/>
          <w:color w:val="auto"/>
        </w:rPr>
      </w:pPr>
      <w:r>
        <w:rPr>
          <w:rFonts w:ascii="Arial" w:cs="Arial" w:eastAsia="Arial" w:hAnsi="Arial"/>
          <w:sz w:val="13"/>
          <w:szCs w:val="13"/>
          <w:color w:val="auto"/>
        </w:rPr>
        <w:t>Date: April 3,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8255</wp:posOffset>
            </wp:positionV>
            <wp:extent cx="336804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8040" cy="12700"/>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Shawn K. Singh</w:t>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203200</wp:posOffset>
            </wp:positionV>
            <wp:extent cx="717042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ind w:left="950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248285</wp:posOffset>
            </wp:positionV>
            <wp:extent cx="7214870" cy="5669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0" w:num="1">
            <w:col w:w="10160"/>
          </w:cols>
          <w:pgMar w:left="1440" w:top="247"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5745480</wp:posOffset>
            </wp:positionV>
            <wp:extent cx="7170420"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5745480</wp:posOffset>
            </wp:positionV>
            <wp:extent cx="7170420"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5745480</wp:posOffset>
            </wp:positionV>
            <wp:extent cx="717042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2020-04-03T16:17:17Z</dcterms:created>
  <dcterms:modified xsi:type="dcterms:W3CDTF">2020-04-03T16:17:17Z</dcterms:modified>
</cp:coreProperties>
</file>