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5" w:lineRule="exact"/>
        <w:rPr>
          <w:sz w:val="24"/>
          <w:szCs w:val="24"/>
          <w:color w:val="auto"/>
        </w:rPr>
      </w:pPr>
    </w:p>
    <w:p>
      <w:pPr>
        <w:ind w:left="4120" w:right="3400" w:hanging="4113"/>
        <w:spacing w:after="0" w:line="500" w:lineRule="auto"/>
        <w:tabs>
          <w:tab w:leader="none" w:pos="12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March 31, 2022</w:t>
      </w:r>
    </w:p>
    <w:p>
      <w:pPr>
        <w:spacing w:after="0" w:line="1" w:lineRule="exact"/>
        <w:rPr>
          <w:rFonts w:ascii="MS PGothic" w:cs="MS PGothic" w:eastAsia="MS PGothic" w:hAnsi="MS PGothic"/>
          <w:sz w:val="18"/>
          <w:szCs w:val="18"/>
          <w:color w:val="auto"/>
        </w:rPr>
      </w:pP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19" w:lineRule="exact"/>
        <w:rPr>
          <w:sz w:val="24"/>
          <w:szCs w:val="24"/>
          <w:color w:val="auto"/>
        </w:rPr>
      </w:pPr>
    </w:p>
    <w:p>
      <w:pPr>
        <w:ind w:left="4300" w:right="3180" w:hanging="4293"/>
        <w:spacing w:after="0" w:line="481" w:lineRule="auto"/>
        <w:tabs>
          <w:tab w:leader="none" w:pos="12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001-37761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VistaGen Therapeutics,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9" w:lineRule="exact"/>
        <w:rPr>
          <w:sz w:val="24"/>
          <w:szCs w:val="24"/>
          <w:color w:val="auto"/>
        </w:rPr>
      </w:pPr>
    </w:p>
    <w:tbl>
      <w:tblPr>
        <w:tblLayout w:type="fixed"/>
        <w:tblInd w:w="1740" w:type="dxa"/>
        <w:tblCellMar>
          <w:top w:w="0" w:type="dxa"/>
          <w:left w:w="0" w:type="dxa"/>
          <w:bottom w:w="0" w:type="dxa"/>
          <w:right w:w="0" w:type="dxa"/>
        </w:tblCellMar>
      </w:tblPr>
      <w:tr>
        <w:trPr>
          <w:trHeight w:val="219"/>
        </w:trPr>
        <w:tc>
          <w:tcPr>
            <w:tcW w:w="40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5"/>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r>
      <w:tr>
        <w:trPr>
          <w:trHeight w:val="410"/>
        </w:trPr>
        <w:tc>
          <w:tcPr>
            <w:tcW w:w="1420" w:type="dxa"/>
            <w:vAlign w:val="bottom"/>
          </w:tcPr>
          <w:p>
            <w:pPr>
              <w:spacing w:after="0"/>
              <w:rPr>
                <w:sz w:val="24"/>
                <w:szCs w:val="24"/>
                <w:color w:val="auto"/>
              </w:rPr>
            </w:pPr>
          </w:p>
        </w:tc>
        <w:tc>
          <w:tcPr>
            <w:tcW w:w="20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60" w:type="dxa"/>
            <w:vAlign w:val="bottom"/>
          </w:tcPr>
          <w:p>
            <w:pPr>
              <w:spacing w:after="0"/>
              <w:rPr>
                <w:sz w:val="24"/>
                <w:szCs w:val="24"/>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40" w:type="dxa"/>
            <w:vAlign w:val="bottom"/>
            <w:gridSpan w:val="4"/>
            <w:shd w:val="clear" w:color="auto" w:fill="000000"/>
          </w:tcPr>
          <w:p>
            <w:pPr>
              <w:spacing w:after="0" w:line="20" w:lineRule="exact"/>
              <w:rPr>
                <w:sz w:val="1"/>
                <w:szCs w:val="1"/>
                <w:color w:val="auto"/>
              </w:rPr>
            </w:pPr>
          </w:p>
        </w:tc>
      </w:tr>
      <w:tr>
        <w:trPr>
          <w:trHeight w:val="236"/>
        </w:trPr>
        <w:tc>
          <w:tcPr>
            <w:tcW w:w="4920" w:type="dxa"/>
            <w:vAlign w:val="bottom"/>
            <w:gridSpan w:val="4"/>
          </w:tcPr>
          <w:p>
            <w:pPr>
              <w:jc w:val="center"/>
              <w:ind w:right="6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VTGN</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389"/>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1"/>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0"/>
        </w:trPr>
        <w:tc>
          <w:tcPr>
            <w:tcW w:w="8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0"/>
        </w:trPr>
        <w:tc>
          <w:tcPr>
            <w:tcW w:w="8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4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76"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3" w:lineRule="exact"/>
        <w:rPr>
          <w:sz w:val="24"/>
          <w:szCs w:val="24"/>
          <w:color w:val="auto"/>
        </w:rPr>
      </w:pPr>
    </w:p>
    <w:p>
      <w:pPr>
        <w:spacing w:after="0" w:line="207" w:lineRule="exact"/>
        <w:tabs>
          <w:tab w:leader="none" w:pos="2240" w:val="left"/>
          <w:tab w:leader="none" w:pos="4480" w:val="left"/>
          <w:tab w:leader="none" w:pos="67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jc w:val="both"/>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8" w:lineRule="exact"/>
        <w:rPr>
          <w:sz w:val="20"/>
          <w:szCs w:val="20"/>
          <w:color w:val="auto"/>
        </w:rPr>
      </w:pPr>
    </w:p>
    <w:p>
      <w:pPr>
        <w:spacing w:after="0" w:line="207" w:lineRule="exact"/>
        <w:tabs>
          <w:tab w:leader="none" w:pos="7540" w:val="left"/>
          <w:tab w:leader="none" w:pos="8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of the registrant on September 30, 2021, the last business day of the registrant’s second fiscal quarter, was: $536,809,889.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22, 2022, there were 206,640,955 shares of the registrant’s common stock, $0.001 par value per share, outstanding.</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32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8320" w:type="dxa"/>
            <w:vAlign w:val="bottom"/>
          </w:tcPr>
          <w:p>
            <w:pPr>
              <w:spacing w:after="0"/>
              <w:rPr>
                <w:sz w:val="24"/>
                <w:szCs w:val="24"/>
                <w:color w:val="auto"/>
              </w:rPr>
            </w:pPr>
          </w:p>
        </w:tc>
        <w:tc>
          <w:tcPr>
            <w:tcW w:w="100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90"/>
        </w:trPr>
        <w:tc>
          <w:tcPr>
            <w:tcW w:w="10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gridSpan w:val="2"/>
          </w:tcPr>
          <w:p>
            <w:pPr>
              <w:ind w:left="1020"/>
              <w:spacing w:after="0" w:line="193" w:lineRule="exact"/>
              <w:rPr>
                <w:sz w:val="20"/>
                <w:szCs w:val="20"/>
                <w:color w:val="auto"/>
              </w:rPr>
            </w:pPr>
            <w:r>
              <w:rPr>
                <w:rFonts w:ascii="Times New Roman" w:cs="Times New Roman" w:eastAsia="Times New Roman" w:hAnsi="Times New Roman"/>
                <w:sz w:val="18"/>
                <w:szCs w:val="18"/>
                <w:color w:val="auto"/>
              </w:rPr>
              <w:t>1.</w:t>
            </w:r>
          </w:p>
        </w:tc>
        <w:tc>
          <w:tcPr>
            <w:tcW w:w="8320" w:type="dxa"/>
            <w:vAlign w:val="bottom"/>
          </w:tcPr>
          <w:p>
            <w:pPr>
              <w:ind w:left="120"/>
              <w:spacing w:after="0" w:line="193" w:lineRule="exact"/>
              <w:rPr>
                <w:sz w:val="20"/>
                <w:szCs w:val="20"/>
                <w:color w:val="auto"/>
              </w:rPr>
            </w:pPr>
            <w:r>
              <w:rPr>
                <w:rFonts w:ascii="Times New Roman" w:cs="Times New Roman" w:eastAsia="Times New Roman" w:hAnsi="Times New Roman"/>
                <w:sz w:val="18"/>
                <w:szCs w:val="18"/>
                <w:color w:val="auto"/>
              </w:rPr>
              <w:t>Business</w:t>
            </w:r>
          </w:p>
        </w:tc>
        <w:tc>
          <w:tcPr>
            <w:tcW w:w="540" w:type="dxa"/>
            <w:vAlign w:val="bottom"/>
            <w:gridSpan w:val="4"/>
          </w:tcPr>
          <w:p>
            <w:pPr>
              <w:jc w:val="center"/>
              <w:ind w:left="370"/>
              <w:spacing w:after="0" w:line="193" w:lineRule="exact"/>
              <w:rPr>
                <w:sz w:val="20"/>
                <w:szCs w:val="20"/>
                <w:color w:val="auto"/>
              </w:rPr>
            </w:pPr>
            <w:r>
              <w:rPr>
                <w:rFonts w:ascii="Times New Roman" w:cs="Times New Roman" w:eastAsia="Times New Roman" w:hAnsi="Times New Roman"/>
                <w:sz w:val="18"/>
                <w:szCs w:val="18"/>
                <w:color w:val="0000EE"/>
                <w:w w:val="88"/>
              </w:rPr>
              <w:t>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1A.</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Risk Factors</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33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1B.</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Unresolved Staff Comments</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66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2.</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Properties</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66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3.</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Legal Proceedings</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66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4.</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Mine Safety Disclosures</w:t>
            </w:r>
          </w:p>
        </w:tc>
        <w:tc>
          <w:tcPr>
            <w:tcW w:w="580" w:type="dxa"/>
            <w:vAlign w:val="bottom"/>
            <w:gridSpan w:val="5"/>
          </w:tcPr>
          <w:p>
            <w:pPr>
              <w:jc w:val="center"/>
              <w:ind w:left="310"/>
              <w:spacing w:after="0" w:line="195" w:lineRule="exact"/>
              <w:rPr>
                <w:sz w:val="20"/>
                <w:szCs w:val="20"/>
                <w:color w:val="auto"/>
              </w:rPr>
            </w:pPr>
            <w:r>
              <w:rPr>
                <w:rFonts w:ascii="Times New Roman" w:cs="Times New Roman" w:eastAsia="Times New Roman" w:hAnsi="Times New Roman"/>
                <w:sz w:val="18"/>
                <w:szCs w:val="18"/>
                <w:color w:val="0000EE"/>
                <w:w w:val="99"/>
              </w:rPr>
              <w:t>66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20" w:type="dxa"/>
            <w:vAlign w:val="bottom"/>
            <w:gridSpan w:val="2"/>
          </w:tcPr>
          <w:p>
            <w:pPr>
              <w:ind w:left="1020"/>
              <w:spacing w:after="0" w:line="193" w:lineRule="exact"/>
              <w:rPr>
                <w:sz w:val="20"/>
                <w:szCs w:val="20"/>
                <w:color w:val="auto"/>
              </w:rPr>
            </w:pPr>
            <w:r>
              <w:rPr>
                <w:rFonts w:ascii="Times New Roman" w:cs="Times New Roman" w:eastAsia="Times New Roman" w:hAnsi="Times New Roman"/>
                <w:sz w:val="18"/>
                <w:szCs w:val="18"/>
                <w:color w:val="auto"/>
              </w:rPr>
              <w:t>5.</w:t>
            </w:r>
          </w:p>
        </w:tc>
        <w:tc>
          <w:tcPr>
            <w:tcW w:w="8320" w:type="dxa"/>
            <w:vAlign w:val="bottom"/>
          </w:tcPr>
          <w:p>
            <w:pPr>
              <w:ind w:left="120"/>
              <w:spacing w:after="0" w:line="193"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3" w:lineRule="exact"/>
              <w:rPr>
                <w:sz w:val="20"/>
                <w:szCs w:val="20"/>
                <w:color w:val="auto"/>
              </w:rPr>
            </w:pPr>
            <w:r>
              <w:rPr>
                <w:rFonts w:ascii="Times New Roman" w:cs="Times New Roman" w:eastAsia="Times New Roman" w:hAnsi="Times New Roman"/>
                <w:sz w:val="18"/>
                <w:szCs w:val="18"/>
                <w:color w:val="0000EE"/>
                <w:w w:val="99"/>
              </w:rPr>
              <w:t>67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6.</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Selected Financial Data</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67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7.</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68</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7A.</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82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8.</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0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82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9.</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rPr>
              <w:t>120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9A.</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rPr>
              <w:t>120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9B.</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gridSpan w:val="6"/>
          </w:tcPr>
          <w:p>
            <w:pPr>
              <w:jc w:val="center"/>
              <w:ind w:left="270"/>
              <w:spacing w:after="0" w:line="195" w:lineRule="exact"/>
              <w:rPr>
                <w:sz w:val="20"/>
                <w:szCs w:val="20"/>
                <w:color w:val="auto"/>
              </w:rPr>
            </w:pPr>
            <w:r>
              <w:rPr>
                <w:rFonts w:ascii="Times New Roman" w:cs="Times New Roman" w:eastAsia="Times New Roman" w:hAnsi="Times New Roman"/>
                <w:sz w:val="18"/>
                <w:szCs w:val="18"/>
                <w:color w:val="0000EE"/>
              </w:rPr>
              <w:t>121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20" w:type="dxa"/>
            <w:vAlign w:val="bottom"/>
            <w:gridSpan w:val="2"/>
          </w:tcPr>
          <w:p>
            <w:pPr>
              <w:ind w:left="1020"/>
              <w:spacing w:after="0" w:line="193" w:lineRule="exact"/>
              <w:rPr>
                <w:sz w:val="20"/>
                <w:szCs w:val="20"/>
                <w:color w:val="auto"/>
              </w:rPr>
            </w:pPr>
            <w:r>
              <w:rPr>
                <w:rFonts w:ascii="Times New Roman" w:cs="Times New Roman" w:eastAsia="Times New Roman" w:hAnsi="Times New Roman"/>
                <w:sz w:val="18"/>
                <w:szCs w:val="18"/>
                <w:color w:val="auto"/>
              </w:rPr>
              <w:t>10.</w:t>
            </w:r>
          </w:p>
        </w:tc>
        <w:tc>
          <w:tcPr>
            <w:tcW w:w="8320" w:type="dxa"/>
            <w:vAlign w:val="bottom"/>
          </w:tcPr>
          <w:p>
            <w:pPr>
              <w:ind w:left="120"/>
              <w:spacing w:after="0" w:line="193"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3" w:lineRule="exact"/>
              <w:rPr>
                <w:sz w:val="20"/>
                <w:szCs w:val="20"/>
                <w:color w:val="auto"/>
              </w:rPr>
            </w:pPr>
            <w:r>
              <w:rPr>
                <w:rFonts w:ascii="Times New Roman" w:cs="Times New Roman" w:eastAsia="Times New Roman" w:hAnsi="Times New Roman"/>
                <w:sz w:val="18"/>
                <w:szCs w:val="18"/>
                <w:color w:val="0000EE"/>
              </w:rPr>
              <w:t>122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Executive Compensation</w:t>
            </w: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rPr>
              <w:t>128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12.</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rPr>
              <w:t>138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13.</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rPr>
              <w:t>143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832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Principal Accounting Fees and Services</w:t>
            </w:r>
          </w:p>
        </w:tc>
        <w:tc>
          <w:tcPr>
            <w:tcW w:w="640" w:type="dxa"/>
            <w:vAlign w:val="bottom"/>
            <w:gridSpan w:val="6"/>
          </w:tcPr>
          <w:p>
            <w:pPr>
              <w:jc w:val="center"/>
              <w:ind w:left="270"/>
              <w:spacing w:after="0" w:line="195" w:lineRule="exact"/>
              <w:rPr>
                <w:sz w:val="20"/>
                <w:szCs w:val="20"/>
                <w:color w:val="auto"/>
              </w:rPr>
            </w:pPr>
            <w:r>
              <w:rPr>
                <w:rFonts w:ascii="Times New Roman" w:cs="Times New Roman" w:eastAsia="Times New Roman" w:hAnsi="Times New Roman"/>
                <w:sz w:val="18"/>
                <w:szCs w:val="18"/>
                <w:color w:val="0000EE"/>
              </w:rPr>
              <w:t>144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20" w:type="dxa"/>
            <w:vAlign w:val="bottom"/>
            <w:gridSpan w:val="2"/>
          </w:tcPr>
          <w:p>
            <w:pPr>
              <w:ind w:left="1020"/>
              <w:spacing w:after="0" w:line="193" w:lineRule="exact"/>
              <w:rPr>
                <w:sz w:val="20"/>
                <w:szCs w:val="20"/>
                <w:color w:val="auto"/>
              </w:rPr>
            </w:pPr>
            <w:r>
              <w:rPr>
                <w:rFonts w:ascii="Times New Roman" w:cs="Times New Roman" w:eastAsia="Times New Roman" w:hAnsi="Times New Roman"/>
                <w:sz w:val="18"/>
                <w:szCs w:val="18"/>
                <w:color w:val="auto"/>
              </w:rPr>
              <w:t>15.</w:t>
            </w:r>
          </w:p>
        </w:tc>
        <w:tc>
          <w:tcPr>
            <w:tcW w:w="8320" w:type="dxa"/>
            <w:vAlign w:val="bottom"/>
          </w:tcPr>
          <w:p>
            <w:pPr>
              <w:ind w:left="120"/>
              <w:spacing w:after="0" w:line="193"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3" w:lineRule="exact"/>
              <w:rPr>
                <w:sz w:val="20"/>
                <w:szCs w:val="20"/>
                <w:color w:val="auto"/>
              </w:rPr>
            </w:pPr>
            <w:r>
              <w:rPr>
                <w:rFonts w:ascii="Times New Roman" w:cs="Times New Roman" w:eastAsia="Times New Roman" w:hAnsi="Times New Roman"/>
                <w:sz w:val="18"/>
                <w:szCs w:val="18"/>
                <w:color w:val="0000EE"/>
              </w:rPr>
              <w:t>146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color w:val="0000EE"/>
              </w:rPr>
              <w:t>146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9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0000EE"/>
            </w:tcBorders>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rPr>
              <w:t>150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Annual Report on Form 10-K (</w:t>
      </w:r>
      <w:r>
        <w:rPr>
          <w:rFonts w:ascii="Times New Roman" w:cs="Times New Roman" w:eastAsia="Times New Roman" w:hAnsi="Times New Roman"/>
          <w:sz w:val="18"/>
          <w:szCs w:val="18"/>
          <w:i w:val="1"/>
          <w:iCs w:val="1"/>
          <w:color w:val="auto"/>
        </w:rPr>
        <w:t>Annual Report or Report</w:t>
      </w:r>
      <w:r>
        <w:rPr>
          <w:rFonts w:ascii="Times New Roman" w:cs="Times New Roman" w:eastAsia="Times New Roman" w:hAnsi="Times New Roman"/>
          <w:sz w:val="18"/>
          <w:szCs w:val="18"/>
          <w:color w:val="auto"/>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75" w:lineRule="exact"/>
        <w:rPr>
          <w:sz w:val="20"/>
          <w:szCs w:val="20"/>
          <w:color w:val="auto"/>
        </w:rPr>
      </w:pPr>
    </w:p>
    <w:p>
      <w:pPr>
        <w:ind w:left="660" w:hanging="330"/>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of the coronavirus (</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pandemic, efforts to contain the pandemic and resulting economic downturn on or affecting our operations and financial condition;</w:t>
      </w:r>
    </w:p>
    <w:p>
      <w:pPr>
        <w:spacing w:after="0" w:line="160"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to satisfy our working capital requirements and development and commercialization objectives;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and future capital requirements;</w:t>
      </w:r>
    </w:p>
    <w:p>
      <w:pPr>
        <w:spacing w:after="0" w:line="222"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 including, among other things, PH94B as a potential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and other anxiety disorders, PH10 as a potential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and other depression-related disorders, and AV-101 in combination with probenecid as a potential treatment of MDD and depression-related disorders or neurological diseases and disorders involving the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necessary preclinical and clinical studies in accordance with applicable regulatory requirements to advance the development and potential commercialization of our product candidates, including the PALISADE Phase 3 Program for PH94B in SAD and other studies, to successfully complete any such preclinical and clinical studies, and for those studies to generate positive results;</w:t>
      </w:r>
    </w:p>
    <w:p>
      <w:pPr>
        <w:spacing w:after="0" w:line="1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and political developments in the U.S. and foreign countries;</w:t>
      </w:r>
    </w:p>
    <w:p>
      <w:pPr>
        <w:spacing w:after="0" w:line="220" w:lineRule="exact"/>
        <w:rPr>
          <w:rFonts w:ascii="Times New Roman" w:cs="Times New Roman" w:eastAsia="Times New Roman" w:hAnsi="Times New Roman"/>
          <w:sz w:val="18"/>
          <w:szCs w:val="18"/>
          <w:color w:val="auto"/>
        </w:rPr>
      </w:pPr>
    </w:p>
    <w:p>
      <w:pPr>
        <w:jc w:val="both"/>
        <w:ind w:left="660" w:hanging="330"/>
        <w:spacing w:after="0" w:line="26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contract manufacturer(s)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and other third-party preclinical and clinical drug development collaborators and regulatory service providers and other consultants on whose services we rely from time to time to support our operations;</w:t>
      </w:r>
    </w:p>
    <w:p>
      <w:pPr>
        <w:spacing w:after="0" w:line="17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protection for our core assets, including our product candidates;</w:t>
      </w:r>
    </w:p>
    <w:p>
      <w:pPr>
        <w:spacing w:after="0" w:line="22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enter and serve those markets;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222"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clinical or nonclinical development, regulatory, commercial, and/or other management personnel, internally or from one or more of our third-party collaborators, CMOs, CROs or other service providers; and</w:t>
      </w:r>
    </w:p>
    <w:p>
      <w:pPr>
        <w:spacing w:after="0" w:line="15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of this Annual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only predictions.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one or more of our forward-looking statements we make in this Annual Report.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that could cause actual future results or events to differ materially from the forward-looking statements that we make. Our forward-looking statements in this Annual Report do not reflect the potential impact of any future acquisitions, mergers, dispositions, joint ventures or investments we may make.</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have filed as exhibits to this Annual Report with the understanding that our actual future results may be materially different from what we expect. We do not assume any obligation to update any forward-looking statement in this Annual Report, whether as a result of new information, future events or otherwise, except as required by applicable law.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 brand names or trademarks appearing in this Annual Report are the property of their respective holders. 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VistaGen Therapeutics, Inc., a Nevada corporation. All references to future quarters and years in this Annual Report refer to calendar quarters and calendar years, unless reference is made otherwise.</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We are a late clinical-stage,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xml:space="preserve">)-focused biopharmaceutical company striving to transform the treatment landscape for individuals living with anxiety, depression and other CNS disorders. We are advancing development of therapeutics with the potential to be faster-acting, and with fewer side effects and safety concerns, than those that are currently available. Our clinical-stage candidates are targeting multiple forms of anxiety and depression. They primarily belong to a new class of drugs known as pherines, which are odorless, neuroactive steroids that bind to distinct receptors on chemosensory neurons in the nasal passages and can impact the limbic amygdala without systemic uptake or direct activity on CNS neurons in the brain. Our lead candidate, PH94B, is a nasally administered spray currently in multiple Phase 3 trials in the U.S., with results from two of such Phase 3 studies anticipated in 2022. Should ongoing Phase 3 studies be successful, PH94B has the potential to be the first FDA-approved, fast-acting, acute treatment of anxiety for adults with social anxiety disorder. VistaGen is passionate about transforming mental health care and redefining what is possible for patients and health care providers in the treatment of anxiety and depression – </w:t>
      </w:r>
      <w:r>
        <w:rPr>
          <w:rFonts w:ascii="Times New Roman" w:cs="Times New Roman" w:eastAsia="Times New Roman" w:hAnsi="Times New Roman"/>
          <w:sz w:val="18"/>
          <w:szCs w:val="18"/>
          <w:i w:val="1"/>
          <w:iCs w:val="1"/>
          <w:color w:val="auto"/>
        </w:rPr>
        <w:t>One Mind at a Time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In addition, our PALISADE Phase 3 Program includes a long-term safety study which is underway in the U.S., and two additional planned clinical studies that we believe are required to support a potential U.S.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PH94B in SAD based on our prior discussions with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should our PALISADE Phase 3 Program be successful overall. In addition, our exploratory Phase 2A clinical program for PH94B, which is designed to assess the therapeutic potential of PH94B in anxiety disorders beyond SAD, is underway, with a Phase 2A clinical study in adults experiencing Adjustment Disorder with Anxiety (</w:t>
      </w:r>
      <w:r>
        <w:rPr>
          <w:rFonts w:ascii="Times New Roman" w:cs="Times New Roman" w:eastAsia="Times New Roman" w:hAnsi="Times New Roman"/>
          <w:sz w:val="18"/>
          <w:szCs w:val="18"/>
          <w:i w:val="1"/>
          <w:iCs w:val="1"/>
          <w:color w:val="auto"/>
        </w:rPr>
        <w:t>AjDA</w:t>
      </w:r>
      <w:r>
        <w:rPr>
          <w:rFonts w:ascii="Times New Roman" w:cs="Times New Roman" w:eastAsia="Times New Roman" w:hAnsi="Times New Roman"/>
          <w:sz w:val="18"/>
          <w:szCs w:val="18"/>
          <w:color w:val="auto"/>
        </w:rPr>
        <w:t>). We are preparing to expand our PH94B exploratory program in 2022 by initiating Phase 2A biomarker studies as an initial step in assessing PH94B’s therapeutic potential in each of procedural anxiety and post-traumatic stress disorder. We are also preparing to initiate our exploratory postpartum anxiety program for PH94B with a Phase 1 lactation study as a first step to assess whether PH94B is excreted to breast milk.</w:t>
      </w:r>
    </w:p>
    <w:p>
      <w:pPr>
        <w:spacing w:after="0" w:line="190"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8"/>
          <w:szCs w:val="18"/>
          <w:color w:val="auto"/>
        </w:rPr>
        <w:t>PH10 is being developed as a stand-alone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and potentially other depression disorders. Exploratory Phase 2A clinical development of PH10 for MDD has been completed. Based on the positive results demonstrated in that study, we are preparing for further clinical development of PH10 for MDD, including, but not limited to, a planned Phase 2B clinical study.</w:t>
      </w:r>
    </w:p>
    <w:p>
      <w:pPr>
        <w:spacing w:after="0" w:line="176"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Exploratory Phase 1B clinical development of AV-101 in combination with probenecid is underway in the U.S. to further assess the potential of the combination in multiple neurological indications involving the NMDA (N-methyl-D-aspartate) receptor.</w:t>
      </w:r>
    </w:p>
    <w:p>
      <w:pPr>
        <w:spacing w:after="0" w:line="162"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PH94B Nasal Spray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PH94B is a first-in-class, odorless, tasteless rapid-onset (approximately 15 minutes) synthetic investigational pherine nasal spray with a novel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that regulates the olfactory-amygdala neural circuits of fear and anxiety and attenuates the tone of the sympathetic autonomic nervous system. Based on positive Phase 2 data in SAD patients, VistaGen is currently evaluating PH94B in two Phase 3 clinical studies in the U.S., PALISADE-1 and PALISADE-2, and a long-term safety study, for the acute treatment of anxiety in adults with SAD. Designed for intranasal administration in low microgram doses, the novel MOA of PH94B is fundamentally differentiated from all current anti-anxiety medications, including all antidepressants approved by the FDA for treatment of SAD, as well as all benzodiazepines and beta blockers prescribed for treatment of SAD on an off-label basis. VistaGen’s proposed MOA for PH94B does not involve either direct activation of GABA-A receptors or binding to neuronal receptors in the CNS. Rather, PH94B’s proposed MOA involves binding to peripheral chemosensory neurons in the nasal passages to regulate the olfactory-amygdala fear and anxiety neural circuits. Both clinical and preclinical data suggest that PH94B has the potential to achieve rapid-onset anti-anxiety effects without systemic uptake or transport into the brain, reducing the risk of benzodiazepine-like side effects and other safety concerns.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ongoing PALISADE Phase 3 Program for PH94B is designed to further demonstrate its potential as a fast-acting, non-sedating, non-addictive acute treatment of anxiety in adults with SAD. In addition to SAD, for which the FDA has granted Fast Track designation, we also have potential opportunities to develop PH94B in adjustment disorder with anxiety, procedural anxiety, PTSD, postpartum anxiety and panic disorder.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PH10 Nasal Spray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PH10 is an odorless, tasteless synthetic investigational pherine nasal spray with a novel, rapid-onset potential MOA that is fundamentally differentiated from the MOA of all currently approved treatments for depression disorders. PH10, which is administered at microgram-level doses, engages and activates chemosensory cells in the nasal passages, connected to neural circuits in the brain that produce antidepressant effects. Specifically, in a manner similar to PH94B, PH10’s proposed MOA involves binding to peripheral chemosensory neurons in the nasal passages to regulate the olfactory-amygdala neural circuits believed to increase activity of the limbic-hypothalamic sympathetic nervous system and increase the release of catecholamines. Importantly, unlike all currently approved oral antidepressants (</w:t>
      </w:r>
      <w:r>
        <w:rPr>
          <w:rFonts w:ascii="Times New Roman" w:cs="Times New Roman" w:eastAsia="Times New Roman" w:hAnsi="Times New Roman"/>
          <w:sz w:val="18"/>
          <w:szCs w:val="18"/>
          <w:i w:val="1"/>
          <w:iCs w:val="1"/>
          <w:color w:val="auto"/>
        </w:rPr>
        <w:t>ADs</w:t>
      </w:r>
      <w:r>
        <w:rPr>
          <w:rFonts w:ascii="Times New Roman" w:cs="Times New Roman" w:eastAsia="Times New Roman" w:hAnsi="Times New Roman"/>
          <w:sz w:val="18"/>
          <w:szCs w:val="18"/>
          <w:color w:val="auto"/>
        </w:rPr>
        <w:t>) and rapid-onset ketamine-based therapy (</w:t>
      </w:r>
      <w:r>
        <w:rPr>
          <w:rFonts w:ascii="Times New Roman" w:cs="Times New Roman" w:eastAsia="Times New Roman" w:hAnsi="Times New Roman"/>
          <w:sz w:val="18"/>
          <w:szCs w:val="18"/>
          <w:i w:val="1"/>
          <w:iCs w:val="1"/>
          <w:color w:val="auto"/>
        </w:rPr>
        <w:t>KBT</w:t>
      </w:r>
      <w:r>
        <w:rPr>
          <w:rFonts w:ascii="Times New Roman" w:cs="Times New Roman" w:eastAsia="Times New Roman" w:hAnsi="Times New Roman"/>
          <w:sz w:val="18"/>
          <w:szCs w:val="18"/>
          <w:color w:val="auto"/>
        </w:rPr>
        <w:t>), including both intravenous ketamine and intranasal ketamine (esketamine), we believe PH10 does not require systemic uptake and distribution to produce rapid-onset of antidepressant effects. In all clinical studies completed to date, PH10 has been well-tolerated and has not caused psychological side effects (such as dissociation and hallucinations) or other safety concerns that may be associated with KBT. Our planned Phase 2B clinical program for PH10 is designed to further demonstrate its potential as a fast-acting stand-alone treatment for MDD. We also have potential opportunities to develop PH10 for multiple other depression-related disorders.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At doses administered in all studies completed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conducting an exploratory Phase 1B drug-drug interaction clinical study of AV-101.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goal is to be a leading biopharmaceutical company committed to development and commercialization of novel proprietary CNS therapies that go beyond the current standard of care for treatment of anxiety, depression and other CNS diseases and disorders with high unmet need. Key elements of our strategy to achieve our goal are as follows:</w:t>
      </w:r>
    </w:p>
    <w:p>
      <w:pPr>
        <w:spacing w:after="0" w:line="177" w:lineRule="exact"/>
        <w:rPr>
          <w:sz w:val="20"/>
          <w:szCs w:val="20"/>
          <w:color w:val="auto"/>
        </w:rPr>
      </w:pPr>
    </w:p>
    <w:p>
      <w:pPr>
        <w:ind w:left="880" w:hanging="322"/>
        <w:spacing w:after="0" w:line="280"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highly prevalent anxiety, depression and neurological disorders affecting both adult and pediatric populations where the current standard of care is undesirable or inadequate to meet patient needs.</w:t>
      </w:r>
    </w:p>
    <w:p>
      <w:pPr>
        <w:spacing w:after="0" w:line="161" w:lineRule="exact"/>
        <w:rPr>
          <w:rFonts w:ascii="Times New Roman" w:cs="Times New Roman" w:eastAsia="Times New Roman" w:hAnsi="Times New Roman"/>
          <w:sz w:val="18"/>
          <w:szCs w:val="18"/>
          <w:color w:val="auto"/>
        </w:rPr>
      </w:pPr>
    </w:p>
    <w:p>
      <w:pPr>
        <w:ind w:left="880" w:hanging="322"/>
        <w:spacing w:after="0" w:line="280"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global development, on our own in the U.S. and on our own or with collaborators outside the U.S., of novel proprietary CNS product candidates which are fundamentally differentiated from currently approved therapies;</w:t>
      </w:r>
    </w:p>
    <w:p>
      <w:pPr>
        <w:spacing w:after="0" w:line="161" w:lineRule="exact"/>
        <w:rPr>
          <w:rFonts w:ascii="Times New Roman" w:cs="Times New Roman" w:eastAsia="Times New Roman" w:hAnsi="Times New Roman"/>
          <w:sz w:val="18"/>
          <w:szCs w:val="18"/>
          <w:color w:val="auto"/>
        </w:rPr>
      </w:pPr>
    </w:p>
    <w:p>
      <w:pPr>
        <w:jc w:val="both"/>
        <w:ind w:left="880" w:hanging="322"/>
        <w:spacing w:after="0" w:line="264"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development and commercialization of proprietary CNS product candidates with potential for (i) rapid-onset therapeutic effects, (ii) exceptional safety and tolerability, and (iii) significant commercial potential in multiple CNS indications in global markets with currently limited, undesirable or inadequate treatment options;</w:t>
      </w:r>
    </w:p>
    <w:p>
      <w:pPr>
        <w:spacing w:after="0" w:line="176" w:lineRule="exact"/>
        <w:rPr>
          <w:rFonts w:ascii="Times New Roman" w:cs="Times New Roman" w:eastAsia="Times New Roman" w:hAnsi="Times New Roman"/>
          <w:sz w:val="18"/>
          <w:szCs w:val="18"/>
          <w:color w:val="auto"/>
        </w:rPr>
      </w:pPr>
    </w:p>
    <w:p>
      <w:pPr>
        <w:ind w:left="880" w:hanging="322"/>
        <w:spacing w:after="0" w:line="280"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on our own, and retain all commercial rights to, our CNS product candidates in the U.S. and partner with highly-qualified third-party collaborators to commercialize our CNS product candidates in selected markets outside the U.S.; and</w:t>
      </w:r>
    </w:p>
    <w:p>
      <w:pPr>
        <w:spacing w:after="0" w:line="161" w:lineRule="exact"/>
        <w:rPr>
          <w:rFonts w:ascii="Times New Roman" w:cs="Times New Roman" w:eastAsia="Times New Roman" w:hAnsi="Times New Roman"/>
          <w:sz w:val="18"/>
          <w:szCs w:val="18"/>
          <w:color w:val="auto"/>
        </w:rPr>
      </w:pPr>
    </w:p>
    <w:p>
      <w:pPr>
        <w:ind w:left="880" w:right="20" w:hanging="322"/>
        <w:spacing w:after="0" w:line="280"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internal research and development efforts to (i) evaluate expanded therapeutic and commercial potential for our existing CNS product candidates in additional CNS indications and (ii) identify additional proprietary CNS product candidates for our CNS product pipeline.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Our CNS Product Pipeline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our CNS clinical development programs as of the filing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PH94B Nasal Spray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Anxiety Disorder</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affects over 25 million Americans. A person with SAD feels intense, persistent symptoms of anxiety or fear in certain social situations, such as meeting new people, dating, being on a job interview, answering a question in class, or talking to a cashier in a store. Doing common everyday things in front of people - such as eating or drinking in front of others or using a public restroom - causes profound anxiety or fear of being humiliated, evaluated, judged, or rejected. The fear that people with SAD have in social situations is so strong that they feel it is beyond their ability to control. SAD can get in the way of going to work, attending school, or doing a wide variety of things in situations that have a potential for interpersonal interaction.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instead have performance anxiety. They feel physical symptoms of anxiety in performance situations, such as giving a lecture, a speech or a presentation at school or work, as well as playing a sports game, or dancing or playing a musical instrument on stage. Without treatment, SAD can last for many years or a lifetime and lead to avoidance and opportunity costs that can significantly impact a person's employment, social activities and relationships, and be very disruptive to overall quality of life.</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Existing treatments for SAD have not been effective acute treatment options for the large patient population suffering from SAD. Only a small number of chronic oral antidepressant drugs (</w:t>
      </w:r>
      <w:r>
        <w:rPr>
          <w:rFonts w:ascii="Times New Roman" w:cs="Times New Roman" w:eastAsia="Times New Roman" w:hAnsi="Times New Roman"/>
          <w:sz w:val="18"/>
          <w:szCs w:val="18"/>
          <w:i w:val="1"/>
          <w:iCs w:val="1"/>
          <w:color w:val="auto"/>
        </w:rPr>
        <w:t>AD</w:t>
      </w:r>
      <w:r>
        <w:rPr>
          <w:rFonts w:ascii="Times New Roman" w:cs="Times New Roman" w:eastAsia="Times New Roman" w:hAnsi="Times New Roman"/>
          <w:sz w:val="18"/>
          <w:szCs w:val="18"/>
          <w:color w:val="auto"/>
        </w:rPr>
        <w:t>s), are approved by the FDA specifically for treatment of SAD, and no drug is FDA-approved for acute, on-demand treatment of anxiety in adults with SAD. These FDA-approved chronic oral ADs have slow onset of effect (often many weeks or months) and significant side effects that may make them inadequate or inappropriate treatment alternatives for many individuals affected by acute SAD episodes. Benzodiazepines, often referred to as “benzos,” and beta blockers, both of which have not been studied systematically in controlled studies for acute treatment of SAD. They are not FDA-approved to treat SAD, but are prescribed on an off-label basis by psychiatrists and other physicians for the treatment of SAD. Unlike ADs, which can take several weeks to take full effect, benzodiazepines, which act as direct positive modulators of GABA-A receptors, have a rapid-onset effect by potentiating GABA-A and slowing the nervous system to induce a calming effect that can last up to twelve hours. However, the safety concerns, including risk of abuse and misuse, and side effects of benzodiazepines, many of which are similar to the side effects of alcohol, also can appear rapidly. Extended use of benzodiazepines may lead to physical dependence. Also, discontinuing and weaning off use of benzodiazepines can take up to many months, often resulting in severe withdrawal symptoms, including muscle pain, sweating, blurred vision, depression, seizures and delirium tremens similar to those experienced with alcohol withdrawal. Benzodiazepines users can also build up a tolerance that requires increasingly larger doses over time. When taken with opioid drugs, benzodiazepine use may be quite dangerous, so much so that in September 2020 the FDA issued an update to its 2016 Drug Safety Communication requiring that benzodiazepines display a “black box” label on bottles to warn against their potential for dangerous interactions with opioids, as well as potential risk of abuse, misuse, overuse and addiction. We believe PH94B, with its rapid-onset anti-anxiety effects, demonstrated in Phase 2 development without requiring systemic uptake, and its lack of benzodiazepine-like side effects and safety concerns in all clinical studies completed to date, has potential to substantially displace ADs, benzodiazepines and beta blockers in the current treatment paradigm for SAD.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In a peer-reviewed, published, randomized, double-blind, placebo-controlled Phase 2 clinical trial (n=91), with Dr. Michael Liebowitz, the innovator of the Liebowitz Social Anxiety Scale (</w:t>
      </w:r>
      <w:r>
        <w:rPr>
          <w:rFonts w:ascii="Times New Roman" w:cs="Times New Roman" w:eastAsia="Times New Roman" w:hAnsi="Times New Roman"/>
          <w:sz w:val="18"/>
          <w:szCs w:val="18"/>
          <w:i w:val="1"/>
          <w:iCs w:val="1"/>
          <w:color w:val="auto"/>
        </w:rPr>
        <w:t>LSAS</w:t>
      </w:r>
      <w:r>
        <w:rPr>
          <w:rFonts w:ascii="Times New Roman" w:cs="Times New Roman" w:eastAsia="Times New Roman" w:hAnsi="Times New Roman"/>
          <w:sz w:val="18"/>
          <w:szCs w:val="18"/>
          <w:color w:val="auto"/>
        </w:rPr>
        <w:t>), as principal investigator, PH94B was significantly more effective than placebo in reducing both public-speaking (performance) anxiety (p=0.002) and social interaction anxiety (p=0.009) in laboratory-induced challenges of individuals with SAD, as assessed using patient-reported anxiety ratings on the Subjective Units of Distress Scale (</w:t>
      </w:r>
      <w:r>
        <w:rPr>
          <w:rFonts w:ascii="Times New Roman" w:cs="Times New Roman" w:eastAsia="Times New Roman" w:hAnsi="Times New Roman"/>
          <w:sz w:val="18"/>
          <w:szCs w:val="18"/>
          <w:i w:val="1"/>
          <w:iCs w:val="1"/>
          <w:color w:val="auto"/>
        </w:rPr>
        <w:t>SUDS</w:t>
      </w:r>
      <w:r>
        <w:rPr>
          <w:rFonts w:ascii="Times New Roman" w:cs="Times New Roman" w:eastAsia="Times New Roman" w:hAnsi="Times New Roman"/>
          <w:sz w:val="18"/>
          <w:szCs w:val="18"/>
          <w:color w:val="auto"/>
        </w:rPr>
        <w:t>) within 15 minutes of self-administration of a non-systemic 1.6 microgram dose of PH94B.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129540</wp:posOffset>
            </wp:positionV>
            <wp:extent cx="5955665" cy="6962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5665" cy="696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all Phase 1 and Phase 2 studies completed to date, PH94B’s safety profile has been exceptional, without indication of abuse potential, psychological side effects (such as dissociation, euphoria or hallucinations), sedation or other side effects and safety concerns that may be associated with ADs approved by the FDA for treatment of SAD, as well as with benzodiazepines and beta blockers prescribed off-label.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796925</wp:posOffset>
            </wp:positionH>
            <wp:positionV relativeFrom="page">
              <wp:posOffset>379095</wp:posOffset>
            </wp:positionV>
            <wp:extent cx="5955665" cy="3344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95566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its novel mechanism of pharmacological action, rapid-onset of therapeutic effects and exceptional safety and tolerability profile in all clinical studies to date, we have initiated our PH94B PALISADE Phase 3 Program with PALISADE-1, a U.S., multi-center, randomized, double-blind, placebo-controlled Phase 3 clinical study to evaluate the efficacy, safety and tolerability of PH94B for the acute treatment of anxiety in adults with SAD. Both PALISADE-2, which Phase 3 study is a mirror image of PALISADE-1, and our PALISADE Long-term Safety study as well as preparations for the additional studies required to support our potential U.S.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that indication should our PH94B PALISADE Phase 3 Program for SAD be successful, are also underway. With respect to SAD, we plan to develop and commercialize PH94B, on our own in the U.S. and with collaborators in markets outside the U.S. We believe PH94B has the potential to be the first FDA-approved, fast-acting, on-demand, acute treatment of anxiety for adults with SAD. We have also submitted to the FDA our preliminary plan to develop and commercialize PH94B in a similar manner for the acute treatment of anxiety in pediatric patients with SAD.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Disorder with Anxiety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Almost everyone experiences significant life events, changes, or stressors and while some individuals adjust to such changes within a few months, others cannot and may struggle with adjustment disorder. Adjustment disorder with anxiety (</w:t>
      </w:r>
      <w:r>
        <w:rPr>
          <w:rFonts w:ascii="Times New Roman" w:cs="Times New Roman" w:eastAsia="Times New Roman" w:hAnsi="Times New Roman"/>
          <w:sz w:val="18"/>
          <w:szCs w:val="18"/>
          <w:i w:val="1"/>
          <w:iCs w:val="1"/>
          <w:color w:val="auto"/>
        </w:rPr>
        <w:t>AjDA</w:t>
      </w:r>
      <w:r>
        <w:rPr>
          <w:rFonts w:ascii="Times New Roman" w:cs="Times New Roman" w:eastAsia="Times New Roman" w:hAnsi="Times New Roman"/>
          <w:sz w:val="18"/>
          <w:szCs w:val="18"/>
          <w:color w:val="auto"/>
        </w:rPr>
        <w:t>) is an emotional or behavioral reaction considered excessive or disproportionate to a sudden change, stressful event or major life change, such as loss of work, divorce or health setback, occurring within three months of the stressor, and/or significantly impairing a person’s social, occupational and/or other important areas of functioning. The stress-related disturbance does not represent normal bereavement or meet the criteria for another mental disorder and is not merely an exacerbation of a preexisting mental disorder.</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mental health stressors associated with the COVID-19 pandemic have directly or indirectly affected hundreds of millions of individuals around the world and have considerably increased the prevalence of AjDA. We believe the mental health impact of the COVID-19 pandemic will be long-term and varied across a wide range of anxiety disorders. PH94B has potential as a novel, treatment of anxiety for adults with AjDA, including stress and impaired functioning as a result of recent-onset of stressors brought on by the health, safety, economic and social circumstances, including, but not limited to, circumstances related to and consequences of the COVID-19 pandemic, and civil, economic, political and social unrest. In parallel with our ongoing PALISADE Phase 3 Program in SAD, we are also conducting an exploratory Phase 2A clinical study of PH94B to evaluate the use of PH94B for the potential treatment of anxiety in adults with AjDA. Dr. Michael Liebowitz, Professor of Clinical Psychiatry at Columbia University and director of the Medical Research Network in New York City, is the Principal Investigator of the exploratory Phase 2A study.</w:t>
      </w:r>
    </w:p>
    <w:p>
      <w:pPr>
        <w:spacing w:after="0" w:line="200" w:lineRule="exact"/>
        <w:rPr>
          <w:sz w:val="20"/>
          <w:szCs w:val="20"/>
          <w:color w:val="auto"/>
        </w:rPr>
      </w:pP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also preparing to assess additional potential development opportunities involving PH94B, including Phase 1B biomarker studies and Phase 2A clinical studies of PH94B, for potential use in the treatment of other anxiety-related disorders, including procedural anxiety, post-traumatic stress disorder, postpartum anxiety and panic disorder.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PH10 Nasal Spray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Depressive Disorder</w:t>
      </w:r>
    </w:p>
    <w:p>
      <w:pPr>
        <w:spacing w:after="0" w:line="2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Depression is a serious medical illness and a global public health concern that can occur at any time over a person's life. According to the World Health Organization (</w:t>
      </w:r>
      <w:r>
        <w:rPr>
          <w:rFonts w:ascii="Times New Roman" w:cs="Times New Roman" w:eastAsia="Times New Roman" w:hAnsi="Times New Roman"/>
          <w:sz w:val="17"/>
          <w:szCs w:val="17"/>
          <w:i w:val="1"/>
          <w:iCs w:val="1"/>
          <w:color w:val="auto"/>
        </w:rPr>
        <w:t>WHO</w:t>
      </w:r>
      <w:r>
        <w:rPr>
          <w:rFonts w:ascii="Times New Roman" w:cs="Times New Roman" w:eastAsia="Times New Roman" w:hAnsi="Times New Roman"/>
          <w:sz w:val="17"/>
          <w:szCs w:val="17"/>
          <w:color w:val="auto"/>
        </w:rPr>
        <w:t>), depression is the leading cause of disability worldwide, affecting over 250 million people. Statistics reported by the U.S. National Institute of Mental Health (</w:t>
      </w:r>
      <w:r>
        <w:rPr>
          <w:rFonts w:ascii="Times New Roman" w:cs="Times New Roman" w:eastAsia="Times New Roman" w:hAnsi="Times New Roman"/>
          <w:sz w:val="17"/>
          <w:szCs w:val="17"/>
          <w:i w:val="1"/>
          <w:iCs w:val="1"/>
          <w:color w:val="auto"/>
        </w:rPr>
        <w:t>NIMH</w:t>
      </w:r>
      <w:r>
        <w:rPr>
          <w:rFonts w:ascii="Times New Roman" w:cs="Times New Roman" w:eastAsia="Times New Roman" w:hAnsi="Times New Roman"/>
          <w:sz w:val="17"/>
          <w:szCs w:val="17"/>
          <w:color w:val="auto"/>
        </w:rPr>
        <w:t>) indicate that approximately 21 million adults in the U.S., or approximately 8.4% of all adults in the U.S., had at least one major depressive episode in 2020. While most people will experience depressed mood at some point during their lifetime, MDD is different. MDD is the chronic, pervasive feeling of utter unhappiness and suffering, which impairs daily functioning. In typical depressive episodes, an individual experiences depressed mood, loss of interest and enjoyment, and reduced energy leading to diminished activity and impaired daily functioning for at least two weeks and often much longer. Symptoms of MDD also may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Current oral ADs have modest efficacy, substantial lag of onset of action, and considerable side effects. Approximately two out of every three depression sufferers do not receive adequate therapeutic benefits from their initial treatment with a standard AD, and the likelihood of achieving remission of depressive symptoms declines with each successive AD treatment attempt. Even after multiple treatment attempts with current ADs, approximately one-third of depression sufferers still fail to find an adequately effective AD. In addition, this trial and error process and the systemic effects of the various ADs involved may increase the risk of patient tolerability issues and serious side effects, including suicidal thoughts and behaviors in certain groups. Inadequate response to current ADs is among the key reasons MDD is one of the leading public health concerns in the United States, creating a significant unmet medical need for new agents with fundamentally different mechanisms of action and safety profiles.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 peer-reviewed, published exploratory Phase 2A clinical study (n=30), PH10, self-administered at a dose of 6.4 micrograms, was well-tolerated and demonstrated significant (p=0.022) rapid-onset antidepressant effects, which were sustained over an 8-week period, as measured by the Hamilton Depression Rating Scale-17 (</w:t>
      </w:r>
      <w:r>
        <w:rPr>
          <w:rFonts w:ascii="Times New Roman" w:cs="Times New Roman" w:eastAsia="Times New Roman" w:hAnsi="Times New Roman"/>
          <w:sz w:val="18"/>
          <w:szCs w:val="18"/>
          <w:i w:val="1"/>
          <w:iCs w:val="1"/>
          <w:color w:val="auto"/>
        </w:rPr>
        <w:t>HAM-D-17</w:t>
      </w:r>
      <w:r>
        <w:rPr>
          <w:rFonts w:ascii="Times New Roman" w:cs="Times New Roman" w:eastAsia="Times New Roman" w:hAnsi="Times New Roman"/>
          <w:sz w:val="18"/>
          <w:szCs w:val="18"/>
          <w:color w:val="auto"/>
        </w:rPr>
        <w:t>), without side effects or safety concerns that may be caused by certain oral ADs or intravenous or intranasal ketamine-based therapy (</w:t>
      </w:r>
      <w:r>
        <w:rPr>
          <w:rFonts w:ascii="Times New Roman" w:cs="Times New Roman" w:eastAsia="Times New Roman" w:hAnsi="Times New Roman"/>
          <w:sz w:val="18"/>
          <w:szCs w:val="18"/>
          <w:i w:val="1"/>
          <w:iCs w:val="1"/>
          <w:color w:val="auto"/>
        </w:rPr>
        <w:t>KBT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127000</wp:posOffset>
            </wp:positionV>
            <wp:extent cx="5955665" cy="3344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566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796925</wp:posOffset>
            </wp:positionH>
            <wp:positionV relativeFrom="page">
              <wp:posOffset>379095</wp:posOffset>
            </wp:positionV>
            <wp:extent cx="5955665" cy="3344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95566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its potential for rapid-onset activity at a 6.4 microgram-level dose that we believe does not require systemic uptake to achieve sustained antidepressant effects, as well as a safety profile in studies completed to date that is differentiated from current ADs, we believe PH10 has transformative potential an innovative stand-alone treatment for MDD and potential opportunities for development in multiple additional depression disorders. Based on positive results from the exploratory PH10 Phase 2A program, we are conducting the necessary nonclinical studies necessary to support submission of our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application to the FDA for further clinical development of in MDD in the U.S. Our goal is to submit our PH10 IND in MDD in 2022, and, if authorized by the FDA, begin Phase 2B clinical development of PH10 for MDD as soon as practicable thereafter. Although our initial plan is to develop PH94B as a new stand-alone rapid-onset therapy for MDD, we also believe PH10 has potential opportunities for development as a stand-alone therapy for treatment-resistant depression (</w:t>
      </w:r>
      <w:r>
        <w:rPr>
          <w:rFonts w:ascii="Times New Roman" w:cs="Times New Roman" w:eastAsia="Times New Roman" w:hAnsi="Times New Roman"/>
          <w:sz w:val="18"/>
          <w:szCs w:val="18"/>
          <w:i w:val="1"/>
          <w:iCs w:val="1"/>
          <w:color w:val="auto"/>
        </w:rPr>
        <w:t>TRD</w:t>
      </w:r>
      <w:r>
        <w:rPr>
          <w:rFonts w:ascii="Times New Roman" w:cs="Times New Roman" w:eastAsia="Times New Roman" w:hAnsi="Times New Roman"/>
          <w:sz w:val="18"/>
          <w:szCs w:val="18"/>
          <w:color w:val="auto"/>
        </w:rPr>
        <w:t>), postpartum depression (</w:t>
      </w:r>
      <w:r>
        <w:rPr>
          <w:rFonts w:ascii="Times New Roman" w:cs="Times New Roman" w:eastAsia="Times New Roman" w:hAnsi="Times New Roman"/>
          <w:sz w:val="18"/>
          <w:szCs w:val="18"/>
          <w:i w:val="1"/>
          <w:iCs w:val="1"/>
          <w:color w:val="auto"/>
        </w:rPr>
        <w:t>PPD</w:t>
      </w:r>
      <w:r>
        <w:rPr>
          <w:rFonts w:ascii="Times New Roman" w:cs="Times New Roman" w:eastAsia="Times New Roman" w:hAnsi="Times New Roman"/>
          <w:sz w:val="18"/>
          <w:szCs w:val="18"/>
          <w:color w:val="auto"/>
        </w:rPr>
        <w:t>) and suicidal ideation (</w:t>
      </w:r>
      <w:r>
        <w:rPr>
          <w:rFonts w:ascii="Times New Roman" w:cs="Times New Roman" w:eastAsia="Times New Roman" w:hAnsi="Times New Roman"/>
          <w:sz w:val="18"/>
          <w:szCs w:val="18"/>
          <w:i w:val="1"/>
          <w:iCs w:val="1"/>
          <w:color w:val="auto"/>
        </w:rPr>
        <w:t>SI</w:t>
      </w:r>
      <w:r>
        <w:rPr>
          <w:rFonts w:ascii="Times New Roman" w:cs="Times New Roman" w:eastAsia="Times New Roman" w:hAnsi="Times New Roman"/>
          <w:sz w:val="18"/>
          <w:szCs w:val="18"/>
          <w:color w:val="auto"/>
        </w:rPr>
        <w:t>), and as an adjunctive therapy to augment current FDA-approved ADs for individuals with MDD, TRD, PPD and SI who have an inadequate response to their current ADs and to prevent relapse following successful treatment with KBT.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 in combination with Probenecid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AV-101 (4-Cl-KYN) is a novel, oral prodrug that targets the NMDAR (N-methyl-D-aspartate receptor), an ionotropic glutamate receptor in the brain. Abnormal NMDAR function is associated with numerous CNS diseases and disorders. The active metabolite of AV-101, 7-chloro-kynurenic acid (7-Cl-KYNA), is a potent and selective full antagonist of the glycine coagonist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serious adverse events that are often observed with classic channel-blocking NMDAR antagonists such as ketamine and amantadine.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Discoveries from successful AV-101 in vivo preclinical studies suggest that there is a substantial increase in brain concentrations of AV-101 and 7-Cl-KYNA when AV-101 is given together with probenecid, a drug approved by the FDA for treatment of gout which is known to block activity of certain organic ion efflux transporters in the kidney. These surprising results in the brain were first revealed in our recent preclinical studies and are consistent with well-documented clinical studies of probenecid increasing the therapeutic levels in the blood of several unrelated classes of approved drugs, including certain antibacterial, anticancer and antivirals. Many clinical studies demonstrate that probenecid is safe and well tolerated. Probenecid administered adjunctively with AV-101 in an animal model resulted in substantial increased brain concentrations of AV-101 (7-fold) and 7-Cl-KYNA (35-fold). We also recently identified that these increases in brain levels could result from blocking of some of the same transporters in the blood brain barrier that are expressed in the kidney, which are used to regulate drug levels in the blood. This 7-Cl-KYNA efflux-blocking effect of probenecid, with the resulting increased brain levels and duration of 7-Cl-KYNA, suggests the potential impact of AV-101 with probenecid could result in far more profound therapeutic benefits for patients with NMDAR-focused CNS diseases and disorders.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796925</wp:posOffset>
            </wp:positionH>
            <wp:positionV relativeFrom="page">
              <wp:posOffset>379095</wp:posOffset>
            </wp:positionV>
            <wp:extent cx="5955665" cy="3344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95566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conducting a Phase 1B drug-drug interaction clinical study of AV-101 with adjunctive probenecid in the second half of 2021 to evaluate their safety in combination and potential for future exploratory Phase 2A development in one or more of the CNS indications for which we have existing encouraging preclinical data with AV-101 alone, including MDD, epilepsy, levodopa-induced dyskinesia, and neuropathic pain.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strive to protect the proprietary know-how and technology that we believe is important to our business, including seeking and maintaining patents intended to cover our product candidates and related pharmaceutical compositions, their therapeutic methods of use, including treatment and prognostic methods, as well as processes for their manufacture, and any other aspects of our discoveries and inventions that are commercially important to the development of our business.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may also rely on trade secrets to protect aspects of our business that are not amenable to, or that we do not consider appropriate for, patent protection. We also utilize know-how, continuing technological innovation and in-licensing opportunities to develop and maintain our proprietary position. We seek to obtain domestic and international patent protection in appropriate markets, and endeavor to promptly file patent applications for new commercially valuable inventions.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use, including treatment and patient selection, formulations and manufacturing processes created or identified from the ongoing development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We own and have licensed granted patents and pending patent applications in the U.S. and in certain foreign countries. These patent properties include, but are not limited 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PH94B (licensed by us from Pherin Pharmaceuticals, Inc. (Pherin))</w:t>
      </w:r>
    </w:p>
    <w:p>
      <w:pPr>
        <w:spacing w:after="0" w:line="227" w:lineRule="exact"/>
        <w:rPr>
          <w:sz w:val="20"/>
          <w:szCs w:val="20"/>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granted U.S. patents and other foreign patents related to the reduction of anticipatory anxiety or social phobic response.</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U.S. patents related to PH94B will nominally expire either in 2025 or 2028, respectively, and foreign patents nominally expire in 2026, subject to extensions that may be available on a country-by-country basis, including in the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PH94B patent application owned by VistaGen</w:t>
      </w:r>
    </w:p>
    <w:p>
      <w:pPr>
        <w:spacing w:after="0" w:line="225" w:lineRule="exact"/>
        <w:rPr>
          <w:sz w:val="20"/>
          <w:szCs w:val="20"/>
          <w:color w:val="auto"/>
        </w:rPr>
      </w:pPr>
    </w:p>
    <w:p>
      <w:pPr>
        <w:ind w:right="880" w:firstLine="652"/>
        <w:spacing w:after="0" w:line="497" w:lineRule="auto"/>
        <w:tabs>
          <w:tab w:leader="none" w:pos="9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and Patent Cooperation Treaty (</w:t>
      </w:r>
      <w:r>
        <w:rPr>
          <w:rFonts w:ascii="Times New Roman" w:cs="Times New Roman" w:eastAsia="Times New Roman" w:hAnsi="Times New Roman"/>
          <w:sz w:val="18"/>
          <w:szCs w:val="18"/>
          <w:i w:val="1"/>
          <w:iCs w:val="1"/>
          <w:color w:val="auto"/>
        </w:rPr>
        <w:t>PCT</w:t>
      </w:r>
      <w:r>
        <w:rPr>
          <w:rFonts w:ascii="Times New Roman" w:cs="Times New Roman" w:eastAsia="Times New Roman" w:hAnsi="Times New Roman"/>
          <w:sz w:val="18"/>
          <w:szCs w:val="18"/>
          <w:color w:val="auto"/>
        </w:rPr>
        <w:t>) patent applications related to the treatment of adjustment disorder with anxiety. Patents that may be granted on this patent application nominally will expire in 2041, including in the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PH10 (licensed by us from Pherin)</w:t>
      </w:r>
    </w:p>
    <w:p>
      <w:pPr>
        <w:spacing w:after="0" w:line="227" w:lineRule="exact"/>
        <w:rPr>
          <w:sz w:val="20"/>
          <w:szCs w:val="20"/>
          <w:color w:val="auto"/>
        </w:rPr>
      </w:pPr>
    </w:p>
    <w:p>
      <w:pPr>
        <w:ind w:left="980" w:hanging="32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granted U.S. patent related to treatment of depressive disorders; and</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foreign patents related to treatment of depressive disorders.</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U.S. and foreign patents related to PH10 nominally expire in 2033, subject to extensions that may be available on a country-by-country basis, including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w:t>
      </w:r>
    </w:p>
    <w:p>
      <w:pPr>
        <w:spacing w:after="0" w:line="227" w:lineRule="exact"/>
        <w:rPr>
          <w:sz w:val="20"/>
          <w:szCs w:val="20"/>
          <w:color w:val="auto"/>
        </w:rPr>
      </w:pPr>
    </w:p>
    <w:p>
      <w:pPr>
        <w:ind w:left="66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granted U.S. patents related to the treatment of depression with AV-101, certain unit dose formulations of AV-101 effective to treat depression, and treatment of dyskinesia induced by the administration of L-DOPA (</w:t>
      </w:r>
      <w:r>
        <w:rPr>
          <w:rFonts w:ascii="Times New Roman" w:cs="Times New Roman" w:eastAsia="Times New Roman" w:hAnsi="Times New Roman"/>
          <w:sz w:val="18"/>
          <w:szCs w:val="18"/>
          <w:i w:val="1"/>
          <w:iCs w:val="1"/>
          <w:color w:val="auto"/>
        </w:rPr>
        <w:t>LID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patent applications and foreign granted patents and pending foreign patent applications related to treatment of various disorders, including depression, LID, neuropathic pain (</w:t>
      </w:r>
      <w:r>
        <w:rPr>
          <w:rFonts w:ascii="Times New Roman" w:cs="Times New Roman" w:eastAsia="Times New Roman" w:hAnsi="Times New Roman"/>
          <w:sz w:val="18"/>
          <w:szCs w:val="18"/>
          <w:i w:val="1"/>
          <w:iCs w:val="1"/>
          <w:color w:val="auto"/>
        </w:rPr>
        <w:t>NP</w:t>
      </w:r>
      <w:r>
        <w:rPr>
          <w:rFonts w:ascii="Times New Roman" w:cs="Times New Roman" w:eastAsia="Times New Roman" w:hAnsi="Times New Roman"/>
          <w:sz w:val="18"/>
          <w:szCs w:val="18"/>
          <w:color w:val="auto"/>
        </w:rPr>
        <w:t>), tinnitus and obsessive-compulsive disorder;</w:t>
      </w:r>
    </w:p>
    <w:p>
      <w:pPr>
        <w:spacing w:after="0" w:line="161"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PCT patent application related to the prognostic identification of high and low responders to treatment of various CNS disorders with AV-101; and</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granted U.S. patents, and foreign granted patents and pending foreign patent applications related to the manufacture of AV-10.</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U.S. and foreign patents related to AV-101 nominally expire between 2034 and 2040, depending on the particular subject matter, subject to extensions that may be available on a country-by-country basis, including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Stem Cell Technology (owned by us and/or licensed by us from the University Health Network (Toronto) or Icahn School of Medicine at Mount Sinai)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Cardiac Cells</w:t>
      </w:r>
    </w:p>
    <w:p>
      <w:pPr>
        <w:spacing w:after="0" w:line="227" w:lineRule="exact"/>
        <w:rPr>
          <w:sz w:val="20"/>
          <w:szCs w:val="20"/>
          <w:color w:val="auto"/>
        </w:rPr>
      </w:pPr>
    </w:p>
    <w:p>
      <w:pPr>
        <w:ind w:left="980" w:right="140" w:hanging="328"/>
        <w:spacing w:after="0" w:line="26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patents and patent applications relating to methods for enriching pluripotent stem cell-derived cardiomyocyte cells, methods for generating epicardium cells, methods for making and using sino-atrial node-like pacemaker and ventricular-like cardiomyocytes and methods for generation of atrial and ventricular cardiomyocyte lineages.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U.S. and foreign patents and patent applications related to cardiac stem cells nominally expire between 2031 and 2037, subject to extensions that may be available on a country-by-country basis, including in the U.S. Additionally, therapeutic and certain other fields of use have been licensed by us to Bayer under the Bayer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Blood Cells</w:t>
      </w:r>
    </w:p>
    <w:p>
      <w:pPr>
        <w:spacing w:after="0" w:line="227" w:lineRule="exact"/>
        <w:rPr>
          <w:sz w:val="20"/>
          <w:szCs w:val="20"/>
          <w:color w:val="auto"/>
        </w:rPr>
      </w:pPr>
    </w:p>
    <w:p>
      <w:pPr>
        <w:ind w:left="980" w:hanging="328"/>
        <w:spacing w:after="0" w:line="28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patents and patent applications relating mesoderm and definitive endoderm cell populations, and to populations of hematopoietic progenitors.</w:t>
      </w:r>
    </w:p>
    <w:p>
      <w:pPr>
        <w:spacing w:after="0" w:line="1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U.S. and foreign patents and patent applications related to blood stem cells nominally expire between 2023 and 2032, subject to extensions that may be available on a country-by-country basis, including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Cartilage and Chondrocyte Cells</w:t>
      </w:r>
    </w:p>
    <w:p>
      <w:pPr>
        <w:spacing w:after="0" w:line="227" w:lineRule="exact"/>
        <w:rPr>
          <w:sz w:val="20"/>
          <w:szCs w:val="20"/>
          <w:color w:val="auto"/>
        </w:rPr>
      </w:pPr>
    </w:p>
    <w:p>
      <w:pPr>
        <w:ind w:left="980" w:hanging="328"/>
        <w:spacing w:after="0" w:line="28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patents and patent applications relating to methods and compositions for generating chondrocyte lineage cells and cartilage like tissue.</w:t>
      </w:r>
    </w:p>
    <w:p>
      <w:pPr>
        <w:spacing w:after="0" w:line="16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U.S. and foreign patents and patent applications related to cartilage and chrondrocyte cells nominally expire in 2034, subject to extensions that may be available on a country-by-country basis, including in the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Liver and Biliary Cells</w:t>
      </w:r>
    </w:p>
    <w:p>
      <w:pPr>
        <w:spacing w:after="0" w:line="227" w:lineRule="exact"/>
        <w:rPr>
          <w:sz w:val="20"/>
          <w:szCs w:val="20"/>
          <w:color w:val="auto"/>
        </w:rPr>
      </w:pPr>
    </w:p>
    <w:p>
      <w:pPr>
        <w:ind w:left="980" w:hanging="328"/>
        <w:spacing w:after="0" w:line="28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patents and patent applications relating to methods for generating hepatocytes and cholangiocytes from pluripotent stem cells and to toxicity typing using liver stem cells.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and foreign patents and patent applications related to liver and biliary cells nominally expire between 2021 and 2034, including in the 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Term</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 Patent and Trademark Office (</w:t>
      </w:r>
      <w:r>
        <w:rPr>
          <w:rFonts w:ascii="Times New Roman" w:cs="Times New Roman" w:eastAsia="Times New Roman" w:hAnsi="Times New Roman"/>
          <w:sz w:val="18"/>
          <w:szCs w:val="18"/>
          <w:i w:val="1"/>
          <w:iCs w:val="1"/>
          <w:color w:val="auto"/>
        </w:rPr>
        <w:t>PTO</w:t>
      </w:r>
      <w:r>
        <w:rPr>
          <w:rFonts w:ascii="Times New Roman" w:cs="Times New Roman" w:eastAsia="Times New Roman" w:hAnsi="Times New Roman"/>
          <w:sz w:val="18"/>
          <w:szCs w:val="18"/>
          <w:color w:val="auto"/>
        </w:rPr>
        <w:t>). In some cases, the term of a U.S. patent is shortened by a terminal disclaimer that reduces its term to align with that of a related patent.</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w:t>
      </w:r>
      <w:r>
        <w:rPr>
          <w:rFonts w:ascii="Times New Roman" w:cs="Times New Roman" w:eastAsia="Times New Roman" w:hAnsi="Times New Roman"/>
          <w:sz w:val="18"/>
          <w:szCs w:val="18"/>
          <w:i w:val="1"/>
          <w:iCs w:val="1"/>
          <w:color w:val="auto"/>
        </w:rPr>
        <w:t>testing phase</w:t>
      </w:r>
      <w:r>
        <w:rPr>
          <w:rFonts w:ascii="Times New Roman" w:cs="Times New Roman" w:eastAsia="Times New Roman" w:hAnsi="Times New Roman"/>
          <w:sz w:val="18"/>
          <w:szCs w:val="18"/>
          <w:color w:val="auto"/>
        </w:rPr>
        <w:t>), plus the time between the submission date of an NDA and the approval of that application (</w:t>
      </w:r>
      <w:r>
        <w:rPr>
          <w:rFonts w:ascii="Times New Roman" w:cs="Times New Roman" w:eastAsia="Times New Roman" w:hAnsi="Times New Roman"/>
          <w:sz w:val="18"/>
          <w:szCs w:val="18"/>
          <w:i w:val="1"/>
          <w:iCs w:val="1"/>
          <w:color w:val="auto"/>
        </w:rPr>
        <w:t>approval phase</w:t>
      </w:r>
      <w:r>
        <w:rPr>
          <w:rFonts w:ascii="Times New Roman" w:cs="Times New Roman" w:eastAsia="Times New Roman" w:hAnsi="Times New Roman"/>
          <w:sz w:val="18"/>
          <w:szCs w:val="18"/>
          <w:color w:val="auto"/>
        </w:rPr>
        <w:t>). This patent term restoration period may be reduced by the FDA if it finds that applicant did not act with due diligence during the testing phase or the approval phase. Only one patent related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if circumstances permit, we intend to apply for restoration of patent term for our applicable patents, if any, to extend patent life beyond their normal expiration dates depending on the length of the clinical trials and other factors involved in the filing of the relevant NDA.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Exclusivity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products may also be entitled to certain data exclusivity (that is not patent-related) under the Federal Food, Drug and Cosmetic Act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and its related regulations. The FDCA provides a five-year period of non-patent data exclusivity within the U.S. to the first applicant to obtain approval of an NDA for a new chemical entity (</w:t>
      </w:r>
      <w:r>
        <w:rPr>
          <w:rFonts w:ascii="Times New Roman" w:cs="Times New Roman" w:eastAsia="Times New Roman" w:hAnsi="Times New Roman"/>
          <w:sz w:val="18"/>
          <w:szCs w:val="18"/>
          <w:i w:val="1"/>
          <w:iCs w:val="1"/>
          <w:color w:val="auto"/>
        </w:rPr>
        <w:t>NCE</w:t>
      </w:r>
      <w:r>
        <w:rPr>
          <w:rFonts w:ascii="Times New Roman" w:cs="Times New Roman" w:eastAsia="Times New Roman" w:hAnsi="Times New Roman"/>
          <w:sz w:val="18"/>
          <w:szCs w:val="18"/>
          <w:color w:val="auto"/>
        </w:rPr>
        <w:t>). A drug is a new chemical entity if the FDA has not previously approved any other new drug containing the same active moiety, which is the molecule responsible for the pharmacological action of the drug substance. During the data exclusivity period, an abbreviated new drug application (</w:t>
      </w:r>
      <w:r>
        <w:rPr>
          <w:rFonts w:ascii="Times New Roman" w:cs="Times New Roman" w:eastAsia="Times New Roman" w:hAnsi="Times New Roman"/>
          <w:sz w:val="18"/>
          <w:szCs w:val="18"/>
          <w:i w:val="1"/>
          <w:iCs w:val="1"/>
          <w:color w:val="auto"/>
        </w:rPr>
        <w:t>ANDA</w:t>
      </w:r>
      <w:r>
        <w:rPr>
          <w:rFonts w:ascii="Times New Roman" w:cs="Times New Roman" w:eastAsia="Times New Roman" w:hAnsi="Times New Roman"/>
          <w:sz w:val="18"/>
          <w:szCs w:val="18"/>
          <w:color w:val="auto"/>
        </w:rPr>
        <w:t>), or a 505(b)(2) NDA submitted by another company may not be approved by the FDA for another drug containing the same active moiety, regardless of whether the drug is intended for the same indication as the original innovator drug or for another indication, where the applicant does not own or have a legal right of reference to all the data that served as the basis of granting the original NDA.</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However, an ANDA or a 505(b)(2) NDA application may be submitted after four years if the innovator NDA holder does not have a patent covering the product listed with the FDA Orange Book or if the application contains a certification of patent invalidity or non-infringement to one of the patents listed with the FDA Orange Book. The FDCA also provides three years of data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the new full or supplemental NDA.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Some foreign jurisdictions, including Europe and Japan, also have patent term extension provisions, which allow for extension of the term of a patent that covers a drug approved by the applicable foreign regulatory agency. In the future, if and when our pharmaceutical products receive FDA approval, we expect to apply for patent term extension on patents covering those products, their methods of use, and/or methods of manufacture.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patents, we may rely on trade secrets to develop and maintain our competitive position. We protect trade secrets, if any, and also know-how, by establishing confidentiality agreements and invention assignment agreements with our employees, consultants, scientific advisors, contractors and partners. These agreements provide that all confidential information developed or made known during the course of an individual’s or entity’s relationship with us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also owns a registered trademark in the U.S. for “VISTAGEN,” for “biotechnology services” in international class 42, which was renewed in 2021. We have a U.S. registration application pending for VISTAGEN in international class 10 for “human and veterinary preparations for medical uses.”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Transactions and Relationships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Strategic collaborations are an important cornerstone of our corporate development strategy. We believe that our highly selective outsourcing of certain research, development, legal, manufacturing and regulatory activities gives us flexible access to a broad range of capabilities and expertise at a lower overall cost than developing and maintaining such capabilities and expertise internally on a full-time basis. In particular, we retain third parties for certain legal, accounting, manufacturing, nonclinical development, clinical development and regulatory affairs support.</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entered into, and may seek multiple additional strategic collaborations and relationships focused on development and/or commercialization of our product candidates in regions outside the 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have customary clinical supply agreements with multiple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and customary agreements with multiple CROs to assist us with advancement and management of our nonclinical, including manufacturing, and clinical development programs. Each of our commercial agreements 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and we have no material contractual obligations under such agreements, except to the extent we order supplies or request services to be performed under specific work orders that we generate with such third-parties from time to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and Collaboration Agreements with Pherin</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2018, we acquired from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an exclusive worldwide license to develop and commercialize PH94B. In October 2018, we acquired from Pherin an exclusive worldwide license to develop and commercialize PH10. Under the terms of the PH94B and PH10 license agreements, we are obligated to make additional cash payments, and pay royalties, to Pherin in connection with our sublicense, development and commercialization collaborations involving PH94B and/or PH10, as well as in the event that certain development milestones and commercial sales are achieved. Additionally, in connection with the license agreements, we were obligated to pay to Pherin monthly support payments of $10,000 for a term of the earlier of 18 months from the date of each license agreement or the termination of the license agreement; however, no monthly support payment was required under the 18-month period identified in the PH10 license agreement if support payments were already being made under the terms of the PH94B license agreement. In April 2020, we completed all of our obligations to pay all such monthly support payments to Pherin under the PH94B license agreement and the PH10 license agreement, and thus the contractual requirements have been fully satisfied.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and Collaboration Agreement with AffaMed Therapeutics, Inc. (formerly EverInsight Therapeutics, Inc.)</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2020, we entered into a license and collaboration agreement (the </w:t>
      </w:r>
      <w:r>
        <w:rPr>
          <w:rFonts w:ascii="Times New Roman" w:cs="Times New Roman" w:eastAsia="Times New Roman" w:hAnsi="Times New Roman"/>
          <w:sz w:val="18"/>
          <w:szCs w:val="18"/>
          <w:i w:val="1"/>
          <w:iCs w:val="1"/>
          <w:color w:val="auto"/>
        </w:rPr>
        <w:t>EverInsight License Agreement</w:t>
      </w:r>
      <w:r>
        <w:rPr>
          <w:rFonts w:ascii="Times New Roman" w:cs="Times New Roman" w:eastAsia="Times New Roman" w:hAnsi="Times New Roman"/>
          <w:sz w:val="18"/>
          <w:szCs w:val="18"/>
          <w:color w:val="auto"/>
        </w:rPr>
        <w:t>) with EverInsight Therapeutics Inc., a company incorporated under the laws of the British Virgin Islands (</w:t>
      </w:r>
      <w:r>
        <w:rPr>
          <w:rFonts w:ascii="Times New Roman" w:cs="Times New Roman" w:eastAsia="Times New Roman" w:hAnsi="Times New Roman"/>
          <w:sz w:val="18"/>
          <w:szCs w:val="18"/>
          <w:i w:val="1"/>
          <w:iCs w:val="1"/>
          <w:color w:val="auto"/>
        </w:rPr>
        <w:t>EverInsight</w:t>
      </w:r>
      <w:r>
        <w:rPr>
          <w:rFonts w:ascii="Times New Roman" w:cs="Times New Roman" w:eastAsia="Times New Roman" w:hAnsi="Times New Roman"/>
          <w:sz w:val="18"/>
          <w:szCs w:val="18"/>
          <w:color w:val="auto"/>
        </w:rPr>
        <w:t xml:space="preserve">), pursuant to which we granted EverInsight an exclusive license to develop, manufacture and commercialize PH94B for multiple anxiety-related disorders in Greater China (Mainland China, Hong Kong, Macau and Taiwan), South Korea and Southeast Asia (Indonesia, Malaysia, Philippines, Thailand and Vietnam) (collectively, the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Subsequent to entering into the EverInsight License Agreement, in October 2020, EverInsight merged with AffaMed Therapeutics, Inc., which as a combined, complementary entity is focusing on developing and commercializing therapeutics to address ophthalmologic and CNS disorders in Greater China and beyond. Accordingly, we refer to EverInsight and the EverInsight License Agreement as AffaMed and the AffaMed Agreement, respectively. We retained development, manufacturing and commercialization rights for PH94B in the rest of the world.</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terms of the AffaMed Agreement, we received an upfront payment of $5.0 million in August 2020. We may also receive up to an additional $172 million in milestone payments upon AffaMed’s achievement of certain developmental, regulatory and sales milestone events related to PH94B. In addition, we are entitled to receive certain royalties on net sales, if any, of PH94B in the Territory following receipt of any required regulatory approval. However, AffaMed’s, achievement of any of such developmental, regulatory and sales milestone events, or commercial sales of PH94B in the Territory, cannot be guaranteed. AffaMed has the right to sublicense to affiliates and third parties in the Territory. AffaMed is responsible for all costs related to developing, obtaining regulatory approval of and commercializing PH94B in the Territory. A joint development committee has been established between the Company and AffaMed to coordinate and review the development, manufacturing and commercialization plans with respect to PH94B in the Territory. 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869"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Manufacturing of the drug substance and drug product for our product candidates is performed by CMOs who must comply with current good manufacturing practice (</w:t>
      </w:r>
      <w:r>
        <w:rPr>
          <w:rFonts w:ascii="Times New Roman" w:cs="Times New Roman" w:eastAsia="Times New Roman" w:hAnsi="Times New Roman"/>
          <w:sz w:val="18"/>
          <w:szCs w:val="18"/>
          <w:i w:val="1"/>
          <w:iCs w:val="1"/>
          <w:color w:val="auto"/>
        </w:rPr>
        <w:t>cGMP</w:t>
      </w:r>
      <w:r>
        <w:rPr>
          <w:rFonts w:ascii="Times New Roman" w:cs="Times New Roman" w:eastAsia="Times New Roman" w:hAnsi="Times New Roman"/>
          <w:sz w:val="18"/>
          <w:szCs w:val="18"/>
          <w:color w:val="auto"/>
        </w:rPr>
        <w:t>) regulations. Our product candidates are comprised of synthetic small molecules that are manufactured through a series of organic chemistry steps starting with commercially available organic chemical raw materials. We do not currently own or operate, nor do we plan to own or operate, manufacturing facilities for the production of our drug substance and drug product candidates for nonclinical, clinical or commercial use. We conduct manufacturing and analytical testing activities under individual project work orders with independent CMOs to supply all of our nonclinical and clinical trial needs. We conduct periodic quality audits of each of the CMO’s facilities to ensure that they are fully compliant with cGMPs. We believe that all of our existing CMOs are, or will be, capable of providing sufficient quantities of both drug substance and drug product to meet our nonclinical and clinical development needs. New CMOs may be added to our supply chain strategy in the future to ensure that our nonclinical, clinical and, subject to NDA approval, commercial manufacturing and testing needs are met.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design, we do not currently have any fixed contractual arrangements in place with any CMOs, for either long-term supply or redundant supply, of drug substance or drug product for our drug product candidates. If our product candidates are approved for commercial distribution, we intend to execute long-term commercial supply agreement(s) with our CMOs to produce our future commercial supplies on our behalf. We plan to mitigate potential commercial supply risks for any products that are approved in the future through inventory management and through exploring additional back-up manufacturers, both in the U.S. and outside the U.S., to provide drug substance and/or drug product.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to build a commercial infrastructure in the United States in advance of potential drug approval of PH94B by the FDA should our PALISADE Phase 3 Program be successful. We believe that we can cost effectively implement a targeted sales force required to commercialize PH94B and our other product candidates, if approved, in the United States. Support for commercialization readiness will include marketing, insights and analytics, internal sales support, distribution support, and potentially patient support services. Additional requisite capabilities will include focused management of key accounts such as managed care organizations, group purchasing organizations, and government accounts. We expect to focus our future sales and marketing efforts for PH94B and our other product candidates in the United States, if FDA-approved, primarily on psychiatrists and select primary care physicians, nurse practitioners, and physician assistants, and, should we receive FDA approval for use in adolescent populations, on select pediatricians who are likely to see adolescents, as well as nurse practitioners, child psychiatrists and psychologists who, in some states, are permitted to prescribe medications. In order to implement this infrastructure, we will have to allocate management resources and make significant financial investments, including some prior to product approval. At a future time, we may seek co-promotion partners for our sales efforts to achieve broader reach or call frequency with an expanded group of appropriate target physicians in the United States.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that there are significant market opportunities for our products outside of the United States. As a result, as we have done for PH94B in Greater China, South Korea and Southeast Asia under the AffaMed Agreement, we plan to seek additional strategic partnerships with third parties, which may have better access and experience in the development and commercialization of our products in selected markets outside the United States. We may elect in the future to utilize additional strategic partners, distributors, or contract sales forces to assist in the development and commercialization of our products.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The large size and expanding scope of the CNS markets, especially the high unmet need in large and growing global markets for anxiety and depression disorders, make them attractive therapeutic areas for biopharmaceutical businesses.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large and established research and development and commercial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tolerability, convenience, price, the level of branded and generic competition, and the availability of reimbursement from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Currently there is no FDA-approved acute treatment of anxiety for adults with SAD. Also, there are no FDA-approved therapies for SAD with the mechanism of action of PH94B, and we are aware of no company developing a potential acute treatment of anxiety for adults with SAD that is a nasal spray and involves the same mechanism of pharmacological action as PH94B. We are aware of several companies that are developing therapies targeting acute treatment in the SAD market, including, among others, Bionomics, Vanda Pharmaceuticals, and Receptor Life Sciences. In addition, we may face competition to PH94B for acute treatment of anxiety in adult and adolescent patients with SAD from generic antidepressants as well as off-label use of generic benzodiazepines and generic beta blockers even though no drug in either of such generic drug classes has been systematically developed for treatment of SAD and thus no drug in either of such generic drug classes has been FDA-approved for the acute treatment of anxiety in adults with SAD. Although there are three oral antidepressants approved by the FDA for the chronic treatment of SAD, such drugs do not achieve rapid-onset therapeutic effects and are associated with undesirable side effects. Cognitive behavioral therapy is also an important treatment approach to SAD that may be used along with or instead of pharmacological treatments, including antidepressants, benzodiazepines, beta blockers, PH94B and other drug candidates in clinical development.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Patients with MDD are typically treated with a variety of oral antidepressant medications or oral atypical antipsychotics. These treatments often include generic antidepressants such as: fluoxetine (Prozac), previously marketed by Eli Lilly and Company; sertraline (Zoloft) and venlaxafine (Effexor), both previously marketed by Pfizer, Inc.; and paroxetine (Paxil) and bupropion (Wellbutrin), both previously marketed by GlaxoSmithKline (now GSK). Treatments may also include currently marketed proprietary branded medications indicated for MDD such as: Trintellix, which is marketed by Takeda Pharmaceuticals America, Inc and H. Lundbeck A/S; Viibryd, which is marketed by Abbvie; and Rexulti which is marketed by Otsuka America. Although currently there are no FDA-approved therapies for MDD with the mechanism of pharmacological action of either PH10 or AV-101, we are aware of numerous companies that are developing therapies targeting the MDD market, including, among others, Axsome Therapeutics, Sage Therapeutics, Relmada Therapeutics, Intra-Cellular Therapeutics Usona Institute, Clexio Biosciences, Eleusis, and Small Pharma. Additionally, with respect to MDD, we expect that PH10 and AV-101 will have to compete with a variety of non-pharmacological alternatives for treatment of MDD, such as psychotherapy and electroconvulsive therapy.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supranational regions, extensively regulate, among other things, the research, development, testing, manufacture, packaging, storage, recordkeeping, labeling, advertising, promotion, distribution, marketing, import, and export of pharmaceutical products such as those we are developing.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U.S., the FDA regulates drugs under the FDCA and its implementing regulations. The process required by the FDA before product candidates may be marketed in the U.S. generally involves the following:</w:t>
      </w:r>
    </w:p>
    <w:p>
      <w:pPr>
        <w:spacing w:after="0" w:line="160" w:lineRule="exact"/>
        <w:rPr>
          <w:sz w:val="20"/>
          <w:szCs w:val="20"/>
          <w:color w:val="auto"/>
        </w:rPr>
      </w:pPr>
    </w:p>
    <w:p>
      <w:pPr>
        <w:ind w:left="720" w:hanging="323"/>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w:t>
      </w:r>
      <w:r>
        <w:rPr>
          <w:rFonts w:ascii="Times New Roman" w:cs="Times New Roman" w:eastAsia="Times New Roman" w:hAnsi="Times New Roman"/>
          <w:sz w:val="18"/>
          <w:szCs w:val="18"/>
          <w:i w:val="1"/>
          <w:iCs w:val="1"/>
          <w:color w:val="auto"/>
        </w:rPr>
        <w:t>GLP</w:t>
      </w:r>
      <w:r>
        <w:rPr>
          <w:rFonts w:ascii="Times New Roman" w:cs="Times New Roman" w:eastAsia="Times New Roman" w:hAnsi="Times New Roman"/>
          <w:sz w:val="18"/>
          <w:szCs w:val="18"/>
          <w:color w:val="auto"/>
        </w:rPr>
        <w:t>) regulations;</w:t>
      </w:r>
    </w:p>
    <w:p>
      <w:pPr>
        <w:spacing w:after="0" w:line="160" w:lineRule="exact"/>
        <w:rPr>
          <w:rFonts w:ascii="Times New Roman" w:cs="Times New Roman" w:eastAsia="Times New Roman" w:hAnsi="Times New Roman"/>
          <w:sz w:val="18"/>
          <w:szCs w:val="18"/>
          <w:color w:val="auto"/>
        </w:rPr>
      </w:pPr>
    </w:p>
    <w:p>
      <w:pPr>
        <w:ind w:left="720" w:hanging="323"/>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220" w:lineRule="exact"/>
        <w:rPr>
          <w:rFonts w:ascii="Times New Roman" w:cs="Times New Roman" w:eastAsia="Times New Roman" w:hAnsi="Times New Roman"/>
          <w:sz w:val="18"/>
          <w:szCs w:val="18"/>
          <w:color w:val="auto"/>
        </w:rPr>
      </w:pPr>
    </w:p>
    <w:p>
      <w:pPr>
        <w:ind w:left="720" w:hanging="323"/>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for each clinical site or centrally, before each trial may be initiated;</w:t>
      </w:r>
    </w:p>
    <w:p>
      <w:pPr>
        <w:spacing w:after="0" w:line="196" w:lineRule="exact"/>
        <w:rPr>
          <w:rFonts w:ascii="Times New Roman" w:cs="Times New Roman" w:eastAsia="Times New Roman" w:hAnsi="Times New Roman"/>
          <w:sz w:val="18"/>
          <w:szCs w:val="18"/>
          <w:color w:val="auto"/>
        </w:rPr>
      </w:pPr>
    </w:p>
    <w:p>
      <w:pPr>
        <w:ind w:left="720" w:hanging="323"/>
        <w:spacing w:after="0" w:line="239" w:lineRule="exact"/>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human clinical trials to establish the safety and efficacy of the proposed drug candidates for its intended use, performed in accordance with current Good Clinical Practices (</w:t>
      </w:r>
      <w:r>
        <w:rPr>
          <w:rFonts w:ascii="Times New Roman" w:cs="Times New Roman" w:eastAsia="Times New Roman" w:hAnsi="Times New Roman"/>
          <w:sz w:val="18"/>
          <w:szCs w:val="18"/>
          <w:i w:val="1"/>
          <w:iCs w:val="1"/>
          <w:color w:val="auto"/>
        </w:rPr>
        <w:t>cGCP</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720" w:hanging="323"/>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in compliance with current cGMPs to ensure the drug’s identity, strength, quality, and purity;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7" w:name="page18"/>
    <w:bookmarkEnd w:id="17"/>
    <w:p>
      <w:pPr>
        <w:ind w:left="720" w:hanging="323"/>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required information and submission to the FDA of an NDA;</w:t>
      </w:r>
    </w:p>
    <w:p>
      <w:pPr>
        <w:spacing w:after="0" w:line="222" w:lineRule="exact"/>
        <w:rPr>
          <w:rFonts w:ascii="Times New Roman" w:cs="Times New Roman" w:eastAsia="Times New Roman" w:hAnsi="Times New Roman"/>
          <w:sz w:val="18"/>
          <w:szCs w:val="18"/>
          <w:color w:val="auto"/>
        </w:rPr>
      </w:pPr>
    </w:p>
    <w:p>
      <w:pPr>
        <w:ind w:left="720" w:hanging="323"/>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2" w:lineRule="exact"/>
        <w:rPr>
          <w:rFonts w:ascii="Times New Roman" w:cs="Times New Roman" w:eastAsia="Times New Roman" w:hAnsi="Times New Roman"/>
          <w:sz w:val="18"/>
          <w:szCs w:val="18"/>
          <w:color w:val="auto"/>
        </w:rPr>
      </w:pPr>
    </w:p>
    <w:p>
      <w:pPr>
        <w:jc w:val="both"/>
        <w:ind w:left="720" w:hanging="323"/>
        <w:spacing w:after="0" w:line="287" w:lineRule="auto"/>
        <w:tabs>
          <w:tab w:leader="none" w:pos="7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58" w:lineRule="exact"/>
        <w:rPr>
          <w:rFonts w:ascii="Times New Roman" w:cs="Times New Roman" w:eastAsia="Times New Roman" w:hAnsi="Times New Roman"/>
          <w:sz w:val="17"/>
          <w:szCs w:val="17"/>
          <w:color w:val="auto"/>
        </w:rPr>
      </w:pPr>
    </w:p>
    <w:p>
      <w:pPr>
        <w:ind w:left="720" w:hanging="323"/>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for particular indications for 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GLP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w:t>
      </w:r>
    </w:p>
    <w:p>
      <w:pPr>
        <w:spacing w:after="0" w:line="15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An IND becomes effective 30 days after receipt by the FDA, unless the FDA, within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time period, notifies the applicant of safety and/or product quality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Once an IND is in effect, each new clinical protocol and any amendments to the protocol must be submitted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study results, must be submitted within specific timeframes to the NIH for public dissemination on their clinicaltrials.gov website.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which may overlap or be combined.</w:t>
      </w:r>
    </w:p>
    <w:p>
      <w:pPr>
        <w:spacing w:after="0" w:line="221" w:lineRule="exact"/>
        <w:rPr>
          <w:sz w:val="20"/>
          <w:szCs w:val="20"/>
          <w:color w:val="auto"/>
        </w:rPr>
      </w:pPr>
    </w:p>
    <w:p>
      <w:pPr>
        <w:jc w:val="both"/>
        <w:ind w:left="720" w:hanging="323"/>
        <w:spacing w:after="0" w:line="222" w:lineRule="exact"/>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—Studies are initially conducted in healthy human volunteers or subjects with the target disease or condition and test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 for safety, dosage tolerance, structure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activity relationships, mechanism of action, absorption, metabolism, distribution, and excretion. If possible, Phase 1 trials may also be used to gain an initial indication of product effectiveness.</w:t>
      </w:r>
    </w:p>
    <w:p>
      <w:pPr>
        <w:spacing w:after="0" w:line="195" w:lineRule="exact"/>
        <w:rPr>
          <w:rFonts w:ascii="Times New Roman" w:cs="Times New Roman" w:eastAsia="Times New Roman" w:hAnsi="Times New Roman"/>
          <w:sz w:val="18"/>
          <w:szCs w:val="18"/>
          <w:color w:val="auto"/>
        </w:rPr>
      </w:pPr>
    </w:p>
    <w:p>
      <w:pPr>
        <w:ind w:left="720" w:hanging="323"/>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—Controlled studies are conducted in limited subject populations with a specified disease or condition to evaluate preliminary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optimal dosages, dosage tolerance and schedule, possible adverse effects and safety risks, and expanded evidence of safety.</w:t>
      </w:r>
    </w:p>
    <w:p>
      <w:pPr>
        <w:spacing w:after="0" w:line="131" w:lineRule="exact"/>
        <w:rPr>
          <w:rFonts w:ascii="Times New Roman" w:cs="Times New Roman" w:eastAsia="Times New Roman" w:hAnsi="Times New Roman"/>
          <w:sz w:val="18"/>
          <w:szCs w:val="18"/>
          <w:color w:val="auto"/>
        </w:rPr>
      </w:pPr>
    </w:p>
    <w:p>
      <w:pPr>
        <w:jc w:val="both"/>
        <w:ind w:left="720" w:hanging="323"/>
        <w:spacing w:after="0" w:line="226" w:lineRule="exact"/>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—These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are undertaken in expanded subject populations, generally at geographically dispersed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sites, to generate enough data to provide statistically significant evidence of clinical efficacy and safety of the product for approval, to establish the overall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profile of the product, and to provide adequate information for the labeling of the product. Typically, two successful Phase 3 trials are required by the FDA for product approval.</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real-world evidence for already approved products, and, for appropriate indications sought through supplemental marketing applications.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During the development of a new drug, a sponsor may be able to request a Special Protocol Assessment (</w:t>
      </w:r>
      <w:r>
        <w:rPr>
          <w:rFonts w:ascii="Times New Roman" w:cs="Times New Roman" w:eastAsia="Times New Roman" w:hAnsi="Times New Roman"/>
          <w:sz w:val="18"/>
          <w:szCs w:val="18"/>
          <w:i w:val="1"/>
          <w:iCs w:val="1"/>
          <w:color w:val="auto"/>
        </w:rPr>
        <w:t>SPA</w:t>
      </w:r>
      <w:r>
        <w:rPr>
          <w:rFonts w:ascii="Times New Roman" w:cs="Times New Roman" w:eastAsia="Times New Roman" w:hAnsi="Times New Roman"/>
          <w:sz w:val="18"/>
          <w:szCs w:val="18"/>
          <w:color w:val="auto"/>
        </w:rPr>
        <w:t>)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upon clinical trial protocol is followed, the clinical trial endpoints are achieved, and there is a favorable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Submission, Review by the FDA, and Marketing Approval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chemistry, manufacturing, and control (</w:t>
      </w:r>
      <w:r>
        <w:rPr>
          <w:rFonts w:ascii="Times New Roman" w:cs="Times New Roman" w:eastAsia="Times New Roman" w:hAnsi="Times New Roman"/>
          <w:sz w:val="18"/>
          <w:szCs w:val="18"/>
          <w:i w:val="1"/>
          <w:iCs w:val="1"/>
          <w:color w:val="auto"/>
        </w:rPr>
        <w:t>CMC</w:t>
      </w:r>
      <w:r>
        <w:rPr>
          <w:rFonts w:ascii="Times New Roman" w:cs="Times New Roman" w:eastAsia="Times New Roman" w:hAnsi="Times New Roman"/>
          <w:sz w:val="18"/>
          <w:szCs w:val="18"/>
          <w:color w:val="auto"/>
        </w:rPr>
        <w:t>)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w:t>
      </w:r>
      <w:r>
        <w:rPr>
          <w:rFonts w:ascii="Times New Roman" w:cs="Times New Roman" w:eastAsia="Times New Roman" w:hAnsi="Times New Roman"/>
          <w:sz w:val="18"/>
          <w:szCs w:val="18"/>
          <w:i w:val="1"/>
          <w:iCs w:val="1"/>
          <w:color w:val="auto"/>
        </w:rPr>
        <w:t>PDUFA</w:t>
      </w:r>
      <w:r>
        <w:rPr>
          <w:rFonts w:ascii="Times New Roman" w:cs="Times New Roman" w:eastAsia="Times New Roman" w:hAnsi="Times New Roman"/>
          <w:sz w:val="18"/>
          <w:szCs w:val="18"/>
          <w:color w:val="auto"/>
        </w:rPr>
        <w:t>).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not subject to application user fees unless the application includes an indication other than the orphan indication.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under the Pediatric Research Equity Act (</w:t>
      </w:r>
      <w:r>
        <w:rPr>
          <w:rFonts w:ascii="Times New Roman" w:cs="Times New Roman" w:eastAsia="Times New Roman" w:hAnsi="Times New Roman"/>
          <w:sz w:val="18"/>
          <w:szCs w:val="18"/>
          <w:i w:val="1"/>
          <w:iCs w:val="1"/>
          <w:color w:val="auto"/>
        </w:rPr>
        <w:t>PREA</w:t>
      </w:r>
      <w:r>
        <w:rPr>
          <w:rFonts w:ascii="Times New Roman" w:cs="Times New Roman" w:eastAsia="Times New Roman" w:hAnsi="Times New Roman"/>
          <w:sz w:val="18"/>
          <w:szCs w:val="18"/>
          <w:color w:val="auto"/>
        </w:rPr>
        <w: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w:t>
      </w:r>
      <w:r>
        <w:rPr>
          <w:rFonts w:ascii="Times New Roman" w:cs="Times New Roman" w:eastAsia="Times New Roman" w:hAnsi="Times New Roman"/>
          <w:sz w:val="18"/>
          <w:szCs w:val="18"/>
          <w:i w:val="1"/>
          <w:iCs w:val="1"/>
          <w:color w:val="auto"/>
        </w:rPr>
        <w:t>PSP</w:t>
      </w:r>
      <w:r>
        <w:rPr>
          <w:rFonts w:ascii="Times New Roman" w:cs="Times New Roman" w:eastAsia="Times New Roman" w:hAnsi="Times New Roman"/>
          <w:sz w:val="18"/>
          <w:szCs w:val="18"/>
          <w:color w:val="auto"/>
        </w:rPr>
        <w:t>)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programs.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FDA may require submission of a risk evaluation and mitigation strategy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84"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Once the FDA receives an application, it will determine within 60 days whether the NDA as filed is sufficiently complete to permit a substantive review (with this decision often referred to as the NDA being “accepted for filing.”). If the FDA determines that the NDA is not sufficiently complete to permit a substantive review, the application must be resubmitted with additional information requested by the FDA. The resubmitted application is also subject to review before the FDA accepts it for filing. Once the submission is accepted for filing, the FDA begins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substantive review of the NDA.</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agreed to a set of performance goals and procedures under PDUFA to review 90% of all applications within ten months from the 60-day filing date for its initial review of a standard NDA for a New Molecular Entity (</w:t>
      </w:r>
      <w:r>
        <w:rPr>
          <w:rFonts w:ascii="Times New Roman" w:cs="Times New Roman" w:eastAsia="Times New Roman" w:hAnsi="Times New Roman"/>
          <w:sz w:val="18"/>
          <w:szCs w:val="18"/>
          <w:i w:val="1"/>
          <w:iCs w:val="1"/>
          <w:color w:val="auto"/>
        </w:rPr>
        <w:t>NME</w:t>
      </w:r>
      <w:r>
        <w:rPr>
          <w:rFonts w:ascii="Times New Roman" w:cs="Times New Roman" w:eastAsia="Times New Roman" w:hAnsi="Times New Roman"/>
          <w:sz w:val="18"/>
          <w:szCs w:val="18"/>
          <w:color w:val="auto"/>
        </w:rPr>
        <w:t>).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8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77"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CMC, or other data and information. Uncertainties can be presented by reviewers’ ability to exercise judgment and discretion during the review process.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FDA’s goal is to review the supplement within the same length of time (from receipt) as the initial review cycle (excluding an extension caused by a major amendment of the initial supplement).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8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9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Marketing Applications</w:t>
      </w:r>
    </w:p>
    <w:p>
      <w:pPr>
        <w:spacing w:after="0" w:line="225"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w:t>
      </w:r>
      <w:r>
        <w:rPr>
          <w:rFonts w:ascii="Times New Roman" w:cs="Times New Roman" w:eastAsia="Times New Roman" w:hAnsi="Times New Roman"/>
          <w:sz w:val="18"/>
          <w:szCs w:val="18"/>
          <w:i w:val="1"/>
          <w:iCs w:val="1"/>
          <w:color w:val="auto"/>
        </w:rPr>
        <w:t>ANDA</w:t>
      </w:r>
      <w:r>
        <w:rPr>
          <w:rFonts w:ascii="Times New Roman" w:cs="Times New Roman" w:eastAsia="Times New Roman" w:hAnsi="Times New Roman"/>
          <w:sz w:val="18"/>
          <w:szCs w:val="18"/>
          <w:color w:val="auto"/>
        </w:rPr>
        <w:t>).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505(b)(2) Approval Process</w:t>
      </w:r>
    </w:p>
    <w:p>
      <w:pPr>
        <w:spacing w:after="0" w:line="225"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cs="Times New Roman" w:eastAsia="Times New Roman" w:hAnsi="Times New Roman"/>
          <w:sz w:val="18"/>
          <w:szCs w:val="18"/>
          <w:i w:val="1"/>
          <w:iCs w:val="1"/>
          <w:color w:val="auto"/>
        </w:rPr>
        <w:t>Approved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with Therapeutic Equivalence Evaluations</w:t>
      </w:r>
      <w:r>
        <w:rPr>
          <w:rFonts w:ascii="Times New Roman" w:cs="Times New Roman" w:eastAsia="Times New Roman" w:hAnsi="Times New Roman"/>
          <w:sz w:val="18"/>
          <w:szCs w:val="18"/>
          <w:color w:val="auto"/>
        </w:rPr>
        <w:t>, also known as the Orange Book.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claimed by the referenced product have expired.</w:t>
      </w:r>
    </w:p>
    <w:p>
      <w:pPr>
        <w:spacing w:after="0" w:line="18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w:t>
      </w:r>
    </w:p>
    <w:p>
      <w:pPr>
        <w:spacing w:after="0" w:line="18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Exclusivity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8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w:t>
      </w:r>
      <w:r>
        <w:rPr>
          <w:rFonts w:ascii="Times New Roman" w:cs="Times New Roman" w:eastAsia="Times New Roman" w:hAnsi="Times New Roman"/>
          <w:sz w:val="18"/>
          <w:szCs w:val="18"/>
          <w:i w:val="1"/>
          <w:iCs w:val="1"/>
          <w:color w:val="auto"/>
        </w:rPr>
        <w:t>NCI</w:t>
      </w:r>
      <w:r>
        <w:rPr>
          <w:rFonts w:ascii="Times New Roman" w:cs="Times New Roman" w:eastAsia="Times New Roman" w:hAnsi="Times New Roman"/>
          <w:sz w:val="18"/>
          <w:szCs w:val="18"/>
          <w:color w:val="auto"/>
        </w:rPr>
        <w:t>) was essential to approval of the application containing those changes. During the NCI exclusivity period,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necessary to demonstrate safety and efficacy.</w:t>
      </w:r>
    </w:p>
    <w:p>
      <w:pPr>
        <w:spacing w:after="0" w:line="182"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exclusivity periods described above as well as applicable patent terms. This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jc w:val="both"/>
        <w:spacing w:after="0" w:line="220" w:lineRule="exact"/>
        <w:rPr>
          <w:sz w:val="20"/>
          <w:szCs w:val="20"/>
          <w:color w:val="auto"/>
        </w:rPr>
      </w:pPr>
      <w:r>
        <w:rPr>
          <w:rFonts w:ascii="Times New Roman" w:cs="Times New Roman" w:eastAsia="Times New Roman" w:hAnsi="Times New Roman"/>
          <w:sz w:val="18"/>
          <w:szCs w:val="18"/>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waivers.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some cases, a Fast Track designated product may be eligible for Accelerated Approval or Priority Review.</w:t>
      </w:r>
    </w:p>
    <w:p>
      <w:pPr>
        <w:spacing w:after="0" w:line="22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NDA within six months of receipt, rather than the standard review of ten months under current PDUFA guidelines, of the 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NMEs. Products that are eligible for Fast Track designation may also be considered appropriate to receive a Priority Review.</w:t>
      </w:r>
    </w:p>
    <w:p>
      <w:pPr>
        <w:spacing w:after="0" w:line="19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Moreover, under the provisions of the Food and Drug Administration Safety and Innovation Act (</w:t>
      </w:r>
      <w:r>
        <w:rPr>
          <w:rFonts w:ascii="Times New Roman" w:cs="Times New Roman" w:eastAsia="Times New Roman" w:hAnsi="Times New Roman"/>
          <w:sz w:val="18"/>
          <w:szCs w:val="18"/>
          <w:i w:val="1"/>
          <w:iCs w:val="1"/>
          <w:color w:val="auto"/>
        </w:rPr>
        <w:t>FDASIA</w:t>
      </w:r>
      <w:r>
        <w:rPr>
          <w:rFonts w:ascii="Times New Roman" w:cs="Times New Roman" w:eastAsia="Times New Roman" w:hAnsi="Times New Roman"/>
          <w:sz w:val="18"/>
          <w:szCs w:val="18"/>
          <w:color w:val="auto"/>
        </w:rPr>
        <w:t>) enacted in 2012, a sponsor may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disciplinary review.</w:t>
      </w:r>
    </w:p>
    <w:p>
      <w:pPr>
        <w:spacing w:after="0" w:line="17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Post</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approval Requirements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8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jc w:val="both"/>
        <w:spacing w:after="0" w:line="220" w:lineRule="exact"/>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or notification before being implemented. FDA regulations also require investigation and correction of any deviations from cGMP and product specifications and impose reporting and documentation requirements upon the sponsor and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that the sponsor may decide to use. Accordingly, manufacturers must continue to expend time, money, and effort in the area of production and quality control to maintain cGMP compliance.</w:t>
      </w:r>
    </w:p>
    <w:p>
      <w:pPr>
        <w:spacing w:after="0" w:line="199"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Department of Justice has consistently asserted in FCA briefings that “speech that serves as a conduit for violations of the law is not constitutionally protected.”</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Drug Supply Chain Security Act (</w:t>
      </w:r>
      <w:r>
        <w:rPr>
          <w:rFonts w:ascii="Times New Roman" w:cs="Times New Roman" w:eastAsia="Times New Roman" w:hAnsi="Times New Roman"/>
          <w:sz w:val="18"/>
          <w:szCs w:val="18"/>
          <w:i w:val="1"/>
          <w:iCs w:val="1"/>
          <w:color w:val="auto"/>
        </w:rPr>
        <w:t>DSCSA</w:t>
      </w:r>
      <w:r>
        <w:rPr>
          <w:rFonts w:ascii="Times New Roman" w:cs="Times New Roman" w:eastAsia="Times New Roman" w:hAnsi="Times New Roman"/>
          <w:sz w:val="18"/>
          <w:szCs w:val="18"/>
          <w:color w:val="auto"/>
        </w:rPr>
        <w:t>)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w:t>
      </w:r>
      <w:r>
        <w:rPr>
          <w:rFonts w:ascii="Times New Roman" w:cs="Times New Roman" w:eastAsia="Times New Roman" w:hAnsi="Times New Roman"/>
          <w:sz w:val="18"/>
          <w:szCs w:val="18"/>
          <w:i w:val="1"/>
          <w:iCs w:val="1"/>
          <w:color w:val="auto"/>
        </w:rPr>
        <w:t>PDMA</w:t>
      </w:r>
      <w:r>
        <w:rPr>
          <w:rFonts w:ascii="Times New Roman" w:cs="Times New Roman" w:eastAsia="Times New Roman" w:hAnsi="Times New Roman"/>
          <w:sz w:val="18"/>
          <w:szCs w:val="18"/>
          <w:color w:val="auto"/>
        </w:rPr>
        <w:t>).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19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 and Abuse, and Transparency Laws and Regulations</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Following product approval, our business activities, including but not limited to research, sales, promotion, marketing, distribution, medical education, sponsorships, relationships with prescribers and other referral sources, and other activities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the Office of Inspector General (</w:t>
      </w:r>
      <w:r>
        <w:rPr>
          <w:rFonts w:ascii="Times New Roman" w:cs="Times New Roman" w:eastAsia="Times New Roman" w:hAnsi="Times New Roman"/>
          <w:sz w:val="18"/>
          <w:szCs w:val="18"/>
          <w:i w:val="1"/>
          <w:iCs w:val="1"/>
          <w:color w:val="auto"/>
        </w:rPr>
        <w:t>OIG</w:t>
      </w:r>
      <w:r>
        <w:rPr>
          <w:rFonts w:ascii="Times New Roman" w:cs="Times New Roman" w:eastAsia="Times New Roman" w:hAnsi="Times New Roman"/>
          <w:sz w:val="18"/>
          <w:szCs w:val="18"/>
          <w:color w:val="auto"/>
        </w:rPr>
        <w:t>), and the Health Resources and Services Administration (</w:t>
      </w:r>
      <w:r>
        <w:rPr>
          <w:rFonts w:ascii="Times New Roman" w:cs="Times New Roman" w:eastAsia="Times New Roman" w:hAnsi="Times New Roman"/>
          <w:sz w:val="18"/>
          <w:szCs w:val="18"/>
          <w:i w:val="1"/>
          <w:iCs w:val="1"/>
          <w:color w:val="auto"/>
        </w:rPr>
        <w:t>HRSA</w:t>
      </w:r>
      <w:r>
        <w:rPr>
          <w:rFonts w:ascii="Times New Roman" w:cs="Times New Roman" w:eastAsia="Times New Roman" w:hAnsi="Times New Roman"/>
          <w:sz w:val="18"/>
          <w:szCs w:val="18"/>
          <w:color w:val="auto"/>
        </w:rPr>
        <w:t>),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and regulations as well as data privacy and security laws and regulations, which are described below.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jc w:val="both"/>
        <w:spacing w:after="0" w:line="251"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 to determine whether one purpose of an arrangement involving remuneration is to induce referrals of federal healthcare covered business. The Patient Protection and Affordable Care Act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of 2010, as amended, modified the intent requirement under the Anti-Kickback Statute to a stricter standard, such that a person or entity no longer needs to have actual knowledge of the statute or specific intent to violate it in order to have committed a violation. The ACA further amended the federal civil False Claims Act to provide that a claim that includes items or services resulting from a violation of the federal Anti-Kickback Statute constitutes a false or fraudulent claim under the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w:t>
      </w:r>
      <w:r>
        <w:rPr>
          <w:rFonts w:ascii="Times New Roman" w:cs="Times New Roman" w:eastAsia="Times New Roman" w:hAnsi="Times New Roman"/>
          <w:sz w:val="18"/>
          <w:szCs w:val="18"/>
          <w:i w:val="1"/>
          <w:iCs w:val="1"/>
          <w:color w:val="auto"/>
        </w:rPr>
        <w:t>EHR</w:t>
      </w:r>
      <w:r>
        <w:rPr>
          <w:rFonts w:ascii="Times New Roman" w:cs="Times New Roman" w:eastAsia="Times New Roman" w:hAnsi="Times New Roman"/>
          <w:sz w:val="18"/>
          <w:szCs w:val="18"/>
          <w:color w:val="auto"/>
        </w:rPr>
        <w:t>) vendors and pharmaceutical manufacturers for remunerative relationships involving the EHR platform’s recommendation of particular drugs and “prompting” technology to increase prescribing of particular drugs.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ACA further created new federal requirements for reporting under the Physician Payments Sunshine Act (the </w:t>
      </w:r>
      <w:r>
        <w:rPr>
          <w:rFonts w:ascii="Times New Roman" w:cs="Times New Roman" w:eastAsia="Times New Roman" w:hAnsi="Times New Roman"/>
          <w:sz w:val="18"/>
          <w:szCs w:val="18"/>
          <w:i w:val="1"/>
          <w:iCs w:val="1"/>
          <w:color w:val="auto"/>
        </w:rPr>
        <w:t>Sunshine Act</w:t>
      </w:r>
      <w:r>
        <w:rPr>
          <w:rFonts w:ascii="Times New Roman" w:cs="Times New Roman" w:eastAsia="Times New Roman" w:hAnsi="Times New Roman"/>
          <w:sz w:val="18"/>
          <w:szCs w:val="18"/>
          <w:color w:val="auto"/>
        </w:rPr>
        <w:t>) by applicable manufacturers of covered drugs, payments and other transfers of value to physicians and teaching hospitals, and ownership and investment interests held by physicians and their immediate family members. 2018 legislation extended the Sunshine Act to cover payments and transfers of value to physician assistants, nurse practitioners, and other mid-level practitioners (with reporting requirements going into effect in 2022 for payments and transfers of value made in 2021).</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federal civil False Claims Act (</w:t>
      </w:r>
      <w:r>
        <w:rPr>
          <w:rFonts w:ascii="Times New Roman" w:cs="Times New Roman" w:eastAsia="Times New Roman" w:hAnsi="Times New Roman"/>
          <w:sz w:val="18"/>
          <w:szCs w:val="18"/>
          <w:i w:val="1"/>
          <w:iCs w:val="1"/>
          <w:color w:val="auto"/>
        </w:rPr>
        <w:t>FCA</w:t>
      </w:r>
      <w:r>
        <w:rPr>
          <w:rFonts w:ascii="Times New Roman" w:cs="Times New Roman" w:eastAsia="Times New Roman" w:hAnsi="Times New Roman"/>
          <w:sz w:val="18"/>
          <w:szCs w:val="18"/>
          <w:color w:val="auto"/>
        </w:rPr>
        <w:t>)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FCA;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as much as $3.0 billion, regarding certain sales practices and promoting off-label drug uses.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jc w:val="both"/>
        <w:spacing w:after="0" w:line="310" w:lineRule="auto"/>
        <w:rPr>
          <w:sz w:val="20"/>
          <w:szCs w:val="20"/>
          <w:color w:val="auto"/>
        </w:rPr>
      </w:pPr>
      <w:r>
        <w:rPr>
          <w:rFonts w:ascii="Times New Roman" w:cs="Times New Roman" w:eastAsia="Times New Roman" w:hAnsi="Times New Roman"/>
          <w:sz w:val="17"/>
          <w:szCs w:val="17"/>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the criminal healthcare fraud statutes impose criminal liability for, among other things, knowingly and willfully attempting or executing a scheme to defraud any healthcare benefit program, including private third-party payers, obtaining money or property of a benefit program by false or fraudulent means, or falsifying, concealing, or covering up a material fact or submitting a materially false statement in connection with the delivery of, or payment from healthcare benefits, items, or services. These statutes are not limited to items and services reimbursed by a governmental health care program and have been used to prosecute commercial insurance fraud as well.</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exclusion statute requires the exclusion of entities and individuals who have been convicted of federal- 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92"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7"/>
          <w:szCs w:val="17"/>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w:t>
      </w:r>
      <w:r>
        <w:rPr>
          <w:rFonts w:ascii="Times New Roman" w:cs="Times New Roman" w:eastAsia="Times New Roman" w:hAnsi="Times New Roman"/>
          <w:sz w:val="17"/>
          <w:szCs w:val="17"/>
          <w:i w:val="1"/>
          <w:iCs w:val="1"/>
          <w:color w:val="auto"/>
        </w:rPr>
        <w:t>BLA</w:t>
      </w:r>
      <w:r>
        <w:rPr>
          <w:rFonts w:ascii="Times New Roman" w:cs="Times New Roman" w:eastAsia="Times New Roman" w:hAnsi="Times New Roman"/>
          <w:sz w:val="17"/>
          <w:szCs w:val="17"/>
          <w:color w:val="auto"/>
        </w:rPr>
        <w:t>) or an NDA, including 505(b)(2) drugs, are subject to an additional inflation penalty which can substantially increase rebate payments. In addition, for BLA and NDA drugs, the Veterans Health Care Act (</w:t>
      </w:r>
      <w:r>
        <w:rPr>
          <w:rFonts w:ascii="Times New Roman" w:cs="Times New Roman" w:eastAsia="Times New Roman" w:hAnsi="Times New Roman"/>
          <w:sz w:val="17"/>
          <w:szCs w:val="17"/>
          <w:i w:val="1"/>
          <w:iCs w:val="1"/>
          <w:color w:val="auto"/>
        </w:rPr>
        <w:t>VHCA</w:t>
      </w:r>
      <w:r>
        <w:rPr>
          <w:rFonts w:ascii="Times New Roman" w:cs="Times New Roman" w:eastAsia="Times New Roman" w:hAnsi="Times New Roman"/>
          <w:sz w:val="17"/>
          <w:szCs w:val="17"/>
          <w:color w:val="auto"/>
        </w:rPr>
        <w:t>) requires manufacturers to calculate and report to the VA a different price called the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a risk of submitting false information to the government resulting in potential FCA liability.</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the HRSA within Department of Health and Human Services. Manufacturers can be audited by the HRSA and be subjected to civil monetary penalties for knowingly and intentionally overcharging covered entities for drugs.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payer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we may be subject to data privacy and security regulation by both the federal government and the states in which we conduct our business. HIPAA, as amended by the Health Information Technology for Economic and Clinical Health Act (</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and its respective implementing regulations, extended certain requirements relating to the privacy, security, and transmission of individually identifiable health information directly to business associates of HIPAA-covered entities. A business associate is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for entities that are not deemed “covered entities” or “business associates” under HIPAA, according to the United States Federal Trade Commission (</w:t>
      </w:r>
      <w:r>
        <w:rPr>
          <w:rFonts w:ascii="Times New Roman" w:cs="Times New Roman" w:eastAsia="Times New Roman" w:hAnsi="Times New Roman"/>
          <w:sz w:val="18"/>
          <w:szCs w:val="18"/>
          <w:i w:val="1"/>
          <w:iCs w:val="1"/>
          <w:color w:val="auto"/>
        </w:rPr>
        <w:t>FTC</w:t>
      </w:r>
      <w:r>
        <w:rPr>
          <w:rFonts w:ascii="Times New Roman" w:cs="Times New Roman" w:eastAsia="Times New Roman" w:hAnsi="Times New Roman"/>
          <w:sz w:val="18"/>
          <w:szCs w:val="18"/>
          <w:color w:val="auto"/>
        </w:rPr>
        <w:t>) failing to take appropriate steps to keep consumers' personal information secure constitutes unfair acts or practices in or affecting commerce in violation of Section 5(a) of the Federal Trade Commission Act (</w:t>
      </w:r>
      <w:r>
        <w:rPr>
          <w:rFonts w:ascii="Times New Roman" w:cs="Times New Roman" w:eastAsia="Times New Roman" w:hAnsi="Times New Roman"/>
          <w:sz w:val="18"/>
          <w:szCs w:val="18"/>
          <w:i w:val="1"/>
          <w:iCs w:val="1"/>
          <w:color w:val="auto"/>
        </w:rPr>
        <w:t>FTCA</w:t>
      </w:r>
      <w:r>
        <w:rPr>
          <w:rFonts w:ascii="Times New Roman" w:cs="Times New Roman" w:eastAsia="Times New Roman" w:hAnsi="Times New Roman"/>
          <w:sz w:val="18"/>
          <w:szCs w:val="18"/>
          <w:color w:val="auto"/>
        </w:rPr>
        <w: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w:t>
      </w:r>
      <w:r>
        <w:rPr>
          <w:rFonts w:ascii="Times New Roman" w:cs="Times New Roman" w:eastAsia="Times New Roman" w:hAnsi="Times New Roman"/>
          <w:sz w:val="17"/>
          <w:szCs w:val="17"/>
          <w:i w:val="1"/>
          <w:iCs w:val="1"/>
          <w:color w:val="auto"/>
        </w:rPr>
        <w:t>(CCPA</w:t>
      </w:r>
      <w:r>
        <w:rPr>
          <w:rFonts w:ascii="Times New Roman" w:cs="Times New Roman" w:eastAsia="Times New Roman" w:hAnsi="Times New Roman"/>
          <w:sz w:val="17"/>
          <w:szCs w:val="17"/>
          <w:color w:val="auto"/>
        </w:rPr>
        <w:t>) was made effective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and it remains unclear what language the final Attorney General regulations will contain or how the statute and the regulations will be interpreted.</w:t>
      </w:r>
    </w:p>
    <w:p>
      <w:pPr>
        <w:spacing w:after="0" w:line="176"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 including commercial insurers, and some have transparency laws that require reporting price increases and related information. Certain state laws also regulate manufacturers’ use of prescriber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86"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requirements, including safety surveillance,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fraud and abuse laws, and implementation of corporate compliance programs and reporting of payments or transfers of value to healthcare professionals.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Generally</w:t>
      </w:r>
    </w:p>
    <w:p>
      <w:pPr>
        <w:spacing w:after="0" w:line="227"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payer programs at the federal and state levels, including Medicare and Medicaid,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the Centers for Medicare and Medicaid Services (</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often provide reimbursement for products and services based on the level at which the government provides reimbursement through the Medicare or Medicaid programs for such products and services.</w:t>
      </w:r>
    </w:p>
    <w:p>
      <w:pPr>
        <w:spacing w:after="0" w:line="17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In the U.S. and other potentially significant markets for our product candidates,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are increasingly attempting to limit or regulate the price of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Governmental and private payers may also establish certain access restrictions, such as prior approvals or evidence of failure on existing medications or therapies.</w:t>
      </w:r>
    </w:p>
    <w:p>
      <w:pPr>
        <w:spacing w:after="0" w:line="169"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These restrictions and limitations influence the purchase of healthcare services and products.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are developing increasingly sophisticated methods of controlling healthcare costs.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may limit coverage to specific drug products on an approved list, or formulary, which might not include all of the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drug products for a particular indication.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are increasingly challenging the price and examining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products and services, in addition to their safety and efficacy. Absent clinical differentiators,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Private payers often rely on the lead of the governmental payers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8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Further,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w:t>
      </w:r>
    </w:p>
    <w:p>
      <w:pPr>
        <w:spacing w:after="0" w:line="15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or the rebate percentages required to secure coverage may not yield an adequate margin over cost.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8" w:name="page29"/>
    <w:bookmarkEnd w:id="28"/>
    <w:p>
      <w:pPr>
        <w:jc w:val="both"/>
        <w:spacing w:after="0" w:line="251" w:lineRule="auto"/>
        <w:rPr>
          <w:sz w:val="20"/>
          <w:szCs w:val="20"/>
          <w:color w:val="auto"/>
        </w:rPr>
      </w:pPr>
      <w:r>
        <w:rPr>
          <w:rFonts w:ascii="Times New Roman" w:cs="Times New Roman" w:eastAsia="Times New Roman" w:hAnsi="Times New Roman"/>
          <w:sz w:val="18"/>
          <w:szCs w:val="18"/>
          <w:color w:val="auto"/>
        </w:rPr>
        <w:t>There is often pressure to renegotiate pricing and reimbursement levels, including, in particular, in connection with changes to Medicare. Third-party payers continue to demand discounted fee structures, and the trend toward consolidation among third-party payers tends to increase their bargaining power over price structures. If third-party payers reduce their rates for our products, then our revenue and profitability may decline and our operating margins will be reduced. Because some third-party payers rely on all or portions of Medicare payment systems to determine payment rates, changes to government healthcare programs that reduce payments under these programs may negatively impact payments from third-party payers. Our inability to maintain suitable financial arrangements with third-party payers could have a material adverse impact on our business. Additionally, the reimbursement process is complex and can involve lengthy delays. Third party payers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payers.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93"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Moreover, a payer’s decision to provide coverage for a drug product does not imply that an adequate reimbursement rate will be approved. Adequate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payers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or adequate reimbursement for our product candidates in whole or in part.</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Pharmacy benefit managers (</w:t>
      </w:r>
      <w:r>
        <w:rPr>
          <w:rFonts w:ascii="Times New Roman" w:cs="Times New Roman" w:eastAsia="Times New Roman" w:hAnsi="Times New Roman"/>
          <w:sz w:val="18"/>
          <w:szCs w:val="18"/>
          <w:i w:val="1"/>
          <w:iCs w:val="1"/>
          <w:color w:val="auto"/>
        </w:rPr>
        <w:t>PBM</w:t>
      </w:r>
      <w:r>
        <w:rPr>
          <w:rFonts w:ascii="Times New Roman" w:cs="Times New Roman" w:eastAsia="Times New Roman" w:hAnsi="Times New Roman"/>
          <w:sz w:val="18"/>
          <w:szCs w:val="18"/>
          <w:color w:val="auto"/>
        </w:rPr>
        <w:t>)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a number of legislative and regulatory proposals designed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84"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For example, the Medicare Prescription Drug, Improvement, and Modernization Act of 2003 (</w:t>
      </w:r>
      <w:r>
        <w:rPr>
          <w:rFonts w:ascii="Times New Roman" w:cs="Times New Roman" w:eastAsia="Times New Roman" w:hAnsi="Times New Roman"/>
          <w:sz w:val="18"/>
          <w:szCs w:val="18"/>
          <w:i w:val="1"/>
          <w:iCs w:val="1"/>
          <w:color w:val="auto"/>
        </w:rPr>
        <w:t>MMA</w:t>
      </w:r>
      <w:r>
        <w:rPr>
          <w:rFonts w:ascii="Times New Roman" w:cs="Times New Roman" w:eastAsia="Times New Roman" w:hAnsi="Times New Roman"/>
          <w:sz w:val="18"/>
          <w:szCs w:val="18"/>
          <w:color w:val="auto"/>
        </w:rPr>
        <w:t>)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payers.</w:t>
      </w:r>
    </w:p>
    <w:p>
      <w:pPr>
        <w:spacing w:after="0" w:line="206"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do not consider our product candidates to be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9" w:name="page30"/>
    <w:bookmarkEnd w:id="29"/>
    <w:p>
      <w:pPr>
        <w:jc w:val="both"/>
        <w:spacing w:after="0" w:line="267" w:lineRule="auto"/>
        <w:rPr>
          <w:sz w:val="20"/>
          <w:szCs w:val="20"/>
          <w:color w:val="auto"/>
        </w:rPr>
      </w:pPr>
      <w:r>
        <w:rPr>
          <w:rFonts w:ascii="Times New Roman" w:cs="Times New Roman" w:eastAsia="Times New Roman" w:hAnsi="Times New Roman"/>
          <w:sz w:val="17"/>
          <w:szCs w:val="17"/>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ACA also imposed an affirmative obligation to report and repay any overpayments, including those payments that resulted from violations of the Anti-Kickback Statute, false claims act, or civil monetary penalties statute,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cost of pharmaceuticals continues to generate substantial governmental and third-party payer interest, and pharmaceutical pricing and marketing currently received a great deal of Congressional and administrative attention. There have been numerous initiatives on the federal and state levels in the U.S.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Current and future U.S. legislative healthcare reforms may result in price controls and other restrictions for any approved products, if covered, and could seriously harm our business. Drug pricing is and will remain a key bipartisan issue in the coming year. Drug pricing reform policies may be pursued in the future and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173"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Government and private payers also increasingly require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of coverage for new or innovative devices or drug therapies or condition coverage on unsuccessful alternative treatment before they will reimburse healthcare providers that use such therapies. For some specialty drugs, payers are conditioning payment on successful treatment measured by objective metrics. While we cannot predict whether any proposed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As in the past, there may be other efforts to repeal or materially modify various aspects of ACA. The results and effects of such efforts, including judicial and Congressional challenges, could affect our business operations and prospects in unknown ways. Also, it is unclear how ACA and other laws ultimately will be fully implemented or modified. For example, in the case of Texas v. Azar, a federal district court in Texas struck down the ACA in its entirety, finding that the Tax Cuts and Jobs Act of 2017 rendered the individual mandate unconstitutional. The December 15, 2019, opinion concluded that since the individual mandate is “essential” to the ACA, it could not be severed from the rest of the ACA and therefore, the entire ACA was unconstitutional. Despite its decision, however, the court did not issue an injunction and therefore, immediate compliance was not required. Following appeal of the Fifth Circuit’s decision upholding the ruling of the federal district court, on June 17, 2021, the Supreme Court reversed the decision of the Fifth Circuit, which vacated the judgment and instructed the lower court to dismiss the case.</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Despite the Supreme Court’s recent ruling in California v. Texas (formerly Texas v. Azar), it remains unclear how future decisions from the Supreme Court and the various other courts across the country, if any, to repeal and replace the ACA will impact the ACA and our business. It is also unclear how regulations and sub-regulatory policy, which fluctuate continually, may affect interpretation and implementation of the ACA and its practical effects on our business.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Additionally,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payer or policy actions, which may include cost containment and healthcare reform measures. Such policy actions could have a material adverse impact on our profitability.</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Foreign Corrupt Practices Act (</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has been applied to the marketing of drugs and the conduct of clinical trials outside the U.S. The FCPA also obligates companies whose securities are listed in the U.S.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7"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To the extent we choose to develop or sell any products outside of the U.S., we will be subject to a variety of foreign regulatory requirements of other countries regarding safety and efficacy and governing, among other things, clinical trials, marketing authorization, commercial sales, and distribution of our products. For example, in the European Union (</w:t>
      </w:r>
      <w:r>
        <w:rPr>
          <w:rFonts w:ascii="Times New Roman" w:cs="Times New Roman" w:eastAsia="Times New Roman" w:hAnsi="Times New Roman"/>
          <w:sz w:val="18"/>
          <w:szCs w:val="18"/>
          <w:i w:val="1"/>
          <w:iCs w:val="1"/>
          <w:color w:val="auto"/>
        </w:rPr>
        <w:t>EU</w:t>
      </w:r>
      <w:r>
        <w:rPr>
          <w:rFonts w:ascii="Times New Roman" w:cs="Times New Roman" w:eastAsia="Times New Roman" w:hAnsi="Times New Roman"/>
          <w:sz w:val="18"/>
          <w:szCs w:val="18"/>
          <w:color w:val="auto"/>
        </w:rPr>
        <w:t>) we must obtain authorization of a clinical trial application in each member state in which we intend to conduct a clinical trial prior to the pending introduction of a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regulatory requirements, such as those regarding product manufacture, marketing, or distribution, would apply to any product that is approved outside the U.S.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and Inter-Corporate Relationships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VistaGen Therapeutics. Inc., a California corporation, dba 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wholly-owned subsidiary and, as of March 31, 2022, had two wholly-owned subsidiaries, Artemis Neuroscience, Inc., a corporation incorporated pursuant to the laws of the State of Maryland (</w:t>
      </w:r>
      <w:r>
        <w:rPr>
          <w:rFonts w:ascii="Times New Roman" w:cs="Times New Roman" w:eastAsia="Times New Roman" w:hAnsi="Times New Roman"/>
          <w:sz w:val="18"/>
          <w:szCs w:val="18"/>
          <w:i w:val="1"/>
          <w:iCs w:val="1"/>
          <w:color w:val="auto"/>
        </w:rPr>
        <w:t>Artemis</w:t>
      </w:r>
      <w:r>
        <w:rPr>
          <w:rFonts w:ascii="Times New Roman" w:cs="Times New Roman" w:eastAsia="Times New Roman" w:hAnsi="Times New Roman"/>
          <w:sz w:val="18"/>
          <w:szCs w:val="18"/>
          <w:color w:val="auto"/>
        </w:rPr>
        <w:t>), and VistaStem Canada, Inc., a corporation organized under the laws of Ontario, Canada (</w:t>
      </w:r>
      <w:r>
        <w:rPr>
          <w:rFonts w:ascii="Times New Roman" w:cs="Times New Roman" w:eastAsia="Times New Roman" w:hAnsi="Times New Roman"/>
          <w:sz w:val="18"/>
          <w:szCs w:val="18"/>
          <w:i w:val="1"/>
          <w:iCs w:val="1"/>
          <w:color w:val="auto"/>
        </w:rPr>
        <w:t>VistaStem Canada</w:t>
      </w:r>
      <w:r>
        <w:rPr>
          <w:rFonts w:ascii="Times New Roman" w:cs="Times New Roman" w:eastAsia="Times New Roman" w:hAnsi="Times New Roman"/>
          <w:sz w:val="18"/>
          <w:szCs w:val="18"/>
          <w:color w:val="auto"/>
        </w:rPr>
        <w:t>). Subsequent to March 31, 2022, both VistaStem Canada and Artemis were dissolved in April 2022 and June 2022, respectively. The operations of VistaStem are managed by our senior management team based in South San Francisco, California.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VistaGen Therapeutics, Inc., a California corporation incorporated on May 26, 1998, dba VistaStem, is our wholly-owned subsidiary. Excaliber Enterprises, Ltd. (</w:t>
      </w:r>
      <w:r>
        <w:rPr>
          <w:rFonts w:ascii="Times New Roman" w:cs="Times New Roman" w:eastAsia="Times New Roman" w:hAnsi="Times New Roman"/>
          <w:sz w:val="18"/>
          <w:szCs w:val="18"/>
          <w:i w:val="1"/>
          <w:iCs w:val="1"/>
          <w:color w:val="auto"/>
        </w:rPr>
        <w:t>Excaliber</w:t>
      </w:r>
      <w:r>
        <w:rPr>
          <w:rFonts w:ascii="Times New Roman" w:cs="Times New Roman" w:eastAsia="Times New Roman" w:hAnsi="Times New Roman"/>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pre-Merger obligations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Shortly after the Merger, Excaliber’s name was changed to “VistaGen Therapeutics, Inc.” (a Nevada corporation).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 Item 8 of this Annual Report. Additionally, the Consolidated Balance Sheets reflect the $0.001 par value of Excaliber’s common stock.</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included in Item 8 of this Annual Report represent the activity of VistaStem from May 26, 1998, and the consolidated activity of VistaStem and Excaliber (now VistaGen Therapeutics, Inc., a Nevada corporation), from May 11, 2011 (the date of the Merger) through March 31, 2022. The Consolidated Financial Statements also include the accounts of VistaStem’s two inactive wholly-owned subsidiaries, Artemis and VistaStem Canada.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Conducting research and development is central to our business model. We have invested and expect to continue to invest significant time and capital in our research and development operations. Our research and development expenses were $35.4 million and $11.9 million for the fiscal years ended March 31, 2022 and 2021, respectively. We expect that our research and development expenses will remain a significant portion of our total operating costs for the foreseeable future as we seek to complete the development of PH94B, PH10 and AV-101.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Social, Governance, and Human Capital</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corporate responsibility is fundamental to our mission and we are committed to holding ourselves to high ethical standards. Beyond our quest to develop innovative therapeutic solutions that combat CNS disorders affecting so many lives and to improve healthcare outcomes, we strive to have a positive impact on our employees, our local communities, our patients, our shareholders, the health care ecosystem and society as a whole.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Leadership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late-clinical stage company that is passionate about transforming mental health care, we believe creating an environment that allows our team to collectively thrive and achieve its full potential begins with our Board of Directors, which consists of directors with diverse and dynamic backgrounds in pharmaceutical development, commercialization, and corporate governance. Applying the Nasdaq Stock Market’s continued listing standards for director independence, five of our seven directors are independent. At the management level, we have built a team of highly experienced professionals that we believe provide us with a diverse and inclusive culture, while also providing the know-how necessary to allow us to achieve our short- and long-term goals. Among these goals is to develop a formal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xml:space="preserve">) strategic roadmap and framework that will guide our operations, so as to ensure that we are operating in a manner that is consistent with our mission of transforming mental health care – </w:t>
      </w:r>
      <w:r>
        <w:rPr>
          <w:rFonts w:ascii="Times New Roman" w:cs="Times New Roman" w:eastAsia="Times New Roman" w:hAnsi="Times New Roman"/>
          <w:sz w:val="18"/>
          <w:szCs w:val="18"/>
          <w:i w:val="1"/>
          <w:iCs w:val="1"/>
          <w:color w:val="auto"/>
        </w:rPr>
        <w:t>One Mind at a Time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Core Values and Ethics</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 xml:space="preserve">We are committed to driving improvement and innovation in the care of patients suffering from CNS disorders. In this pursuit, our core values of integrity, compassion, teamwork, and excellence while on our journey to change the way we approach mental healthcare guide our internal processes and define our mission to radically improve mental health and well-being worldwide. In addition, all of our directors, officers and employees are responsible for upholding these values as set forth in our Code of Business Conduct and Ethics, which forms the foundation of our policies and practices. Our Code of Business Conduct and Ethics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i w:val="1"/>
          <w:iCs w:val="1"/>
          <w:color w:val="auto"/>
        </w:rPr>
        <w:t>Environmental Commitment</w:t>
      </w:r>
    </w:p>
    <w:p>
      <w:pPr>
        <w:spacing w:after="0" w:line="22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Human Capital and Employees</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We believe that our people are one of our greatest assets. We make diversity and inclusion priorities because they are key to unlocking the potential of our people. Diversity is important in building a successful business as well as creating a vibrant culture. With colleagues who can contribute unique viewpoints and diverse perspectives to all aspects of the business, we believe that our culture can be more collaborative, more accepting of difference and more prepared for overall success on our journey to reimage medicine.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15, 2022, we employed 36 full-time employees, 17 females and 19 males. Twenty-four full-time employees work in research and development and laboratory support services and twelve full-time employees work in business development, commercialization and general and administrative roles. Staffing for other functional areas is achieved through our diverse network of strategic relationships with multiple CROs, CDMOs, and other third-party service providers and consultants. These service providers and consultants provide us with support services on a flexible, real-time, as-needed basis, including services related to, among others, payroll, information technology, legal, investor and public relations, manufacturing, product development, regulatory affairs and FDA program management to complement our internal resources in these areas.</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never had a work stoppage, and none of our employees is represented by a labor organization or under any collective bargaining agreement. We consider our employee relations to be good.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lease our office and laboratory space, which consists of approximately 10,900 square feet located in South San Francisco, California, under a lease expiring on July 31, 2027 which also provides a five-year option to renew.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reports and other information with the SEC, as required by the Exchange Act. We make available free of charge through our website (</w:t>
      </w:r>
      <w:r>
        <w:rPr>
          <w:rFonts w:ascii="Times New Roman" w:cs="Times New Roman" w:eastAsia="Times New Roman" w:hAnsi="Times New Roman"/>
          <w:sz w:val="18"/>
          <w:szCs w:val="18"/>
          <w:u w:val="single" w:color="auto"/>
          <w:color w:val="auto"/>
        </w:rPr>
        <w:t>http://www.vistagen.com</w:t>
      </w:r>
      <w:r>
        <w:rPr>
          <w:rFonts w:ascii="Times New Roman" w:cs="Times New Roman" w:eastAsia="Times New Roman" w:hAnsi="Times New Roman"/>
          <w:sz w:val="18"/>
          <w:szCs w:val="18"/>
          <w:color w:val="auto"/>
        </w:rPr>
        <w:t>)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before investing in our securities. These risks include, among others:</w:t>
      </w:r>
    </w:p>
    <w:p>
      <w:pPr>
        <w:spacing w:after="0" w:line="176" w:lineRule="exact"/>
        <w:rPr>
          <w:sz w:val="20"/>
          <w:szCs w:val="20"/>
          <w:color w:val="auto"/>
        </w:rPr>
      </w:pPr>
    </w:p>
    <w:p>
      <w:pPr>
        <w:jc w:val="both"/>
        <w:ind w:firstLine="7"/>
        <w:spacing w:after="0" w:line="264" w:lineRule="auto"/>
        <w:tabs>
          <w:tab w:leader="none" w:pos="5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our PALISADE-1, PALISADE-2 and/or other clinical or nonclinical studies in the PALISADE Phase 3 program for PH94B in SAD may not be sufficient to cause the FDA to approve of any NDA that we may submit or cause any other agency to provide regulatory approval of PH94B and, even if approved, does not ensure acceptance of PH94B by clinicians leading to a revenue stream to support our operations;</w:t>
      </w:r>
    </w:p>
    <w:p>
      <w:pPr>
        <w:spacing w:after="0" w:line="177" w:lineRule="exact"/>
        <w:rPr>
          <w:sz w:val="20"/>
          <w:szCs w:val="20"/>
          <w:color w:val="auto"/>
        </w:rPr>
      </w:pPr>
    </w:p>
    <w:p>
      <w:pPr>
        <w:ind w:firstLine="552"/>
        <w:spacing w:after="0" w:line="280" w:lineRule="auto"/>
        <w:rPr>
          <w:sz w:val="20"/>
          <w:szCs w:val="20"/>
          <w:color w:val="auto"/>
        </w:rPr>
      </w:pPr>
      <w:r>
        <w:rPr>
          <w:rFonts w:ascii="Times New Roman" w:cs="Times New Roman" w:eastAsia="Times New Roman" w:hAnsi="Times New Roman"/>
          <w:sz w:val="18"/>
          <w:szCs w:val="18"/>
          <w:color w:val="auto"/>
        </w:rPr>
        <w:t>if we are unable to retain or attract key management and scientific personnel, we may be unable to successfully produce, develop and commercialize our product candidates;</w:t>
      </w:r>
    </w:p>
    <w:p>
      <w:pPr>
        <w:spacing w:after="0" w:line="189" w:lineRule="exact"/>
        <w:rPr>
          <w:sz w:val="20"/>
          <w:szCs w:val="20"/>
          <w:color w:val="auto"/>
        </w:rPr>
      </w:pPr>
    </w:p>
    <w:p>
      <w:pPr>
        <w:ind w:firstLine="7"/>
        <w:spacing w:after="0" w:line="295" w:lineRule="auto"/>
        <w:tabs>
          <w:tab w:leader="none" w:pos="5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biopharmaceutical company with no recurring revenues from product sales or approved products, and limited experience developing or commercializing new drug candidates, which makes it difficult to assess our future viability;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ind w:firstLine="7"/>
        <w:spacing w:after="0" w:line="295" w:lineRule="auto"/>
        <w:tabs>
          <w:tab w:leader="none" w:pos="5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current CNS product candidates, PH94B, PH10 and AV-101, and we cannot be certain that we will be able to obtain regulatory approval for, or successfully commercialize, any of our current or future product candidates;</w:t>
      </w:r>
    </w:p>
    <w:p>
      <w:pPr>
        <w:spacing w:after="0" w:line="162" w:lineRule="exact"/>
        <w:rPr>
          <w:rFonts w:ascii="Times New Roman" w:cs="Times New Roman" w:eastAsia="Times New Roman" w:hAnsi="Times New Roman"/>
          <w:sz w:val="18"/>
          <w:szCs w:val="18"/>
          <w:color w:val="auto"/>
        </w:rPr>
      </w:pPr>
    </w:p>
    <w:p>
      <w:pPr>
        <w:ind w:firstLine="7"/>
        <w:spacing w:after="0" w:line="295" w:lineRule="auto"/>
        <w:tabs>
          <w:tab w:leader="none" w:pos="6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commencement or completion of our planned clinical trials, including, among others, clinical studies in our PALISADE Phase 3 program for PH94B in SAD, could delay, prevent or limit our ability to generate revenue and continue our business;</w:t>
      </w:r>
    </w:p>
    <w:p>
      <w:pPr>
        <w:spacing w:after="0" w:line="162" w:lineRule="exact"/>
        <w:rPr>
          <w:rFonts w:ascii="Times New Roman" w:cs="Times New Roman" w:eastAsia="Times New Roman" w:hAnsi="Times New Roman"/>
          <w:sz w:val="18"/>
          <w:szCs w:val="18"/>
          <w:color w:val="auto"/>
        </w:rPr>
      </w:pPr>
    </w:p>
    <w:p>
      <w:pPr>
        <w:jc w:val="both"/>
        <w:ind w:firstLine="7"/>
        <w:spacing w:after="0" w:line="272" w:lineRule="auto"/>
        <w:tabs>
          <w:tab w:leader="none" w:pos="5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an impact on our business, including delays and potential delays in manufacturing and testing of certain drug substance and drug products and potential delays in recruitment and enrollment in the PALISADE Phase 3 Program and other planned clinical and nonclinical studies of our product candidates;</w:t>
      </w:r>
    </w:p>
    <w:p>
      <w:pPr>
        <w:spacing w:after="0" w:line="196" w:lineRule="exact"/>
        <w:rPr>
          <w:rFonts w:ascii="Times New Roman" w:cs="Times New Roman" w:eastAsia="Times New Roman" w:hAnsi="Times New Roman"/>
          <w:sz w:val="18"/>
          <w:szCs w:val="18"/>
          <w:color w:val="auto"/>
        </w:rPr>
      </w:pPr>
    </w:p>
    <w:p>
      <w:pPr>
        <w:ind w:right="20" w:firstLine="7"/>
        <w:spacing w:after="0" w:line="280" w:lineRule="auto"/>
        <w:tabs>
          <w:tab w:leader="none" w:pos="7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188" w:lineRule="exact"/>
        <w:rPr>
          <w:rFonts w:ascii="Times New Roman" w:cs="Times New Roman" w:eastAsia="Times New Roman" w:hAnsi="Times New Roman"/>
          <w:sz w:val="18"/>
          <w:szCs w:val="18"/>
          <w:color w:val="auto"/>
        </w:rPr>
      </w:pPr>
    </w:p>
    <w:p>
      <w:pPr>
        <w:jc w:val="both"/>
        <w:ind w:firstLine="7"/>
        <w:spacing w:after="0" w:line="272" w:lineRule="auto"/>
        <w:tabs>
          <w:tab w:leader="none" w:pos="6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3"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36" w:lineRule="exact"/>
        <w:rPr>
          <w:rFonts w:ascii="Times New Roman" w:cs="Times New Roman" w:eastAsia="Times New Roman" w:hAnsi="Times New Roman"/>
          <w:sz w:val="18"/>
          <w:szCs w:val="18"/>
          <w:color w:val="auto"/>
        </w:rPr>
      </w:pPr>
    </w:p>
    <w:p>
      <w:pPr>
        <w:ind w:firstLine="7"/>
        <w:spacing w:after="0" w:line="295" w:lineRule="auto"/>
        <w:tabs>
          <w:tab w:leader="none" w:pos="5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financing to execute our long-term business plan, including further development and commercialization of PH94B and our other CNS product candidates, and to continue to operate as a going concern;</w:t>
      </w:r>
    </w:p>
    <w:p>
      <w:pPr>
        <w:spacing w:after="0" w:line="162" w:lineRule="exact"/>
        <w:rPr>
          <w:rFonts w:ascii="Times New Roman" w:cs="Times New Roman" w:eastAsia="Times New Roman" w:hAnsi="Times New Roman"/>
          <w:sz w:val="18"/>
          <w:szCs w:val="18"/>
          <w:color w:val="auto"/>
        </w:rPr>
      </w:pPr>
    </w:p>
    <w:p>
      <w:pPr>
        <w:ind w:firstLine="7"/>
        <w:spacing w:after="0" w:line="295" w:lineRule="auto"/>
        <w:tabs>
          <w:tab w:leader="none" w:pos="6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 and</w:t>
      </w:r>
    </w:p>
    <w:p>
      <w:pPr>
        <w:spacing w:after="0" w:line="162"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Risk Factors below.</w:t>
      </w:r>
    </w:p>
    <w:p>
      <w:pPr>
        <w:spacing w:after="0" w:line="2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late-2019, a new strain of coronavirus (</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spread across the world, and the outbreak has since been declared a pandemic by the World Health Organization. The U.S. Secretary of Health and Human Services has also declared a public health emergency in the U.S. in response to the outbreak. Considerable uncertainty still surrounds COVID-19 and variant strains of the COVID-19 virus and their potential effects,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emergence of variant strains of the COVID-19 virus, such as the Delta and Omicron variants, and the emergence of subvariants of the virus, such as the subvariant of Omicron known as BA.2, we cannot at this time accurately predict the potential future effects of the pandemic on our operations. Uncertainties remain as to the duration of the pandemic, the success of treatments and vaccines designed to combat the pandemic, and the length, scope and episodic nature of the travel restrictions and business disruptions, including business closures imposed by the governments of impacted countries and localities. The continued COVID-19 pandemic, the spread of variant and subvariant strains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or those of our collaborators. The COVID-19 pandemic has impacted our business and may continue to do so as the pandemic persists. Additionally, future outbreaks may have several adverse effects on our business, results of operations and financial condition.</w:t>
      </w:r>
    </w:p>
    <w:p>
      <w:pPr>
        <w:spacing w:after="0" w:line="182" w:lineRule="exact"/>
        <w:rPr>
          <w:sz w:val="20"/>
          <w:szCs w:val="20"/>
          <w:color w:val="auto"/>
        </w:rPr>
      </w:pPr>
    </w:p>
    <w:p>
      <w:pPr>
        <w:jc w:val="both"/>
        <w:ind w:left="660" w:hanging="330"/>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Delayed product development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faced, and may continue to face, delays and other disruptions to our ongoing development programs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PH94B, 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our research and development efforts may be impacted if our employees, our CROs, our CMOs and clinical sites involved in our clinical studies are advised to work remotely as part of social distancing or other safety measures related to the pandemic. Additionally, social distancing measures, stay-at-home orders and other governmental restrictions designed to combat the COVID-19 pandemic may impair our ability to conduct nonclinical and clinical studies, including clinical studies in our PALISADE Phase 3 Program for PH94B in SAD, in a timely manner.</w:t>
      </w:r>
    </w:p>
    <w:p>
      <w:pPr>
        <w:spacing w:after="0" w:line="182" w:lineRule="exact"/>
        <w:rPr>
          <w:rFonts w:ascii="Times New Roman" w:cs="Times New Roman" w:eastAsia="Times New Roman" w:hAnsi="Times New Roman"/>
          <w:sz w:val="18"/>
          <w:szCs w:val="18"/>
          <w:color w:val="auto"/>
        </w:rPr>
      </w:pPr>
    </w:p>
    <w:p>
      <w:pPr>
        <w:jc w:val="both"/>
        <w:ind w:left="660" w:hanging="330"/>
        <w:spacing w:after="0" w:line="25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Negative impacts on our employees, collaborators and suppliers</w:t>
      </w:r>
      <w:r>
        <w:rPr>
          <w:rFonts w:ascii="Times New Roman" w:cs="Times New Roman" w:eastAsia="Times New Roman" w:hAnsi="Times New Roman"/>
          <w:sz w:val="18"/>
          <w:szCs w:val="18"/>
          <w:color w:val="auto"/>
        </w:rPr>
        <w:t>: COVID-19 has impacted, and variant and subvariant strains of COVID-19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Times New Roman" w:cs="Times New Roman" w:eastAsia="Times New Roman" w:hAnsi="Times New Roman"/>
          <w:sz w:val="18"/>
          <w:szCs w:val="18"/>
          <w:i w:val="1"/>
          <w:iCs w:val="1"/>
          <w:color w:val="auto"/>
        </w:rPr>
        <w:t>API</w:t>
      </w:r>
      <w:r>
        <w:rPr>
          <w:rFonts w:ascii="Times New Roman" w:cs="Times New Roman" w:eastAsia="Times New Roman" w:hAnsi="Times New Roman"/>
          <w:sz w:val="18"/>
          <w:szCs w:val="18"/>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not permitted to market our product candidates in the U.S. until we receive approval of a New Drug Application (</w:t>
      </w:r>
      <w:r>
        <w:rPr>
          <w:rFonts w:ascii="Times New Roman" w:cs="Times New Roman" w:eastAsia="Times New Roman" w:hAnsi="Times New Roman"/>
          <w:sz w:val="17"/>
          <w:szCs w:val="17"/>
          <w:i w:val="1"/>
          <w:iCs w:val="1"/>
          <w:color w:val="auto"/>
        </w:rPr>
        <w:t>NDA</w:t>
      </w:r>
      <w:r>
        <w:rPr>
          <w:rFonts w:ascii="Times New Roman" w:cs="Times New Roman" w:eastAsia="Times New Roman" w:hAnsi="Times New Roman"/>
          <w:sz w:val="17"/>
          <w:szCs w:val="17"/>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58" w:lineRule="exact"/>
        <w:rPr>
          <w:sz w:val="20"/>
          <w:szCs w:val="20"/>
          <w:color w:val="auto"/>
        </w:rPr>
      </w:pPr>
    </w:p>
    <w:p>
      <w:pPr>
        <w:jc w:val="both"/>
        <w:ind w:left="660" w:hanging="330"/>
        <w:spacing w:after="0" w:line="28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w:t>
      </w:r>
    </w:p>
    <w:p>
      <w:pPr>
        <w:sectPr>
          <w:pgSz w:w="11900" w:h="16838" w:orient="portrait"/>
          <w:cols w:equalWidth="0" w:num="1">
            <w:col w:w="11240"/>
          </w:cols>
          <w:pgMar w:left="320" w:top="574" w:right="339"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condition of approval, additional nonclinical or clinical studies, limitations on approved labeling or distribution and use restrictions;</w:t>
      </w:r>
    </w:p>
    <w:p>
      <w:pPr>
        <w:sectPr>
          <w:pgSz w:w="11900" w:h="16838" w:orient="portrait"/>
          <w:cols w:equalWidth="0" w:num="1">
            <w:col w:w="9479"/>
          </w:cols>
          <w:pgMar w:left="980" w:top="121" w:right="1440" w:bottom="1440" w:gutter="0" w:footer="0" w:header="0"/>
        </w:sectPr>
      </w:pPr>
    </w:p>
    <w:p>
      <w:pPr>
        <w:spacing w:after="0" w:line="2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type w:val="continuous"/>
        </w:sectPr>
      </w:pPr>
    </w:p>
    <w:bookmarkStart w:id="36" w:name="page37"/>
    <w:bookmarkEnd w:id="36"/>
    <w:p>
      <w:pPr>
        <w:ind w:left="660" w:right="20" w:hanging="330"/>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may recommend, or the FDA may require, a Risk Evaluation and Mitigation Strategies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safety program as a condition of approval or post-approval;</w:t>
      </w:r>
    </w:p>
    <w:p>
      <w:pPr>
        <w:spacing w:after="0" w:line="187"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Times New Roman" w:cs="Times New Roman" w:eastAsia="Times New Roman" w:hAnsi="Times New Roman"/>
          <w:sz w:val="18"/>
          <w:szCs w:val="18"/>
          <w:i w:val="1"/>
          <w:iCs w:val="1"/>
          <w:color w:val="auto"/>
        </w:rPr>
        <w:t>cGMPs</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Times New Roman" w:cs="Times New Roman" w:eastAsia="Times New Roman" w:hAnsi="Times New Roman"/>
          <w:sz w:val="18"/>
          <w:szCs w:val="18"/>
          <w:i w:val="1"/>
          <w:iCs w:val="1"/>
          <w:color w:val="auto"/>
        </w:rPr>
        <w:t>QS</w:t>
      </w:r>
      <w:r>
        <w:rPr>
          <w:rFonts w:ascii="Times New Roman" w:cs="Times New Roman" w:eastAsia="Times New Roman" w:hAnsi="Times New Roman"/>
          <w:sz w:val="18"/>
          <w:szCs w:val="18"/>
          <w:color w:val="auto"/>
        </w:rPr>
        <w:t>) regulations applicable to medical devices. Problems associated with the device component of the combination product candidate may delay or prevent approval.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PALISADE Phase 3 Program, including PALISADE-1 and PASLISADE-2, and any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changes in planned timing or nature of clinical trials compared to completed clinical trials could impede our ability to meet our clinical development objectives for our product candidates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timing of planned clinical trials may be affected by delays caused by the ongoing COVID-19 pandemic, including potential delays in recruitment and enrollment in the PALISADE Phase 3 Program and other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clinical and/or nonclinical trials.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other undesirable side effects or safety concerns attributable to our product candidates occur, including PH94B in the PALISADE Phase 3 Program, they may adversely affect or delay our clinical development and commercialization of PH94B, PH10 or AV-101.</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were reported in any clinical trials of any of our product candidates completed to date, if treatment-related SAEs or other undesirable side effects or safety concerns, or unexpected characteristics attributable to PH94B, PH10 and/or AV-101, are reported in any future clinical trials, including clinical studies in the PALISADE Phase 3 Program for PH94B in SAD, and/or other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62" w:lineRule="exact"/>
        <w:rPr>
          <w:sz w:val="20"/>
          <w:szCs w:val="20"/>
          <w:color w:val="auto"/>
        </w:rPr>
      </w:pPr>
    </w:p>
    <w:p>
      <w:pPr>
        <w:ind w:left="660" w:hanging="330"/>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and require us to take them off the market;</w:t>
      </w:r>
    </w:p>
    <w:p>
      <w:pPr>
        <w:spacing w:after="0" w:line="249" w:lineRule="exact"/>
        <w:rPr>
          <w:rFonts w:ascii="Times New Roman" w:cs="Times New Roman" w:eastAsia="Times New Roman" w:hAnsi="Times New Roman"/>
          <w:sz w:val="18"/>
          <w:szCs w:val="18"/>
          <w:color w:val="auto"/>
        </w:rPr>
      </w:pPr>
    </w:p>
    <w:p>
      <w:pPr>
        <w:ind w:left="660" w:right="620" w:hanging="330"/>
        <w:spacing w:after="0" w:line="28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161"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xml:space="preserve"> drug safety program or REMS-like plan to ensure that the benefits of the product outweigh its risks;</w:t>
      </w:r>
    </w:p>
    <w:p>
      <w:pPr>
        <w:spacing w:after="0" w:line="1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8" w:name="page39"/>
    <w:bookmarkEnd w:id="38"/>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post-marketing studies or surveillance;</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government enforcement actions, litigation or product liability claims; and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or our reputation may suffer.</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PALISADE-1 and PALISADE-2, we will need to complete our PALISADE Long-term Safety study, as well as certain other smaller clinical and nonclinical studies prior to our potential submission of an NDA for regulatory approval of PH94B as an acute treatment of anxiety in adults with SAD, or for any other anxiety disorder. For PH10,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PH10 as a stand-alone rapid-onset treatment for MDD, or any other depression disorder. For AV-101 in combination with probenecid, at present, for treatment of any CNS indication,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87" w:lineRule="exact"/>
        <w:rPr>
          <w:sz w:val="20"/>
          <w:szCs w:val="20"/>
          <w:color w:val="auto"/>
        </w:rPr>
      </w:pPr>
    </w:p>
    <w:p>
      <w:pPr>
        <w:ind w:left="660" w:hanging="330"/>
        <w:spacing w:after="0" w:line="28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events resulting from the ongoing COVID-19 pandemic, including potential delays in recruitment and enrollment in our PALISADE Phase 3 Program and other planned clinical and nonclinical studies of our product candidates;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authority may deny permission to proceed with planned clinical trials or any other clinical trials we may initiate, or may place a planned or ongoing clinical trial on hold;</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approvals from regulatory authorities of additional INDs that may be required;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nonclinical or clinical studies;</w:t>
      </w:r>
    </w:p>
    <w:p>
      <w:pPr>
        <w:spacing w:after="0" w:line="24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clinical supplies of a product candidate meeting required quality standards;</w:t>
      </w:r>
    </w:p>
    <w:p>
      <w:pPr>
        <w:spacing w:after="0" w:line="247"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approval to conduct a clinical trial at a prospective clinical site or sites;</w:t>
      </w:r>
    </w:p>
    <w:p>
      <w:pPr>
        <w:spacing w:after="0" w:line="25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proximity of patients to clinical trial sites;</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9" w:name="page40"/>
    <w:bookmarkEnd w:id="39"/>
    <w:p>
      <w:pPr>
        <w:ind w:left="660" w:hanging="33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adverse drug-related side effects experienced by patients in a clinical trial;</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any endpoints utilized in a clinical trial;</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or clinical testing of other CNS indications or therapies that raise safety or efficacy concerns; and</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Times New Roman" w:cs="Times New Roman" w:eastAsia="Times New Roman" w:hAnsi="Times New Roman"/>
          <w:sz w:val="18"/>
          <w:szCs w:val="18"/>
          <w:i w:val="1"/>
          <w:iCs w:val="1"/>
          <w:color w:val="auto"/>
        </w:rPr>
        <w:t>DSMB</w:t>
      </w:r>
      <w:r>
        <w:rPr>
          <w:rFonts w:ascii="Times New Roman" w:cs="Times New Roman" w:eastAsia="Times New Roman" w:hAnsi="Times New Roman"/>
          <w:sz w:val="18"/>
          <w:szCs w:val="18"/>
          <w:color w:val="auto"/>
        </w:rPr>
        <w:t>), overseeing the clinical trial at issue or other regulatory authorities due to a number of factors, including, among others:</w:t>
      </w:r>
    </w:p>
    <w:p>
      <w:pPr>
        <w:spacing w:after="0" w:line="177" w:lineRule="exact"/>
        <w:rPr>
          <w:sz w:val="20"/>
          <w:szCs w:val="20"/>
          <w:color w:val="auto"/>
        </w:rPr>
      </w:pP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approved clinical protocols;</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nonclinical carcinogenicity studies, adverse side effects or lack of effectiveness;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that may lead to regulatory actions; and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nonclinical or clinical studies.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0" w:name="page41"/>
    <w:bookmarkEnd w:id="40"/>
    <w:p>
      <w:pPr>
        <w:ind w:left="660" w:hanging="330"/>
        <w:spacing w:after="0" w:line="28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to their operations, such as staff attrition, reduced staffing and supply chain disruptions, as a result of the ongoing COVID-19 pandemic;</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 and/or undertake obligations beyond their anticipated capabilities and resources;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Times New Roman" w:cs="Times New Roman" w:eastAsia="Times New Roman" w:hAnsi="Times New Roman"/>
          <w:sz w:val="18"/>
          <w:szCs w:val="18"/>
          <w:i w:val="1"/>
          <w:iCs w:val="1"/>
          <w:color w:val="auto"/>
        </w:rPr>
        <w:t>cGCPs</w:t>
      </w:r>
      <w:r>
        <w:rPr>
          <w:rFonts w:ascii="Times New Roman" w:cs="Times New Roman" w:eastAsia="Times New Roman" w:hAnsi="Times New Roman"/>
          <w:sz w:val="18"/>
          <w:szCs w:val="18"/>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1" w:name="page42"/>
    <w:bookmarkEnd w:id="41"/>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caused by the ongoing COVID-19 pandemic or otherwise,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cs="Times New Roman" w:eastAsia="Times New Roman" w:hAnsi="Times New Roman"/>
          <w:sz w:val="18"/>
          <w:szCs w:val="18"/>
          <w:i w:val="1"/>
          <w:iCs w:val="1"/>
          <w:color w:val="auto"/>
        </w:rPr>
        <w:t>QSR</w:t>
      </w:r>
      <w:r>
        <w:rPr>
          <w:rFonts w:ascii="Times New Roman" w:cs="Times New Roman" w:eastAsia="Times New Roman" w:hAnsi="Times New Roman"/>
          <w:sz w:val="18"/>
          <w:szCs w:val="18"/>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42" w:name="page43"/>
    <w:bookmarkEnd w:id="42"/>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we can commercialize our product candidates in the U.S. or any market outside the U.S., the U.S. Drug Enforcement Administration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spacing w:after="0" w:line="177" w:lineRule="exact"/>
        <w:rPr>
          <w:sz w:val="20"/>
          <w:szCs w:val="20"/>
          <w:color w:val="auto"/>
        </w:rPr>
      </w:pPr>
    </w:p>
    <w:p>
      <w:pPr>
        <w:jc w:val="both"/>
        <w:ind w:left="660" w:hanging="330"/>
        <w:spacing w:after="0" w:line="26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43" w:name="page44"/>
    <w:bookmarkEnd w:id="43"/>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 or other applicable regulatory authorities;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treatment options or alternative treatments, including future alternative treatments;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product candidates through marketing efforts;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CNS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81" w:lineRule="exact"/>
        <w:rPr>
          <w:sz w:val="20"/>
          <w:szCs w:val="20"/>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CNS product candidates, we may still face future development and regulatory difficulties.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85" w:lineRule="exact"/>
        <w:rPr>
          <w:sz w:val="20"/>
          <w:szCs w:val="20"/>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that we initiate a product recall.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therapies could emerge adversely affecting our opportunity to generate revenue from the sale of our CNS product candidates.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management is unaware of any FDA-approved rapid-onset, acute treatment of anxiety in adults with SAD having the same mechanism of pharmacological action and safety profile as PH94B. Also, management is currently unaware of any FDA-approved oral treatment for MDD having the same mechanism of pharmacological action and safety profile as our intranasally-administered PH10 or our orally-administered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Times New Roman" w:cs="Times New Roman" w:eastAsia="Times New Roman" w:hAnsi="Times New Roman"/>
          <w:sz w:val="18"/>
          <w:szCs w:val="18"/>
          <w:i w:val="1"/>
          <w:iCs w:val="1"/>
          <w:color w:val="auto"/>
        </w:rPr>
        <w:t>ECT</w:t>
      </w:r>
      <w:r>
        <w:rPr>
          <w:rFonts w:ascii="Times New Roman" w:cs="Times New Roman" w:eastAsia="Times New Roman" w:hAnsi="Times New Roman"/>
          <w:sz w:val="18"/>
          <w:szCs w:val="18"/>
          <w:color w:val="auto"/>
        </w:rPr>
        <w:t>) are used before or instead of standard antidepressant medications to treat patients with MDD.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45" w:name="page46"/>
    <w:bookmarkEnd w:id="45"/>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investigational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AffaMed Agreement.</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including the AffaMed Agreement and the Bayer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6" w:name="page47"/>
    <w:bookmarkEnd w:id="46"/>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CNS product candidates with therapeutic and commercial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strategically focus on a limited number of research and development programs and product candidates and are currently focused primarily on development of PH94B, PH10 and AV-101.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85" w:lineRule="exact"/>
        <w:rPr>
          <w:sz w:val="20"/>
          <w:szCs w:val="20"/>
          <w:color w:val="auto"/>
        </w:rPr>
      </w:pPr>
    </w:p>
    <w:p>
      <w:pPr>
        <w:jc w:val="both"/>
        <w:ind w:left="660" w:hanging="330"/>
        <w:spacing w:after="0" w:line="26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76"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1"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47" w:name="page48"/>
    <w:bookmarkEnd w:id="47"/>
    <w:p>
      <w:pPr>
        <w:jc w:val="both"/>
        <w:ind w:left="660" w:hanging="330"/>
        <w:spacing w:after="0" w:line="259"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p>
      <w:pPr>
        <w:spacing w:after="0" w:line="18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Corrupt Practices Act and its application to marketing and selling practices as well as to clinical trials.</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acute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our CNS product candidates.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8" w:name="page49"/>
    <w:bookmarkEnd w:id="48"/>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77" w:lineRule="exact"/>
        <w:rPr>
          <w:sz w:val="20"/>
          <w:szCs w:val="20"/>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4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 development-stage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81" w:lineRule="exact"/>
        <w:rPr>
          <w:sz w:val="20"/>
          <w:szCs w:val="20"/>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required regulatory approvals for commercialization of PH94B, PH10, AV-101 and/or other CNS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sales, distribution and marketing capabilities, and/or enter into strategic partnering arrangements to access such capabilities;</w:t>
      </w:r>
    </w:p>
    <w:p>
      <w:pPr>
        <w:spacing w:after="0" w:line="261" w:lineRule="exact"/>
        <w:rPr>
          <w:rFonts w:ascii="Times New Roman" w:cs="Times New Roman" w:eastAsia="Times New Roman" w:hAnsi="Times New Roman"/>
          <w:sz w:val="17"/>
          <w:szCs w:val="17"/>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and</w:t>
      </w:r>
    </w:p>
    <w:p>
      <w:pPr>
        <w:spacing w:after="0" w:line="24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capital resources and manage our spending as costs and expenses increase due to research, production, development, regulatory approval and commercialization of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ability to successfully develop and commercialize, on our own or with collaborators, any of our current CNS product candidates, acquire or license additional CNS product candidates, and we cannot provide any assurance that we will successfully develop and commercialize PH94B, PH10, or AV-101 or acquire or license additional CNS product candidates, or that, if approved, PH94B, PH10, AV-101 or any other CNS product candidate will be successfully commercialized.</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incurred significant net losses in each fiscal year since our inception in 1998, including net losses of approximately $47.8 million and $17.9 million during our fiscal years ended March 31, 2022 and 2021, respectively. At March 31, 2022, we had an accumulated deficit of approximately $267.6 million and our auditors have included a qualification to their opinion on our Financial Statements at March 31, 2022 as a result of the uncertainty of our ability to continue as a going concern.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planned nonclinical and clinical studies, and out-sourced manufacturing, of our product candidates. In addition, if we obtain marketing approval for our product candidates, we expect to incur significant commercial operations expenses, including medical education, sales and marketing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recurring revenues. Through March 31, 2022, we have generated approximately $22.7 million in revenues, consisting of receipts of non-dilutive cash payments from collaborators, sublicense revenue, including the $5.0 million cash payment received under the AffaMed Agreement during the quarter ended September 30, 2020, a substantial portion of which remains recorded as deferred revenue at March 31, 2022,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89" w:lineRule="exact"/>
        <w:rPr>
          <w:sz w:val="20"/>
          <w:szCs w:val="20"/>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nonclinical and clinical trials that meet their prescribed endpoints;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CNS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complete and compose successful regulatory submissions such as NDAs or comparable documents for both the U.S. and foreign jurisdictions;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CNS product candidates, if approved, by developing a sales force and/or entering into collaborations with third parties for sales and marketing capabilities; and</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CNS product candidates in the medical community and with third-party payers.</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PALISADE Phase 3 Program for PH94B for the acute treatment of anxiety in adults with SAD is successful, unless we enter into a contractual arrangement for the commercialization of PH94B in the U.S., we expect to incur significant sales and marketing costs as we prepare to commercialize and ultimately commercialize PH94B on our own in the U.S. Even if we initiate and successfully complete the PALISADE Phase 3 Program and similar programs for our other CNS product candidates, and all of our CNS product candidates are approved for commercial sale, and despite expending substantial capital for sales and marketing costs, PH94B and our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require additional financing to execute our long-term business plan.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our inception through 2019, a substantial portion of our resources were dedicated to research and development of AV-101 and VistaStem’s stem cell technology platform. In particular, (i) for AV-101, we expended substantial resources on research and development of methods and processes relating to the production of API and drug product, IND-enabling preclinical studies, Phase 1 clinical safety studies, and a Phase 2 clinical study and (ii) for VistaStem, development of cardiac stem cell technology.</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2019, we have expended a considerable portion of our resources for research, clinical development, manufacturing and regulatory expenses related to PH94B, including costs related to the PALISADE Phase 3 Program, as well as for research and development of methods and processes relating to the production of PH10 API and drug product and U.S. IND-enabling preclinical studies involving PH10. We expect to continue to expend substantial resources for the foreseeable future developing and commercializing PH94B, PH10 and AV-101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PH94B and our other product candidates, should the FDA approve any of such product candidates for sale.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had cash and cash equivalents of approximately $68.1 million at March 31, 2022, should the clinical development and regulatory initiatives in our PALISADE Phase 3 Program for PH94B in SAD prove successful, it is probable that such cash position will not be sufficient to fund our planned operations, including, notably, our planned expansion of phase-appropriate preparations for commercialization of PH94B in the U.S., for the twelve months following the issuance of these financial statements, which raises substantial doubt that we can continue as a going concern without securing additional capital. Additionally,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the next twelve months, should PALISADE-1 and PALISADE-2 be successful, we plan to (i) continue to advance and complete our PALISADE Phase 3 Program designed to develop and commercialize PH94B as a new acute treatment of anxiety in adults with SAD, (ii) continue to advance our opportunities to explore PH94B’s therapeutic potential beyond SAD in a series of small clinical and nonclinical studies, (iii) complete clinical, if any, and nonclinical preparations to initiate Phase 2B clinical development of PH10 as a potential stand-alone treatment for MDD, (iv) complete our exploratory Phase 1B drug-drug interaction clinical study of AV-101 in combination with probenecid to better understand opportunities to explore its therapeutic potential in certain neurological disorders, (v) conduct various nonclinical studies involving PH94B, PH10 and AV-101, and (vi) continue phase-appropriate preparations for commercialization of PH94B should the development and regulatory initiatives in our PALISADE Phase 3 Program prove successful.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received the $5 million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transactions involving our stem cell technology, or (iii) obtain approval from the FDA and other regulatory authorities and successfully commercialize PH94B, or one of our other product candidates, on our own in the U.S. and through collaborations outside the U.S.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PH94B or our other current CNS product candidates, on our own or in collaboration with others. As in prior periods, we will continue to incur substantial costs associated with other clinical and nonclinical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PH94B and our other CNS product candidates, and may seek additional capital in the event there exists favorable market conditions or strategic considerations, even if we believe we have sufficient funds for our current or future operating plans and requirements.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depend on many factors, including:</w:t>
      </w:r>
    </w:p>
    <w:p>
      <w:pPr>
        <w:spacing w:after="0" w:line="223" w:lineRule="exact"/>
        <w:rPr>
          <w:sz w:val="20"/>
          <w:szCs w:val="20"/>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studies;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formulating our product candidates and any products we successfully commercialize;</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collaborative arrangements and the financial terms of such agreements;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funding for our research and development programs;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maintaining and enforcing patents to preserve our intellectual property;</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defending against such claims that we infringe third-party patents or violate other intellectual property rights and the outcome of such litigation;</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potential future licensee fees, milestone payments, and sales of, or royalties on, our future products, if any; and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may acquire or invest in additional businesses, product candidates and technologies.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18"/>
          <w:szCs w:val="18"/>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ongoing COVID-19 pandemic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material weaknesses in our internal control over financial reporting, and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previously identified material weaknesses in our internal control over financial reporting that, as of March 31, 2022, were remediated.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Although we have determined that the previously identified material weaknesses have been remediated as of March 31, 2022, we cannot assure you that we will not identify other material weaknesses in the future, which could negatively impact our results of operations in future periods.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 over financial reporting may entail substantial costs to modify our existing processes and take significant time to complete.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Securities and Exchange Commission or other regulatory authorities, which could require additional financial and management resources.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3" w:name="page54"/>
    <w:bookmarkEnd w:id="53"/>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substantial additional financing to fund future operations, including research and development activities for our CNS product candidates and our anticipated pre-launch and other commercialization activities,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is subject to certain limitations.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2022, we had federal and state net operating loss carryforwards of approximately $182.2 million and $65.5 million, respectively, which have begun to expire in fiscal 2022 and will continue to expire in future periods. Under Section 382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yet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attract senior management and key scientific personnel, we may be unable to successfully produce, develop and commercialize our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technical personnel across multiple key functions, including, but not limited to clinical operations, commercial operations, finance, human resources, information technology, manufacturing and quality assurance, regulatory affairs and medical affairs. We are highly dependent upon our Chief Executive Officer, Chief Medical Officer, Chief Financial Officer, and Chief Commercial Officer, as well as our other senior management personnel, advisors, consultants and scientific and clinical collaborators. As of the date of this Report, we have 36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pharmaceuticals field is intense. We will need to hire additional personnel to expand our internal capabilities across multiple functional areas, including general administration, research and development, manufacturing, regulatory, finance, human resources, information technology, investor relations, legal, public relations, and commercial. We may not be able to attract and retain quality personnel on acceptable terms.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we seek to advance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commercial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660" w:hanging="33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 candidates that we may develop;</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 or</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111" w:gutter="0" w:footer="0" w:header="0"/>
        </w:sectPr>
      </w:pPr>
    </w:p>
    <w:bookmarkStart w:id="55" w:name="page56"/>
    <w:bookmarkEnd w:id="55"/>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or otherwise materially harm our operations.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Remote working arrangements driven by the COVID-19 pandemic could significantly increase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digital and cybersecurity risks.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caused us to significantly modify our business practices. Most of our employees are geographically dispersed from our headquarters facility in South San Francisco and now routinely work remotely. With the continuing COVID-19-driven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 candidates, or form strategic alliances, in the future, and we may not realize the benefits of such acquisitions.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own and have licensed issued and allowed patents and patent applications relating to PH94B, PH10 and AV-101 in the U.S. and selected countries in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United States and foreign patents and patent applications may be subject to various types of infringement and validity proceedings, including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w:t>
      </w:r>
    </w:p>
    <w:p>
      <w:pPr>
        <w:spacing w:after="0" w:line="18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23" w:lineRule="exact"/>
        <w:rPr>
          <w:sz w:val="20"/>
          <w:szCs w:val="20"/>
          <w:color w:val="auto"/>
        </w:rPr>
      </w:pPr>
    </w:p>
    <w:p>
      <w:pPr>
        <w:jc w:val="both"/>
        <w:ind w:left="660" w:hanging="330"/>
        <w:spacing w:after="0" w:line="26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have expired;</w:t>
      </w:r>
    </w:p>
    <w:p>
      <w:pPr>
        <w:spacing w:after="0" w:line="1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4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9" w:name="page60"/>
    <w:bookmarkEnd w:id="59"/>
    <w:p>
      <w:pPr>
        <w:jc w:val="both"/>
        <w:spacing w:after="0" w:line="280"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23" w:lineRule="exact"/>
        <w:rPr>
          <w:sz w:val="20"/>
          <w:szCs w:val="20"/>
          <w:color w:val="auto"/>
        </w:rPr>
      </w:pPr>
    </w:p>
    <w:p>
      <w:pPr>
        <w:ind w:left="660" w:hanging="330"/>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0" w:name="page61"/>
    <w:bookmarkEnd w:id="60"/>
    <w:p>
      <w:pPr>
        <w:ind w:left="660" w:hanging="330"/>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1" w:name="page62"/>
    <w:bookmarkEnd w:id="61"/>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62" w:lineRule="exact"/>
        <w:rPr>
          <w:sz w:val="20"/>
          <w:szCs w:val="20"/>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our licensors and us and our partners.</w:t>
      </w:r>
    </w:p>
    <w:p>
      <w:pPr>
        <w:spacing w:after="0" w:line="26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Some intellectual property which we have licensed may have been discovered through government-funded programs and thus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cs="Times New Roman" w:eastAsia="Times New Roman" w:hAnsi="Times New Roman"/>
          <w:sz w:val="18"/>
          <w:szCs w:val="18"/>
          <w:i w:val="1"/>
          <w:iCs w:val="1"/>
          <w:color w:val="auto"/>
        </w:rPr>
        <w:t>Bayh-Dole Act</w:t>
      </w:r>
      <w:r>
        <w:rPr>
          <w:rFonts w:ascii="Times New Roman" w:cs="Times New Roman" w:eastAsia="Times New Roman" w:hAnsi="Times New Roman"/>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patent law could diminish the value of patents in general, thereby impairing our ability to protect our products.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cs="Times New Roman" w:eastAsia="Times New Roman" w:hAnsi="Times New Roman"/>
          <w:sz w:val="18"/>
          <w:szCs w:val="18"/>
          <w:i w:val="1"/>
          <w:iCs w:val="1"/>
          <w:color w:val="auto"/>
        </w:rPr>
        <w:t>Mayo Collaborative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DBA Mayo Medical Laboratories, et al. v. Prometheus Laboratories, Inc.</w:t>
      </w:r>
      <w:r>
        <w:rPr>
          <w:rFonts w:ascii="Times New Roman" w:cs="Times New Roman" w:eastAsia="Times New Roman" w:hAnsi="Times New Roman"/>
          <w:sz w:val="18"/>
          <w:szCs w:val="18"/>
          <w:color w:val="auto"/>
        </w:rPr>
        <w:t>, the Court held that several claims drawn to measuring drug metabolite levels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cs="Times New Roman" w:eastAsia="Times New Roman" w:hAnsi="Times New Roman"/>
          <w:sz w:val="18"/>
          <w:szCs w:val="18"/>
          <w:i w:val="1"/>
          <w:iCs w:val="1"/>
          <w:color w:val="auto"/>
        </w:rPr>
        <w:t>Ariosa Diagnostics, Inc. v. Sequenom, Inc</w:t>
      </w:r>
      <w:r>
        <w:rPr>
          <w:rFonts w:ascii="Times New Roman" w:cs="Times New Roman" w:eastAsia="Times New Roman" w:hAnsi="Times New Roman"/>
          <w:sz w:val="18"/>
          <w:szCs w:val="18"/>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1" w:lineRule="exact"/>
        <w:rPr>
          <w:sz w:val="20"/>
          <w:szCs w:val="20"/>
          <w:color w:val="auto"/>
        </w:rPr>
      </w:pPr>
    </w:p>
    <w:p>
      <w:pPr>
        <w:ind w:left="660" w:hanging="330"/>
        <w:spacing w:after="0" w:line="28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4" w:name="page65"/>
    <w:bookmarkEnd w:id="64"/>
    <w:p>
      <w:pPr>
        <w:ind w:left="660" w:hanging="33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4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62" w:lineRule="exact"/>
        <w:rPr>
          <w:sz w:val="20"/>
          <w:szCs w:val="20"/>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 caused by the ongoing COVID-19 pandemic;</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approve our product candidates;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CNS therapies;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5" w:name="page66"/>
    <w:bookmarkEnd w:id="65"/>
    <w:p>
      <w:pPr>
        <w:ind w:left="660" w:hanging="330"/>
        <w:spacing w:after="0" w:line="28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49"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may cause our stock price to decline.</w:t>
      </w:r>
    </w:p>
    <w:p>
      <w:pPr>
        <w:spacing w:after="0" w:line="22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including shares issued upon the recent conversions of all of our previously outstanding Series A, B, C and D Preferred Stock, and shares issued upon the recent or any future exercise of outstanding options and warrants for common stock, in the public market, or the perception that any such sales and issuances are occurring or might occur, could significantly reduce the market price for our common stock and impair our ability to raise adequate capital through the sale of equity securities.</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Restated Articles of Incorporation, as amended (the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permit us to issue up to 10.0 million shares of preferred stock. Our Board has authorized the issuance of 9.5 million shares of preferred stock, of which there are no shares remaining outstanding as of the date of this Report. As a result, our Board could authorize the issuance of additional series of preferred stock in the future, up to a maximum of 500,000 shares,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8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achieve a return on their investment will depend on appreciation in the price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in this section are not required since we qualify as a smaller reporting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corporate headquarters and laboratories are located at 343 Allerton Avenue, South San Francisco, California 94080, where we occupy approximately 10,900 square feet of office and lab space under a lease expiring on July 31, 2027, which contains a 5-year option to renew. We believe that our facilities are suitable and adequate for our current and foreseeable needs.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was approved for listing and has traded since May 11, 2016 on The Nasdaq Capital Market under the symbol “VTGN”.</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Below is the range of high and low sales prices for our common stock for the periods indicated as reported by the Nasdaq Capital Market. The market quotations reflect inter-dealer prices, without retail mark-up, mark-down or commissions and may not necessarily represent actual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March 31, 2022</w:t>
            </w:r>
          </w:p>
        </w:tc>
        <w:tc>
          <w:tcPr>
            <w:tcW w:w="24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ended June 30, 2021</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ended September 30, 2021</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ended December 31, 2021</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ended March 31, 2022</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March 31, 2021</w:t>
            </w: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ended June 30, 2020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ended September 30, 2020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ended December 31, 2020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ended March 31, 2021</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2022 the closing price of our common stock on the Nasdaq Capital Market was $1.02 per share.</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22, 2022, we had 206,640,955 shares of common stock outstanding held by approximately 20,000 stockholders. During our fiscal year ended March 31, 2022, the custodial holder of 500,000 shares of our Series A Preferred Stock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converted such shares into 750,000 shares of our common stock; the custodial holder of 1,131,669 outstanding shares of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converted such shares into 1,131,669 shares of our common stock and was issued 3,295,778 shares of our common stock in payment of dividends accrued from May 2015 through November 2021 upon conversion of the Series B Preferred; and the custodial holder of 2,318,012 shares of our Series C Convertible Preferred Stock (</w:t>
      </w:r>
      <w:r>
        <w:rPr>
          <w:rFonts w:ascii="Times New Roman" w:cs="Times New Roman" w:eastAsia="Times New Roman" w:hAnsi="Times New Roman"/>
          <w:sz w:val="18"/>
          <w:szCs w:val="18"/>
          <w:i w:val="1"/>
          <w:iCs w:val="1"/>
          <w:color w:val="auto"/>
        </w:rPr>
        <w:t>Series C Preferred</w:t>
      </w:r>
      <w:r>
        <w:rPr>
          <w:rFonts w:ascii="Times New Roman" w:cs="Times New Roman" w:eastAsia="Times New Roman" w:hAnsi="Times New Roman"/>
          <w:sz w:val="18"/>
          <w:szCs w:val="18"/>
          <w:color w:val="auto"/>
        </w:rPr>
        <w:t>) converted such shares into 2,318,012 shares of our common stock. At March 31, 2022 and June 22, 2022, no shares of our preferred stock were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and we do not anticipate paying any cash dividends on our common stock in the foreseeable future. Our Series B Preferred accrued dividends at a rate of 10% per annum, which dividends were payable solely in unregistered shares of our common stock at the time the Series B Preferred was converted into common stock. As noted above, our Series B Preferred was converted into common stock and we issued common stock in payment of accrued dividends during the fiscal year ended March 31, 2022 and there is currently no Series B Preferred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6. Selected Financial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in this section are not required because we qualify as a smaller reporting company under federal securities laws.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effects of the ongoing COVID-19 pandemic, the effect of regulation by the U.S. Food and Drug Administration (FDA) and other domestic and foreign regulatory agencies, the impact of competitive products, product development, commercialization and technological difficulties, the effect of our accounting policies, and other risks as detailed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We are a late clinical-stage,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xml:space="preserve">)-focused biopharmaceutical company striving to transform the treatment landscape for individuals living with anxiety, depression and other CNS disorders. We are advancing development of therapeutics with the potential to be faster-acting, and with fewer side effects and safety concerns, than those that are currently available. Our clinical-stage candidates are targeting multiple forms of anxiety and depression. They primarily belong to a new class of drugs known as pherines, which are odorless, neuroactive steroids that bind to distinct receptors on chemosensory neurons in the nasal passages and can impact the limbic amygdala without systemic uptake or direct activity on CNS neurons in the brain. Our lead candidate, PH94B, is a nasally administered spray currently in multiple Phase 3 trials in the U.S., with results from two of such Phase 3 studies anticipated in 2022. Should ongoing Phase 3 studies be successful, PH94B has the potential to be the first FDA-approved, fast-acting, acute treatment of anxiety for adults with social anxiety disorder. VistaGen is passionate about transforming mental health care and redefining what is possible for patients and health care providers in the treatment of anxiety and depression – </w:t>
      </w:r>
      <w:r>
        <w:rPr>
          <w:rFonts w:ascii="Times New Roman" w:cs="Times New Roman" w:eastAsia="Times New Roman" w:hAnsi="Times New Roman"/>
          <w:sz w:val="18"/>
          <w:szCs w:val="18"/>
          <w:i w:val="1"/>
          <w:iCs w:val="1"/>
          <w:color w:val="auto"/>
        </w:rPr>
        <w:t>One Mind at a Time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In addition, our PALISADE Phase 3 Program includes a long-term safety study which is underway in the U.S., and two additional planned clinical studies that we believe are required to support a potential U.S.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PH94B in SAD based on our prior discussions with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should our PALISADE Phase 3 Program be successful overall. In addition, our exploratory Phase 2A clinical program for PH94B, which is designed to assess the therapeutic potential of PH94B in anxiety disorders beyond SAD, is underway, with a Phase 2A clinical study in adults experiencing Adjustment Disorder with Anxiety (</w:t>
      </w:r>
      <w:r>
        <w:rPr>
          <w:rFonts w:ascii="Times New Roman" w:cs="Times New Roman" w:eastAsia="Times New Roman" w:hAnsi="Times New Roman"/>
          <w:sz w:val="18"/>
          <w:szCs w:val="18"/>
          <w:i w:val="1"/>
          <w:iCs w:val="1"/>
          <w:color w:val="auto"/>
        </w:rPr>
        <w:t>AjDA</w:t>
      </w:r>
      <w:r>
        <w:rPr>
          <w:rFonts w:ascii="Times New Roman" w:cs="Times New Roman" w:eastAsia="Times New Roman" w:hAnsi="Times New Roman"/>
          <w:sz w:val="18"/>
          <w:szCs w:val="18"/>
          <w:color w:val="auto"/>
        </w:rPr>
        <w:t>). We are preparing to expand our PH94B exploratory program in 2022 by initiating Phase 2A biomarker studies as an initial step in assessing PH94B’s therapeutic potential in each of procedural anxiety and post-traumatic stress disorder. We are also preparing to initiate our exploratory postpartum anxiety program for PH94B with a Phase 1 lactation study as a first step to assess whether PH94B is excreted to breast milk.</w:t>
      </w:r>
    </w:p>
    <w:p>
      <w:pPr>
        <w:spacing w:after="0" w:line="190"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8"/>
          <w:szCs w:val="18"/>
          <w:color w:val="auto"/>
        </w:rPr>
        <w:t>PH10 is being developed as a stand-alone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and potentially other depression disorders. Exploratory Phase 2A clinical development of PH10 for MDD has been completed. Based on the positive results demonstrated in that study, we are preparing for further clinical development of PH10 for MDD, including, but not limited to, a planned Phase 2B clinical study.</w:t>
      </w:r>
    </w:p>
    <w:p>
      <w:pPr>
        <w:spacing w:after="0" w:line="176"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Exploratory Phase 1B clinical development of AV-101 in combination with probenecid is underway in the U.S. to further assess the potential of the combination in multiple neurological indications involving the NMDA (N-methyl-D-aspartate) receptor.</w:t>
      </w:r>
    </w:p>
    <w:p>
      <w:pPr>
        <w:spacing w:after="0" w:line="162"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PH94B Nasal Spray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PH94B is a first-in-class, odorless, tasteless rapid-onset (approximately 15 minutes) synthetic investigational pherine nasal spray with a novel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that regulates the olfactory-amygdala neural circuits of fear and anxiety and attenuates the tone of the sympathetic autonomic nervous system. Based on positive Phase 2 data in SAD patients, VistaGen is currently evaluating PH94B in two Phase 3 clinical studies in the U.S., PALISADE-1 and PALISADE-2, and a long-term safety study, for the acute treatment of anxiety in adults with SAD. Designed for intranasal administration in low microgram doses, the novel MOA of PH94B is fundamentally differentiated from all current anti-anxiety medications, including all antidepressants approved by the FDA for treatment of SAD, as well as all benzodiazepines and beta blockers prescribed for treatment of SAD on an off-label basis. VistaGen’s proposed MOA for PH94B does not involve either direct activation of GABA-A receptors or binding to neuronal receptors in the CNS. Rather, PH94B’s proposed MOA involves binding to peripheral chemosensory neurons in the nasal passages to regulate the olfactory-amygdala fear and anxiety neural circuits. Both clinical and preclinical data suggest that PH94B has the potential to achieve rapid-onset anti-anxiety effects without systemic uptake or transport into the brain, reducing the risk of benzodiazepine-like side effects and other safety concerns.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ongoing PALISADE Phase 3 Program for PH94B is designed to further demonstrate its potential as a fast-acting, non-sedating, non-addictive acute treatment of anxiety in adults with SAD. In addition to SAD, for which the FDA has granted Fast Track designation, we also have potential opportunities to develop PH94B in adjustment disorder with anxiety, procedural anxiety, PTSD, postpartum anxiety and panic disorder.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PH10 Nasal Spray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PH10 is an odorless, tasteless synthetic investigational pherine nasal spray with a novel, rapid-onset potential MOA that is fundamentally differentiated from the MOA of all currently approved treatments for depression disorders. PH10, which is administered at microgram-level doses, engages and activates chemosensory cells in the nasal passages, connected to neural circuits in the brain that produce antidepressant effects. Specifically, in a manner similar to PH94B, PH10’s proposed MOA involves binding to peripheral chemosensory neurons in the nasal passages to regulate the olfactory-amygdala neural circuits believed to increase activity of the limbic-hypothalamic sympathetic nervous system and increase the release of catecholamines. Importantly, unlike all currently approved oral antidepressants (</w:t>
      </w:r>
      <w:r>
        <w:rPr>
          <w:rFonts w:ascii="Times New Roman" w:cs="Times New Roman" w:eastAsia="Times New Roman" w:hAnsi="Times New Roman"/>
          <w:sz w:val="18"/>
          <w:szCs w:val="18"/>
          <w:i w:val="1"/>
          <w:iCs w:val="1"/>
          <w:color w:val="auto"/>
        </w:rPr>
        <w:t>ADs</w:t>
      </w:r>
      <w:r>
        <w:rPr>
          <w:rFonts w:ascii="Times New Roman" w:cs="Times New Roman" w:eastAsia="Times New Roman" w:hAnsi="Times New Roman"/>
          <w:sz w:val="18"/>
          <w:szCs w:val="18"/>
          <w:color w:val="auto"/>
        </w:rPr>
        <w:t>) and rapid-onset ketamine-based therapy (</w:t>
      </w:r>
      <w:r>
        <w:rPr>
          <w:rFonts w:ascii="Times New Roman" w:cs="Times New Roman" w:eastAsia="Times New Roman" w:hAnsi="Times New Roman"/>
          <w:sz w:val="18"/>
          <w:szCs w:val="18"/>
          <w:i w:val="1"/>
          <w:iCs w:val="1"/>
          <w:color w:val="auto"/>
        </w:rPr>
        <w:t>KBT</w:t>
      </w:r>
      <w:r>
        <w:rPr>
          <w:rFonts w:ascii="Times New Roman" w:cs="Times New Roman" w:eastAsia="Times New Roman" w:hAnsi="Times New Roman"/>
          <w:sz w:val="18"/>
          <w:szCs w:val="18"/>
          <w:color w:val="auto"/>
        </w:rPr>
        <w:t>), including both intravenous ketamine and intranasal ketamine (esketamine), we believe PH10 does not require systemic uptake and distribution to produce rapid-onset of antidepressant effects. In all clinical studies completed to date, PH10 has been well-tolerated and has not caused psychological side effects (such as dissociation and hallucinations) or other safety concerns that may be associated with KBT. Our planned Phase 2B clinical program for PH10 is designed to further demonstrate its potential as a fast-acting stand-alone treatment for MDD. We also have potential opportunities to develop PH10 for multiple other depression-related disorders.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At doses administered in all studies completed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conducting an exploratory Phase 1B drug-drug interaction clinical study of AV-101.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certain accounting policies related to revenue recognition, determination of right-of-use assets under lease transactions and related lease obligations,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requires us to make estimates and assumptions that affect the amounts reported in the financial statements and accompanying notes to the consolidated financial statements. These estimates include, but are not limited to, those relating to stock-based compensation, revenue recognition, research and development expenses, determination of right-of-use assets under lease transactions and related lease obligations, and the assumptions used to value warrants, warrant modifications, and useful lives for property and equipment and related depreciation calculations. Our actual results could differ from these estimates.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historically generated revenue principally from collaborative research and development arrangements, licensing and technology access fees and government grants. We recognize revenue following the guidance of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w:t>
      </w:r>
      <w:r>
        <w:rPr>
          <w:rFonts w:ascii="Times New Roman" w:cs="Times New Roman" w:eastAsia="Times New Roman" w:hAnsi="Times New Roman"/>
          <w:sz w:val="18"/>
          <w:szCs w:val="18"/>
          <w:color w:val="auto"/>
        </w:rPr>
        <w:t>and its related amendments, collectively referred to as ASC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Topic 606.</w:t>
      </w:r>
    </w:p>
    <w:p>
      <w:pPr>
        <w:spacing w:after="0" w:line="1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w:t>
      </w:r>
    </w:p>
    <w:p>
      <w:pPr>
        <w:spacing w:after="0" w:line="2" w:lineRule="exact"/>
        <w:rPr>
          <w:sz w:val="20"/>
          <w:szCs w:val="20"/>
          <w:color w:val="auto"/>
        </w:rPr>
      </w:pPr>
    </w:p>
    <w:p>
      <w:pPr>
        <w:ind w:firstLine="7"/>
        <w:spacing w:after="0" w:line="258"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Once a contract is determined to be within the scope of Topic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is then determined and allocated to the identified performance obligations in proportion to their standalone selling prices (</w:t>
      </w:r>
      <w:r>
        <w:rPr>
          <w:rFonts w:ascii="Times New Roman" w:cs="Times New Roman" w:eastAsia="Times New Roman" w:hAnsi="Times New Roman"/>
          <w:sz w:val="18"/>
          <w:szCs w:val="18"/>
          <w:i w:val="1"/>
          <w:iCs w:val="1"/>
          <w:color w:val="auto"/>
        </w:rPr>
        <w:t>SSP</w:t>
      </w:r>
      <w:r>
        <w:rPr>
          <w:rFonts w:ascii="Times New Roman" w:cs="Times New Roman" w:eastAsia="Times New Roman" w:hAnsi="Times New Roman"/>
          <w:sz w:val="18"/>
          <w:szCs w:val="18"/>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Right-of-use assets and lease obligations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our leases following the guidance of Accounting Standards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ASU 2016-02</w:t>
      </w:r>
      <w:r>
        <w:rPr>
          <w:rFonts w:ascii="Times New Roman" w:cs="Times New Roman" w:eastAsia="Times New Roman" w:hAnsi="Times New Roman"/>
          <w:sz w:val="18"/>
          <w:szCs w:val="18"/>
          <w:color w:val="auto"/>
        </w:rPr>
        <w:t>).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Times New Roman" w:cs="Times New Roman" w:eastAsia="Times New Roman" w:hAnsi="Times New Roman"/>
          <w:sz w:val="18"/>
          <w:szCs w:val="18"/>
          <w:i w:val="1"/>
          <w:iCs w:val="1"/>
          <w:color w:val="auto"/>
        </w:rPr>
        <w:t>Right of use assets</w:t>
      </w:r>
      <w:r>
        <w:rPr>
          <w:rFonts w:ascii="Times New Roman" w:cs="Times New Roman" w:eastAsia="Times New Roman" w:hAnsi="Times New Roman"/>
          <w:sz w:val="18"/>
          <w:szCs w:val="18"/>
          <w:color w:val="auto"/>
        </w:rPr>
        <w:t>)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Consolidated Balance Sheets.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18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360-10</w:t>
      </w:r>
      <w:r>
        <w:rPr>
          <w:rFonts w:ascii="Times New Roman" w:cs="Times New Roman" w:eastAsia="Times New Roman" w:hAnsi="Times New Roman"/>
          <w:sz w:val="18"/>
          <w:szCs w:val="18"/>
          <w:i w:val="1"/>
          <w:iCs w:val="1"/>
          <w:color w:val="auto"/>
        </w:rPr>
        <w:t>, Property, Plant &amp; Equipment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Overall</w:t>
      </w:r>
      <w:r>
        <w:rPr>
          <w:rFonts w:ascii="Times New Roman" w:cs="Times New Roman" w:eastAsia="Times New Roman" w:hAnsi="Times New Roman"/>
          <w:sz w:val="18"/>
          <w:szCs w:val="18"/>
          <w:color w:val="auto"/>
        </w:rPr>
        <w:t>, we review long-lived assets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 We do not carry any capitalized intellectual property or product licenses as assets subject to impairment on our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and AV-101. All such costs are charged to expense as incurred.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record accruals for estimated ongoing clinical trial costs. Clinical trial costs represent costs incurred by contract research organizations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requires significant additional development and expense, we recorded the costs related to acquiring the licenses and the option as research and development expense in our fiscal year ended March 31,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in accordance with guidance provided by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to estimate the expected term as an input into the Black-Scholes option pricing model. We determine expected volatility using the historical method, which, because of the historically limited trading volume during the period in which our stock has been publicly traded on a major exchange, is based on the historical daily trading data of the common stock of a peer group of public companies over the expected term of the 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in Connection with Equity Financing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evaluate the appropriate balance sheet classification of warrants we issue as either equity or as a derivative liability. In accordance with ASC 815-40, </w:t>
      </w:r>
      <w:r>
        <w:rPr>
          <w:rFonts w:ascii="Times New Roman" w:cs="Times New Roman" w:eastAsia="Times New Roman" w:hAnsi="Times New Roman"/>
          <w:sz w:val="18"/>
          <w:szCs w:val="18"/>
          <w:i w:val="1"/>
          <w:iCs w:val="1"/>
          <w:color w:val="auto"/>
        </w:rPr>
        <w:t>Derivatives and Hedging-Contracts in the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815-40</w:t>
      </w:r>
      <w:r>
        <w:rPr>
          <w:rFonts w:ascii="Times New Roman" w:cs="Times New Roman" w:eastAsia="Times New Roman" w:hAnsi="Times New Roman"/>
          <w:sz w:val="18"/>
          <w:szCs w:val="18"/>
          <w:color w:val="auto"/>
        </w:rPr>
        <w:t>), we classify a warrant as equity if it is “indexed to the Company’s equity”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or ASC 815-40, it is classified as a derivative liability which is carried on the consolidated balance sheet at fair value with any changes in its fair value recognized immediately in the Statement of Operations and Comprehensive Loss. At March 31, 2022 and 2021, we had both investor warrants and share-based compensation warrants outstanding that were classified as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account for income taxes using the asset and liability approach promulgated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3 to the Consolidated Financial Statements included in Item 8 in this Report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information on recent accounting pronouncements.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not yet achieved recurring revenue-generating status from any of our product candidates or technologies in amounts sufficient to sustain our operations and enable our strategic business plans. Since we entered into the AffaMed Agreement with respect to PH94B in June 2020 and the Bayer Agreement with respect to cardiac stem cell technology in December 2016, those agreements have provided initial, non-dilutive cash payments, but no recurring revenues, although we may potentially receive additional cash payments and royalties under such agreements in the future, in the event certain performance-based milestones and commercial sales are achieved. Since acquiring our exclusive worldwide licenses to our intranasal investigational product candidates, PH94B and PH10, in 2018, we have devoted substantial resources to advancing initiatives related to research, development, and contract manufacturing of such product candidates, including initiatives related to manufacturing processes, analytical methods and production programs for drug substance and finished drug product, as well as for preclinical and clinical studies focused on potential commercialization of these product candidate for neuropsychiatry indications. For example, with respect to PH94B, during 2021 we initiated our PALISADE Phase 3 Program for the acute treatment of anxiety in adults with SAD, and with respect to PH10, we conducted and are continuing to conduct various preclinical studies and manufacturing activities intended to enable commencement of a Phase 2B clinical study of PH10 as a stand-alone treatment for MDD. In addition, we have devoted substantial resources to advance initiatives related to research, development and contract manufacturing of our oral prodrug candidate, AV-101, including initiatives related to manufacturing processes, analytical methods and production programs for drug substance and finished drug product, as well as several preclinical studies and clinical studies focused on potential commercialization of AV-101 in several CNS indications. For example, our current focus on AV-101 is in combination with probenecid which may provide opportunities to explore the therapeutic potential of the combination for certain CNS indications involving the NMDAR. Also, from-time-to-time in the past but not during the period covered by this Report, we have devoted resources to VistaStem’s stem cell technology research and development, bioassay development and small molecule drug rescue-related initiatives, in addition to creating, protecting and patenting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related to our product candidates and technologies, with the corollary initiatives of recruiting and retaining personnel and raising working capital. At March 31, 2022, we had an accumulated deficit of approximately $267.6 million. Our net loss for the fiscal years ended March 31, 2022 and 2021 was approximately $47.8 million and $17.9 million, respectively. We expect losses to continue for the foreseeable future, primarily as we engage in further research, development and commercialization activities related to PH94B, PH10 and AV-101.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654"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Summary of the Fiscal Year Ended March 31, 2022</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our fiscal year ended March 31, 2021 (</w:t>
      </w:r>
      <w:r>
        <w:rPr>
          <w:rFonts w:ascii="Times New Roman" w:cs="Times New Roman" w:eastAsia="Times New Roman" w:hAnsi="Times New Roman"/>
          <w:sz w:val="18"/>
          <w:szCs w:val="18"/>
          <w:i w:val="1"/>
          <w:iCs w:val="1"/>
          <w:color w:val="auto"/>
        </w:rPr>
        <w:t>Fiscal 2021</w:t>
      </w:r>
      <w:r>
        <w:rPr>
          <w:rFonts w:ascii="Times New Roman" w:cs="Times New Roman" w:eastAsia="Times New Roman" w:hAnsi="Times New Roman"/>
          <w:sz w:val="18"/>
          <w:szCs w:val="18"/>
          <w:color w:val="auto"/>
        </w:rPr>
        <w:t xml:space="preserve">) we completed financing and development and commercialization partnering transactions aggregating approximately $25 million prior to our December 2020 completion of a $100 million underwritten public offering (the </w:t>
      </w:r>
      <w:r>
        <w:rPr>
          <w:rFonts w:ascii="Times New Roman" w:cs="Times New Roman" w:eastAsia="Times New Roman" w:hAnsi="Times New Roman"/>
          <w:sz w:val="18"/>
          <w:szCs w:val="18"/>
          <w:i w:val="1"/>
          <w:iCs w:val="1"/>
          <w:color w:val="auto"/>
        </w:rPr>
        <w:t>December 2020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of our securities, from which, after deducting discounts, commissions and offering expenses, we received net proceeds of approximately $93.6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Our financial position resulting from those transactions, combined with warrant exercises and other financing activities during our fiscal year ended March 31, 2022 (</w:t>
      </w:r>
      <w:r>
        <w:rPr>
          <w:rFonts w:ascii="Times New Roman" w:cs="Times New Roman" w:eastAsia="Times New Roman" w:hAnsi="Times New Roman"/>
          <w:sz w:val="18"/>
          <w:szCs w:val="18"/>
          <w:i w:val="1"/>
          <w:iCs w:val="1"/>
          <w:color w:val="auto"/>
        </w:rPr>
        <w:t>Fiscal 2022</w:t>
      </w:r>
      <w:r>
        <w:rPr>
          <w:rFonts w:ascii="Times New Roman" w:cs="Times New Roman" w:eastAsia="Times New Roman" w:hAnsi="Times New Roman"/>
          <w:sz w:val="18"/>
          <w:szCs w:val="18"/>
          <w:color w:val="auto"/>
        </w:rPr>
        <w:t>) aggregating approximately $10.5 million, net of expenses, has permitted us to accelerate an important stream of potential catalysts across our CNS pipeline, including, among others, our PALISADE Phase 3 Program for PH94B for the acute treatment of anxiety in adults with SAD.</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an operational perspective, throughout Fiscal 2022 and through the date of this Report, we have continued to advance our nonclinical and clinical development, manufacturing, and regulatory activities necessary for (i) Phase 3 clinical development of PH94B as a potential acute treatment of anxiety in adults with SAD, (ii) advancing our planned exploratory Phase 2A clinical program for PH94B with the initiation of our Phase 2A clinical study in adults experiencing AjDA, while also exploring potential opportunities for Phase 2A clinical development of PH94B in anxiety disorders beyond SAD, (iii) Phase 2B development of PH10 as a potential stand-alone treatment of MDD and (iv) exploratory Phase 1B development of AV-101 in combination with probenecid to explore potential opportunities to develop the combination for treatment of multiple CNS indications. Notably, we initiated our PALISADE Phase 3 Program for PH94B in SAD with the commencement of PALISADE-1 in May 2021 and PALISADE-2 in August 2021. Each is a U.S. multi-center, randomized, double-blind, placebo-controlled Phase 3 clinical trial to evaluate the efficacy, safety and tolerability of PH94B for the acute treatment of anxiety in adults with SAD. Each of the studies is being conducted across various sites in the U.S., with a combined target of approximately 416 randomized subjects. Dr. Michael Liebowitz, a Columbia University psychiatrist, former director and founder of the Anxiety Disorders Clinic at the New York State Psychiatric Institute, director of the Medical Research Network in New York City, and creator of the Liebowitz Social Anxiety Scale (</w:t>
      </w:r>
      <w:r>
        <w:rPr>
          <w:rFonts w:ascii="Times New Roman" w:cs="Times New Roman" w:eastAsia="Times New Roman" w:hAnsi="Times New Roman"/>
          <w:sz w:val="18"/>
          <w:szCs w:val="18"/>
          <w:i w:val="1"/>
          <w:iCs w:val="1"/>
          <w:color w:val="auto"/>
        </w:rPr>
        <w:t>LSAS</w:t>
      </w:r>
      <w:r>
        <w:rPr>
          <w:rFonts w:ascii="Times New Roman" w:cs="Times New Roman" w:eastAsia="Times New Roman" w:hAnsi="Times New Roman"/>
          <w:sz w:val="18"/>
          <w:szCs w:val="18"/>
          <w:color w:val="auto"/>
        </w:rPr>
        <w:t>), is serving as Principal Investigator of both studies. Topline results from PALISADE-1 are anticipated to be released in mid-2022 and those from PALISADE-2 later in 2022. In addition to the initiation of PALISADE-1 and PALISADE-2, during Fiscal 2022, we initiated the PALISADE Long-term Safety study and advanced our planned exploratory Phase 2A clinical program for PH94B with the initiation of our Phase 2A clinical study in adults experiencing AjDA. We are continuing preparations for additional clinical trials of PH94B and PH10 that we plan to commence later in calendar 2022. Further, we continue to expand our regulatory and intellectual property foundation to support broad clinical development and, ultimately, commercialization of our CNS product candidates in the U.S. and foreign markets.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advance these initiatives, beginning in the fourth quarter of Fiscal 2021, throughout Fiscal 2022, and continuing to the present, we have significantly expanded our employee infrastructure with experienced personnel additions across multiple functional areas, including clinical operations, clinical research, data management, chemistry, manufacturing and controls (</w:t>
      </w:r>
      <w:r>
        <w:rPr>
          <w:rFonts w:ascii="Times New Roman" w:cs="Times New Roman" w:eastAsia="Times New Roman" w:hAnsi="Times New Roman"/>
          <w:sz w:val="18"/>
          <w:szCs w:val="18"/>
          <w:i w:val="1"/>
          <w:iCs w:val="1"/>
          <w:color w:val="auto"/>
        </w:rPr>
        <w:t>CMC</w:t>
      </w:r>
      <w:r>
        <w:rPr>
          <w:rFonts w:ascii="Times New Roman" w:cs="Times New Roman" w:eastAsia="Times New Roman" w:hAnsi="Times New Roman"/>
          <w:sz w:val="18"/>
          <w:szCs w:val="18"/>
          <w:color w:val="auto"/>
        </w:rPr>
        <w:t>) and quality assurance, biostatistics and clinical analytics, regulatory affairs, medical affairs, translational medicine, commercial operations, legal and contracts and corporate affairs, development operations, and investor and public relations. Between April 2021 and July 2021, we filled vacancies on our Board created, in part, by the departure of two of our long-term Board members, by appointing three new independent members to our Board. Five members of our Board are independent. We believe these appointments increase our Board’s diversity and expand its expertise in multiple areas, including among others, communications, drug development, regulatory affairs, product commercialization and marketing.</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Throughout Fiscal 2021 and Fiscal 2022 and through the date of this Report, strains of SARS-CoV-2, commonly referred to as COVID-19 and multiple variants of the virus, have spread globally and the outbreak has been declared a pandemic by the World Health Organization and a public health emergency in the U.S. by the U.S. Secretary of Health and Human Services. Operations at our headquarters in South San Francisco were significantly curtailed during Fiscal 2021 and the first half of Fiscal 2022, and, to some extent, periodically thereafter, while state and local restrictions required remote working conditions. Most of our recent employee additions are geographically located away from our headquarters facility in South San Francisco and routinely work remotely. Our employees have worked efficiently and productively while remotely-located and working from home whether as a result of the COVID-19 pandemic or otherwise. From time to time during the COVID-19 pandemic, however, the efficiency and productivity of certain preclinical and clinical development programs and our third-party collaborators, including , among others, contract research and development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and other third-party service providers have been, and may be in the future, impacted by prevailing surges in the spread of variants of COVID-19, such as spreads induced by the Delta and Omicron variants and their sub-variants during Fiscal 2021 and Fiscal 2022, shelter-in-place orders, social distancing measures, travel bans and restrictions, and certain business and government closures or reductions in service. From time to time since the beginning of the COVID-19 pandemic, we have experienced delays in the delivery of supplies of active pharmaceutical product (</w:t>
      </w:r>
      <w:r>
        <w:rPr>
          <w:rFonts w:ascii="Times New Roman" w:cs="Times New Roman" w:eastAsia="Times New Roman" w:hAnsi="Times New Roman"/>
          <w:sz w:val="18"/>
          <w:szCs w:val="18"/>
          <w:i w:val="1"/>
          <w:iCs w:val="1"/>
          <w:color w:val="auto"/>
        </w:rPr>
        <w:t>API</w:t>
      </w:r>
      <w:r>
        <w:rPr>
          <w:rFonts w:ascii="Times New Roman" w:cs="Times New Roman" w:eastAsia="Times New Roman" w:hAnsi="Times New Roman"/>
          <w:sz w:val="18"/>
          <w:szCs w:val="18"/>
          <w:color w:val="auto"/>
        </w:rPr>
        <w:t>) or other key materials required to continue development of PH94B and PH10, as well as temporary disruptions in the availability of third-party personnel and others involved in the conduct of our preclinical and clinical programs. Future unexpected delays may result in a significant, material delay or disruption to our current clinical development plans, programs, and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jc w:val="both"/>
        <w:spacing w:after="0" w:line="264" w:lineRule="auto"/>
        <w:rPr>
          <w:sz w:val="20"/>
          <w:szCs w:val="20"/>
          <w:color w:val="auto"/>
        </w:rPr>
      </w:pPr>
      <w:r>
        <w:rPr>
          <w:rFonts w:ascii="Times New Roman" w:cs="Times New Roman" w:eastAsia="Times New Roman" w:hAnsi="Times New Roman"/>
          <w:sz w:val="18"/>
          <w:szCs w:val="18"/>
          <w:color w:val="auto"/>
        </w:rPr>
        <w:t>From a financial perspective, in addition to the December 2020 Public Offering, between December 2020 and the end of Fiscal 2022, holders of outstanding warrants to purchase an aggregate of 13,695,093 shares of our common stock exercised such warrants and we received cash proceeds of approximately $11,132,200, including exercises of warrants to purchase 7,298,791 shares for cash proceeds of $6,207,400 during Fiscal 2022.</w:t>
      </w:r>
    </w:p>
    <w:p>
      <w:pPr>
        <w:spacing w:after="0" w:line="17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as sales agent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xml:space="preserve">), with respect to an at-the-market offering program (the </w:t>
      </w:r>
      <w:r>
        <w:rPr>
          <w:rFonts w:ascii="Times New Roman" w:cs="Times New Roman" w:eastAsia="Times New Roman" w:hAnsi="Times New Roman"/>
          <w:sz w:val="18"/>
          <w:szCs w:val="18"/>
          <w:i w:val="1"/>
          <w:iCs w:val="1"/>
          <w:color w:val="auto"/>
        </w:rPr>
        <w:t>ATM</w:t>
      </w:r>
      <w:r>
        <w:rPr>
          <w:rFonts w:ascii="Times New Roman" w:cs="Times New Roman" w:eastAsia="Times New Roman" w:hAnsi="Times New Roman"/>
          <w:sz w:val="18"/>
          <w:szCs w:val="18"/>
          <w:color w:val="auto"/>
        </w:rPr>
        <w:t>) under which we may, at our option, offer and sell, from time to time, shares of our common stock having an aggregate offering price of up to $75.0 million through Jefferies as our sales agent. During September and early October 2021, we sold an aggregate of 1,517,798 shares of our common stock and received gross cash proceeds of approximately $4.45 million under the ATM. We have not sold any shares under the ATM from October 2, 2021 through the date of this Report.</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Subject to certain restrictions, our Registration Statement on Form S-3 (the </w:t>
      </w:r>
      <w:r>
        <w:rPr>
          <w:rFonts w:ascii="Times New Roman" w:cs="Times New Roman" w:eastAsia="Times New Roman" w:hAnsi="Times New Roman"/>
          <w:sz w:val="18"/>
          <w:szCs w:val="18"/>
          <w:i w:val="1"/>
          <w:iCs w:val="1"/>
          <w:color w:val="auto"/>
        </w:rPr>
        <w:t>S-3 Shelf Registration Statement</w:t>
      </w:r>
      <w:r>
        <w:rPr>
          <w:rFonts w:ascii="Times New Roman" w:cs="Times New Roman" w:eastAsia="Times New Roman" w:hAnsi="Times New Roman"/>
          <w:sz w:val="18"/>
          <w:szCs w:val="18"/>
          <w:color w:val="auto"/>
        </w:rPr>
        <w:t>) remains available for future sales of our equity securities in one or more public offerings, including under the ATM with Jefferies, from time to time. We were added to the Russell 2000® Index at the conclusion of the 2021 Russell Indexes annual reconstitution at the end of June 2021. The Russell 2000® Index is one of the most cited performance benchmarks for small-cap companies and is widely used by investment managers and institutional investors as the basis for index funds and as a benchmark for active investment strategies. We believe our inclusion in the Russell 2000® Index has increased and will continue to increase overall awareness and exposure of the Company by introducing us to a wider investor audience.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March 31,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fiscal years ended March 31, 2022 and 2021 (amounts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800" w:type="dxa"/>
            <w:vAlign w:val="bottom"/>
          </w:tcPr>
          <w:p>
            <w:pPr>
              <w:spacing w:after="0"/>
              <w:rPr>
                <w:sz w:val="20"/>
                <w:szCs w:val="20"/>
                <w:color w:val="auto"/>
              </w:rPr>
            </w:pPr>
          </w:p>
        </w:tc>
        <w:tc>
          <w:tcPr>
            <w:tcW w:w="33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22"/>
        </w:trPr>
        <w:tc>
          <w:tcPr>
            <w:tcW w:w="68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08"/>
        </w:trPr>
        <w:tc>
          <w:tcPr>
            <w:tcW w:w="6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r>
      <w:tr>
        <w:trPr>
          <w:trHeight w:val="208"/>
        </w:trPr>
        <w:tc>
          <w:tcPr>
            <w:tcW w:w="6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8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35,408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00" w:type="dxa"/>
            <w:vAlign w:val="bottom"/>
            <w:shd w:val="clear" w:color="auto" w:fill="CCEEFF"/>
          </w:tcPr>
          <w:p>
            <w:pPr>
              <w:spacing w:after="0"/>
              <w:rPr>
                <w:sz w:val="18"/>
                <w:szCs w:val="18"/>
                <w:color w:val="auto"/>
              </w:rPr>
            </w:pPr>
          </w:p>
        </w:tc>
      </w:tr>
      <w:tr>
        <w:trPr>
          <w:trHeight w:val="215"/>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20"/>
        </w:trPr>
        <w:tc>
          <w:tcPr>
            <w:tcW w:w="6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68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19,024</w:t>
            </w:r>
          </w:p>
        </w:tc>
      </w:tr>
      <w:tr>
        <w:trPr>
          <w:trHeight w:val="208"/>
        </w:trPr>
        <w:tc>
          <w:tcPr>
            <w:tcW w:w="68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(47,779)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(17,934)</w:t>
            </w:r>
          </w:p>
        </w:tc>
      </w:tr>
      <w:tr>
        <w:trPr>
          <w:trHeight w:val="215"/>
        </w:trPr>
        <w:tc>
          <w:tcPr>
            <w:tcW w:w="6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5"/>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8"/>
        </w:trPr>
        <w:tc>
          <w:tcPr>
            <w:tcW w:w="68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(47,759)</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(17,931)</w:t>
            </w:r>
          </w:p>
        </w:tc>
      </w:tr>
      <w:tr>
        <w:trPr>
          <w:trHeight w:val="215"/>
        </w:trPr>
        <w:tc>
          <w:tcPr>
            <w:tcW w:w="6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8"/>
        </w:trPr>
        <w:tc>
          <w:tcPr>
            <w:tcW w:w="68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(47,762)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(17,934)</w:t>
            </w:r>
          </w:p>
        </w:tc>
      </w:tr>
      <w:tr>
        <w:trPr>
          <w:trHeight w:val="215"/>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r>
      <w:tr>
        <w:trPr>
          <w:trHeight w:val="215"/>
        </w:trPr>
        <w:tc>
          <w:tcPr>
            <w:tcW w:w="68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Beneficial conversion feature on Series D Preferred Stock</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(23,000)</w:t>
            </w:r>
          </w:p>
        </w:tc>
      </w:tr>
      <w:tr>
        <w:trPr>
          <w:trHeight w:val="20"/>
        </w:trPr>
        <w:tc>
          <w:tcPr>
            <w:tcW w:w="68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(48,707)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(42,320)</w:t>
            </w:r>
          </w:p>
        </w:tc>
      </w:tr>
      <w:tr>
        <w:trPr>
          <w:trHeight w:val="20"/>
        </w:trPr>
        <w:tc>
          <w:tcPr>
            <w:tcW w:w="6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sublicense revenue pursuant to the AffaMed Agreement in the amount of $1,108,900 in Fiscal 2022 compared to $1,089,500 in Fiscal 2021. In June 2020, we entered into the AffaMed Agreement, which involves the clinical development and commercialization of PH94B for acute treatment of anxiety in adults with SAD, and potentially other anxiety-related disorders, in Greater China, South Korea, and Southeast Asia. The terms of the AffaMed Agreement included a $5.0 million non-refundable upfront license fee which we received in August 2020. We recorded this payment as deferred revenue and we are recognizing it as revenue on a straight-line basis over the period during which we expect to perform the services required under the AffaMed Agreement. We currently estimate that we will complete our performance obligations under the AffaMed Agreement in mid-calendar 2024. While we may potentially receive additional cash payments and royalties in the future under the AffaMed Agreement in the event certain performance-based milestones and commercial sales are achieved, there can be no assurance that the AffaMed Agreement will provide additional revenue beyond that noted or cash payments to us in the near term, or at all.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w:t>
      </w:r>
      <w:r>
        <w:rPr>
          <w:rFonts w:ascii="Times New Roman" w:cs="Times New Roman" w:eastAsia="Times New Roman" w:hAnsi="Times New Roman"/>
          <w:sz w:val="18"/>
          <w:szCs w:val="18"/>
          <w:i w:val="1"/>
          <w:iCs w:val="1"/>
          <w:color w:val="auto"/>
        </w:rPr>
        <w:t>R&amp;D</w:t>
      </w:r>
      <w:r>
        <w:rPr>
          <w:rFonts w:ascii="Times New Roman" w:cs="Times New Roman" w:eastAsia="Times New Roman" w:hAnsi="Times New Roman"/>
          <w:sz w:val="18"/>
          <w:szCs w:val="18"/>
          <w:color w:val="auto"/>
        </w:rPr>
        <w:t>) expense increased by approximately $23.5 million, from $11.9 million in Fiscal 2021 to $35.4 million in Fiscal 2022, primarily due to expenses related to preparing for, initiating and conducting our ongoing PALISADE Phase 3 Program for PH94B in SAD, including the preparation for and conduct of PALISADE-1 and the preparation for, initiation and advancement of PALISADE-2 and the PALISADE Long-term Safety Study, the preparation for and initiation and advancement of our exploratory Phase 2A study of PH94B for the potential treatment of AjDA, and continuation of both nonclinical and preclinical development and outsourced manufacturing activities for both PH94B and PH10. Such activities accounted for an increase of approximately $17.6 million in expenses in Fiscal 2022 compared to Fiscal 2021. Salaries and benefits expense increased by approximately $4.1 million in Fiscal 2022 compared to Fiscal 2021 primarily due to the hiring of multiple senior personnel. Noncash research and development expenses, primarily stock-based compensation and equipment depreciation in both periods, accounted for approximately $1.5 million and $0.8 million in Fiscal 2022 and Fiscal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primary components of R&amp;D expense for each of the periods (amounts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08"/>
        </w:trPr>
        <w:tc>
          <w:tcPr>
            <w:tcW w:w="66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6,040</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8"/>
                <w:szCs w:val="18"/>
                <w:color w:val="auto"/>
              </w:rPr>
            </w:pPr>
          </w:p>
        </w:tc>
      </w:tr>
      <w:tr>
        <w:trPr>
          <w:trHeight w:val="21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5"/>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Clinical and nonclinical studies and development 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PH94B and PH10</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00" w:type="dxa"/>
            <w:vAlign w:val="bottom"/>
            <w:shd w:val="clear" w:color="auto" w:fill="CCEEFF"/>
          </w:tcPr>
          <w:p>
            <w:pPr>
              <w:spacing w:after="0"/>
              <w:rPr>
                <w:sz w:val="18"/>
                <w:szCs w:val="18"/>
                <w:color w:val="auto"/>
              </w:rPr>
            </w:pPr>
          </w:p>
        </w:tc>
      </w:tr>
      <w:tr>
        <w:trPr>
          <w:trHeight w:val="215"/>
        </w:trPr>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AV-101</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15"/>
        </w:trPr>
        <w:tc>
          <w:tcPr>
            <w:tcW w:w="6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All other</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00" w:type="dxa"/>
            <w:vAlign w:val="bottom"/>
          </w:tcPr>
          <w:p>
            <w:pPr>
              <w:spacing w:after="0"/>
              <w:rPr>
                <w:sz w:val="18"/>
                <w:szCs w:val="18"/>
                <w:color w:val="auto"/>
              </w:rPr>
            </w:pPr>
          </w:p>
        </w:tc>
      </w:tr>
      <w:tr>
        <w:trPr>
          <w:trHeight w:val="20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r>
      <w:tr>
        <w:trPr>
          <w:trHeight w:val="21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5"/>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8"/>
        </w:trPr>
        <w:tc>
          <w:tcPr>
            <w:tcW w:w="66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5"/>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salaries and benefits expense for Fiscal 2022 primarily reflects the impact of the addition of senior management personnel across multiple functional R&amp;D areas, including chemistry, manufacturing and controls (</w:t>
      </w:r>
      <w:r>
        <w:rPr>
          <w:rFonts w:ascii="Times New Roman" w:cs="Times New Roman" w:eastAsia="Times New Roman" w:hAnsi="Times New Roman"/>
          <w:sz w:val="18"/>
          <w:szCs w:val="18"/>
          <w:i w:val="1"/>
          <w:iCs w:val="1"/>
          <w:color w:val="auto"/>
        </w:rPr>
        <w:t>CMC</w:t>
      </w:r>
      <w:r>
        <w:rPr>
          <w:rFonts w:ascii="Times New Roman" w:cs="Times New Roman" w:eastAsia="Times New Roman" w:hAnsi="Times New Roman"/>
          <w:sz w:val="18"/>
          <w:szCs w:val="18"/>
          <w:color w:val="auto"/>
        </w:rPr>
        <w:t>), clinical operations, clinical research, pharmacovigilance, biostatistics and clinical analytics, development operations, regulatory affairs and translational medicine, as well as other R&amp;D personnel during the period from December 2020 through March 2022. Also contributing to the increase is the impact of salary increases effective beginning in January 2022 granted to R&amp;D management and members of our R&amp;D staff. Further, bonus payments for achievement of certain core corporate objectives during calendar year 2021, paid in February 2022, exceeded amounts paid in December 2020 to a smaller number of employees for achievement of calendar 2020 objectives.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Fiscal 2022 stock-based compensation expense reflects the amortization of option grants made to our internal R&amp;D team as well as certain clinical and scientific consultants since May 2019, in addition to grants to new senior management and other employees as indicated above. All outstanding options granted to R&amp;D employees and consultants prior to May 2019 are fully vested and amortized at March 31, 2022. Grants awarded after March 31, 2021, including those granted to new employees, account for approximately $604,000 of Fiscal 2022 expense, offset by the expense reduction compared to Fiscal 2021 of approximately $237,000 for grants made in Fiscal 2021 and prior years that became fully vested during Fiscal 2022. Further, grants to newly hired employees between December 2020 and March 31, 2021 incurred a full year of amortization during Fiscal 2022 compared to a partial year during Fiscal 2021, increasing Fiscal 2022 expense by approximately $343,000. Except for grants to new employees, expense attributable to recent option grants is generally being amortized over two-year to three-year vesting periods, with essentially all of the grants made since May 2019, including those made in Fiscal 2022 and Fiscal 2021, being 25% vested and expensed upon grant, in accordance with the terms of the respective grants. Grants to new employees generally vest 25% on the first anniversary of the grant date and ratably monthly over the next three years.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Consulting and other professional services in both periods reflects fees incurred, generally on an as-needed basis, for project-based scientific, CMC, nonclinical and clinical development and regulatory advisory and analytical services rendered to us by third parties, primarily in support of our PH94B and PH10 development initiatives. Fiscal 2022 expense also includes contract recruiting services for certain specialized R&amp;D positions.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6" w:name="page77"/>
    <w:bookmarkEnd w:id="76"/>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The significant increase in PH94B and PH10 clinical and nonclinical project expenses during Fiscal 2022 compared to Fiscal 2021 results primarily from the initiation and advancement of our ongoing PALISADE Phase 3 Program, specifically, our PALISADE-1 and ongoing PALISADE-2 clinical trials, and our PALISADE Long-term Safety study, as well as the initiation of our exploratory Phase 2A clinical trial of PH94B as a potential treatment of AjDA and preclinical development activities for PH94B and PH10. In both periods, manufacturing, formulation, validation and analysis of sufficient quantities of drug substance and drug product for both clinical trials and other developmental requirements have been and continue to be significant initiatives for advancing both PH94B and PH10. Due to its later stage of development, costs for PH94B initiatives have significantly exceeded those for PH10 during both Fiscal 2022 and Fiscal 2021. In both years, AV-101 project expense includes costs for certain preclinical studies related to the use of AV-101 with adjunctive probenecid and certain AV-101 manufacturing stability studies. Fiscal 2022 expense also includes the impact of initiating our ongoing exploratory Phase 1B AV-101 and probenecid clinical trial. We are actively preparing for and advancing other clinical and nonclinical studies involving PH94B, PH10 and AV-101 in combination with probenecid.</w:t>
      </w:r>
    </w:p>
    <w:p>
      <w:pPr>
        <w:spacing w:after="0" w:line="192"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 xml:space="preserve">Rent expense for both Fiscal 2022 and Fiscal 2021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Financial Statements,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General and administrative (</w:t>
      </w:r>
      <w:r>
        <w:rPr>
          <w:rFonts w:ascii="Times New Roman" w:cs="Times New Roman" w:eastAsia="Times New Roman" w:hAnsi="Times New Roman"/>
          <w:sz w:val="18"/>
          <w:szCs w:val="18"/>
          <w:i w:val="1"/>
          <w:iCs w:val="1"/>
          <w:color w:val="auto"/>
        </w:rPr>
        <w:t>G&amp;A</w:t>
      </w:r>
      <w:r>
        <w:rPr>
          <w:rFonts w:ascii="Times New Roman" w:cs="Times New Roman" w:eastAsia="Times New Roman" w:hAnsi="Times New Roman"/>
          <w:sz w:val="18"/>
          <w:szCs w:val="18"/>
          <w:color w:val="auto"/>
        </w:rPr>
        <w:t>) expense increased by approximately $6.4 million to approximately $13.5 million in Fiscal 2022 compared to approximately $7.1 million in Fiscal 2021. Salaries and benefits expense for Fiscal 2022 increased by approximately $2.0 million versus Fiscal 2021 primarily due to the hiring of senior management personnel, including our Chief Commercial Officer, Vice President, Investor Relations, and Vice President, Strategic Insights and Analytics, as well as other senior administrative personnel. Stock-based compensation expense increased by approximately $0.5 million in Fiscal 2022 as a result of grants to both new and existing G&amp;A employees and members of our Board. Further, in Fiscal 2022, we incurred approximately $2.8 million of consulting expenses in connection with various customary pre-commercialization market research studies and analyses. We incurred additional consulting expense of approximately $0.6 million related to expanding our infrastructure support during Fiscal 2022. Additionally, in Fiscal 2022, we expensed, as a noncash charge, approximately $0.2 million of deferred offering costs attributable to a previous financing arrangement that we terminated in June 2021. Noncash general and administrative expense, approximately $2.4 million during Fiscal 2022, increased from approximately $1.7 million for Fiscal 2021 primarily due to the increase in stock-based compensation expense and the write-off of the deferred offering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primary components of G&amp;A expense for each of the periods (amounts in thousands):</w:t>
      </w:r>
    </w:p>
    <w:p>
      <w:pPr>
        <w:spacing w:after="0" w:line="219"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4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fees and other consulting services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and public relations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Pre-launch marketing studies and analyses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Sublicense contract amortized acquisition expense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 of deferred offering costs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8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increase in salaries and benefits expense in Fiscal 2022 primarily results from the addition of our Chief Commercial Officer in May 2021, our Vice President, Investor Relations in March 2021, our Vice President, Strategic Insights and Analytics in November 2021, our Vice President, Human Resources in January 2022 and three other administrative employees during the period. Also contributing to the increase is the impact of salary increases effective beginning in January 2022 granted to members of our management and administrative staff. Further, bonus payments for achievement of certain core corporate objectives during calendar year 2021, paid in February 2022, exceeded amounts paid in December 2020 to a smaller number of employees for achievement of calendar 2020 objectives.</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578" w:right="2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18"/>
          <w:szCs w:val="18"/>
          <w:color w:val="auto"/>
        </w:rPr>
        <w:t>Fiscal 2022 stock-based compensation expense reflects the amortization of option grants made to our internal management and administrative staff, independent members of our Board and certain consultants since May 2019, in addition to grants to new senior management and other new employees as indicated above. All outstanding options granted to G&amp;A employees, Board members and consultants prior to May 2019 are fully vested and amortized at March 31, 2022. Grants awarded after March 31, 2021, including those granted to new employees, account for approximately $1,008,000 of Fiscal 2022 expense, offset by the expense reduction compared to Fiscal 2021 of approximately $603,000 for grants made in Fiscal 2021 and prior years that became fully vested during Fiscal 2022. Further, grants to newly hired employees between December 2020 and March 31, 2021 incurred a full year of amortization during Fiscal 2022 compared to a partial year during Fiscal 2021, increasing Fiscal 2022 expense by approximately $94,000. Except for grants to new employees, expense attributable to recent option grants is generally being amortized over two-year to three-year vesting periods, with essentially all of the grants made since May 2019, including those made in Fiscal 2022 and Fiscal 2021, being 25% vested and expensed upon grant, in accordance with the terms of the respective grants. Grants to new employees generally vest 25% on the first anniversary of the grant date and ratably monthly over the next three years.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Board fees and other consulting services represents, in both Fiscal 2021 and Fiscal 2022, fees paid as consideration for Board and Board Committee services to the independent members of our Board of Directors. We modified our cash compensation policy for our independent Board members at the beginning of Fiscal 2022, increasing payments to reflect current market conditions and we added one new independent Board member in April 2021 and two additional independent members during July 2021. Fiscal 2022 expense also includes fees for continuing education activities available to our Board members and for other strategic consulting services. Fiscal 2021 expense also included consulting service fees related to commercial analyses of both PH94B and PH10.</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Legal, accounting and other professional fees for Fiscal 2022 and Fiscal 2021 includes expense related to routine corporate legal and compliance fees as well as legal counsel and other costs related to patent prosecution and protection pursuant to our stem cell technology license agreements, our AV-101 patents, or patents that we have elected to pursue for commercial purposes, as well as recurring annual license fees. These costs do not necessarily occur ratably throughout the year or between years. In both Fiscal 2022 and Fiscal 2021, this expense includes legal counsel and other costs we have incurred to advance various patent applications in the U.S. and numerous foreign countries, primarily with respect to AV-101 and our stem cell technology platform, and, to a lesser extent, with respect to our PH94B and PH10 intellectual property portfolios. Accounting expense includes costs related to the annual audit of our prior year financial statements and the three quarterly reviews of our current year financial statements. Fiscal 2022 expense also includes the cost of certain outsourced financial and accounting services and implementation of new accounting software, and an expanded service level from our information technology service provider, all of which commenced at the beginning of Fiscal 2022, as well as certain recruiting fees incurred in connection with searches for certain specialized positions that commenced late in Fiscal 2022. In Fiscal 2021, we incurred additional consulting fees related to revenue recognition accounting for the AffaMed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 and public relations expense in both Fiscal 2022 and Fiscal 2021 includes the fees of our various external service providers for a broad spectrum of investor relations, public relations and social media services, and well as market awareness and strategic advisory and support functions and initiatives. During both years,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Fiscal 2022, we incurred expenses for various phase-appropriate and customary pre-commercialization studies, analyses, projections, strategic modeling and awareness services, primarily attributable to PH94B as a potential acute treatment of anxiety in adults with SAD. We plan to continue such studies and initiatives in parallel with our clinical and regulatory initiatives.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increase in insurance expense in Fiscal 2022 is primarily attributable to the market-rate increase in the premium for our directors’ and officers’ liability insurance upon renewal of our policy in May 2021, and additional coverages, including cybersecurity, added to our program during Fiscal 2022.</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periodic shelter-in-place restrictions and travel and workplace precautions and restrictions associated with the COVID-19 pandemic continuing throughout both Fiscal 2021 and Fiscal 2022,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have generally occurred remotely without requiring in-person business travel by our executives. We incurred nominal travel expenses in Fiscal 2022 for attendance at seminars, and for vendor audits and clinical trial site visits as conditions have permitted.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Rent expense for both Fiscal 2022 and Fiscal 2021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Financial Statements,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years, rent expense includes charges for such items as common area maintenance fees, taxes and insurance which are generally assessed to us by our landlord.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the second quarter of Fiscal 2021, in connection with our recognition of revenue under the AffaMed Agreement, we also began to amortize the deferred contract acquisition costs related to our acquisition of that agreement. Such costs were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We amortized approximately $105,000 and $102,000 of contract acquisition costs during Fiscal 2022 and Fiscal 2021,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described more completely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in the Financial Statements, in June 2021, we terminated the LPC Agreement. Upon termination of the LPC Agreement, we expensed the remaining $232,100 of deferred offering costs related to the agreement as a noncash charge to G&amp;A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Interest income, net totaled $19,900 in Fiscal 2022 compared to $1,600 in for Fiscal 2021. The following table indicates the primary components of interest income and expense for each of the periods (amounts in thousands):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 expense on financing lease, insurance premium financing notes and Payroll</w:t>
            </w:r>
          </w:p>
        </w:tc>
        <w:tc>
          <w:tcPr>
            <w:tcW w:w="114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Protection Program note (2021)</w:t>
            </w:r>
          </w:p>
        </w:tc>
        <w:tc>
          <w:tcPr>
            <w:tcW w:w="11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4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both Fiscal 2022 and Fiscal 2021, interest income relates to cash deposits in interest-bearing cash equivalent accounts. Fiscal 2022 interest income reflects higher balances in interest-earning accounts as rates have been minimal during both periods. Interest expense in Fiscal 2021 relates to interest paid on insurance premium financing notes and on our financing lease of office equipment subject to ASC 842 and to interest accrued on our Payroll Protection Program loan prior to its voluntary repayment, including interest, in December 2020. Further, we did not finance insurance premiums for policies that renewed in February 2021 or May 2021 as we had in prior years.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approximately $945,000 and $1,386,000 during Fiscal 2022 and Fiscal 2021, respectively, attributable to the 10% cumulative dividend accrued on outstanding shares of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xml:space="preserve">) as an additional deduction in arriving at net loss attributable to common stockholders in the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Times New Roman" w:cs="Times New Roman" w:eastAsia="Times New Roman" w:hAnsi="Times New Roman"/>
          <w:sz w:val="18"/>
          <w:szCs w:val="18"/>
          <w:i w:val="1"/>
          <w:iCs w:val="1"/>
          <w:color w:val="auto"/>
        </w:rPr>
        <w:t>(Series B Certificate of Designation)</w:t>
      </w:r>
      <w:r>
        <w:rPr>
          <w:rFonts w:ascii="Times New Roman" w:cs="Times New Roman" w:eastAsia="Times New Roman" w:hAnsi="Times New Roman"/>
          <w:sz w:val="18"/>
          <w:szCs w:val="18"/>
          <w:color w:val="auto"/>
        </w:rPr>
        <w:t xml:space="preserve"> and we issued 1,131,669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Series D Preferred that we issued in the December 2020 Public Offering contained a beneficial conversion feature (a </w:t>
      </w:r>
      <w:r>
        <w:rPr>
          <w:rFonts w:ascii="Times New Roman" w:cs="Times New Roman" w:eastAsia="Times New Roman" w:hAnsi="Times New Roman"/>
          <w:sz w:val="18"/>
          <w:szCs w:val="18"/>
          <w:i w:val="1"/>
          <w:iCs w:val="1"/>
          <w:color w:val="auto"/>
        </w:rPr>
        <w:t>BCF</w:t>
      </w:r>
      <w:r>
        <w:rPr>
          <w:rFonts w:ascii="Times New Roman" w:cs="Times New Roman" w:eastAsia="Times New Roman" w:hAnsi="Times New Roman"/>
          <w:sz w:val="18"/>
          <w:szCs w:val="18"/>
          <w:color w:val="auto"/>
        </w:rPr>
        <w:t xml:space="preserve">), which arises when a debt or equity security is issued with an embedded conversion option that is deemed beneficial to the investor, that is, in-the-money, at inception because the conversion option has an effective conversion price that is less than the market price of the underlying stock at the commitment date (with respect to the Series D Preferred, the date the security was actually issued rather than the date the agreement to do so was entered into, referred to as the </w:t>
      </w:r>
      <w:r>
        <w:rPr>
          <w:rFonts w:ascii="Times New Roman" w:cs="Times New Roman" w:eastAsia="Times New Roman" w:hAnsi="Times New Roman"/>
          <w:sz w:val="18"/>
          <w:szCs w:val="18"/>
          <w:i w:val="1"/>
          <w:i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In accordance with Accounting Standards Codification 470-20,</w:t>
      </w:r>
      <w:r>
        <w:rPr>
          <w:rFonts w:ascii="Times New Roman" w:cs="Times New Roman" w:eastAsia="Times New Roman" w:hAnsi="Times New Roman"/>
          <w:sz w:val="18"/>
          <w:szCs w:val="18"/>
          <w:i w:val="1"/>
          <w:iCs w:val="1"/>
          <w:color w:val="auto"/>
        </w:rPr>
        <w:t xml:space="preserve"> Debt- Debt with Conversion and Other Options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470-20</w:t>
      </w:r>
      <w:r>
        <w:rPr>
          <w:rFonts w:ascii="Times New Roman" w:cs="Times New Roman" w:eastAsia="Times New Roman" w:hAnsi="Times New Roman"/>
          <w:sz w:val="18"/>
          <w:szCs w:val="18"/>
          <w:color w:val="auto"/>
        </w:rPr>
        <w:t>), an embedded BCF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recognized separately by allocating a portion of the proceeds equal to the intrinsic value of the feature to additional paid-in capital. ASC 470-20 also provides that the intrinsic value is to be calculated as of the Commitment Date. The Series D Certificate of Designation provides that the Series D Preferred has a conversion price of $0.92 per share on an as-converted basis the (</w:t>
      </w:r>
      <w:r>
        <w:rPr>
          <w:rFonts w:ascii="Times New Roman" w:cs="Times New Roman" w:eastAsia="Times New Roman" w:hAnsi="Times New Roman"/>
          <w:sz w:val="18"/>
          <w:szCs w:val="18"/>
          <w:i w:val="1"/>
          <w:iCs w:val="1"/>
          <w:color w:val="auto"/>
        </w:rPr>
        <w:t>Conversion Price</w:t>
      </w:r>
      <w:r>
        <w:rPr>
          <w:rFonts w:ascii="Times New Roman" w:cs="Times New Roman" w:eastAsia="Times New Roman" w:hAnsi="Times New Roman"/>
          <w:sz w:val="18"/>
          <w:szCs w:val="18"/>
          <w:color w:val="auto"/>
        </w:rPr>
        <w:t>). The Conversion Price compared to the closing price of $1.42 per share of our common stock on the Commitment Date results in a difference of $0.50 per share. That difference multiplied by the 46 million shares of our common stock issuable upon conversion of the Series D Preferred resulted in an aggregate BCF of $23.0 million. We did not recognize the impact of the BCF at December 31, 2020 because the Series D Preferred was not convertible into common stock prior to the Approval Date (the date of our Special Meeting of Stockholders held on March 5, 2021). Following approval by our stockholders of the Charter Amendment at the Special Meeting in March 2021, the contingency of the BCF was eliminated and we recognized the BCF as a noncash charge in arriving at net loss attributable to common stockholders in our Consolidated Statement of Operations and Comprehensive Loss for the fiscal year ended March 31, 2021 and as a corresponding increase in additional paid-in capital in our Consolidated Statement of Stockholders’ Equity (Deficit). The recognition of the BCF on the Series D Preferred had no aggregate impact on our stockholders’ equity or on our cash position.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in May 1998 through March 31, 2022, we have financed our operations and technology acquisitions primarily through the issuance and sale of our equity and debt securities for cash proceeds of approximately $208.6 million, as well as from an aggregate of approximately $22.7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Fiscal 2022, holders of outstanding warrants to purchase an aggregate of 7,298,791 shares of our common stock exercised such warrants, and we received cash proceeds of approximately $6.2 million. Between December 2020 and March 31, 2021, holders of outstanding warrants to purchase an aggregate of 6,396,302 shares of our common stock exercised such warrants and we received cash proceeds of approximately $4.9 million.</w:t>
      </w:r>
    </w:p>
    <w:p>
      <w:pPr>
        <w:spacing w:after="0" w:line="17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As described more completely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in the Financial Statements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in May 2021, we entered into an Open Market Sale Agreement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xml:space="preserve">) with respect to an at-the-market offering program (the </w:t>
      </w:r>
      <w:r>
        <w:rPr>
          <w:rFonts w:ascii="Times New Roman" w:cs="Times New Roman" w:eastAsia="Times New Roman" w:hAnsi="Times New Roman"/>
          <w:sz w:val="18"/>
          <w:szCs w:val="18"/>
          <w:i w:val="1"/>
          <w:iCs w:val="1"/>
          <w:color w:val="auto"/>
        </w:rPr>
        <w:t>ATM</w:t>
      </w:r>
      <w:r>
        <w:rPr>
          <w:rFonts w:ascii="Times New Roman" w:cs="Times New Roman" w:eastAsia="Times New Roman" w:hAnsi="Times New Roman"/>
          <w:sz w:val="18"/>
          <w:szCs w:val="18"/>
          <w:color w:val="auto"/>
        </w:rPr>
        <w:t>) under which we may offer and sell, from time to time, shares of our common stock having an aggregate offering price of up to $75.0 million through our sales agent. In September 2021 and on October 1, 2021, we sold an aggregate of 1,517,798 shares of our common stock and received gross cash proceeds of approximately $4.45 million under the ATM. We have not sold any additional shares of our common stock under the ATM from October 2, 2021 through the date of this Report.</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2020, we entered into an underwriting agreement pursuant to which we sold, in an underwritten public offering (the </w:t>
      </w:r>
      <w:r>
        <w:rPr>
          <w:rFonts w:ascii="Times New Roman" w:cs="Times New Roman" w:eastAsia="Times New Roman" w:hAnsi="Times New Roman"/>
          <w:sz w:val="18"/>
          <w:szCs w:val="18"/>
          <w:i w:val="1"/>
          <w:iCs w:val="1"/>
          <w:color w:val="auto"/>
        </w:rPr>
        <w:t>December 2020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63,000,000 shares of our common stock at a public offering price of $0.92 per share and 2,000,000 shares of a newly authorized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preferred stock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xml:space="preserve"> and, together with the common stock,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at a public offering price of $21.16 per share, resulting in gross proceeds to us of $100 million. The 2.0 million shares of Series D Preferred Stock were convertible into 46.0 million shares of common stock, all of which had been converted by June 30, 2021. Net proceeds to us from the Securities sold in the December 2020 Public Offering, after deducting underwriting discounts and commissions and offering expenses, was approximately $93.6 million.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we entered into an underwriting agreement pursuant to which we sold, in an underwritten public offering (the </w:t>
      </w:r>
      <w:r>
        <w:rPr>
          <w:rFonts w:ascii="Times New Roman" w:cs="Times New Roman" w:eastAsia="Times New Roman" w:hAnsi="Times New Roman"/>
          <w:sz w:val="18"/>
          <w:szCs w:val="18"/>
          <w:i w:val="1"/>
          <w:iCs w:val="1"/>
          <w:color w:val="auto"/>
        </w:rPr>
        <w:t>August 2020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an aggregate of 15,625,000 shares of our common stock at a public offering price of $0.80 per share, resulting in gross proceeds to us of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were approximately $12.9 million.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more completely described in Note 11, </w:t>
      </w:r>
      <w:r>
        <w:rPr>
          <w:rFonts w:ascii="Times New Roman" w:cs="Times New Roman" w:eastAsia="Times New Roman" w:hAnsi="Times New Roman"/>
          <w:sz w:val="18"/>
          <w:szCs w:val="18"/>
          <w:i w:val="1"/>
          <w:iCs w:val="1"/>
          <w:color w:val="auto"/>
        </w:rPr>
        <w:t>Licensing, Sublicensing and Collaboration Agreements</w:t>
      </w:r>
      <w:r>
        <w:rPr>
          <w:rFonts w:ascii="Times New Roman" w:cs="Times New Roman" w:eastAsia="Times New Roman" w:hAnsi="Times New Roman"/>
          <w:sz w:val="18"/>
          <w:szCs w:val="18"/>
          <w:color w:val="auto"/>
        </w:rPr>
        <w:t>, in the Financial Statements, in June 2020, we entered into the AffaMed Agreement, a strategic licensing and collaboration agreement for the clinical development and commercialization of PH94B for acute treatment of anxiety in adults with SAD and other potential anxiety-related disorders, pursuant to which we received a non-refundable upfront license payment of $5.0 million in August 2020. The upfront license payment resulted in net cash proceeds to us of approximately $4.655 million after the sublicense payment we agreed to make to Pherin pursuant to our PH94B license from Pherin, and payment for consulting services related to the consummation of the AffaMed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Going Concern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2021, we received approximately $119 million in net cash proceeds, primarily from the transactions described above. As described above, during Fiscal 2022, we received an additional $6.2 million in cash proceeds from the exercise of outstanding warrants and approximately $4.45 million in gross cash proceeds from the sale of our common stock under the Sales Agreement. Although we had cash and cash equivalents of approximately $68.1 million at March 31, 2022, should the clinical development and regulatory initiatives in our PALISADE Phase 3 Program for PH94B in SAD prove successful, it is probable that such cash position will not be sufficient to fund our planned operations, including, notably, our planned expansion of phase-appropriate preparations for commercialization of PH94B in the United States, for the twelve months following the issuance of these financial statements, which raises substantial doubt that we can continue as a going concern without securing additional capital. Additionally,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next twelve months, we plan to (i) continue to advance and complete our PALISADE Phase 3 Program designed to develop and commercialize PH94B as a new acute treatment of anxiety in adults with SAD, (ii) continue to advance our exploratory clinical program for PH94B in a series of small studies to advance our understanding of its therapeutic potential in anxiety disorders beyond SAD, (iii) complete preparations for and initiate Phase 2B clinical development of PH10 as a potential stand-alone treatment for MDD, (iv) complete our exploratory Phase 1B drug-drug interaction clinical study of AV-101 in combination with probenecid to enhance our understanding of its therapeutic potential in certain neurological disorders, (v) conduct various nonclinical studies involving PH94B, PH10 and AV-101, and (vi) continue phase-appropriate preparations for commercialization of PH94B should the development and regulatory initiatives in our PALISADE Phase 3 Program in SAD prove successful.</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When necessary and advantageous, we will seek additional financial resources to fund our planned operations through (i) the potential issuance of debt securities, (ii) sales of our equity securities in one or more public offerings, including strategic transactions under the Sales Agreement, (iii) private placements, (iv) the exercises of some or all of the currently outstanding 9,275,858 warrants prior to their expiration and/or (v) strategic licensing and development collaborations involving one or more of our drug candidates in markets outside the U.S., similar to the AffaMed Agreement. Subject to certain restrictions, our Registration Statement on Form S-3 (the </w:t>
      </w:r>
      <w:r>
        <w:rPr>
          <w:rFonts w:ascii="Times New Roman" w:cs="Times New Roman" w:eastAsia="Times New Roman" w:hAnsi="Times New Roman"/>
          <w:sz w:val="18"/>
          <w:szCs w:val="18"/>
          <w:i w:val="1"/>
          <w:iCs w:val="1"/>
          <w:color w:val="auto"/>
        </w:rPr>
        <w:t>S-3 Shelf Registration Statement</w:t>
      </w:r>
      <w:r>
        <w:rPr>
          <w:rFonts w:ascii="Times New Roman" w:cs="Times New Roman" w:eastAsia="Times New Roman" w:hAnsi="Times New Roman"/>
          <w:sz w:val="18"/>
          <w:szCs w:val="18"/>
          <w:color w:val="auto"/>
        </w:rPr>
        <w:t>) remains available for future sales of our equity securities in one or more public offerings from time to time. While we may make additional sales of our equity securities under the S-3 Shelf Registration Statement and/or under the Sales Agreement, we do not have an obligation to do so.</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potential issuance of debt securities or sale of our equity securities, we may also seek to enter research, development and/or commercialization collaborations similar to the AffaMed Agreement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enter into collaborations on terms acceptable to us. To further advance the clinical development and potential commercialization of PH94B, PH10, and AV-101, as well as support our operating activities, we plan to continue to carefully manage our routine operating costs and our clinical and nonclinical programs and pre-launch commercialization initiatives.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our current strategic collaboration under the AffaMed Agreement will generate revenue from future potential milestone payments, or that future financings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Our auditors have included a going concern qualification to their opinion on our Financial Statements at March 31, 2022 as a result of this uncertainty. The Financial Statements do not include any adjustments that might result from the negative outcome of this uncertainty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fiscal years stated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(45,257)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114,102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(34,973)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101,753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103,108</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68,135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103,108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81" w:name="page82"/>
    <w:bookmarkEnd w:id="81"/>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previously, the combination of the net proceeds we received during Fiscal 2021 from the December 2020 Public Offering and the August 2020 Public Offering followed subsequently by the proceeds from warrant exercises in both Fiscal 2021 and Fiscal 2022 and sales of our common stock under the ATM during Fiscal 2022 have provided sufficient funds for us to significantly advance an important stream of initiatives across our CNS pipeline, including, among others, our PALISADE Phase 3 Program for PH94B in SAD, our exploratory clinical program for PH94B in multiple anxiety-related indications beyond SAD, our Phase 2B development program for PH10 in MDD, and our exploratory Phase 1B clinical program for AV-101 in combination with probenecid. The increase in cash used in operations during Fiscal 2022 results from the preparation for and initiation and ongoing conduct of our PALISADE Phase 3 Program for PH94B for the acute treatment of anxiety in adults with SAD, including our PALISADE-1 and PALISADE-2 Phase 3 clinical trials and our PALISADE Long-term Safety Study, as well as other clinical trials of PH94B and preparations for additional clinical and nonclinical studies of our product candidates to be initiated at various points during 2022. Additionally, we have enhanced our internal capabilities with the addition of senior management and other personnel with significant industry expertise in disciplines critical to the development and commercialization of our product pipeline. In parallel with our clinical and regulatory initiatives, we are conducting customary and appropriate phase-timed pre-commercialization analyses, modeling, planning and awareness initiatives. Cash used in investing activities in both Fiscal 2021 and Fiscal 2022 reflects the cost of laboratory analytical equipment and select manufacturing equipment acquired for use by our CMO in connection with the development and production of PH94B drug product and, in Fiscal 2022, laboratory equipment to be used in our internal development initiatives.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in an aggregate amount of approximately $10.5 million during Fiscal 2022 is primarily the result of warrant exercises and our sale of common stock under the ATM, net of sales commissions and other expenses related to the ATM facility which are recorded as deferred offering costs. Net cash provided by financing activities in an aggregate amount of approximately $114.1 million during Fiscal 2021 primarily reflects the cash proceeds received by us from sales of our common stock and Series D Preferred stock pursuant to the December 2020 Public Offering as well as sales of our common stock pursuant to the August 2020 Public Offering, the LPC Agreement, exercises of outstanding warrants and from the Payroll Protection Program loan we received in April 2020, net of insurance premium financing note and financing lease payments. We voluntarily repaid the Payroll Protection Program loan and accrued interest in full in December 2020. We did not finance insurance premiums for policies renewed in February 2021 or May 2021 as we had in Fiscal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Throughout Fiscal 2022 and Fiscal 2021, VistaStem had two inactive, wholly owned subsidiaries, Artemis Neuroscience, a Maryland corporation, and VistaStem Canada, Inc., an Ontario corporation. VistaStem Canada was dissolved in April 2022 and Artemis Neuroscience was dissolved in June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8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Report of Independent Registered Public Accounting Firm (Withum – Fiscal Year ended March 31, 2022)</w:t>
            </w:r>
          </w:p>
        </w:tc>
        <w:tc>
          <w:tcPr>
            <w:tcW w:w="1340" w:type="dxa"/>
            <w:vAlign w:val="bottom"/>
            <w:gridSpan w:val="3"/>
            <w:shd w:val="clear" w:color="auto" w:fill="CCEEFF"/>
          </w:tcPr>
          <w:p>
            <w:pPr>
              <w:jc w:val="center"/>
              <w:spacing w:after="0" w:line="168" w:lineRule="exact"/>
              <w:rPr>
                <w:sz w:val="20"/>
                <w:szCs w:val="20"/>
                <w:color w:val="auto"/>
              </w:rPr>
            </w:pPr>
            <w:r>
              <w:rPr>
                <w:rFonts w:ascii="Times New Roman" w:cs="Times New Roman" w:eastAsia="Times New Roman" w:hAnsi="Times New Roman"/>
                <w:sz w:val="18"/>
                <w:szCs w:val="18"/>
                <w:color w:val="0000EE"/>
                <w:w w:val="99"/>
              </w:rPr>
              <w:t>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8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Report of Independent Registered Public Accounting Firm (OUM – Fiscal Year ended March 31, 2021))</w:t>
            </w:r>
          </w:p>
        </w:tc>
        <w:tc>
          <w:tcPr>
            <w:tcW w:w="134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340" w:type="dxa"/>
            <w:vAlign w:val="bottom"/>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8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134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340" w:type="dxa"/>
            <w:vAlign w:val="bottom"/>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8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Consolidated Statements of Stockholders’ Equity (Deficit)</w:t>
            </w:r>
          </w:p>
        </w:tc>
        <w:tc>
          <w:tcPr>
            <w:tcW w:w="134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98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340" w:type="dxa"/>
            <w:vAlign w:val="bottom"/>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9"/>
              </w:rPr>
              <w:t>91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880" w:type="dxa"/>
            <w:vAlign w:val="bottom"/>
            <w:tcBorders>
              <w:top w:val="single" w:sz="8" w:color="CCEEFF"/>
            </w:tcBorders>
          </w:tcPr>
          <w:p>
            <w:pPr>
              <w:jc w:val="right"/>
              <w:ind w:right="4090"/>
              <w:spacing w:after="0"/>
              <w:rPr>
                <w:sz w:val="20"/>
                <w:szCs w:val="20"/>
                <w:color w:val="auto"/>
              </w:rPr>
            </w:pPr>
            <w:r>
              <w:rPr>
                <w:rFonts w:ascii="Times New Roman" w:cs="Times New Roman" w:eastAsia="Times New Roman" w:hAnsi="Times New Roman"/>
                <w:sz w:val="18"/>
                <w:szCs w:val="18"/>
                <w:color w:val="auto"/>
              </w:rPr>
              <w:t>82</w:t>
            </w:r>
          </w:p>
        </w:tc>
        <w:tc>
          <w:tcPr>
            <w:tcW w:w="5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8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4" w:right="339" w:bottom="1440" w:gutter="0" w:footer="0" w:header="0"/>
        </w:sectPr>
      </w:pPr>
    </w:p>
    <w:bookmarkStart w:id="83" w:name="page84"/>
    <w:bookmarkEnd w:id="83"/>
    <w:p>
      <w:pPr>
        <w:ind w:left="256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VistaGen Therapeutics, Inc. (the “Company”) as of March 31, 2022, the related consolidated statements of operations and comprehensive loss, cash flows, and stockholders’ equity for the year ended March 31, 2022, and the related notes. In our opinion, the consolidated financial statements present fairly, in all material respects, the financial position of the Company at March 31, 2022, and the results of its operations and its cash flows for the year ended March 31,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and for the year ended March 31, 2021 were audited by OUM &amp; Co. LLP, who joined WithumSmith+Brown, PC on July 15, 2021, and rendered their opinion on such statements on June 29,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Regarding Going Concern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negative cash flows from operations and recurring losses from operations since inception, resulting in an accumulated deficit of $267.6 million as of March 31, 2022, that raise substantial doubt about its ability to continue as going concern. Management’s plans in regard to these matters are also described in Note 2. The accompanying consolidated financial statements do not include any adjustments that might result from the outcome of this uncertainty.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matters or on the accounts or disclosures to which they relate.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for Clinical and Nonclinical Materials, Development, and Contract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reflected in Note 6 to the consolidated financial statements, the Company recognizes costs it incurs for preclinical studies, clinical trials and manufacturing activities as research and development expenses based on its evaluation of its third-party service providers’ progress toward completion of specific tasks. Payment timing may differ significantly from the period in which the costs are recognized as expense. Costs for services incurred that have not yet been paid are recognized as accrued expenses.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estimating the vendors’ progress toward completion of specific tasks, the Company uses data such as patient enrollment, clinical site activations or vendor information of actual costs incurred. This data is obtained through reports from or discussions with Company personnel and third-party service providers as to the progress or state of completion of trials, or the completion of services.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Given the number of ongoing preclinical study and clinical trial activities and the subjectivity involved in estimating clinical trial and manufacturing expenses, auditing the accrued expenses for clinical and nonclinical materials, development, and contract services involved especially subjective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audit procedures related to accrued expenses for clinical and nonclinical materials, development, and contract services included the following, among others:</w:t>
      </w:r>
    </w:p>
    <w:p>
      <w:pPr>
        <w:spacing w:after="0" w:line="162" w:lineRule="exact"/>
        <w:rPr>
          <w:sz w:val="20"/>
          <w:szCs w:val="20"/>
          <w:color w:val="auto"/>
        </w:rPr>
      </w:pPr>
    </w:p>
    <w:p>
      <w:pPr>
        <w:ind w:left="340" w:right="620" w:hanging="333"/>
        <w:spacing w:after="0" w:line="26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design and implementation of controls over the estimation of accrued expenses for clinical and nonclinical materials, development, and contract services.</w:t>
      </w:r>
    </w:p>
    <w:p>
      <w:pPr>
        <w:ind w:left="340" w:hanging="333"/>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a sample of research, collaboration, and manufacturing agreements and contracts, as well as amendments thereto.</w:t>
      </w:r>
    </w:p>
    <w:p>
      <w:pPr>
        <w:spacing w:after="0" w:line="8" w:lineRule="exact"/>
        <w:rPr>
          <w:rFonts w:ascii="Times New Roman" w:cs="Times New Roman" w:eastAsia="Times New Roman" w:hAnsi="Times New Roman"/>
          <w:sz w:val="18"/>
          <w:szCs w:val="18"/>
          <w:color w:val="auto"/>
        </w:rPr>
      </w:pPr>
    </w:p>
    <w:p>
      <w:pPr>
        <w:ind w:left="340" w:right="100" w:hanging="333"/>
        <w:spacing w:after="0" w:line="249"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publicly available information (such as press releases and investor presentations) and board of directors’ materials regarding the status of preclinical studies, clinical trial and manufacturing activities.</w:t>
      </w:r>
    </w:p>
    <w:p>
      <w:pPr>
        <w:ind w:left="340" w:right="640" w:hanging="333"/>
        <w:spacing w:after="0" w:line="249"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and contracts, we compared the amount of accrual at the end of the current period to subsequent year activity and evaluated the accuracy of the Company’s estimation methodology.</w:t>
      </w:r>
    </w:p>
    <w:p>
      <w:pPr>
        <w:ind w:left="340" w:hanging="333"/>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service providers, we obtained a written confirmation of the costs incurred as of year-end for clinical trials.</w:t>
      </w:r>
    </w:p>
    <w:p>
      <w:pPr>
        <w:spacing w:after="0" w:line="8" w:lineRule="exact"/>
        <w:rPr>
          <w:rFonts w:ascii="Times New Roman" w:cs="Times New Roman" w:eastAsia="Times New Roman" w:hAnsi="Times New Roman"/>
          <w:sz w:val="18"/>
          <w:szCs w:val="18"/>
          <w:color w:val="auto"/>
        </w:rPr>
      </w:pPr>
    </w:p>
    <w:p>
      <w:pPr>
        <w:ind w:left="340" w:right="180" w:hanging="333"/>
        <w:spacing w:after="0" w:line="249"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selections of specific amounts recognized as research and development expense as well as those recognized as accrued expenses to evaluate management’s estimate of the vendor’s progress and performed the following procedures: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Performed corroborating inquiries with Company clinical operations and manufacturing operations personnel.</w:t>
      </w:r>
    </w:p>
    <w:p>
      <w:pPr>
        <w:spacing w:after="0" w:line="8" w:lineRule="exact"/>
        <w:rPr>
          <w:rFonts w:ascii="Times New Roman" w:cs="Times New Roman" w:eastAsia="Times New Roman" w:hAnsi="Times New Roman"/>
          <w:sz w:val="18"/>
          <w:szCs w:val="18"/>
          <w:color w:val="auto"/>
        </w:rPr>
      </w:pPr>
    </w:p>
    <w:p>
      <w:pPr>
        <w:ind w:left="980" w:right="240" w:hanging="323"/>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Read the related statement of work, purchase order, or other supporting documentation (such as communications between the Company and third-party service providers).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management’s judgments compared to the evidence obtained.</w:t>
      </w:r>
    </w:p>
    <w:p>
      <w:pPr>
        <w:spacing w:after="0" w:line="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Obtained the listing of all contracts related to research and development expenses to evaluate the completeness of accruals.</w:t>
      </w:r>
    </w:p>
    <w:p>
      <w:pPr>
        <w:spacing w:after="0" w:line="8" w:lineRule="exact"/>
        <w:rPr>
          <w:rFonts w:ascii="Times New Roman" w:cs="Times New Roman" w:eastAsia="Times New Roman" w:hAnsi="Times New Roman"/>
          <w:sz w:val="18"/>
          <w:szCs w:val="18"/>
          <w:color w:val="auto"/>
        </w:rPr>
      </w:pPr>
    </w:p>
    <w:p>
      <w:pPr>
        <w:ind w:left="980" w:right="540" w:hanging="323"/>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Tested the mathematical accuracy of management’s calculation of clinical trial and manufacturing activities accruals in the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from Contract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2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 recognized approximately $1.1 million in revenue under the sublicense agreement with AffaMed Therapeutics. Inc. (“AffaMed”) during the fiscal year ended March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5" w:name="page86"/>
    <w:bookmarkEnd w:id="85"/>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Auditing management’s timing of revenue recognition attributed to the single combined performance obligation was challenging as significant judgment is required in the evaluation of the period in which the combined performance obligation is satisfied.</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identified sublicense revenue recognition as a critical audit matter because of the judgments necessary for management to determine the timing of recognition for such revenue. Because of the complexity associated with applying the recognition criteria of Accounting Standards Codification,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notably related to the determination of timing of revenue recognition, this required extensive audit effort and a high degree of auditor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when performing audit procedures and evaluating the results of those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recognition of sublicense revenue, included the following, among others:</w:t>
      </w:r>
    </w:p>
    <w:p>
      <w:pPr>
        <w:spacing w:after="0" w:line="223" w:lineRule="exact"/>
        <w:rPr>
          <w:sz w:val="20"/>
          <w:szCs w:val="20"/>
          <w:color w:val="auto"/>
        </w:rPr>
      </w:pPr>
    </w:p>
    <w:p>
      <w:pPr>
        <w:jc w:val="both"/>
        <w:ind w:left="340" w:hanging="333"/>
        <w:spacing w:after="0" w:line="25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revenue recognition for the sublicense agreement through an inspection of the agreement and an evaluation of management’s revenue recognition analysis corresponding to the sublicense agreement. Our objective was to validate that revenue from the sublicense agreement was recognized in a manner commensurate with the terms of the established agreement and the relevant accounting guidance.</w:t>
      </w:r>
    </w:p>
    <w:p>
      <w:pPr>
        <w:spacing w:after="0" w:line="1" w:lineRule="exact"/>
        <w:rPr>
          <w:rFonts w:ascii="Times New Roman" w:cs="Times New Roman" w:eastAsia="Times New Roman" w:hAnsi="Times New Roman"/>
          <w:sz w:val="18"/>
          <w:szCs w:val="18"/>
          <w:color w:val="auto"/>
        </w:rPr>
      </w:pPr>
    </w:p>
    <w:p>
      <w:pPr>
        <w:ind w:left="340" w:hanging="333"/>
        <w:spacing w:after="0" w:line="249"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analyzed the sublicense agreement to determine if the arrangement terms that may have an impact on revenue recognition were identified and properly considered in the evaluation of the accounting for the contract.</w:t>
      </w:r>
    </w:p>
    <w:p>
      <w:pPr>
        <w:ind w:left="340" w:hanging="333"/>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measurement of efforts toward satisfaction of the combined performance obligation which included, among other procedures:</w:t>
      </w:r>
    </w:p>
    <w:p>
      <w:pPr>
        <w:spacing w:after="0" w:line="8" w:lineRule="exact"/>
        <w:rPr>
          <w:sz w:val="20"/>
          <w:szCs w:val="20"/>
          <w:color w:val="auto"/>
        </w:rPr>
      </w:pPr>
    </w:p>
    <w:p>
      <w:pPr>
        <w:ind w:left="980" w:hanging="328"/>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management’s revenue schedules for accuracy and completeness by agreeing data to the underlying agreement.</w:t>
      </w:r>
    </w:p>
    <w:p>
      <w:pPr>
        <w:spacing w:after="0" w:line="8" w:lineRule="exact"/>
        <w:rPr>
          <w:rFonts w:ascii="Times New Roman" w:cs="Times New Roman" w:eastAsia="Times New Roman" w:hAnsi="Times New Roman"/>
          <w:sz w:val="18"/>
          <w:szCs w:val="18"/>
          <w:color w:val="auto"/>
        </w:rPr>
      </w:pPr>
    </w:p>
    <w:p>
      <w:pPr>
        <w:ind w:left="980" w:hanging="328"/>
        <w:spacing w:after="0" w:line="249"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manner in which the combined performance obligation was satisfied, and corroborated management estimates and judgments through a review of press releases and third-party data as a potential source of corroborating or contradictory evidence.</w:t>
      </w:r>
    </w:p>
    <w:p>
      <w:pPr>
        <w:ind w:left="980" w:hanging="328"/>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management’s judgments with the Company’s research and development personnel that oversee aspects of the license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6" w:name="page87"/>
    <w:bookmarkEnd w:id="86"/>
    <w:p>
      <w:pPr>
        <w:ind w:left="256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VistaGen Therapeutics, Inc. (the “Company”) as of March 31, 2021, the related consolidated statements of operations and comprehensive loss, cash flows, and stockholders’ equity for the year ended March 31, 2021, and the related notes (collectively referred to as the “financial statements”). In our opinion, the financial statements present fairly, in all material respects, the financial position of the Company at March 31, 2021, and the results of its operations and its cash flows for the year ended March 31, 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8"/>
              </w:rPr>
              <w:t>VISTAGEN THERAPEUTICS, INC.</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98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(Amounts in dollars, except share amounts)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5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68,135,300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103,108,300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70,998,000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74,643,400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9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2,758,600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 obligation - current portion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5,765,100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16,302,800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2022 and 2021: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Series A Preferred, 500,000 shares authorized at March 31, 2022 and 2021; no shares and 500,000 shares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issued and outstanding at March 31, 2022 and March 31, 2021, respectively</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right w:val="single" w:sz="8" w:color="CCEEFF"/>
            </w:tcBorders>
            <w:shd w:val="clear" w:color="auto" w:fill="CCEEFF"/>
          </w:tcPr>
          <w:p>
            <w:pPr>
              <w:ind w:left="320"/>
              <w:spacing w:after="0" w:line="197" w:lineRule="exact"/>
              <w:rPr>
                <w:sz w:val="20"/>
                <w:szCs w:val="20"/>
                <w:color w:val="auto"/>
              </w:rPr>
            </w:pPr>
            <w:r>
              <w:rPr>
                <w:rFonts w:ascii="Times New Roman" w:cs="Times New Roman" w:eastAsia="Times New Roman" w:hAnsi="Times New Roman"/>
                <w:sz w:val="18"/>
                <w:szCs w:val="18"/>
                <w:color w:val="auto"/>
              </w:rPr>
              <w:t>Series B Preferred; 4,000,000 shares authorized at March 31, 2022 and 2021; no shares and 1,131,669</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shares issued and outstanding at March 31, 2022 and March 31, 2021, respectively</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Series C Preferred; 3,000,000 shares authorized at March 31, 2022 and 2021; no shares and 2,318,012</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shares issued and outstanding at March 31, 2022 and March 31, 2021, respectively</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right w:val="single" w:sz="8" w:color="CCEEFF"/>
            </w:tcBorders>
            <w:shd w:val="clear" w:color="auto" w:fill="CCEEFF"/>
          </w:tcPr>
          <w:p>
            <w:pPr>
              <w:ind w:left="320"/>
              <w:spacing w:after="0" w:line="197" w:lineRule="exact"/>
              <w:rPr>
                <w:sz w:val="20"/>
                <w:szCs w:val="20"/>
                <w:color w:val="auto"/>
              </w:rPr>
            </w:pPr>
            <w:r>
              <w:rPr>
                <w:rFonts w:ascii="Times New Roman" w:cs="Times New Roman" w:eastAsia="Times New Roman" w:hAnsi="Times New Roman"/>
                <w:sz w:val="18"/>
                <w:szCs w:val="18"/>
                <w:color w:val="auto"/>
              </w:rPr>
              <w:t>Series D Preferred; 2,000,000 shares authorized at March 31, 2022 and 2021; no shares and 402,149</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shares issued and outstanding at March 31, 2022 and March 31, 2021, respectively</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$0.001 par value; 325,000,000 shares authorized at March 31, 2022 and 2021;</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206,676,620 shares and 180,751,234 shares issued at March 31, 2022 and March 31, 2021, respectively</w:t>
            </w:r>
          </w:p>
        </w:tc>
        <w:tc>
          <w:tcPr>
            <w:tcW w:w="2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336,080,700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135,665 shares of common stock held at March 31, 2022 and 2021</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(3,968,100)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(267,604,000)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(219,841,600)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64,715,300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91,978,500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74,643,400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108,281,300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1,108,900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1,108,900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1,089,500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35,407,800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13,480,000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48,887,800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19,023,300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(47,778,900)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(17,933,800)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(47,759,000)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(17,931,600)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(47,762,400)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(17,934,200)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(945,100)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(1,385,600)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Beneficial conversion feature on Series D Preferred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(48,707,500)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(42,319,800)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 share</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8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 attributable to common stockholders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197,978,592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86,133,644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2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color w:val="auto"/>
              </w:rPr>
              <w:t>per common share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8"/>
              </w:rPr>
              <w:t>VISTAGEN THERAPEUTICS, INC.</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9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(Amounts in dollars)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(47,762,400)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(17,934,200)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3,480,700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right of use asset</w:t>
            </w: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557,600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 related to write-off of deferred offering costs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(1,870,100)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(328,400)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Security deposits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sublicense revenue, net of deferred contract acquisition costs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(1,004,600)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(45,256,500)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(12,073,500)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property and investing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laboratory and other 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(275,400)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common stock and Series D Preferred stock</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93,675,200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option exercises</w:t>
            </w: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12,957,800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exercise of warrants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6,207,400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Net proceeds from sale of common stock under At the Market (ATM) facility, including expenses treated as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4,040,100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sale of common stock under equity line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note under Payroll Protection Plan</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financing lease obligations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notes payable, including Payroll Protection Plan note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10,483,900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(34,973,000)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101,753,200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103,108,300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68,135,300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103,108,300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9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dividends on Series B Preferred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945,100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dividends on Series B Preferred settled upon conversion by issuance of common stock</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7,217,800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0" w:name="page91"/>
    <w:bookmarkEnd w:id="9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Fiscal Years Ended March 31, 2021 and 2022</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Series A Preferred</w:t>
            </w:r>
          </w:p>
        </w:tc>
        <w:tc>
          <w:tcPr>
            <w:tcW w:w="80" w:type="dxa"/>
            <w:vAlign w:val="bottom"/>
          </w:tcPr>
          <w:p>
            <w:pPr>
              <w:spacing w:after="0"/>
              <w:rPr>
                <w:sz w:val="3"/>
                <w:szCs w:val="3"/>
                <w:color w:val="auto"/>
              </w:rPr>
            </w:pPr>
          </w:p>
        </w:tc>
        <w:tc>
          <w:tcPr>
            <w:tcW w:w="13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Series B Preferred</w:t>
            </w:r>
          </w:p>
        </w:tc>
        <w:tc>
          <w:tcPr>
            <w:tcW w:w="80" w:type="dxa"/>
            <w:vAlign w:val="bottom"/>
          </w:tcPr>
          <w:p>
            <w:pPr>
              <w:spacing w:after="0"/>
              <w:rPr>
                <w:sz w:val="3"/>
                <w:szCs w:val="3"/>
                <w:color w:val="auto"/>
              </w:rPr>
            </w:pPr>
          </w:p>
        </w:tc>
        <w:tc>
          <w:tcPr>
            <w:tcW w:w="13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Series C Preferred</w:t>
            </w:r>
          </w:p>
        </w:tc>
        <w:tc>
          <w:tcPr>
            <w:tcW w:w="80" w:type="dxa"/>
            <w:vAlign w:val="bottom"/>
          </w:tcPr>
          <w:p>
            <w:pPr>
              <w:spacing w:after="0"/>
              <w:rPr>
                <w:sz w:val="3"/>
                <w:szCs w:val="3"/>
                <w:color w:val="auto"/>
              </w:rPr>
            </w:pPr>
          </w:p>
        </w:tc>
        <w:tc>
          <w:tcPr>
            <w:tcW w:w="13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Series D Preferred</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4"/>
          </w:tcPr>
          <w:p>
            <w:pPr>
              <w:jc w:val="center"/>
              <w:ind w:left="237"/>
              <w:spacing w:after="0" w:line="14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36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1300" w:type="dxa"/>
            <w:vAlign w:val="bottom"/>
            <w:gridSpan w:val="4"/>
          </w:tcPr>
          <w:p>
            <w:pPr>
              <w:jc w:val="right"/>
              <w:ind w:right="540"/>
              <w:spacing w:after="0" w:line="148" w:lineRule="exact"/>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Borders>
              <w:left w:val="single" w:sz="8" w:color="auto"/>
            </w:tcBorders>
          </w:tcPr>
          <w:p>
            <w:pPr>
              <w:spacing w:after="0"/>
              <w:rPr>
                <w:sz w:val="12"/>
                <w:szCs w:val="12"/>
                <w:color w:val="auto"/>
              </w:rPr>
            </w:pPr>
          </w:p>
        </w:tc>
        <w:tc>
          <w:tcPr>
            <w:tcW w:w="1320" w:type="dxa"/>
            <w:vAlign w:val="bottom"/>
            <w:gridSpan w:val="4"/>
          </w:tcPr>
          <w:p>
            <w:pPr>
              <w:jc w:val="right"/>
              <w:ind w:right="560"/>
              <w:spacing w:after="0" w:line="148" w:lineRule="exact"/>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Borders>
              <w:left w:val="single" w:sz="8" w:color="auto"/>
            </w:tcBorders>
          </w:tcPr>
          <w:p>
            <w:pPr>
              <w:spacing w:after="0"/>
              <w:rPr>
                <w:sz w:val="12"/>
                <w:szCs w:val="12"/>
                <w:color w:val="auto"/>
              </w:rPr>
            </w:pPr>
          </w:p>
        </w:tc>
        <w:tc>
          <w:tcPr>
            <w:tcW w:w="860" w:type="dxa"/>
            <w:vAlign w:val="bottom"/>
            <w:gridSpan w:val="3"/>
          </w:tcPr>
          <w:p>
            <w:pPr>
              <w:ind w:left="460"/>
              <w:spacing w:after="0" w:line="148" w:lineRule="exact"/>
              <w:rPr>
                <w:sz w:val="20"/>
                <w:szCs w:val="20"/>
                <w:color w:val="auto"/>
              </w:rPr>
            </w:pPr>
            <w:r>
              <w:rPr>
                <w:rFonts w:ascii="Times New Roman" w:cs="Times New Roman" w:eastAsia="Times New Roman" w:hAnsi="Times New Roman"/>
                <w:sz w:val="13"/>
                <w:szCs w:val="13"/>
                <w:b w:val="1"/>
                <w:bCs w:val="1"/>
                <w:color w:val="auto"/>
              </w:rPr>
              <w:t>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1500" w:type="dxa"/>
            <w:vAlign w:val="bottom"/>
            <w:gridSpan w:val="4"/>
          </w:tcPr>
          <w:p>
            <w:pPr>
              <w:jc w:val="right"/>
              <w:ind w:right="400"/>
              <w:spacing w:after="0" w:line="14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gridSpan w:val="2"/>
          </w:tcPr>
          <w:p>
            <w:pPr>
              <w:jc w:val="right"/>
              <w:ind w:right="300"/>
              <w:spacing w:after="0" w:line="14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920" w:type="dxa"/>
            <w:vAlign w:val="bottom"/>
            <w:gridSpan w:val="2"/>
          </w:tcPr>
          <w:p>
            <w:pPr>
              <w:jc w:val="right"/>
              <w:ind w:right="180"/>
              <w:spacing w:after="0" w:line="14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4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Borders>
              <w:top w:val="single" w:sz="8" w:color="auto"/>
            </w:tcBorders>
            <w:gridSpan w:val="2"/>
          </w:tcPr>
          <w:p>
            <w:pPr>
              <w:jc w:val="right"/>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left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6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60" w:type="dxa"/>
            <w:vAlign w:val="bottom"/>
            <w:tcBorders>
              <w:top w:val="single" w:sz="8" w:color="auto"/>
            </w:tcBorders>
            <w:gridSpan w:val="2"/>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60" w:type="dxa"/>
            <w:vAlign w:val="bottom"/>
            <w:tcBorders>
              <w:top w:val="single" w:sz="8" w:color="auto"/>
            </w:tcBorders>
            <w:gridSpan w:val="2"/>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tcPr>
          <w:p>
            <w:pPr>
              <w:jc w:val="right"/>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86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0" w:type="dxa"/>
            <w:vAlign w:val="bottom"/>
            <w:gridSpan w:val="2"/>
          </w:tcPr>
          <w:p>
            <w:pPr>
              <w:jc w:val="right"/>
              <w:ind w:right="320"/>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2"/>
          </w:tcPr>
          <w:p>
            <w:pPr>
              <w:jc w:val="right"/>
              <w:ind w:right="360"/>
              <w:spacing w:after="0" w:line="12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Balances at</w:t>
            </w: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lef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lef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lef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left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500,000</w:t>
            </w: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1,160,240</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1,200</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2,318,012</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2,300</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49,348,707</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  49,300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$ 200,092,800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 (3,968,100)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3"/>
              </w:rPr>
              <w:t>$ (201,907,400)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(5,729,400)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Proceeds from</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sale of units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of common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and</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warrants for</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cash in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private</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49,800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 sale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under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line</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6,301,995</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2,790,500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2,796,800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 sale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in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public</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17,868,250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17,900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12,887,200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12,905,100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 sale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and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in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public</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offering</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2,000,000</w:t>
            </w: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Borders>
              <w:left w:val="single" w:sz="8" w:color="auto"/>
            </w:tcBorders>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63,000,000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63,000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93,582,900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93,647,900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 exercise</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 warrants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6,624,302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5,002,900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5,009,500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Comversion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to</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(1,597,851)</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(1,600)</w:t>
            </w:r>
          </w:p>
        </w:tc>
        <w:tc>
          <w:tcPr>
            <w:tcW w:w="80" w:type="dxa"/>
            <w:vAlign w:val="bottom"/>
            <w:tcBorders>
              <w:left w:val="single" w:sz="8" w:color="auto"/>
            </w:tcBorders>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36,750,573</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36,800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(35,200)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Comversion of</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B</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to</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and</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payment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accrued</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dividends in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(28,571)</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188,633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124,500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124,600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Accrued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dividends 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B</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(1,385,600)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(1,385,600)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Stock-based</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w w:val="99"/>
              </w:rPr>
              <w:t>compensation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2,306,100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2,306,100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Sale of common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pursuant to</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0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3"/>
                <w:szCs w:val="13"/>
                <w:color w:val="auto"/>
              </w:rPr>
              <w:t>2019</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Employee</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Purchase</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Plan</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58,125</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26,100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26,200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Issuance of</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upon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cashless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exercise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222,004</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 exercise</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of stock</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options for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30,000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36,500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36,500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Issuance of</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at fair</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value for</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professional</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services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233,645</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124,800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125,000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Beneficial</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conversion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feature 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23,000,000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23,000,000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Deemed</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dividend</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beneficial</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conversion</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feature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D</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(23,000,000)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(23,000,000)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Net loss for the</w:t>
            </w:r>
          </w:p>
        </w:tc>
        <w:tc>
          <w:tcPr>
            <w:tcW w:w="5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0"/>
                <w:szCs w:val="10"/>
                <w:color w:val="auto"/>
              </w:rPr>
            </w:pPr>
          </w:p>
        </w:tc>
        <w:tc>
          <w:tcPr>
            <w:tcW w:w="76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0"/>
                <w:szCs w:val="10"/>
                <w:color w:val="auto"/>
              </w:rPr>
            </w:pPr>
          </w:p>
        </w:tc>
        <w:tc>
          <w:tcPr>
            <w:tcW w:w="76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0"/>
                <w:szCs w:val="10"/>
                <w:color w:val="auto"/>
              </w:rPr>
            </w:pPr>
          </w:p>
        </w:tc>
        <w:tc>
          <w:tcPr>
            <w:tcW w:w="76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0"/>
                <w:szCs w:val="10"/>
                <w:color w:val="auto"/>
              </w:rPr>
            </w:pPr>
          </w:p>
        </w:tc>
        <w:tc>
          <w:tcPr>
            <w:tcW w:w="8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(17,934,200)</w:t>
            </w:r>
          </w:p>
        </w:tc>
        <w:tc>
          <w:tcPr>
            <w:tcW w:w="84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3"/>
                <w:szCs w:val="13"/>
                <w:color w:val="auto"/>
              </w:rPr>
              <w:t>(17,934,200)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fiscal year</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16" w:right="339"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ended March</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31, 2021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Balances at</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500,000</w:t>
            </w:r>
          </w:p>
        </w:tc>
        <w:tc>
          <w:tcPr>
            <w:tcW w:w="200" w:type="dxa"/>
            <w:vAlign w:val="bottom"/>
            <w:gridSpan w:val="2"/>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500</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1,131,669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1,100</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2,318,012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2,300</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402,149</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400</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180,751,234</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$ 180,800</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$ 315,603,100</w:t>
            </w: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w w:val="96"/>
              </w:rPr>
              <w:t>$ (3,968,100)</w:t>
            </w:r>
          </w:p>
        </w:tc>
        <w:tc>
          <w:tcPr>
            <w:tcW w:w="92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w w:val="93"/>
              </w:rPr>
              <w:t>$ (219,841,600)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91,978,500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 exercise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warrants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7,298,791</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7,300</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6,200,100</w:t>
            </w: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6,207,400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Comversion of</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(402,149)</w:t>
            </w: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(400)</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9,249,427</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(8,800)</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Conversion of</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A</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to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Comversion of</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B</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and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payment of</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accrued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dividends in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(1,131,669)</w:t>
            </w:r>
          </w:p>
        </w:tc>
        <w:tc>
          <w:tcPr>
            <w:tcW w:w="10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4,427,447</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7,214,500</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7,217,800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Conversion of</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C</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to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(2,318,012)</w:t>
            </w:r>
          </w:p>
        </w:tc>
        <w:tc>
          <w:tcPr>
            <w:tcW w:w="12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(2,300)</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2,318,012</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Accrued</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dividends 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Series B</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(945,100)</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(945,100)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Stock-based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w w:val="99"/>
              </w:rPr>
              <w:t>compensation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3,480,700</w:t>
            </w: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3,480,700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Sale of common</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pursuant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2019</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Employee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Purchase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57,211</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99,200</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99,300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upon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cashless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exercise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126,126</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 exercise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of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options for</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180,574</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139,800</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Net proceeds</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from</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issuance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common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stock under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ATM facility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1,517,798</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4,297,600</w:t>
            </w: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Net loss for the</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fiscal year</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color w:val="auto"/>
              </w:rPr>
              <w:t>ended March</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31, 2022</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(47,762,400)</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(47,762,400)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Balances at</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shd w:val="clear" w:color="auto" w:fill="CCEEFF"/>
          </w:tcPr>
          <w:p>
            <w:pPr>
              <w:ind w:left="140"/>
              <w:spacing w:after="0" w:line="134"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206,676,620</w:t>
            </w: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$ 206,700</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$ 336,080,700</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(3,968,100</w:t>
            </w:r>
          </w:p>
        </w:tc>
        <w:tc>
          <w:tcPr>
            <w:tcW w:w="1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(267,604,000</w:t>
            </w:r>
          </w:p>
        </w:tc>
        <w:tc>
          <w:tcPr>
            <w:tcW w:w="16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64,715,300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Borders>
              <w:bottom w:val="single" w:sz="8" w:color="CCEEFF"/>
            </w:tcBorders>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2" w:lineRule="exact"/>
        <w:rPr>
          <w:sz w:val="20"/>
          <w:szCs w:val="20"/>
          <w:color w:val="auto"/>
        </w:rPr>
      </w:pPr>
    </w:p>
    <w:p>
      <w:pPr>
        <w:ind w:right="9120" w:firstLine="7"/>
        <w:spacing w:after="0" w:line="499" w:lineRule="auto"/>
        <w:tabs>
          <w:tab w:leader="none" w:pos="32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Overview</w:t>
      </w:r>
    </w:p>
    <w:p>
      <w:pPr>
        <w:spacing w:after="0" w:line="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 xml:space="preserve">VistaGen Therapeutics, Inc., a Nevada corporation (which may be referred to as </w:t>
      </w:r>
      <w:r>
        <w:rPr>
          <w:rFonts w:ascii="Times New Roman" w:cs="Times New Roman" w:eastAsia="Times New Roman" w:hAnsi="Times New Roman"/>
          <w:sz w:val="17"/>
          <w:szCs w:val="17"/>
          <w:i w:val="1"/>
          <w:iCs w:val="1"/>
          <w:color w:val="auto"/>
        </w:rPr>
        <w:t>VistaGen</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is a late clinical-stage, central nervous system (</w:t>
      </w:r>
      <w:r>
        <w:rPr>
          <w:rFonts w:ascii="Times New Roman" w:cs="Times New Roman" w:eastAsia="Times New Roman" w:hAnsi="Times New Roman"/>
          <w:sz w:val="17"/>
          <w:szCs w:val="17"/>
          <w:i w:val="1"/>
          <w:iCs w:val="1"/>
          <w:color w:val="auto"/>
        </w:rPr>
        <w:t>CNS</w:t>
      </w:r>
      <w:r>
        <w:rPr>
          <w:rFonts w:ascii="Times New Roman" w:cs="Times New Roman" w:eastAsia="Times New Roman" w:hAnsi="Times New Roman"/>
          <w:sz w:val="17"/>
          <w:szCs w:val="17"/>
          <w:color w:val="auto"/>
        </w:rPr>
        <w:t>)-focused biopharmaceutical company striving to transform the treatment landscape for individuals living with anxiety, depression and other CNS disorders. We are advancing development of therapeutics with the potential to be faster-acting, and with fewer side effects and safety concerns, than those that are currently available. Our clinical-stage candidates are targeting multiple forms of anxiety and depression. They primarily belong to a new class of drugs known as pherines, which are odorless, neuroactive steroids that bind to distinct receptors on chemosensory neurons in the nasal passages and can impact the limbic amygdala without systemic uptake or direct activity on CNS neurons in the brain. Our lead candidate, PH94B, is a nasally administered spray currently in multiple Phase 3 trials in the U.S., with results from two of such Phase 3 studies anticipated in 2022. Should ongoing Phase 3 studies be successful, PH94B has the potential to be the first FDA-approved, fast-acting, acute treatment of anxiety for adults with social anxiety disorder.</w:t>
      </w:r>
    </w:p>
    <w:p>
      <w:pPr>
        <w:spacing w:after="0" w:line="178"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In addition, our PALISADE Phase 3 Program includes a long-term safety study which is underway in the U.S., and two additional planned clinical studies that we believe are required to support a potential U.S.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PH94B in SAD based on our prior discussions with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should our PALISADE Phase 3 Program be successful overall. In addition, our exploratory Phase 2A clinical program for PH94B, which is designed to assess the therapeutic potential of PH94B in anxiety disorders beyond SAD, is underway, with a Phase 2A clinical study in adults experiencing Adjustment Disorder with Anxiety (</w:t>
      </w:r>
      <w:r>
        <w:rPr>
          <w:rFonts w:ascii="Times New Roman" w:cs="Times New Roman" w:eastAsia="Times New Roman" w:hAnsi="Times New Roman"/>
          <w:sz w:val="18"/>
          <w:szCs w:val="18"/>
          <w:i w:val="1"/>
          <w:iCs w:val="1"/>
          <w:color w:val="auto"/>
        </w:rPr>
        <w:t>AjDA</w:t>
      </w:r>
      <w:r>
        <w:rPr>
          <w:rFonts w:ascii="Times New Roman" w:cs="Times New Roman" w:eastAsia="Times New Roman" w:hAnsi="Times New Roman"/>
          <w:sz w:val="18"/>
          <w:szCs w:val="18"/>
          <w:color w:val="auto"/>
        </w:rPr>
        <w:t>). We are preparing to expand our PH94B exploratory program in 2022 by initiating Phase 2A biomarker studies as an initial step in assessing PH94B’s therapeutic potential in each of procedural anxiety and post-traumatic stress disorder. We are also preparing to initiate our exploratory postpartum anxiety program for PH94B with a Phase 1 lactation study as a first step to assess whether PH94B is excreted to breast milk.</w:t>
      </w:r>
    </w:p>
    <w:p>
      <w:pPr>
        <w:spacing w:after="0" w:line="190"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8"/>
          <w:szCs w:val="18"/>
          <w:color w:val="auto"/>
        </w:rPr>
        <w:t>PH10 is being developed as a stand-alone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and potentially other depression disorders. Exploratory Phase 2A clinical development of PH10 for MDD has been completed. Based on the positive results demonstrated in that study, we are preparing for further clinical development of PH10 for MDD, including, but not limited to, a planned Phase 2B clinical study.</w:t>
      </w:r>
    </w:p>
    <w:p>
      <w:pPr>
        <w:spacing w:after="0" w:line="176"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Exploratory Phase 1B clinical development of AV-101 in combination with probenecid is underway in the U.S. to further assess the potential of the combination in multiple neurological indications involving the NMDA (N-methyl-D-aspartate) receptor.</w:t>
      </w:r>
    </w:p>
    <w:p>
      <w:pPr>
        <w:spacing w:after="0" w:line="162"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PH94B Nasal Spray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PH94B is a first-in-class, odorless, tasteless rapid-onset (approximately 15 minutes) synthetic investigational pherine nasal spray with a novel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that regulates the olfactory-amygdala neural circuits of fear and anxiety and attenuates the tone of the sympathetic autonomic nervous system. Based on positive Phase 2 data in SAD patients, VistaGen is currently evaluating PH94B in two Phase 3 clinical studies in the U.S., PALISADE-1 and PALISADE-2, and a long-term safety study, for the acute treatment of anxiety in adults with SAD. Designed for intranasal administration in low microgram doses, the novel MOA of PH94B is fundamentally differentiated from all current anti-anxiety medications, including all antidepressants approved by the FDA for treatment of SAD, as well as all benzodiazepines and beta blockers prescribed for treatment of SAD on an off-label basis. VistaGen’s proposed MOA for PH94B does not involve either direct activation of GABA-A receptors or binding to neuronal receptors in the CNS. Rather, PH94B’s proposed MOA involves binding to peripheral chemosensory neurons in the nasal passages to regulate the olfactory-amygdala fear and anxiety neural circuits. Both clinical and preclinical data suggest that PH94B has the potential to achieve rapid-onset anti-anxiety effects without systemic uptake or transport into the brain, reducing the risk of benzodiazepine-like side effects and other safety concerns.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ongoing PALISADE Phase 3 Program for PH94B is designed to further demonstrate its potential as a fast-acting, non-sedating, non-addictive acute treatment of anxiety in adults with SAD. In addition to SAD, for which the FDA has granted Fast Track designation, we also have potential opportunities to develop PH94B in adjustment disorder with anxiety, procedural anxiety, PTSD, postpartum anxiety and panic disorder.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PH10 Nasal Spray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PH10 is an odorless, tasteless synthetic investigational pherine nasal spray with a novel, rapid-onset potential MOA that is fundamentally differentiated from the MOA of all currently approved treatments for depression disorders. PH10, which is administered at microgram-level doses, engages and activates chemosensory cells in the nasal passages, connected to neural circuits in the brain that produce antidepressant effects. Specifically, in a manner similar to PH94B, PH10’s proposed MOA involves binding to peripheral chemosensory neurons in the nasal passages to regulate the olfactory-amygdala neural circuits believed to increase activity of the limbic-hypothalamic sympathetic nervous system and increase the release of catecholamines. Importantly, unlike all currently approved oral antidepressants (</w:t>
      </w:r>
      <w:r>
        <w:rPr>
          <w:rFonts w:ascii="Times New Roman" w:cs="Times New Roman" w:eastAsia="Times New Roman" w:hAnsi="Times New Roman"/>
          <w:sz w:val="18"/>
          <w:szCs w:val="18"/>
          <w:i w:val="1"/>
          <w:iCs w:val="1"/>
          <w:color w:val="auto"/>
        </w:rPr>
        <w:t>ADs</w:t>
      </w:r>
      <w:r>
        <w:rPr>
          <w:rFonts w:ascii="Times New Roman" w:cs="Times New Roman" w:eastAsia="Times New Roman" w:hAnsi="Times New Roman"/>
          <w:sz w:val="18"/>
          <w:szCs w:val="18"/>
          <w:color w:val="auto"/>
        </w:rPr>
        <w:t>) and rapid-onset ketamine-based therapy (</w:t>
      </w:r>
      <w:r>
        <w:rPr>
          <w:rFonts w:ascii="Times New Roman" w:cs="Times New Roman" w:eastAsia="Times New Roman" w:hAnsi="Times New Roman"/>
          <w:sz w:val="18"/>
          <w:szCs w:val="18"/>
          <w:i w:val="1"/>
          <w:iCs w:val="1"/>
          <w:color w:val="auto"/>
        </w:rPr>
        <w:t>KBT</w:t>
      </w:r>
      <w:r>
        <w:rPr>
          <w:rFonts w:ascii="Times New Roman" w:cs="Times New Roman" w:eastAsia="Times New Roman" w:hAnsi="Times New Roman"/>
          <w:sz w:val="18"/>
          <w:szCs w:val="18"/>
          <w:color w:val="auto"/>
        </w:rPr>
        <w:t>), including both intravenous ketamine and intranasal ketamine (esketamine), we believe PH10 does not require systemic uptake and distribution to produce rapid-onset of antidepressant effects. In all clinical studies completed to date, PH10 has been well-tolerated and has not caused psychological side effects (such as dissociation and hallucinations) or other safety concerns that may be associated with KBT. Our planned Phase 2B clinical program for PH10 is designed to further demonstrate its potential as a fast-acting stand-alone treatment for MDD. We also have potential opportunities to develop PH10 for multiple other depression-related disorders.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At doses administered in all studies completed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conducting an exploratory Phase 1B drug-drug interaction clinical study of AV-101.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VistaGen Therapeutics, Inc., a California corporation d/b/a VistaStem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wholly-owned subsidiary. Our Consolidated Financial Statements in this Annual Report on Form 10-K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also include the accounts of VistaStem’s two wholly-owned inactive subsidiaries, Artemis Neuroscience, Inc., a Maryland corporation (</w:t>
      </w:r>
      <w:r>
        <w:rPr>
          <w:rFonts w:ascii="Times New Roman" w:cs="Times New Roman" w:eastAsia="Times New Roman" w:hAnsi="Times New Roman"/>
          <w:sz w:val="18"/>
          <w:szCs w:val="18"/>
          <w:i w:val="1"/>
          <w:iCs w:val="1"/>
          <w:color w:val="auto"/>
        </w:rPr>
        <w:t>Artemis</w:t>
      </w:r>
      <w:r>
        <w:rPr>
          <w:rFonts w:ascii="Times New Roman" w:cs="Times New Roman" w:eastAsia="Times New Roman" w:hAnsi="Times New Roman"/>
          <w:sz w:val="18"/>
          <w:szCs w:val="18"/>
          <w:color w:val="auto"/>
        </w:rPr>
        <w:t>), and VistaStem Canada, Inc., a corporation organized under the laws of Ontario, Canada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w:t>
      </w:r>
      <w:r>
        <w:rPr>
          <w:rFonts w:ascii="Times New Roman" w:cs="Times New Roman" w:eastAsia="Times New Roman" w:hAnsi="Times New Roman"/>
          <w:sz w:val="18"/>
          <w:szCs w:val="18"/>
          <w:color w:val="auto"/>
        </w:rPr>
        <w:t>). Refer to Note 15,</w:t>
      </w:r>
      <w:r>
        <w:rPr>
          <w:rFonts w:ascii="Times New Roman" w:cs="Times New Roman" w:eastAsia="Times New Roman" w:hAnsi="Times New Roman"/>
          <w:sz w:val="18"/>
          <w:szCs w:val="18"/>
          <w:i w:val="1"/>
          <w:iCs w:val="1"/>
          <w:color w:val="auto"/>
        </w:rPr>
        <w:t xml:space="preserve"> Subsequent Events</w:t>
      </w:r>
      <w:r>
        <w:rPr>
          <w:rFonts w:ascii="Times New Roman" w:cs="Times New Roman" w:eastAsia="Times New Roman" w:hAnsi="Times New Roman"/>
          <w:sz w:val="18"/>
          <w:szCs w:val="18"/>
          <w:color w:val="auto"/>
        </w:rPr>
        <w:t>, for information about the dissolution of VistaStem Canada and Artemis.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xml:space="preserve">) and include the Company’s accounts, and those of VistaStem and its two wholly owned inactive subsidiaries, Artemis and VistaStem Canada. All material intercompany accounts and transactions have been eliminated in consolidation. Refer to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information regarding the dissolution of Artemis and VistaStem Canada. The Consolidated Financial Statements have been prepared assuming that we will continue as a going concern. As a late-stage clinical-stage biopharmaceutical company having not yet developed commercial products or achieved sustainable revenues, we have experienced negative cash flows from operations and recurring losses resulting in a deficit of $267.6 million accumulated from inception ( May 1998) through March 31, 2022. We expect losses and negative cash flows from operations to continue for the foreseeable future as we engage in further development of PH94B, PH10 and AV-101.</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in May 1998 through March 31, 2022, we have financed our operations and technology acquisitions primarily through the issuance and sale of our equity and debt securities for cash proceeds of approximately $208.6 million, as well as from an aggregate of approximately $22.7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fiscal year ended March 31, 2022 (</w:t>
      </w:r>
      <w:r>
        <w:rPr>
          <w:rFonts w:ascii="Times New Roman" w:cs="Times New Roman" w:eastAsia="Times New Roman" w:hAnsi="Times New Roman"/>
          <w:sz w:val="18"/>
          <w:szCs w:val="18"/>
          <w:i w:val="1"/>
          <w:iCs w:val="1"/>
          <w:color w:val="auto"/>
        </w:rPr>
        <w:t>Fiscal 2022</w:t>
      </w:r>
      <w:r>
        <w:rPr>
          <w:rFonts w:ascii="Times New Roman" w:cs="Times New Roman" w:eastAsia="Times New Roman" w:hAnsi="Times New Roman"/>
          <w:sz w:val="18"/>
          <w:szCs w:val="18"/>
          <w:color w:val="auto"/>
        </w:rPr>
        <w:t>), holders of outstanding warrants to purchase an aggregate of 7,298,791 shares of our common stock exercised such warrants, and we received cash proceeds of approximately $6.2 million. Between December 2020 and March 31, 2021, holders of outstanding warrants to purchase an aggregate of 6,396,302 shares of our common stock exercised such warrants and we received cash proceeds of approximately $4.9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xml:space="preserve">) with respect to an at-the-market offering program (the </w:t>
      </w:r>
      <w:r>
        <w:rPr>
          <w:rFonts w:ascii="Times New Roman" w:cs="Times New Roman" w:eastAsia="Times New Roman" w:hAnsi="Times New Roman"/>
          <w:sz w:val="18"/>
          <w:szCs w:val="18"/>
          <w:i w:val="1"/>
          <w:iCs w:val="1"/>
          <w:color w:val="auto"/>
        </w:rPr>
        <w:t>ATM</w:t>
      </w:r>
      <w:r>
        <w:rPr>
          <w:rFonts w:ascii="Times New Roman" w:cs="Times New Roman" w:eastAsia="Times New Roman" w:hAnsi="Times New Roman"/>
          <w:sz w:val="18"/>
          <w:szCs w:val="18"/>
          <w:color w:val="auto"/>
        </w:rPr>
        <w:t>) under which we may offer and sell, from time to time, shares of our common stock having an aggregate offering price of up to $75.0 million through our sales agent. In September 2021 and on October 1, 2021, we sold an aggregate of 1,517,798 shares of our common stock and received gross cash proceeds of approximately $4.45 million under the ATM. We have not sold any additional shares of our common stock under the Sales Agreement from October 2, 2021 through the date of this Annual Report on Form 10-K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xml:space="preserve">). Refer to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additional information about the Sales Agreement and matters related to sales of common stock under the ATM.</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2020, we entered into an underwriting agreement pursuant to which we sold, in an underwritten public offering (the </w:t>
      </w:r>
      <w:r>
        <w:rPr>
          <w:rFonts w:ascii="Times New Roman" w:cs="Times New Roman" w:eastAsia="Times New Roman" w:hAnsi="Times New Roman"/>
          <w:sz w:val="18"/>
          <w:szCs w:val="18"/>
          <w:i w:val="1"/>
          <w:iCs w:val="1"/>
          <w:color w:val="auto"/>
        </w:rPr>
        <w:t>December 2020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63.0 million shares of our common stock at a public offering price of $0.92 per share and 2.0 million shares of our newly authorized Series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Preferred Stock, par value $0.001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xml:space="preserve"> and, together with the common stock,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at a public offering price of $21.16 per share, resulting in gross proceeds to us of $100 million. The 2.0 million shares of Series D Preferred were convertible into 46.0 million shares of common stock, and all shares of Series D Preferred were converted into common stock by June 30, 2021. Net proceeds to us from the Securities sold in the December 2020 Public Offering, after deducting underwriting discounts and commissions and offering expenses, was approximately $93.6 million.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we entered into an underwriting agreement pursuant to which we sold, in an underwritten public offering (the </w:t>
      </w:r>
      <w:r>
        <w:rPr>
          <w:rFonts w:ascii="Times New Roman" w:cs="Times New Roman" w:eastAsia="Times New Roman" w:hAnsi="Times New Roman"/>
          <w:sz w:val="18"/>
          <w:szCs w:val="18"/>
          <w:i w:val="1"/>
          <w:iCs w:val="1"/>
          <w:color w:val="auto"/>
        </w:rPr>
        <w:t>August 2020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an aggregate of 15,625,000 shares of our common stock at a public offering price of $0.80 per share, resulting in gross proceeds to us of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were approximately $12.9 million.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more completely described in Note 11, </w:t>
      </w:r>
      <w:r>
        <w:rPr>
          <w:rFonts w:ascii="Times New Roman" w:cs="Times New Roman" w:eastAsia="Times New Roman" w:hAnsi="Times New Roman"/>
          <w:sz w:val="18"/>
          <w:szCs w:val="18"/>
          <w:i w:val="1"/>
          <w:iCs w:val="1"/>
          <w:color w:val="auto"/>
        </w:rPr>
        <w:t>Licensing, Sublicensing and Collaboration Agreements</w:t>
      </w:r>
      <w:r>
        <w:rPr>
          <w:rFonts w:ascii="Times New Roman" w:cs="Times New Roman" w:eastAsia="Times New Roman" w:hAnsi="Times New Roman"/>
          <w:sz w:val="18"/>
          <w:szCs w:val="18"/>
          <w:color w:val="auto"/>
        </w:rPr>
        <w:t xml:space="preserve">, in June 2020, we entered into a strategic licensing and collaboration agreement for the clinical development and commercialization of PH94B for acute treatment of anxiety in adults with SAD and other potential anxiety-related disorders (the </w:t>
      </w:r>
      <w:r>
        <w:rPr>
          <w:rFonts w:ascii="Times New Roman" w:cs="Times New Roman" w:eastAsia="Times New Roman" w:hAnsi="Times New Roman"/>
          <w:sz w:val="18"/>
          <w:szCs w:val="18"/>
          <w:i w:val="1"/>
          <w:iCs w:val="1"/>
          <w:color w:val="auto"/>
        </w:rPr>
        <w:t>AffaMed Agreement</w:t>
      </w:r>
      <w:r>
        <w:rPr>
          <w:rFonts w:ascii="Times New Roman" w:cs="Times New Roman" w:eastAsia="Times New Roman" w:hAnsi="Times New Roman"/>
          <w:sz w:val="18"/>
          <w:szCs w:val="18"/>
          <w:color w:val="auto"/>
        </w:rPr>
        <w:t>) pursuant to which we received an upfront license payment of $5.0 million in August 2020. The upfront license payment resulted in net cash proceeds to us of approximately $4.655 million after the sublicense payment we agreed to make to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pursuant to our PH94B license from Pherin, and payment for consulting services related to the consummation of the AffaMed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Going Concern</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our fiscal year ended March 31, 2021 (</w:t>
      </w:r>
      <w:r>
        <w:rPr>
          <w:rFonts w:ascii="Times New Roman" w:cs="Times New Roman" w:eastAsia="Times New Roman" w:hAnsi="Times New Roman"/>
          <w:sz w:val="18"/>
          <w:szCs w:val="18"/>
          <w:i w:val="1"/>
          <w:iCs w:val="1"/>
          <w:color w:val="auto"/>
        </w:rPr>
        <w:t>Fiscal 2021</w:t>
      </w:r>
      <w:r>
        <w:rPr>
          <w:rFonts w:ascii="Times New Roman" w:cs="Times New Roman" w:eastAsia="Times New Roman" w:hAnsi="Times New Roman"/>
          <w:sz w:val="18"/>
          <w:szCs w:val="18"/>
          <w:color w:val="auto"/>
        </w:rPr>
        <w:t>), we received approximately $119 million in net cash proceeds, primarily from the transactions described above. As also described above, during Fiscal 2022, we received an additional $6.2 million in cash proceeds from the exercise of outstanding warrants and approximately $4.45 million in gross cash proceeds from the sale of our common stock under the Sales Agreement. Although we had cash and cash equivalents of approximately $68.1 million at March 31, 2022, should the clinical development and regulatory initiatives in our PALISADE Phase 3 Program for PH94B in SAD prove successful, it is probable that such cash position will not be sufficient to fund our planned operations, including, notably, our planned expansion of phase-appropriate preparations for commercialization of PH94B in the United States, for the twelve months following the issuance of this Annual Report, which raises substantial doubt that we can continue as a going concern without securing additional capital. Additionally,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next twelve months, we plan to (i) continue to advance and complete our PALISADE Phase 3 Program designed to develop and commercialize PH94B as a new acute treatment of anxiety in adults with SAD, (ii) continue to advance our exploratory clinical program for PH94B in a series of small studies to advance our understanding of its therapeutic potential in anxiety disorders beyond SAD, (iii) complete preparations for and initiate Phase 2B clinical development of PH10 as a potential stand-alone treatment for MDD, (iv) complete our exploratory Phase 1B drug-drug interaction clinical study of AV-101 in combination with probenecid to enhance our understanding of its therapeutic potential in certain neurological disorders, (v) conduct various nonclinical studies involving PH94B, PH10 and AV-101, and (vi) continue phase-appropriate preparations for commercialization of PH94B should the development and regulatory initiatives in our PALISADE Phase 3 Program in SAD prove successful.</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When necessary and advantageous, we will seek additional financial resources to fund our planned operations through (i) the potential issuance of debt securities, (ii) sales of our equity securities in one or more public offerings, including strategic transactions under the Sales Agreement, (iii) private placements, (iv) the exercises of some or all of the currently outstanding 9,275,858 warrants prior to their expiration and/or (v) strategic licensing and development collaborations involving one or more of our drug candidates in markets outside the United States, similar to the AffaMed Agreement. Subject to certain restrictions, our Registration Statement on Form S-3 (the </w:t>
      </w:r>
      <w:r>
        <w:rPr>
          <w:rFonts w:ascii="Times New Roman" w:cs="Times New Roman" w:eastAsia="Times New Roman" w:hAnsi="Times New Roman"/>
          <w:sz w:val="18"/>
          <w:szCs w:val="18"/>
          <w:i w:val="1"/>
          <w:iCs w:val="1"/>
          <w:color w:val="auto"/>
        </w:rPr>
        <w:t>S-3 Shelf Registration Statement</w:t>
      </w:r>
      <w:r>
        <w:rPr>
          <w:rFonts w:ascii="Times New Roman" w:cs="Times New Roman" w:eastAsia="Times New Roman" w:hAnsi="Times New Roman"/>
          <w:sz w:val="18"/>
          <w:szCs w:val="18"/>
          <w:color w:val="auto"/>
        </w:rPr>
        <w:t>) remains available for future sales of our equity securities in one or more public offerings from time to time. While we may make additional sales of our equity securities under the S-3 Shelf Registration Statement and/or under the Sales Agreement, we do not have an obligation to do so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potential issuance of debt securities or sale of our equity securities, we may also seek to enter research, development and/or commercialization collaborations similar to the AffaMed Agreement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enter into collaborations on terms acceptable to us. To further advance the clinical development and potential commercialization of PH94B, PH10, and AV-101, as well as support our operating activities, we plan to continue to carefully manage our routine operating costs and our clinical and nonclinical programs and pre-launch commercialization initiatives.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our current strategic collaboration under the AffaMed Agreement will generate revenue from future potential milestone payments, or that future financings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The Financial Statements do not include any adjustments that might result from the negative outcome of this uncertainty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research and development expenses, determination of right-of-use assets under lease transactions and related lease obligations, and the assumptions used to value warrants, warrant modifications and useful lives for property and equipment and related depreciation calculations.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considered to be highly liquid investments with maturities of three months or less at the date of purchase.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Repairs and maintenance costs are expensed in the period incurred. Depreciation is calculated using the straight-line method over the estimated useful lives of the assets. The estimated useful lives of laboratory, information technology and office equipment range from three to seven years; the estimated useful lives of manufacturing equipment ranges from five to ten years. Leasehold improvements are amortized over the shorter of the lease term or the useful life of the improvements.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 We do not carry any capitalized intellectual property or product licenses as assets subject to impairment in our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Deferred offering costs include registration expenses related to our current S-3 Registration Statement (the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 xml:space="preserve">), which became effective on March 26, 2021, and expenses related to the LPC Agreement (as described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and the Sales Agreement for the ATM. These expenses consist primarily of legal, accounting, SEC filing fees, and, as appropriate, Nasdaq filing fees. Upon the completion of an applicable equity offering, the deferred expenses are charged to additional paid-in capital. If there are any deferred offering costs remaining at the expiration of the Shelf Registration or either equity financing agreement, such costs are charged to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AffaMed Agreement, involving clinical development and commercialization of PH94B for acute treatment of anxiety in adults with SAD, and potentially other anxiety-related disorders, in Greater China, South Korea, and Southeast Asia, has been our source of revenue for both Fiscal 2022 and Fiscal 2021. The terms of the AffaMed Agreement include a $5.0 million non-refundable upfront license fee which we received in August 2020, potential payments based upon achievement of certain development and commercial milestones, and royalties on product sales. In prior years, we have occasionally generated revenue from collaborative research and development arrangements, licensing and technology transfer agreements, including strategic licenses or sublicenses, and government grants.</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w:t>
      </w:r>
    </w:p>
    <w:p>
      <w:pPr>
        <w:spacing w:after="0" w:line="2" w:lineRule="exact"/>
        <w:rPr>
          <w:sz w:val="20"/>
          <w:szCs w:val="20"/>
          <w:color w:val="auto"/>
        </w:rPr>
      </w:pPr>
    </w:p>
    <w:p>
      <w:pPr>
        <w:ind w:firstLine="7"/>
        <w:spacing w:after="0" w:line="258" w:lineRule="auto"/>
        <w:tabs>
          <w:tab w:leader="none" w:pos="2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Once a contract is determined to be within the scope of Topic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is then determined and allocated to the identified performance obligations in proportion to their standalone selling prices (</w:t>
      </w:r>
      <w:r>
        <w:rPr>
          <w:rFonts w:ascii="Times New Roman" w:cs="Times New Roman" w:eastAsia="Times New Roman" w:hAnsi="Times New Roman"/>
          <w:sz w:val="18"/>
          <w:szCs w:val="18"/>
          <w:i w:val="1"/>
          <w:iCs w:val="1"/>
          <w:color w:val="auto"/>
        </w:rPr>
        <w:t>SSP</w:t>
      </w:r>
      <w:r>
        <w:rPr>
          <w:rFonts w:ascii="Times New Roman" w:cs="Times New Roman" w:eastAsia="Times New Roman" w:hAnsi="Times New Roman"/>
          <w:sz w:val="18"/>
          <w:szCs w:val="18"/>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and AV-101. All such costs are charged to expense as incurred.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record accruals for estimated ongoing clinical trial costs. Clinical trial costs represent costs incurred by contract research organizations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required significant additional development and expense, we recorded the costs related to acquiring the licenses and the option as research and development expense in our fiscal year ended March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account for income taxes using the asset and liability approach promulgated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and Operating Lease Obligations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our leases following the guidance of Accounting Standards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ASU 2016-02</w:t>
      </w:r>
      <w:r>
        <w:rPr>
          <w:rFonts w:ascii="Times New Roman" w:cs="Times New Roman" w:eastAsia="Times New Roman" w:hAnsi="Times New Roman"/>
          <w:sz w:val="18"/>
          <w:szCs w:val="18"/>
          <w:color w:val="auto"/>
        </w:rPr>
        <w:t>).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Times New Roman" w:cs="Times New Roman" w:eastAsia="Times New Roman" w:hAnsi="Times New Roman"/>
          <w:sz w:val="18"/>
          <w:szCs w:val="18"/>
          <w:i w:val="1"/>
          <w:iCs w:val="1"/>
          <w:color w:val="auto"/>
        </w:rPr>
        <w:t>Right-of-use assets</w:t>
      </w:r>
      <w:r>
        <w:rPr>
          <w:rFonts w:ascii="Times New Roman" w:cs="Times New Roman" w:eastAsia="Times New Roman" w:hAnsi="Times New Roman"/>
          <w:sz w:val="18"/>
          <w:szCs w:val="18"/>
          <w:color w:val="auto"/>
        </w:rPr>
        <w:t>)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consolidated balance sheets.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18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of cash and cash equivalents. Our investment policies limit any such investments to short-term, low-risk instruments. We deposit cash and cash equivalents with quality financial institutions which are insured to the maximum of federal limitations. Balances in these accounts may exceed federally insured limits at times.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use derivative instruments for hedging of market risks or for trading or speculative purposes. When applicable, 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84" w:lineRule="exact"/>
        <w:rPr>
          <w:sz w:val="20"/>
          <w:szCs w:val="20"/>
          <w:color w:val="auto"/>
        </w:rPr>
      </w:pPr>
    </w:p>
    <w:p>
      <w:pPr>
        <w:ind w:left="660" w:right="20" w:hanging="330"/>
        <w:spacing w:after="0" w:line="282" w:lineRule="auto"/>
        <w:tabs>
          <w:tab w:leader="none" w:pos="66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58" w:lineRule="exact"/>
        <w:rPr>
          <w:rFonts w:ascii="Times New Roman" w:cs="Times New Roman" w:eastAsia="Times New Roman" w:hAnsi="Times New Roman"/>
          <w:sz w:val="18"/>
          <w:szCs w:val="18"/>
          <w:i w:val="1"/>
          <w:iCs w:val="1"/>
          <w:color w:val="auto"/>
        </w:rPr>
      </w:pPr>
    </w:p>
    <w:p>
      <w:pPr>
        <w:jc w:val="both"/>
        <w:ind w:left="660" w:hanging="330"/>
        <w:spacing w:after="0" w:line="265" w:lineRule="auto"/>
        <w:tabs>
          <w:tab w:leader="none" w:pos="66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174" w:lineRule="exact"/>
        <w:rPr>
          <w:rFonts w:ascii="Times New Roman" w:cs="Times New Roman" w:eastAsia="Times New Roman" w:hAnsi="Times New Roman"/>
          <w:sz w:val="18"/>
          <w:szCs w:val="18"/>
          <w:i w:val="1"/>
          <w:iCs w:val="1"/>
          <w:color w:val="auto"/>
        </w:rPr>
      </w:pPr>
    </w:p>
    <w:p>
      <w:pPr>
        <w:jc w:val="both"/>
        <w:ind w:left="660" w:hanging="330"/>
        <w:spacing w:after="0" w:line="265" w:lineRule="auto"/>
        <w:tabs>
          <w:tab w:leader="none" w:pos="66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w:t>
      </w:r>
      <w:r>
        <w:rPr>
          <w:rFonts w:ascii="Times New Roman" w:cs="Times New Roman" w:eastAsia="Times New Roman" w:hAnsi="Times New Roman"/>
          <w:sz w:val="18"/>
          <w:szCs w:val="18"/>
          <w:i w:val="1"/>
          <w:iCs w:val="1"/>
          <w:color w:val="auto"/>
        </w:rPr>
        <w:t xml:space="preserve">i.e., </w:t>
      </w:r>
      <w:r>
        <w:rPr>
          <w:rFonts w:ascii="Times New Roman" w:cs="Times New Roman" w:eastAsia="Times New Roman" w:hAnsi="Times New Roman"/>
          <w:sz w:val="18"/>
          <w:szCs w:val="18"/>
          <w:color w:val="auto"/>
        </w:rPr>
        <w:t>inputs that reflect the reporting entity’s own assumptions about the assumptions that market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use in estimating the fair value of an asset or liability) are used when little or no market data is available. The fair value hierarchy gives the lowest priority to Level 3 inputs.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 Our only financial assets that are measured on a recurring basis at fair value were $65,094,900 and $90,074,700 held in money market funds and classified as cash equivalents at March 31, 2022 and 2021, respectively. Our money market funds are classified within Level 1 of the fair value hierarchy and are valued based on quoted prices in active markets for identical securities. We had no financial liabilities that are measured on a recurring basis at fair value at March 31, 2022 or March 31,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Equity Financing</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evaluate the appropriate balance sheet classification of warrants we issue as either equity or as a derivative liability. In accordance with ASC 815-40, </w:t>
      </w:r>
      <w:r>
        <w:rPr>
          <w:rFonts w:ascii="Times New Roman" w:cs="Times New Roman" w:eastAsia="Times New Roman" w:hAnsi="Times New Roman"/>
          <w:sz w:val="18"/>
          <w:szCs w:val="18"/>
          <w:i w:val="1"/>
          <w:iCs w:val="1"/>
          <w:color w:val="auto"/>
        </w:rPr>
        <w:t>Derivatives and Hedging-Contracts in the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815-40</w:t>
      </w:r>
      <w:r>
        <w:rPr>
          <w:rFonts w:ascii="Times New Roman" w:cs="Times New Roman" w:eastAsia="Times New Roman" w:hAnsi="Times New Roman"/>
          <w:sz w:val="18"/>
          <w:szCs w:val="18"/>
          <w:color w:val="auto"/>
        </w:rPr>
        <w:t>), we classify a warrant as equity if it is “indexed to the Company’s equity”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or ASC 815-40, it is classified as a derivative liability which is carried on the consolidated balance sheet at fair value with any changes in its fair value recognized immediately in the Statement of Operations and Comprehensive Loss. At March 31, 2022 and 2021, we had both investor warrants and share-based compensation warrants outstanding that were classified as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no components of other comprehensive loss other than net loss, and accordingly our comprehensive loss is equivalent to our net loss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 Attributable to Common Stockholders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net loss attributable to common stockholders per share of common stock excludes the effect of dilution and is computed by dividing net loss increased by the accrual of dividends on shares of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for the fiscal years ended March 30, 2022 and 2021 and, in the fiscal year ended March 31, 2021, by the beneficial conversion feature related to our Series D Convertible Stock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xml:space="preserve">), as described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8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As a result of our net loss for both years presented, potentially dilutive securities were excluded from the computation of diluted loss per share, as their effect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share was computed as follows: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 attributable to common stockholders for basic and diluted earnings per share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(48,707,500)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(42,319,800)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0" w:type="dxa"/>
            <w:vAlign w:val="bottom"/>
            <w:vMerge w:val="restart"/>
          </w:tcPr>
          <w:p>
            <w:pPr>
              <w:spacing w:after="0"/>
              <w:rPr>
                <w:sz w:val="16"/>
                <w:szCs w:val="16"/>
                <w:color w:val="auto"/>
              </w:rPr>
            </w:pPr>
          </w:p>
        </w:tc>
        <w:tc>
          <w:tcPr>
            <w:tcW w:w="6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00" w:type="dxa"/>
            <w:vAlign w:val="bottom"/>
          </w:tcPr>
          <w:p>
            <w:pPr>
              <w:spacing w:after="0"/>
              <w:rPr>
                <w:sz w:val="22"/>
                <w:szCs w:val="22"/>
                <w:color w:val="auto"/>
              </w:rPr>
            </w:pPr>
          </w:p>
        </w:tc>
        <w:tc>
          <w:tcPr>
            <w:tcW w:w="6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basic and diluted common shares outstanding</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197,978,592</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86,133,644</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67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0" w:type="dxa"/>
            <w:vAlign w:val="bottom"/>
          </w:tcPr>
          <w:p>
            <w:pPr>
              <w:spacing w:after="0"/>
              <w:rPr>
                <w:sz w:val="22"/>
                <w:szCs w:val="22"/>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 share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00" w:type="dxa"/>
            <w:vAlign w:val="bottom"/>
          </w:tcPr>
          <w:p>
            <w:pPr>
              <w:spacing w:after="0"/>
              <w:rPr>
                <w:sz w:val="24"/>
                <w:szCs w:val="24"/>
                <w:color w:val="auto"/>
              </w:rPr>
            </w:pPr>
          </w:p>
        </w:tc>
        <w:tc>
          <w:tcPr>
            <w:tcW w:w="6780" w:type="dxa"/>
            <w:vAlign w:val="bottom"/>
            <w:tcBorders>
              <w:top w:val="single" w:sz="8" w:color="CCEEFF"/>
            </w:tcBorders>
          </w:tcPr>
          <w:p>
            <w:pPr>
              <w:ind w:left="5040"/>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6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Potentially dilutive securities excluded in determining diluted net loss per common share for the fiscal years ended March 31, 2022 and 2021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Series B Preferred stock issued and outstanding </w:t>
            </w:r>
            <w:r>
              <w:rPr>
                <w:rFonts w:ascii="Times New Roman" w:cs="Times New Roman" w:eastAsia="Times New Roman" w:hAnsi="Times New Roman"/>
                <w:sz w:val="24"/>
                <w:szCs w:val="24"/>
                <w:color w:val="auto"/>
                <w:vertAlign w:val="superscript"/>
              </w:rPr>
              <w:t>(2)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Series C Preferred stock issued and outstanding </w:t>
            </w:r>
            <w:r>
              <w:rPr>
                <w:rFonts w:ascii="Times New Roman" w:cs="Times New Roman" w:eastAsia="Times New Roman" w:hAnsi="Times New Roman"/>
                <w:sz w:val="24"/>
                <w:szCs w:val="24"/>
                <w:color w:val="auto"/>
                <w:vertAlign w:val="superscript"/>
              </w:rPr>
              <w:t>(3)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Series D Preferred stock issued and outstanding </w:t>
            </w:r>
            <w:r>
              <w:rPr>
                <w:rFonts w:ascii="Times New Roman" w:cs="Times New Roman" w:eastAsia="Times New Roman" w:hAnsi="Times New Roman"/>
                <w:sz w:val="24"/>
                <w:szCs w:val="24"/>
                <w:color w:val="auto"/>
                <w:vertAlign w:val="superscript"/>
              </w:rPr>
              <w:t>(4)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Outstanding options under the Company's Amended and Restated 2016 Stock Incentive Plan and Amended</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Restated 2019 Omnibus Equity Incentive Plan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19,386,389</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14,638,088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9,275,858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19,362,532</w:t>
            </w:r>
          </w:p>
        </w:tc>
        <w:tc>
          <w:tcPr>
            <w:tcW w:w="0" w:type="dxa"/>
            <w:vAlign w:val="bottom"/>
          </w:tcPr>
          <w:p>
            <w:pPr>
              <w:spacing w:after="0"/>
              <w:rPr>
                <w:sz w:val="1"/>
                <w:szCs w:val="1"/>
                <w:color w:val="auto"/>
              </w:rPr>
            </w:pPr>
          </w:p>
        </w:tc>
      </w:tr>
      <w:tr>
        <w:trPr>
          <w:trHeight w:val="215"/>
        </w:trPr>
        <w:tc>
          <w:tcPr>
            <w:tcW w:w="8000" w:type="dxa"/>
            <w:vAlign w:val="bottom"/>
            <w:gridSpan w:val="2"/>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28,662,247</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47,449,728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Based on exchange in November 2021 under the terms of the October 11, 2012 Note Exchange and Purchase Agreement,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69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76"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Based on exchange in November 2021 under the terms of the Certificate of Designation of the Relative Rights and Preferences of the Series B 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Convertible Preferred Stock, effective May 5, 2015. March 31, 2021 figure excludes shares of unregistered common stock issuable in payment of dividends on Series B Preferred upon conversion; 3,295,778 unregistered shares of common stock were issued in payment of accrued dividends upon conversion.</w:t>
      </w:r>
    </w:p>
    <w:p>
      <w:pPr>
        <w:spacing w:after="0" w:line="199" w:lineRule="exact"/>
        <w:rPr>
          <w:sz w:val="20"/>
          <w:szCs w:val="20"/>
          <w:color w:val="auto"/>
        </w:rPr>
      </w:pPr>
    </w:p>
    <w:p>
      <w:pPr>
        <w:ind w:right="60"/>
        <w:spacing w:after="0" w:line="20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Based on exchange in October 2021 under the terms of the Certificate of Designation of the Relative Rights and Preferences of the Series C Convertible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Preferred Stock, effective January 25, 2016</w:t>
      </w:r>
    </w:p>
    <w:p>
      <w:pPr>
        <w:spacing w:after="0" w:line="198" w:lineRule="exact"/>
        <w:rPr>
          <w:sz w:val="20"/>
          <w:szCs w:val="20"/>
          <w:color w:val="auto"/>
        </w:rPr>
      </w:pPr>
    </w:p>
    <w:p>
      <w:pPr>
        <w:ind w:right="740"/>
        <w:spacing w:after="0" w:line="20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4</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Based on exchanges during April 2021 under the terms of the Certificate of Designation of the Relative Rights and Preferences of the Series 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Convertible Preferred Stock, effective December 21,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our fiscal year ended March 31, 2022, we reclassified certain expenses previously recorded as research and development expenses in our Consolidated Statement of Operations and Comprehensive Loss to general and administrative expenses. Prior year amounts have also been reclassified to conform to the current year’s presentation. Quarterly amounts reported in Note 16, </w:t>
      </w:r>
      <w:r>
        <w:rPr>
          <w:rFonts w:ascii="Times New Roman" w:cs="Times New Roman" w:eastAsia="Times New Roman" w:hAnsi="Times New Roman"/>
          <w:sz w:val="18"/>
          <w:szCs w:val="18"/>
          <w:i w:val="1"/>
          <w:iCs w:val="1"/>
          <w:color w:val="auto"/>
        </w:rPr>
        <w:t>Supplemental Financial Information</w:t>
      </w:r>
      <w:r>
        <w:rPr>
          <w:rFonts w:ascii="Times New Roman" w:cs="Times New Roman" w:eastAsia="Times New Roman" w:hAnsi="Times New Roman"/>
          <w:sz w:val="18"/>
          <w:szCs w:val="18"/>
          <w:color w:val="auto"/>
        </w:rPr>
        <w:t>, for the fiscal years ended March 31, 2022 and 2021 reflect the reclassification noted.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believe the following recent accounting pronouncements or changes in accounting pronouncements are of significance or potential significance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xml:space="preserve">) issued ASU 2020-06, Debt – </w:t>
      </w:r>
      <w:r>
        <w:rPr>
          <w:rFonts w:ascii="Times New Roman" w:cs="Times New Roman" w:eastAsia="Times New Roman" w:hAnsi="Times New Roman"/>
          <w:sz w:val="18"/>
          <w:szCs w:val="18"/>
          <w:i w:val="1"/>
          <w:iCs w:val="1"/>
          <w:color w:val="auto"/>
        </w:rPr>
        <w:t>Debt with Conversion and Other Options (Subtopic 470-</w:t>
      </w:r>
    </w:p>
    <w:p>
      <w:pPr>
        <w:spacing w:after="0" w:line="29" w:lineRule="exact"/>
        <w:rPr>
          <w:sz w:val="20"/>
          <w:szCs w:val="20"/>
          <w:color w:val="auto"/>
        </w:rPr>
      </w:pPr>
    </w:p>
    <w:p>
      <w:pPr>
        <w:ind w:firstLine="7"/>
        <w:spacing w:after="0" w:line="258" w:lineRule="auto"/>
        <w:tabs>
          <w:tab w:leader="none" w:pos="308"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and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(Subtopic 815-40): Accounting for Convertible Instruments and Contracts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Own Equity (</w:t>
      </w:r>
      <w:r>
        <w:rPr>
          <w:rFonts w:ascii="Times New Roman" w:cs="Times New Roman" w:eastAsia="Times New Roman" w:hAnsi="Times New Roman"/>
          <w:sz w:val="18"/>
          <w:szCs w:val="18"/>
          <w:i w:val="1"/>
          <w:iCs w:val="1"/>
          <w:color w:val="auto"/>
        </w:rPr>
        <w:t>ASU 2020-06</w:t>
      </w:r>
      <w:r>
        <w:rPr>
          <w:rFonts w:ascii="Times New Roman" w:cs="Times New Roman" w:eastAsia="Times New Roman" w:hAnsi="Times New Roman"/>
          <w:sz w:val="18"/>
          <w:szCs w:val="18"/>
          <w:color w:val="auto"/>
        </w:rPr>
        <w:t>), to reduce complexity in applying GAAP to certain financial instruments with characteristics of liabilities and equity.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guidance in ASU 2020-06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amendments in ASU 2020-06 further revise the guidance in ASC 260, Earnings Per Share, to require entities to calculate diluted earnings per share (EPS) for convertible instruments by using the if-converted method. In addition, entities must presume share settlement for purposes of calculating diluted EPS when an instrument may be settled in cash or shares.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amendments in ASU 2020-06 are effective for our fiscal year beginning April 1, 2024. We are evaluating the impact of this new guidance, but do not believe that our adoption of ASU 2020-06 will have a material impact on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1" w:right="339" w:bottom="305" w:gutter="0" w:footer="0" w:header="0"/>
        </w:sectPr>
      </w:pPr>
    </w:p>
    <w:bookmarkStart w:id="101" w:name="page102"/>
    <w:bookmarkEnd w:id="10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This standard enhances and simplifies various aspects of the income tax accounting guidance in ASC Topic 740, Income Taxes,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The Company adopted the standard on the required effective date of April 1, 2021. This guidance did not have a significant impact on the Company’s Consolidated Financial Statements and related disclosures.</w:t>
      </w:r>
    </w:p>
    <w:p>
      <w:pPr>
        <w:spacing w:after="0" w:line="1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16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nonclinical materials and contract services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686,900</w:t>
            </w:r>
          </w:p>
        </w:tc>
        <w:tc>
          <w:tcPr>
            <w:tcW w:w="100" w:type="dxa"/>
            <w:vAlign w:val="bottom"/>
            <w:shd w:val="clear" w:color="auto" w:fill="CCEEFF"/>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CRO for cancelled project</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collaboration partner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40,600</w:t>
            </w:r>
          </w:p>
        </w:tc>
      </w:tr>
      <w:tr>
        <w:trPr>
          <w:trHeight w:val="215"/>
        </w:trPr>
        <w:tc>
          <w:tcPr>
            <w:tcW w:w="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121,800</w:t>
            </w:r>
          </w:p>
        </w:tc>
        <w:tc>
          <w:tcPr>
            <w:tcW w:w="10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26,400</w:t>
            </w:r>
          </w:p>
        </w:tc>
      </w:tr>
      <w:tr>
        <w:trPr>
          <w:trHeight w:val="208"/>
        </w:trPr>
        <w:tc>
          <w:tcPr>
            <w:tcW w:w="160" w:type="dxa"/>
            <w:vAlign w:val="bottom"/>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5"/>
        </w:trPr>
        <w:tc>
          <w:tcPr>
            <w:tcW w:w="16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2,745,800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amount reported as receivable from CRO for cancelled project at March 31, 2022 represents the amount of prepayments on a cancelled project net of expenses incurred by the CRO prior to project cancellation. The CRO has agreed to refund the over payment; however, we have not received the refund as of the date of this Report. The amount reported as receivable from collaboration partner at March 31, 2021 represents a payment we made to a contract manufacturing organization for certain drug substance manufacturing services on behalf of our collaboration partner. Our collaboration partner reimbursed us for the payment in May 2021.</w:t>
      </w:r>
    </w:p>
    <w:p>
      <w:pPr>
        <w:sectPr>
          <w:pgSz w:w="11900" w:h="16838" w:orient="portrait"/>
          <w:cols w:equalWidth="0" w:num="1">
            <w:col w:w="11240"/>
          </w:cols>
          <w:pgMar w:left="320" w:top="574" w:right="339" w:bottom="857"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Laboratory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-119380</wp:posOffset>
            </wp:positionV>
            <wp:extent cx="5699760" cy="136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5080</wp:posOffset>
            </wp:positionV>
            <wp:extent cx="5699760" cy="136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Manufacturing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13335</wp:posOffset>
            </wp:positionV>
            <wp:extent cx="5699760" cy="136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286385</wp:posOffset>
            </wp:positionV>
            <wp:extent cx="5699760" cy="136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16510</wp:posOffset>
            </wp:positionV>
            <wp:extent cx="5699760" cy="136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7"/>
        </w:trPr>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r>
      <w:tr>
        <w:trPr>
          <w:trHeight w:val="405"/>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1,181,300</w:t>
            </w:r>
          </w:p>
        </w:tc>
        <w:tc>
          <w:tcPr>
            <w:tcW w:w="12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1,003,800</w:t>
            </w:r>
          </w:p>
        </w:tc>
      </w:tr>
      <w:tr>
        <w:trPr>
          <w:trHeight w:val="215"/>
        </w:trPr>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214,400</w:t>
            </w:r>
          </w:p>
        </w:tc>
      </w:tr>
      <w:tr>
        <w:trPr>
          <w:trHeight w:val="215"/>
        </w:trPr>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92,100</w:t>
            </w:r>
          </w:p>
        </w:tc>
      </w:tr>
      <w:tr>
        <w:trPr>
          <w:trHeight w:val="233"/>
        </w:trPr>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211,200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211,200</w:t>
            </w:r>
          </w:p>
        </w:tc>
      </w:tr>
      <w:tr>
        <w:trPr>
          <w:trHeight w:val="20"/>
        </w:trPr>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4"/>
        </w:trPr>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1,521,500</w:t>
            </w:r>
          </w:p>
        </w:tc>
      </w:tr>
      <w:tr>
        <w:trPr>
          <w:trHeight w:val="430"/>
        </w:trPr>
        <w:tc>
          <w:tcPr>
            <w:tcW w:w="240" w:type="dxa"/>
            <w:vAlign w:val="bottom"/>
          </w:tcPr>
          <w:p>
            <w:pPr>
              <w:spacing w:after="0"/>
              <w:rPr>
                <w:sz w:val="24"/>
                <w:szCs w:val="24"/>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(1,268,800)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(1,154,100)</w:t>
            </w:r>
          </w:p>
        </w:tc>
      </w:tr>
      <w:tr>
        <w:trPr>
          <w:trHeight w:val="20"/>
        </w:trPr>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3"/>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367,400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120" w:space="720"/>
            <w:col w:w="5400"/>
          </w:cols>
          <w:pgMar w:left="320" w:top="574" w:right="339" w:bottom="857"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 summarizes depreciation and amortization expense attributable to owned and leased property and equipment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0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 assets</w:t>
            </w:r>
          </w:p>
        </w:tc>
        <w:tc>
          <w:tcPr>
            <w:tcW w:w="27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151,200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114,600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7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153,500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117,600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4" w:right="339" w:bottom="857"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amount reported above for manufacturing equipment at March 31, 2022 and 2021 reflects the cost of certain process equipment acquired in connection with the manufacture of PH94B drug product and placed in service in the fourth quarter of Fiscal 2021. Included in amounts reported above for office furniture and equipment is the right-of-use asset related to a financing lease of certain office equipment. Amounts associated with assets subject to the financing lease at March 31, 2022 and 2021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subject to financing lease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(14,700)</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book value of office equipment subject to financing lease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financing lease expired in January 2022. Other than certain leased office equipment, none of our assets were subject to third party security interests at March 31, 2022 or 2021.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1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7"/>
        </w:trPr>
        <w:tc>
          <w:tcPr>
            <w:tcW w:w="1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for clinical and nonclinical materials, development and contract services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1,449,400</w:t>
            </w:r>
          </w:p>
        </w:tc>
      </w:tr>
      <w:tr>
        <w:trPr>
          <w:trHeight w:val="215"/>
        </w:trPr>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66,200</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85,500</w:t>
            </w:r>
          </w:p>
        </w:tc>
      </w:tr>
      <w:tr>
        <w:trPr>
          <w:trHeight w:val="215"/>
        </w:trPr>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32,700</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27,800</w:t>
            </w:r>
          </w:p>
        </w:tc>
      </w:tr>
      <w:tr>
        <w:trPr>
          <w:trHeight w:val="208"/>
        </w:trPr>
        <w:tc>
          <w:tcPr>
            <w:tcW w:w="160" w:type="dxa"/>
            <w:vAlign w:val="bottom"/>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1,329,200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1,562,700</w:t>
            </w:r>
          </w:p>
        </w:tc>
      </w:tr>
      <w:tr>
        <w:trPr>
          <w:trHeight w:val="20"/>
        </w:trPr>
        <w:tc>
          <w:tcPr>
            <w:tcW w:w="1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Notes Payable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February 2020, we executed a 7.30% promissory note in the principal amount of $62,600 in connection with certain insurance policy premiums. That note was payable in monthly installments of $6,500 including principal and interest, through December 2020 and was fully paid at March 31, 2021. In May 2020, we executed a 6.30% promissory note in the principal amount of $322,200 in connection with other insurance policy premiums. The note was payable in monthly installments of $33,200, including principal and interest, through March 2021, and was fully paid at March 31, 2021.</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April 2020, we entered into a note payable agreement (the </w:t>
      </w:r>
      <w:r>
        <w:rPr>
          <w:rFonts w:ascii="Times New Roman" w:cs="Times New Roman" w:eastAsia="Times New Roman" w:hAnsi="Times New Roman"/>
          <w:sz w:val="18"/>
          <w:szCs w:val="18"/>
          <w:i w:val="1"/>
          <w:iCs w:val="1"/>
          <w:color w:val="auto"/>
        </w:rPr>
        <w:t>PPP Loan Agreement</w:t>
      </w:r>
      <w:r>
        <w:rPr>
          <w:rFonts w:ascii="Times New Roman" w:cs="Times New Roman" w:eastAsia="Times New Roman" w:hAnsi="Times New Roman"/>
          <w:sz w:val="18"/>
          <w:szCs w:val="18"/>
          <w:color w:val="auto"/>
        </w:rPr>
        <w:t xml:space="preserve">) with Silicon Valley Bank as lender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pursuant to which we received net proceeds of $224,400 from a potentially forgivable loan from the U.S. Small Business Administration (</w:t>
      </w:r>
      <w:r>
        <w:rPr>
          <w:rFonts w:ascii="Times New Roman" w:cs="Times New Roman" w:eastAsia="Times New Roman" w:hAnsi="Times New Roman"/>
          <w:sz w:val="18"/>
          <w:szCs w:val="18"/>
          <w:i w:val="1"/>
          <w:iCs w:val="1"/>
          <w:color w:val="auto"/>
        </w:rPr>
        <w:t>SBA</w:t>
      </w:r>
      <w:r>
        <w:rPr>
          <w:rFonts w:ascii="Times New Roman" w:cs="Times New Roman" w:eastAsia="Times New Roman" w:hAnsi="Times New Roman"/>
          <w:sz w:val="18"/>
          <w:szCs w:val="18"/>
          <w:color w:val="auto"/>
        </w:rPr>
        <w:t>) pursuant to the Paycheck Protection Program (</w:t>
      </w:r>
      <w:r>
        <w:rPr>
          <w:rFonts w:ascii="Times New Roman" w:cs="Times New Roman" w:eastAsia="Times New Roman" w:hAnsi="Times New Roman"/>
          <w:sz w:val="18"/>
          <w:szCs w:val="18"/>
          <w:i w:val="1"/>
          <w:iCs w:val="1"/>
          <w:color w:val="auto"/>
        </w:rPr>
        <w:t>PPP</w:t>
      </w:r>
      <w:r>
        <w:rPr>
          <w:rFonts w:ascii="Times New Roman" w:cs="Times New Roman" w:eastAsia="Times New Roman" w:hAnsi="Times New Roman"/>
          <w:sz w:val="18"/>
          <w:szCs w:val="18"/>
          <w:color w:val="auto"/>
        </w:rPr>
        <w:t xml:space="preserve">) enacted by Congress under the Coronavirus Aid, Relief, and Economic Security Act (the </w:t>
      </w:r>
      <w:r>
        <w:rPr>
          <w:rFonts w:ascii="Times New Roman" w:cs="Times New Roman" w:eastAsia="Times New Roman" w:hAnsi="Times New Roman"/>
          <w:sz w:val="18"/>
          <w:szCs w:val="18"/>
          <w:i w:val="1"/>
          <w:iCs w:val="1"/>
          <w:color w:val="auto"/>
        </w:rPr>
        <w:t>CARES Act</w:t>
      </w:r>
      <w:r>
        <w:rPr>
          <w:rFonts w:ascii="Times New Roman" w:cs="Times New Roman" w:eastAsia="Times New Roman" w:hAnsi="Times New Roman"/>
          <w:sz w:val="18"/>
          <w:szCs w:val="18"/>
          <w:color w:val="auto"/>
        </w:rPr>
        <w:t xml:space="preserve">) administered by the SBA (the </w:t>
      </w:r>
      <w:r>
        <w:rPr>
          <w:rFonts w:ascii="Times New Roman" w:cs="Times New Roman" w:eastAsia="Times New Roman" w:hAnsi="Times New Roman"/>
          <w:sz w:val="18"/>
          <w:szCs w:val="18"/>
          <w:i w:val="1"/>
          <w:iCs w:val="1"/>
          <w:color w:val="auto"/>
        </w:rPr>
        <w:t>PPP Loan</w:t>
      </w:r>
      <w:r>
        <w:rPr>
          <w:rFonts w:ascii="Times New Roman" w:cs="Times New Roman" w:eastAsia="Times New Roman" w:hAnsi="Times New Roman"/>
          <w:sz w:val="18"/>
          <w:szCs w:val="18"/>
          <w:color w:val="auto"/>
        </w:rPr>
        <w:t>). In accordance with its terms, the PPP Loan was to mature on April 22, 2022. The PPP Loan accrued interest at a rate of 1.00% per annum throughout the period it was outstanding. The CARES Act provided that all or a portion of the PPP Loan might be forgiven upon our request to the Lender, subject to requirements in the PPP Loan Agreement and the CARES Act. While we believe our use of the PPP Loan proceeds met all of the conditions for forgiveness under the PPP, following the completion of the December 2020 Public Offering, on December 23, 2020, we voluntarily repaid in full the outstanding principal balance of the PPP Loan, $224,400, plus accrued interest of approximately $1,500.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Capital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our Special Meeting of Stockholders on March 5, 2021, as approved by and recommended to our stockholders by our Board, our stockholders approved an amendment to our Restated Articles of Incorporation to increase the authorized number of shares of common stock that we may issue from 175.0 million shares to 325.0 million shares. The amendment became effective on March 5, 2021, upon our filing of a certificate of amendment with the Nevada Secretary of State. In connection with an underwritten public offering of our common stock and warrants in May 2016, our common stock was approved for listing on the Nasdaq Capital Market. Our common stock has traded on the Nasdaq Capital Market under the symbol “VTGN” since May 11,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December 2011, our Board authorized the creation of a series of up to 500,000 shares of Series A Preferred, par value $0.001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Each restricted share of Series A Preferred was convertible at the option of the holder into one and one-half restricted shares of our common stock. The Series A Preferred ranked prior to the common stock for purposes of liquidation preference.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628"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Series A Preferred had no separate dividend rights, however, should the Board have declared a dividend on the common stock, each holder of record of a share of Series A Preferred would have been entitled to receive an amount equal to such dividend declared on one share of common stock multiplied by the number of shares of common stock into which such share of Series A Preferred could be converted on the applicable record date.</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was entitled to vote separately as a class, the Series A Preferred had no voting rights. The restricted common stock into which the Series A Preferred was convertible has all of the same voting rights as other issued and outstanding shares of our common stock.</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March 31, 2021, there were 500,000 restricted shares of Series A Preferred outstanding, convertible into 750,000 shares of our common stock at the option of the holders. In November 2021, the custodial holder of the 500,000 outstanding shares of our Series A Preferred exercised its rights for conversion into common stock under the terms of the October 11, 2012 Note Exchange and Purchase Agreement and we issued 750,000 unregistered shares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July 2014, our Board authorized the creation of a class of Series B Preferred Stock, par value $0.001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In May 2015, we filed a Certificate of Designation of the Relative Rights and Preferences of the Series B 10% Preferred Stock of VistaGen Therapeutics, Inc. (</w:t>
      </w:r>
      <w:r>
        <w:rPr>
          <w:rFonts w:ascii="Times New Roman" w:cs="Times New Roman" w:eastAsia="Times New Roman" w:hAnsi="Times New Roman"/>
          <w:sz w:val="18"/>
          <w:szCs w:val="18"/>
          <w:i w:val="1"/>
          <w:iCs w:val="1"/>
          <w:color w:val="auto"/>
        </w:rPr>
        <w:t>Series B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w:t>
      </w:r>
      <w:r>
        <w:rPr>
          <w:rFonts w:ascii="Times New Roman" w:cs="Times New Roman" w:eastAsia="Times New Roman" w:hAnsi="Times New Roman"/>
          <w:sz w:val="18"/>
          <w:szCs w:val="18"/>
          <w:color w:val="auto"/>
        </w:rPr>
        <w:t>) with the Nevada Secretary of State to designate 4.0 million shares of our authorized preferred stock as Series B Preferred.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Except with respect to transactions upon which the Series B Preferred was entitled to vote separately as a class, the Series B Preferred had no voting rights. The common stock into which the Series B Preferred was convertible has all of the same voting rights as other issued and outstanding shares of our common stock.</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Each share of Series B Preferred was convertible, at the option of the holder (</w:t>
      </w:r>
      <w:r>
        <w:rPr>
          <w:rFonts w:ascii="Times New Roman" w:cs="Times New Roman" w:eastAsia="Times New Roman" w:hAnsi="Times New Roman"/>
          <w:sz w:val="17"/>
          <w:szCs w:val="17"/>
          <w:i w:val="1"/>
          <w:iCs w:val="1"/>
          <w:color w:val="auto"/>
        </w:rPr>
        <w:t>Voluntary Conversion</w:t>
      </w:r>
      <w:r>
        <w:rPr>
          <w:rFonts w:ascii="Times New Roman" w:cs="Times New Roman" w:eastAsia="Times New Roman" w:hAnsi="Times New Roman"/>
          <w:sz w:val="17"/>
          <w:szCs w:val="17"/>
          <w:color w:val="auto"/>
        </w:rPr>
        <w:t>), into one (1) share of our common stock, subject to adjustment only for customary stock dividends, reclassifications, splits and similar transactions set forth in the Certificate of Designation. As permitted by the Series B Certificate of Designation, approximately 2.4 million shares of Series B Preferred were converted automatically into approximately 2.4 million shares of our common stock following the completion of our underwritten public offering in May 2016, which occurred concurrently with and facilitated the listing of our common stock on the Nasdaq Capital Market (</w:t>
      </w:r>
      <w:r>
        <w:rPr>
          <w:rFonts w:ascii="Times New Roman" w:cs="Times New Roman" w:eastAsia="Times New Roman" w:hAnsi="Times New Roman"/>
          <w:sz w:val="17"/>
          <w:szCs w:val="17"/>
          <w:i w:val="1"/>
          <w:iCs w:val="1"/>
          <w:color w:val="auto"/>
        </w:rPr>
        <w:t>Automatic Conversion</w:t>
      </w:r>
      <w:r>
        <w:rPr>
          <w:rFonts w:ascii="Times New Roman" w:cs="Times New Roman" w:eastAsia="Times New Roman" w:hAnsi="Times New Roman"/>
          <w:sz w:val="17"/>
          <w:szCs w:val="17"/>
          <w:color w:val="auto"/>
        </w:rPr>
        <w:t xml:space="preserve">). Both Automatic Conversion and Voluntary Conversion (collectively, </w:t>
      </w: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were subject to certain beneficial ownership blockers as set forth in the Certificate of Designation and/or securities purchase agreements.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Conversion, shares of Series B Preferred accrued in-kind dividends (payable only in unregistered shares of our common stock) at a rate of 10% per annum (</w:t>
      </w:r>
      <w:r>
        <w:rPr>
          <w:rFonts w:ascii="Times New Roman" w:cs="Times New Roman" w:eastAsia="Times New Roman" w:hAnsi="Times New Roman"/>
          <w:sz w:val="18"/>
          <w:szCs w:val="18"/>
          <w:i w:val="1"/>
          <w:iCs w:val="1"/>
          <w:color w:val="auto"/>
        </w:rPr>
        <w:t>Accrued Dividends</w:t>
      </w:r>
      <w:r>
        <w:rPr>
          <w:rFonts w:ascii="Times New Roman" w:cs="Times New Roman" w:eastAsia="Times New Roman" w:hAnsi="Times New Roman"/>
          <w:sz w:val="18"/>
          <w:szCs w:val="18"/>
          <w:color w:val="auto"/>
        </w:rPr>
        <w:t>). The Accrued Dividends were payable on the date of either a Voluntary Conversion or Automatic Conversion in that number of shares of common stock equal to the Accrued Dividends. At March 31, 2021, we had recognized a liability in the amount of $6,272,700 for Accrued Dividends in the accompanying Consolidated Balance Sheet at March 31, 2021, based on the Series B Preferred issued and outstanding through that date. We recognized a deduction from net loss of $945,100 and $1,385,600 related to dividends on Series B Preferred in arriving at net loss attributable to common stockholders in the accompanying Consolidated Statement of Operations and Comprehensive Loss for the fiscal years ended March 31, 2022 and 2021, respectively.</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2020, an institutional holder of 28,571 shares of our Series B Preferred converted such shares into an equal number of unregistered shares of our common stock. In accordance with the conversion terms of the Series B Preferred, we issued 160,062 shares of our unregistered common stock in payment of $124,600 of dividends that had accrued on the holder’s Series B Preferred since issuance. Following the conversion, at March 31, 2021 there were 1,131,669 shares of Series B Preferred outstanding, which were exchangeable at the option of the remaining holder by Voluntary Conversion into 1,131,669 shares of our common stock, excluding shares of our common stock which would have been issued in payment of Accrued Dividends upon conversion. In November 2021, the custodial holder of the 1,131,669 outstanding shares of our Series B Preferred exercised its rights for conversion into common stock under the terms of the Series B Certificate of Designation and we issued 1,131,669 shares of our common stock, of which 394,523 shares were registered and 737,146 were unregistered. From initial issuance in May 2015 through the time of conversion in November 2021, the remaining Series B Preferred shares had accrued dividends aggregating $7,217,800 and, in accordance with the terms of the Series B Certificate of Designation, we issued 3,295,778 shares of our unregistered common stock in payment of the accrued dividends.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In January 2016, our Board authorized the creation of and we filed a Certificate of Designation of the Relative Rights and Preferences of the Series C Convertible Preferred Stock of VistaGen Therapeutics, Inc. (the </w:t>
      </w:r>
      <w:r>
        <w:rPr>
          <w:rFonts w:ascii="Times New Roman" w:cs="Times New Roman" w:eastAsia="Times New Roman" w:hAnsi="Times New Roman"/>
          <w:sz w:val="18"/>
          <w:szCs w:val="18"/>
          <w:i w:val="1"/>
          <w:iCs w:val="1"/>
          <w:color w:val="auto"/>
        </w:rPr>
        <w:t>Series C Preferred Certificate of Designation</w:t>
      </w:r>
      <w:r>
        <w:rPr>
          <w:rFonts w:ascii="Times New Roman" w:cs="Times New Roman" w:eastAsia="Times New Roman" w:hAnsi="Times New Roman"/>
          <w:sz w:val="18"/>
          <w:szCs w:val="18"/>
          <w:color w:val="auto"/>
        </w:rPr>
        <w:t>) with the Nevada Secretary of State to designate 3.0 million shares of our preferred stock, par value $0.001 per share, as Series C Convertible Preferred Stock (</w:t>
      </w:r>
      <w:r>
        <w:rPr>
          <w:rFonts w:ascii="Times New Roman" w:cs="Times New Roman" w:eastAsia="Times New Roman" w:hAnsi="Times New Roman"/>
          <w:sz w:val="18"/>
          <w:szCs w:val="18"/>
          <w:i w:val="1"/>
          <w:iCs w:val="1"/>
          <w:color w:val="auto"/>
        </w:rPr>
        <w:t>Series C Preferred</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Series C Preferred was convertible, at the option of the holder into one share of our common stock, subject to certain beneficial ownership limitations as set forth in the Series C Preferred Certificate of Designation. Shares of the Series C Preferred do not accrue dividends, and holder of the Series C Preferred had no voting rights. At March 31, 2021, one custodial holder held all 2,318,012 outstanding shares of Series C Preferred. In October 2021, the custodial holder of 2,318,012 outstanding shares of our Series C Preferred exercised its rights for conversion into common stock under the terms of the Series C Certificate of Designation and we issued 2,318,012 unregistered shares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Stock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December 17, 2020, in connection with the December 2020 Public Offering, our Board authorized the creation of a series of up to 2,000,000 shares of Series D Preferred Stock, par value $0.001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which became effective with the filing of a Certificate of Designation of the Relative Rights and Preferences of the Series D Convertible Preferred Stock (</w:t>
      </w:r>
      <w:r>
        <w:rPr>
          <w:rFonts w:ascii="Times New Roman" w:cs="Times New Roman" w:eastAsia="Times New Roman" w:hAnsi="Times New Roman"/>
          <w:sz w:val="18"/>
          <w:szCs w:val="18"/>
          <w:i w:val="1"/>
          <w:iCs w:val="1"/>
          <w:color w:val="auto"/>
        </w:rPr>
        <w:t>Series D Certificate of Designation</w:t>
      </w:r>
      <w:r>
        <w:rPr>
          <w:rFonts w:ascii="Times New Roman" w:cs="Times New Roman" w:eastAsia="Times New Roman" w:hAnsi="Times New Roman"/>
          <w:sz w:val="18"/>
          <w:szCs w:val="18"/>
          <w:color w:val="auto"/>
        </w:rPr>
        <w:t>) with the State of Nevada on December 21, 2020.</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share of our Series D Preferred was initially convertible into 23 shares of our common stock at any time at the option of the holder, provided that, the Series D Preferred was not convertible prior to the date on which we received approval from our stockholders to increase the total authorized shares of our common stock by at least an amount necessary to reserve shares sufficient to satisfy our conversion obligations in respect of the Series D Preferred and an amendment to our Restated and Amended Articles of Incorporation reflecting such increase became effective (the </w:t>
      </w:r>
      <w:r>
        <w:rPr>
          <w:rFonts w:ascii="Times New Roman" w:cs="Times New Roman" w:eastAsia="Times New Roman" w:hAnsi="Times New Roman"/>
          <w:sz w:val="18"/>
          <w:szCs w:val="18"/>
          <w:i w:val="1"/>
          <w:iCs w:val="1"/>
          <w:color w:val="auto"/>
        </w:rPr>
        <w:t>Approval Date</w:t>
      </w:r>
      <w:r>
        <w:rPr>
          <w:rFonts w:ascii="Times New Roman" w:cs="Times New Roman" w:eastAsia="Times New Roman" w:hAnsi="Times New Roman"/>
          <w:sz w:val="18"/>
          <w:szCs w:val="18"/>
          <w:color w:val="auto"/>
        </w:rPr>
        <w:t>). Additionally, a holder of shares of Series D Preferred was prohibited, subject to certain exceptions, from converting such shares into shares of our common stock if, as a result of such conversion, the holder, together with its affiliates and other attribution parties, would own more than 9.99% of the total number of shares of our common stock then issued and outstanding.</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Prior to the Approval Date, in the event of our liquidation, dissolution, or winding up of the Company’s affairs, holders of Series D Preferred would have received a payment equal to $0.001 per share before any proceeds were distributed to the holders of our common stock. On and after the Approval Date, the Series D Preferred had no liquidation preference.</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Prior to the Approval Date, holders of shares of our Series D Preferred had one vote per share of Series D Preferred and voted as a single class with our shares of common stock. On and after the Approval Date, shares of Series D Preferred generally had no voting rights, except to the extent expressly provided in our Restated and Amended Articles of Incorporation or as otherwise required by law.</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At the time of its issuance in connection with the December 2020 Public Offering, we did not have a sufficient number of authorized shares of our common stock to permit the conversion in full of our Series D Preferred and the issuance upon exercise or conversion of all other outstanding series of preferred stock, warrants to purchase common stock or outstanding stock options or shares reserved for issuance of the same. Accordingly, on March 5, 2021, we held a Special Meeting of Stockholders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xml:space="preserve">) at which our stockholders approved an amendment to our Restated and Amended Articles of Incorporation to increase the number of authorized shares of our common stock from 175 million shares to 325 million shares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 an amount sufficient to permit the conversion of all outstanding shares of Series D Preferred. The affirmative vote by a majority of our common stockholders and Series D Preferred holders, voting as a single class, at the Special Meeting constituted the Approval Date noted above.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Following the Special Meeting, between March 12, 2021 and March 31, 2021, holders of an aggregate of 1,597,851 shares of Series D Preferred converted such shares into 36,750,573 registered shares of our common stock. At March 31, 2021, there were 402,149 shares of Series D Preferred outstanding, which were convertible into 9,249,427 shares of our common stock. During April 2021, the remaining investors in the December 2020 Public Offering converted their 402,149 outstanding shares of Series D Preferred into an aggregate of 9,249,427 registered shares of our common stock.</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a result of the conversion transactions described above, at March 31, 2022, and as of the date of this Report, there are no shares of preferred stock outstanding.</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During our fiscal years ended March 31, 2021 and 2022, we completed private placement, public offering and other financing transactions as described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 with Lincoln Park Capital Fund</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March 2020, we entered into a purchase agreement and a registration rights agreement with Lincoln Park Capital Fund (</w:t>
      </w:r>
      <w:r>
        <w:rPr>
          <w:rFonts w:ascii="Times New Roman" w:cs="Times New Roman" w:eastAsia="Times New Roman" w:hAnsi="Times New Roman"/>
          <w:sz w:val="18"/>
          <w:szCs w:val="18"/>
          <w:i w:val="1"/>
          <w:iCs w:val="1"/>
          <w:color w:val="auto"/>
        </w:rPr>
        <w:t>Lincoln Park</w:t>
      </w:r>
      <w:r>
        <w:rPr>
          <w:rFonts w:ascii="Times New Roman" w:cs="Times New Roman" w:eastAsia="Times New Roman" w:hAnsi="Times New Roman"/>
          <w:sz w:val="18"/>
          <w:szCs w:val="18"/>
          <w:color w:val="auto"/>
        </w:rPr>
        <w:t xml:space="preserve">) pursuant to which Lincoln Park committed to purchase up to $10,250,000 of our common stock at market-based prices over a period of 24 months (the </w:t>
      </w:r>
      <w:r>
        <w:rPr>
          <w:rFonts w:ascii="Times New Roman" w:cs="Times New Roman" w:eastAsia="Times New Roman" w:hAnsi="Times New Roman"/>
          <w:sz w:val="18"/>
          <w:szCs w:val="18"/>
          <w:i w:val="1"/>
          <w:iCs w:val="1"/>
          <w:color w:val="auto"/>
        </w:rPr>
        <w:t>LPC Agreement</w:t>
      </w:r>
      <w:r>
        <w:rPr>
          <w:rFonts w:ascii="Times New Roman" w:cs="Times New Roman" w:eastAsia="Times New Roman" w:hAnsi="Times New Roman"/>
          <w:sz w:val="18"/>
          <w:szCs w:val="18"/>
          <w:color w:val="auto"/>
        </w:rPr>
        <w:t xml:space="preserve">). On March 24, 2020, we sold 500,000 unregistered shares of our common stock (the </w:t>
      </w:r>
      <w:r>
        <w:rPr>
          <w:rFonts w:ascii="Times New Roman" w:cs="Times New Roman" w:eastAsia="Times New Roman" w:hAnsi="Times New Roman"/>
          <w:sz w:val="18"/>
          <w:szCs w:val="18"/>
          <w:i w:val="1"/>
          <w:iCs w:val="1"/>
          <w:color w:val="auto"/>
        </w:rPr>
        <w:t>Initial Purchase Shares</w:t>
      </w:r>
      <w:r>
        <w:rPr>
          <w:rFonts w:ascii="Times New Roman" w:cs="Times New Roman" w:eastAsia="Times New Roman" w:hAnsi="Times New Roman"/>
          <w:sz w:val="18"/>
          <w:szCs w:val="18"/>
          <w:color w:val="auto"/>
        </w:rPr>
        <w:t xml:space="preserve">) to Lincoln Park under the purchase agreement at a price of $0.50 per share for gross cash proceeds of $250,000 (the </w:t>
      </w:r>
      <w:r>
        <w:rPr>
          <w:rFonts w:ascii="Times New Roman" w:cs="Times New Roman" w:eastAsia="Times New Roman" w:hAnsi="Times New Roman"/>
          <w:sz w:val="18"/>
          <w:szCs w:val="18"/>
          <w:i w:val="1"/>
          <w:iCs w:val="1"/>
          <w:color w:val="auto"/>
        </w:rPr>
        <w:t>Initial Purchase</w:t>
      </w:r>
      <w:r>
        <w:rPr>
          <w:rFonts w:ascii="Times New Roman" w:cs="Times New Roman" w:eastAsia="Times New Roman" w:hAnsi="Times New Roman"/>
          <w:sz w:val="18"/>
          <w:szCs w:val="18"/>
          <w:color w:val="auto"/>
        </w:rPr>
        <w:t xml:space="preserve">) and we also issued 750,000 unregistered shares of our common stock to Lincoln Park under the terms of the LPC Agreement for its purchase commitments under the LPC Agreement (the </w:t>
      </w:r>
      <w:r>
        <w:rPr>
          <w:rFonts w:ascii="Times New Roman" w:cs="Times New Roman" w:eastAsia="Times New Roman" w:hAnsi="Times New Roman"/>
          <w:sz w:val="18"/>
          <w:szCs w:val="18"/>
          <w:i w:val="1"/>
          <w:iCs w:val="1"/>
          <w:color w:val="auto"/>
        </w:rPr>
        <w:t>Commitment Shares</w:t>
      </w:r>
      <w:r>
        <w:rPr>
          <w:rFonts w:ascii="Times New Roman" w:cs="Times New Roman" w:eastAsia="Times New Roman" w:hAnsi="Times New Roman"/>
          <w:sz w:val="18"/>
          <w:szCs w:val="18"/>
          <w:color w:val="auto"/>
        </w:rPr>
        <w:t xml:space="preserve">). To satisfy our obligations under the registration rights agreement associated with the LPC Agreement, we filed a Registration Statement on Form S-1 (the </w:t>
      </w:r>
      <w:r>
        <w:rPr>
          <w:rFonts w:ascii="Times New Roman" w:cs="Times New Roman" w:eastAsia="Times New Roman" w:hAnsi="Times New Roman"/>
          <w:sz w:val="18"/>
          <w:szCs w:val="18"/>
          <w:i w:val="1"/>
          <w:iCs w:val="1"/>
          <w:color w:val="auto"/>
        </w:rPr>
        <w:t>LPC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with the SEC on March 31, 2020, which the SEC declared effective on April 14, 2020 (the</w:t>
      </w:r>
      <w:r>
        <w:rPr>
          <w:rFonts w:ascii="Times New Roman" w:cs="Times New Roman" w:eastAsia="Times New Roman" w:hAnsi="Times New Roman"/>
          <w:sz w:val="18"/>
          <w:szCs w:val="18"/>
          <w:i w:val="1"/>
          <w:iCs w:val="1"/>
          <w:color w:val="auto"/>
        </w:rPr>
        <w:t xml:space="preserve"> Commencement Date</w:t>
      </w:r>
      <w:r>
        <w:rPr>
          <w:rFonts w:ascii="Times New Roman" w:cs="Times New Roman" w:eastAsia="Times New Roman" w:hAnsi="Times New Roman"/>
          <w:sz w:val="18"/>
          <w:szCs w:val="18"/>
          <w:color w:val="auto"/>
        </w:rPr>
        <w:t>). The LPC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included registration of the Initial Purchase Shares and the Commitment Shares. The fair value of the Commitment Shares, $284,400, determined based on the quoted closing market price of our common stock on March 24, 2020, was a component of deferred offering costs attributable to this offering, which costs were amortized ratably to additional paid-in capital as we sold shares of our common stock to Lincoln Park under the LPC Agreement. Subsequent to the Commencement Date and through July 2020, we sold an additional 6,301,995 registered shares of our common stock to Lincoln Park and received aggregate gross cash proceeds of $2,891,200. We sold no shares of our common stock under the LPC Agreement after July 2020 and through June 2021, when we terminated the LPC Agreement. Upon termination of the LPC Agreement, we expensed the remaining $232,100 of deferred offering costs associated with the LPC Agreement as a noncash component of our general and administrative expenses in the accompanying Consolidated Statements of Operations and Comprehensive Loss.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 and Warrants in the Spring 2020 Private Placement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In April 2020, in a self-directed private placement, we sold units of common stock and warrants to an accredited investor to purchase an aggregate of 125,000 unregistered shares of our common stock and four-year warrants to purchase 125,000 shares of our common stock at an exercise price of $0.50 per share and we received cash proceeds of $50,000 (the </w:t>
      </w:r>
      <w:r>
        <w:rPr>
          <w:rFonts w:ascii="Times New Roman" w:cs="Times New Roman" w:eastAsia="Times New Roman" w:hAnsi="Times New Roman"/>
          <w:sz w:val="18"/>
          <w:szCs w:val="18"/>
          <w:i w:val="1"/>
          <w:iCs w:val="1"/>
          <w:color w:val="auto"/>
        </w:rPr>
        <w:t>Spring 2020 Private Placement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2020 Registered Public Offering of Common Stock</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August 2, 2020, we entered into an underwriting agreement (the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with Maxim Group, LLC as representative of the underwriters named therein (</w:t>
      </w:r>
      <w:r>
        <w:rPr>
          <w:rFonts w:ascii="Times New Roman" w:cs="Times New Roman" w:eastAsia="Times New Roman" w:hAnsi="Times New Roman"/>
          <w:sz w:val="18"/>
          <w:szCs w:val="18"/>
          <w:i w:val="1"/>
          <w:iCs w:val="1"/>
          <w:color w:val="auto"/>
        </w:rPr>
        <w:t>Maxim</w:t>
      </w:r>
      <w:r>
        <w:rPr>
          <w:rFonts w:ascii="Times New Roman" w:cs="Times New Roman" w:eastAsia="Times New Roman" w:hAnsi="Times New Roman"/>
          <w:sz w:val="18"/>
          <w:szCs w:val="18"/>
          <w:color w:val="auto"/>
        </w:rPr>
        <w:t xml:space="preserve">), pursuant to which we sold, in an underwritten public offering (the </w:t>
      </w:r>
      <w:r>
        <w:rPr>
          <w:rFonts w:ascii="Times New Roman" w:cs="Times New Roman" w:eastAsia="Times New Roman" w:hAnsi="Times New Roman"/>
          <w:sz w:val="18"/>
          <w:szCs w:val="18"/>
          <w:i w:val="1"/>
          <w:iCs w:val="1"/>
          <w:color w:val="auto"/>
        </w:rPr>
        <w:t>August 2020 Public Offering</w:t>
      </w:r>
      <w:r>
        <w:rPr>
          <w:rFonts w:ascii="Times New Roman" w:cs="Times New Roman" w:eastAsia="Times New Roman" w:hAnsi="Times New Roman"/>
          <w:sz w:val="18"/>
          <w:szCs w:val="18"/>
          <w:color w:val="auto"/>
        </w:rPr>
        <w:t xml:space="preserve">), an aggregate of 15,625,000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of our common stock for a public offering price of $0.80 per share, resulting in gross proceeds to us of $12,500,000. The August 2020 Public Offering closed on August 5, 2020. Under the terms of the Underwriting Agreement, we granted to Maxim a 45-day over-allotment option to purchase up to an additional 2,343,750 shares at a public offering price of $0.80 per share, which Maxim elected to exercise on August 5, 2020 with respect to an aggregate of 2,243,250 shares (the </w:t>
      </w:r>
      <w:r>
        <w:rPr>
          <w:rFonts w:ascii="Times New Roman" w:cs="Times New Roman" w:eastAsia="Times New Roman" w:hAnsi="Times New Roman"/>
          <w:sz w:val="18"/>
          <w:szCs w:val="18"/>
          <w:i w:val="1"/>
          <w:iCs w:val="1"/>
          <w:color w:val="auto"/>
        </w:rPr>
        <w:t>Exercised Option Shares</w:t>
      </w:r>
      <w:r>
        <w:rPr>
          <w:rFonts w:ascii="Times New Roman" w:cs="Times New Roman" w:eastAsia="Times New Roman" w:hAnsi="Times New Roman"/>
          <w:sz w:val="18"/>
          <w:szCs w:val="18"/>
          <w:color w:val="auto"/>
        </w:rPr>
        <w:t>). We completed the sale of the Exercised Option Shares on August 7, 2020 and received additional gross proceeds of $1,794,600. After deducting underwriting discounts and commissions and offering expenses, we received net proceeds of approximately $12.9 million from the August 2020 Public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2020 Registered Public Offering of Common Stock and Series D Preferred Stock</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December 18, 2020, we entered into an underwriting agreement (the </w:t>
      </w:r>
      <w:r>
        <w:rPr>
          <w:rFonts w:ascii="Times New Roman" w:cs="Times New Roman" w:eastAsia="Times New Roman" w:hAnsi="Times New Roman"/>
          <w:sz w:val="18"/>
          <w:szCs w:val="18"/>
          <w:i w:val="1"/>
          <w:iCs w:val="1"/>
          <w:color w:val="auto"/>
        </w:rPr>
        <w:t>December 2020 Underwriting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and William Blair &amp; Company, L.L.C. (</w:t>
      </w:r>
      <w:r>
        <w:rPr>
          <w:rFonts w:ascii="Times New Roman" w:cs="Times New Roman" w:eastAsia="Times New Roman" w:hAnsi="Times New Roman"/>
          <w:sz w:val="18"/>
          <w:szCs w:val="18"/>
          <w:i w:val="1"/>
          <w:iCs w:val="1"/>
          <w:color w:val="auto"/>
        </w:rPr>
        <w:t>Willian Blair)</w:t>
      </w:r>
      <w:r>
        <w:rPr>
          <w:rFonts w:ascii="Times New Roman" w:cs="Times New Roman" w:eastAsia="Times New Roman" w:hAnsi="Times New Roman"/>
          <w:sz w:val="18"/>
          <w:szCs w:val="18"/>
          <w:color w:val="auto"/>
        </w:rPr>
        <w:t xml:space="preserve">, as representatives of the underwriters named therein (collectively, the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xml:space="preserve">), pursuant to which we agreed to issue and sell to the Underwriters, in an underwritten public offering (the </w:t>
      </w:r>
      <w:r>
        <w:rPr>
          <w:rFonts w:ascii="Times New Roman" w:cs="Times New Roman" w:eastAsia="Times New Roman" w:hAnsi="Times New Roman"/>
          <w:sz w:val="18"/>
          <w:szCs w:val="18"/>
          <w:i w:val="1"/>
          <w:iCs w:val="1"/>
          <w:color w:val="auto"/>
        </w:rPr>
        <w:t>December 2020 Public Offering</w:t>
      </w:r>
      <w:r>
        <w:rPr>
          <w:rFonts w:ascii="Times New Roman" w:cs="Times New Roman" w:eastAsia="Times New Roman" w:hAnsi="Times New Roman"/>
          <w:sz w:val="18"/>
          <w:szCs w:val="18"/>
          <w:color w:val="auto"/>
        </w:rPr>
        <w:t xml:space="preserve">), 63,000,000 shares of our common stock, at a public offering price of $0.92 per share and 2,000,000 shares of the newly created Series D Preferred (together with the common stock,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at a public offering price of $21.16 per share, resulting in gross proceeds to us of $100.28 million. The December 2020 Public Offering closed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22, 2020 at which time the shares of common stock and Series D Preferred were sold to the Underwriters. After deducting underwriting discounts and commissions and offering expenses, we received net proceeds of approximately $93.6 million from the December 2020 Public Offering.</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Series D Preferred that we issued in the December 2020 Public Offering contained a beneficial conversion feature (a </w:t>
      </w:r>
      <w:r>
        <w:rPr>
          <w:rFonts w:ascii="Times New Roman" w:cs="Times New Roman" w:eastAsia="Times New Roman" w:hAnsi="Times New Roman"/>
          <w:sz w:val="18"/>
          <w:szCs w:val="18"/>
          <w:i w:val="1"/>
          <w:iCs w:val="1"/>
          <w:color w:val="auto"/>
        </w:rPr>
        <w:t>BCF</w:t>
      </w:r>
      <w:r>
        <w:rPr>
          <w:rFonts w:ascii="Times New Roman" w:cs="Times New Roman" w:eastAsia="Times New Roman" w:hAnsi="Times New Roman"/>
          <w:sz w:val="18"/>
          <w:szCs w:val="18"/>
          <w:color w:val="auto"/>
        </w:rPr>
        <w:t xml:space="preserve">), which arises when a debt or equity security is issued with an embedded conversion option that is deemed beneficial to the investor, that is, in-the-money, at inception because the conversion option has an effective conversion price that is less than the market price of the underlying stock at the commitment date (with respect to the Series D Preferred, the date the security was actually issued rather than the date the agreement to do so was entered into, herein referred to as the </w:t>
      </w:r>
      <w:r>
        <w:rPr>
          <w:rFonts w:ascii="Times New Roman" w:cs="Times New Roman" w:eastAsia="Times New Roman" w:hAnsi="Times New Roman"/>
          <w:sz w:val="18"/>
          <w:szCs w:val="18"/>
          <w:i w:val="1"/>
          <w:iCs w:val="1"/>
          <w:color w:val="auto"/>
        </w:rPr>
        <w:t>Commitment Date</w:t>
      </w:r>
      <w:r>
        <w:rPr>
          <w:rFonts w:ascii="Times New Roman" w:cs="Times New Roman" w:eastAsia="Times New Roman" w:hAnsi="Times New Roman"/>
          <w:sz w:val="18"/>
          <w:szCs w:val="18"/>
          <w:color w:val="auto"/>
        </w:rPr>
        <w:t>). In accordance with Accounting Standards Codification 470-20,</w:t>
      </w:r>
      <w:r>
        <w:rPr>
          <w:rFonts w:ascii="Times New Roman" w:cs="Times New Roman" w:eastAsia="Times New Roman" w:hAnsi="Times New Roman"/>
          <w:sz w:val="18"/>
          <w:szCs w:val="18"/>
          <w:i w:val="1"/>
          <w:iCs w:val="1"/>
          <w:color w:val="auto"/>
        </w:rPr>
        <w:t xml:space="preserve"> Debt- Debt with Conversion and Other Options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470-20</w:t>
      </w:r>
      <w:r>
        <w:rPr>
          <w:rFonts w:ascii="Times New Roman" w:cs="Times New Roman" w:eastAsia="Times New Roman" w:hAnsi="Times New Roman"/>
          <w:sz w:val="18"/>
          <w:szCs w:val="18"/>
          <w:color w:val="auto"/>
        </w:rPr>
        <w: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embedded BCF is required to be recognized separately by allocating a portion of the proceeds equal to the intrinsic value of the feature to additional paid-in capital. ASC 470-20 also provides that the intrinsic value is to be calculated as of the Commitment Date. The Series D Certificate of Designation provides that the Series D Preferred has a conversion price of $0.92 per share on an as-converted basis (the </w:t>
      </w:r>
      <w:r>
        <w:rPr>
          <w:rFonts w:ascii="Times New Roman" w:cs="Times New Roman" w:eastAsia="Times New Roman" w:hAnsi="Times New Roman"/>
          <w:sz w:val="18"/>
          <w:szCs w:val="18"/>
          <w:i w:val="1"/>
          <w:iCs w:val="1"/>
          <w:color w:val="auto"/>
        </w:rPr>
        <w:t>Conversion Price</w:t>
      </w:r>
      <w:r>
        <w:rPr>
          <w:rFonts w:ascii="Times New Roman" w:cs="Times New Roman" w:eastAsia="Times New Roman" w:hAnsi="Times New Roman"/>
          <w:sz w:val="18"/>
          <w:szCs w:val="18"/>
          <w:color w:val="auto"/>
        </w:rPr>
        <w:t>). The Conversion Price compared to the closing price of $1.42 per share of our common stock on the Commitment Date results in a difference of $0.50 per share. That difference multiplied by the 46 million shares of our common stock issuable upon conversion of the Series D Preferred resulted in an aggregate BCF of $23.0 million. We did not recognize the impact of the BCF at December 31, 2020 because the Series D Preferred was not convertible into common stock prior to the Approval Date. Following approval by our stockholders of the Charter Amendment at the Special Meeting in March 2021, the contingency of the BCF was eliminated and we recognized the BCF as a noncash charge in arriving at net loss attributable to common stockholders in our Consolidated Statement of Operations and Comprehensive Loss for the quarter and fiscal year ended March 31, 2021 and as a corresponding increase in additional paid-in capital in our Consolidated Statement of Stockholders’ Equity (Deficit). The BCF was also treated as a deemed dividend in our Consolidated Statement of Stockholders’ Equity (Deficit). Since we have an accumulated deficit, we recorded the deemed dividend as a reduction in additional paid-in capital, resulting in a net impact of $0 to additional paid-in capital. The recognition of the BCF on the Series D Preferred had no impact in aggregate on our stockholders’ equity or on our cash position.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084"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2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May 2021, we entered into an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as sales agent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xml:space="preserve">), with respect to an at-the-market offering program (the </w:t>
      </w:r>
      <w:r>
        <w:rPr>
          <w:rFonts w:ascii="Times New Roman" w:cs="Times New Roman" w:eastAsia="Times New Roman" w:hAnsi="Times New Roman"/>
          <w:sz w:val="18"/>
          <w:szCs w:val="18"/>
          <w:i w:val="1"/>
          <w:iCs w:val="1"/>
          <w:color w:val="auto"/>
        </w:rPr>
        <w:t>ATM</w:t>
      </w:r>
      <w:r>
        <w:rPr>
          <w:rFonts w:ascii="Times New Roman" w:cs="Times New Roman" w:eastAsia="Times New Roman" w:hAnsi="Times New Roman"/>
          <w:sz w:val="18"/>
          <w:szCs w:val="18"/>
          <w:color w:val="auto"/>
        </w:rPr>
        <w:t xml:space="preserve">) under which we may, at our sole discretion, offer and sell, from time to time, shares of our common stock having an aggregate offering price of up to $75.0 million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through Jefferies. We will pay Jefferies a commission equal to three percent (3.0%) of the aggregate gross proceeds from any sales of the Shares under the Sales Agreement. If and when we direct Jefferies to offer and sell Shares under the Sales Agreement, Jefferies may sell the Shares by any method permitted by law and deemed to be an “at the market offering” as defined in Rule 415(a)(4) promulgated under the Securities Act of 1933, as amended, including block transactions, sales made directly on the Nasdaq Capital Market or any other trading market for our common stock. In addition, with our consent, Jefferies may sell the Shares in negotiated transactions. Under certain circumstances, we may instruct Jefferies not to sell the Shares if the sales cannot be effected at or above the price we may designate from time to time. Shares offered and sold under the Sales Agreement will be issued and sold pursuant to our Shelf Registration Statement on Form S-3 filed with the SEC on March 15, 2021 and declared effective on March 26, 2021.</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transactions occurring during September 2021 and on October 1, 2021, we sold an aggregate of 1,517,798 shares of our common stock and received gross cash proceeds of approximately $4.45 million under the ATM. We have not sold any additional shares of our common stock under the ATM from October 2, 2021 through the date of this Report. 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May 2021 and December 31, 2021, we incurred legal fees and accounting expenses aggregating approximately $276,500 in connection with the Sales Agreement. The Sales Agreement will terminate upon the earlier of (i) the sale of all Shares subject to the Sales Agreement or (ii) the termination of the Sales Agreement by Jefferies or by us, as permitted.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Exercises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2022, certain holders of outstanding stock options, including members of management, exercised such options to purchase an aggregate of 356,199 shares of our common stock at a weighted average exercise price of $0.81 per share and we received cash proceeds of $140,000. Certain of the exercises were on a net issuance basis as permitted by the option plans and we issued an aggregate of 306,700 shares of our common stock pursuant to the exercises. During the fiscal year ended March 31, 2021, holders of outstanding stock options, including two members of our Board, exercised options to purchase an aggregate of 252,004 shares of our common stock and we received cash proceeds of $36,500.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Exercised and Outstanding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2019, we modified outstanding warrants previously issued as a part of completed private placements to temporarily reduce, for a period of two years or, if sooner, until the expiration of the warrant, the exercise price of such warrants to $0.50 per share, in order to more closely align the exercise price of the warrants with the trading price of our common stock at such time (the </w:t>
      </w:r>
      <w:r>
        <w:rPr>
          <w:rFonts w:ascii="Times New Roman" w:cs="Times New Roman" w:eastAsia="Times New Roman" w:hAnsi="Times New Roman"/>
          <w:sz w:val="18"/>
          <w:szCs w:val="18"/>
          <w:i w:val="1"/>
          <w:iCs w:val="1"/>
          <w:color w:val="auto"/>
        </w:rPr>
        <w:t>Winter 2019 Warrant Modification</w:t>
      </w:r>
      <w:r>
        <w:rPr>
          <w:rFonts w:ascii="Times New Roman" w:cs="Times New Roman" w:eastAsia="Times New Roman" w:hAnsi="Times New Roman"/>
          <w:sz w:val="18"/>
          <w:szCs w:val="18"/>
          <w:color w:val="auto"/>
        </w:rPr>
        <w:t>). If unexercised following the two-year period during which the exercise price was reduced, the exercise price of each then-outstanding modified warrant was to revert to its pre-modification price. As a result of the Winter 2019 Warrant Modification, outstanding warrants to purchase a total of approximately 6.6 million unregistered shares of our common stock were modified.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May 1, 2020, we filed a registration statement on Form S-3 (Registration No. 333-237968) to register approximately 12.1 million shares of common stock underlying outstanding warrants that we had issued in earlier private placement offerings, including the Spring 2020 Private Placement, as well as common stock underlying warrants that had been previously issued to various consultants as full or partial compensation for their services. Included in the registration statement were shares of our common stock underlying approximately 5.8 million outstanding warrants to purchase shares of our common stock that had been modified in the Winter 2019 Warrant Modification. We also registered approximately 0.8 million shares of unregistered outstanding common stock held by former holders of warrants who had exercised such warrants subsequent to the Winter 2019 Warrant Modification. Further, we registered the 125,000 shares of common stock issued in the Spring 2020 Private Placement. The SEC declared the registration statement effective on May 13, 2020 (the </w:t>
      </w:r>
      <w:r>
        <w:rPr>
          <w:rFonts w:ascii="Times New Roman" w:cs="Times New Roman" w:eastAsia="Times New Roman" w:hAnsi="Times New Roman"/>
          <w:sz w:val="18"/>
          <w:szCs w:val="18"/>
          <w:i w:val="1"/>
          <w:iCs w:val="1"/>
          <w:color w:val="auto"/>
        </w:rPr>
        <w:t>Warrant Registration Statement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July 2020, holders of warrants to purchase an aggregate of 228,000 shares of our common stock exercised such warrants, and we received aggregate cash proceeds of $114,000. Between December 2020 and March 31, 2021, holders of outstanding warrants to purchase an aggregate of 6,396,302 shares of our common stock exercised such warrants and we received cash proceeds of approximately $4.9 million. During Fiscal 2022, holders of outstanding warrants to purchase an aggregate of 7,298,791 shares of our common stock exercised such warrants, and we received cash proceeds of approximately $6.2 million. Essentially all of the warrants subject to the Winter 2019 Warrant Modification were exercised at $0.50 per share during the two-year exercise price reduction period.</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summarizes outstanding and exercisable warrants to purchase shares of our common stock as of March 31, 2022. The weighted average exercise price of outstanding and exercisable warrants at March 31, 2022 was $1.47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Exercisable and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Outstanding at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5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12/9/2022</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0.73</w:t>
            </w: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7/25/2025</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370,544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0.805</w:t>
            </w:r>
          </w:p>
        </w:tc>
        <w:tc>
          <w:tcPr>
            <w:tcW w:w="5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12/31/2022</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12/13/2022</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6,789,243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5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10/5/2022</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3/7/2023</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880,050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5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3/3/2023</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9,275,858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the effectiveness of the Warrant Registration Statement, at March 31, 2022, substantially all of the shares of common stock underlying the outstanding warrants, except those having an exercise price of $7.00 per share, have been registered for resale by the warrant holders. No outstanding warrant is subject to any down round anti-dilution protection feature. All of the outstanding warrants are exercisable by the holders only by payment in cash of the stated exercise price per share.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Reserved Shares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March 31, 2022, we have reserved shares of our common stock for future issuance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Pursuant to warrants to purchase common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Subject to outstanding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Pursuant to stock incentive plans: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6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Subject to outstanding options under the Amended and Restated 2016 Stock Incentive Plan and the Amended and Restated 2019</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Omnibus Equity Incentive Plan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19,386,389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Available for future grants under the Amended and Restated 2019 Omnibus Equity Incentive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 for future issuance under the 2019 Employee Stock Purchase Plan</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27,559,210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Reserved for issuance under the Sales Agreement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25,754,929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62,639,997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March 31, 2022, we have 55,819,048 authorized shares of our common stock not subject to reserves and available for future issuance.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Research and Development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research and development expenses of approximately $35.4 million and $11.9 million in Fiscal 2022 and Fiscal 2021, respectively, including approximately $1.5 million and $0.8 million of noncash expenses, primarily stock-based compensation and depreciation expense, in Fiscal 2022 and Fiscal 2021, respectively. Research and development expense is composed of employee compensation expenses, including stock–based compensation, both internal and external direct project expenses, notably including the expense of our PALISADE Phase 3 Program for PH94B in Fiscal 2022 and various preclinical and nonclinical projects for PH94B, PH10 and AV-101 in both years.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provision for income taxes for the periods presented in the Consolidated Statements of Operations and Comprehensive Loss represents minimum California franchise tax, North Carolina and Utah income tax.</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Income tax expense (benefit) differed from the amounts computed by applying the statutory federal income tax rate of 21% to pretax income (loss) as a result of the following:</w:t>
      </w:r>
    </w:p>
    <w:p>
      <w:pPr>
        <w:spacing w:after="0" w:line="16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Fiscal Years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80" w:type="dxa"/>
            <w:vAlign w:val="bottom"/>
            <w:gridSpan w:val="2"/>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warrant modifications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of research and development credits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stock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0.59%</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of other non-deductible items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net operating loss carryforwards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 (federal only)</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20.40%</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41,924,800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33,587,300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Basis differences in property and equipment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3,032,800</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2,589,000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3,469,300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3,515,500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79,700</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48,620,300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39,876,600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(48,620,300)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(39,876,600)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$8,743,700 and $2,921,800 during the fiscal years ended March 31, 2022 and 2021, respectively.</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2022, we had U.S. federal net operating loss carryforwards of approximately $182,217,800. Federal net operating loss carryforwards of approximately $84,601,600 generated through our fiscal year ended March 31, 2018 will expire in our fiscal years ending March 31, 2023 through March 31, 2038. Federal net operating loss carryforwards of approximately $97,616,200 generated in fiscal years ending after March 31, 2018 will carry forward indefinitely, but are subject to an 80% taxable income limitation. As of March 31, 2022, we had state net operating loss carryforwards of approximately $65,512,000, which will expire in fiscal years ending in 2029 through 2042. We also have federal and state research and development tax credit carryforwards of approximately $2,883,400 and $1,468,700 respectively. The federal tax credits will expire at various dates beginning with our fiscal year ending March 31, 2029, unless previously utilized. The state tax credits do not expire and will carry forward indefinitely until utilized.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27, 2020 the U.S. enacted the Coronavirus Aid, Relief, and Economic Security Act (the </w:t>
      </w:r>
      <w:r>
        <w:rPr>
          <w:rFonts w:ascii="Times New Roman" w:cs="Times New Roman" w:eastAsia="Times New Roman" w:hAnsi="Times New Roman"/>
          <w:sz w:val="18"/>
          <w:szCs w:val="18"/>
          <w:i w:val="1"/>
          <w:iCs w:val="1"/>
          <w:color w:val="auto"/>
        </w:rPr>
        <w:t>CARES Act</w:t>
      </w:r>
      <w:r>
        <w:rPr>
          <w:rFonts w:ascii="Times New Roman" w:cs="Times New Roman" w:eastAsia="Times New Roman" w:hAnsi="Times New Roman"/>
          <w:sz w:val="18"/>
          <w:szCs w:val="18"/>
          <w:color w:val="auto"/>
        </w:rPr>
        <w:t>) to provide economic relief in response to the coronavirus pandemic. The CARES Act, among other things, includes provisions to allow certain net operating losses to be carried-back up to five years, to increase interest deduction limitations, and to make technical corrections to tax depreciation methods for qualified improvement property. The CARES Act may affect the corporate income taxes imposed by state governments and may result in future responses by state legislatures, some of which could have retroactive effect. The Company evaluated the provisions of the CARES Act and determined that it did not have a material impact on the Company’s income tax accounts on March 31, 2022 or 2021.</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February 9, 2022 California Senate Bill 113 (SB 113) was signed into law and removed the limitation on the net operating losses and credits for the 2022 year and allows, after taxable years beginning on or after January 1, 2022, the ability to utilize net operating losses and credits. These recent changes in the suspension of net operating losses and the restriction of research tax credits did not impact the value of our deferred tax assets.</w:t>
      </w:r>
    </w:p>
    <w:p>
      <w:pPr>
        <w:spacing w:after="0" w:line="17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file income tax returns in the U.S. federal, Canada and various U.S. state jurisdictions. We are subject to U.S. federal and state income tax examinations by tax authorities for tax years 2003 through 2022 due to net operating losses that are being carried forward for tax purposes, but we are not currently under examination by tax authorities in any jurisdiction.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unrecognized tax benefits at March 31, 2022 and 2021 relate entirely to research and development tax credits. The total amount of unrecognized tax benefits at March 31, 2022 and 2021 is $1,088,100 and $931,900, respectively. If recognized, none of the unrecognized tax benefits would impact our effective tax rate. The following table summarizes the activity related to our unrecognized tax benefits.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Fiscal Years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931,900</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814,600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tax position increases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1,088,100</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2022 or 2021. We do not anticipate any significant changes of our uncertain tax positions within twelve months of this reporting date.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Licensing, Sublicensing and Collaborative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PH94B Sublicense Agreement with EverInsight Therapeutics, Inc. (now AffaMed Therapeutics, Inc.)</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2020, we entered into a license and collaboration agreement with EverInsight Therapeutics Inc. (</w:t>
      </w:r>
      <w:r>
        <w:rPr>
          <w:rFonts w:ascii="Times New Roman" w:cs="Times New Roman" w:eastAsia="Times New Roman" w:hAnsi="Times New Roman"/>
          <w:sz w:val="18"/>
          <w:szCs w:val="18"/>
          <w:i w:val="1"/>
          <w:iCs w:val="1"/>
          <w:color w:val="auto"/>
        </w:rPr>
        <w:t>EverInsight</w:t>
      </w:r>
      <w:r>
        <w:rPr>
          <w:rFonts w:ascii="Times New Roman" w:cs="Times New Roman" w:eastAsia="Times New Roman" w:hAnsi="Times New Roman"/>
          <w:sz w:val="18"/>
          <w:szCs w:val="18"/>
          <w:color w:val="auto"/>
        </w:rPr>
        <w:t xml:space="preserve">). Subsequent to entering into the agreement with EverInsight, in October 2020, EverInsight merged with AffaMed Therapeutics, Inc., which as a combined entity is focusing on developing and commercializing therapeutics to address ophthalmologic and CNS disorders in Greater China (which includes Mainland China, Hong Kong, Macau and Taiwan) and beyond. Accordingly, we are now referring to EverInsight as AffaMed and the agreement originally entered into with EverInsight as the AffaMed Agreement. Under the AffaMed Agreement, we granted AffaMed an exclusive license to develop and commercialize PH94B for SAD and other anxiety-related disorders in Greater China, South Korea and Southeast Asia (which includes Indonesia, Malaysia, Philippines, Thailand and Vietnam) (collectively, the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We retain exclusive development and commercialization rights for PH94B in the U.S. and throughout the rest of the world.</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AffaMed and us to coordinate and review the development and commercialization plans with respect to PH94B in the Territory.</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AffaMed will participate in the Phase 3 global clinical trial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AffaMed a Right of Reference to our regulatory documentation and our development data.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AffaMed Agreement, AffaMed agreed to pay us a non-refundable upfront license payment of $5.0 million within 30 business days of the effective date of the AffaMed Agreement, and AffaMed paid the $5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commercialization milestones were not considered probable at inception and therefore were excluded from the initial transaction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royalties were excluded from the initial transaction price because they relate to a license of intellectual property and are subject to the royalty constraint.</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output method. The measure of progress is stand-ready straight-line over the period in which we expect to perform the services related to the sublicense of PH94B. Significant management judgment is required to determine the level of effort attributable to the AffaMed Agreement and the period over which we expect to complete our performance obligations under the arrangement. The performance period or measure of progress is estimated at the inception of the arrangement and re-evaluated in subsequent reporting periods. This re-evaluation may shorten or lengthen the period over which we recognize revenue. Changes to these estimates are recorded on a cumulative catch up basis. We currently estimate that we will complete our performance obligations during mid-calendar 2024.</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difference between the revenue recognized to-date under the AffaMed Agreement, $2,198,400, and the consideration received to-date, $5,000,000, is recorded as a contract liability/deferred revenue (cash received exceeds revenue earned). At March 31, 2022, we have recorded deferred revenue of $2,801,600. The following table presents changes in our contract liabilities for Fiscal 2021 and Fiscal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02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5"/>
        </w:trPr>
        <w:tc>
          <w:tcPr>
            <w:tcW w:w="5980" w:type="dxa"/>
            <w:vAlign w:val="bottom"/>
          </w:tcPr>
          <w:p>
            <w:pPr>
              <w:spacing w:after="0"/>
              <w:rPr>
                <w:sz w:val="18"/>
                <w:szCs w:val="18"/>
                <w:color w:val="auto"/>
              </w:rPr>
            </w:pPr>
          </w:p>
        </w:tc>
        <w:tc>
          <w:tcPr>
            <w:tcW w:w="102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5980" w:type="dxa"/>
            <w:vAlign w:val="bottom"/>
          </w:tcPr>
          <w:p>
            <w:pPr>
              <w:spacing w:after="0"/>
              <w:rPr>
                <w:sz w:val="20"/>
                <w:szCs w:val="20"/>
                <w:color w:val="auto"/>
              </w:rPr>
            </w:pPr>
          </w:p>
        </w:tc>
        <w:tc>
          <w:tcPr>
            <w:tcW w:w="102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1,420,200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1,420,200</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1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3,579,800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(1,089,500)</w:t>
            </w:r>
          </w:p>
        </w:tc>
        <w:tc>
          <w:tcPr>
            <w:tcW w:w="12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2,490,300</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(1,089,500)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3,910,500</w:t>
            </w:r>
          </w:p>
        </w:tc>
        <w:tc>
          <w:tcPr>
            <w:tcW w:w="100" w:type="dxa"/>
            <w:vAlign w:val="bottom"/>
            <w:shd w:val="clear" w:color="auto" w:fill="CCEEFF"/>
          </w:tcPr>
          <w:p>
            <w:pPr>
              <w:spacing w:after="0"/>
              <w:rPr>
                <w:sz w:val="19"/>
                <w:szCs w:val="19"/>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5"/>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1,420,200</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1,244,000</w:t>
            </w:r>
          </w:p>
        </w:tc>
        <w:tc>
          <w:tcPr>
            <w:tcW w:w="100" w:type="dxa"/>
            <w:vAlign w:val="bottom"/>
            <w:shd w:val="clear" w:color="auto" w:fill="CCEEFF"/>
          </w:tcPr>
          <w:p>
            <w:pPr>
              <w:spacing w:after="0"/>
              <w:rPr>
                <w:sz w:val="18"/>
                <w:szCs w:val="18"/>
                <w:color w:val="auto"/>
              </w:rPr>
            </w:pPr>
          </w:p>
        </w:tc>
      </w:tr>
      <w:tr>
        <w:trPr>
          <w:trHeight w:val="21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(932,700)</w:t>
            </w:r>
          </w:p>
        </w:tc>
        <w:tc>
          <w:tcPr>
            <w:tcW w:w="12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1,557,600</w:t>
            </w: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3,910,500</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(1,108,900)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2,801,600</w:t>
            </w:r>
          </w:p>
        </w:tc>
        <w:tc>
          <w:tcPr>
            <w:tcW w:w="100" w:type="dxa"/>
            <w:vAlign w:val="bottom"/>
            <w:shd w:val="clear" w:color="auto" w:fill="CCEEFF"/>
          </w:tcPr>
          <w:p>
            <w:pPr>
              <w:spacing w:after="0"/>
              <w:rPr>
                <w:sz w:val="21"/>
                <w:szCs w:val="21"/>
                <w:color w:val="auto"/>
              </w:rPr>
            </w:pPr>
          </w:p>
        </w:tc>
      </w:tr>
      <w:tr>
        <w:trPr>
          <w:trHeight w:val="411"/>
        </w:trPr>
        <w:tc>
          <w:tcPr>
            <w:tcW w:w="420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42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quarter ended September 30, 2020, we made cash payments aggregating $345,000 for sublicense fees, which we were obligated to make pursuant to our PH94B license from Pherin, and fees for consulting services exclusively related to the AffaMed Agreement. Additionally, on June 24, 2020, we issued 233,645 unregistered shares of our common stock, valued at $125,000, as partial compensation for consulting services exclusively related to the AffaMed Agreement. These sublicense fees and consulting payments and the fair value of the common stock issued, aggregating $470,000, were incurred solely as a result of obtaining the AffaMed Agreement, and, accordingly, have been capitalized as deferred contract acquisition costs in our Consolidated Balance Sheet at March 31, 2021. Capitalized contract acquisition costs are amortized over the periods during which we expect to satisfy the performance obligations under the AffaMed Agreement and amortization expense of approximately $104,100 and $102,400 has been included in general and administrative expenses in our Consolidated Statement of Operations and Comprehensive Loss for Fiscal 2022 and Fiscal 2021, respectively. There has been no impairment loss in relation to the costs capitalized.</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Unless earlier terminated due to certain material breaches of the contract, or otherwise, the AffaMed Agreement will expire on a jurisdiction-by-jurisdiction basis until the latest to occur of the expiration of the last valid claim under a licensed patent of PH94B in such jurisdiction, the expiration of regulatory exclusivity in such jurisdiction or ten years after the first commercial sale of PH94B in such jurisdiction.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with Pherin Pharmaceuticals, Inc. (Pherin)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2018, we issued 1,630,435 shares of our unregistered common stock having a fair market value of $2,250,000 to Pherin to acquire an exclusive worldwide license to develop and commercialize PH94B for social anxiety disorder and an option to acquire a similar license for PH10 for MDD. In October 2018, we exercised our option to acquire an exclusive worldwide license to develop and commercialize PH10 by issuing an additional 925,926 shares of our unregistered common stock having a fair market value of $2,000,000 to Pherin under the terms of the PH10 license agreement. Under the terms of the PH94B and PH10 license agreements, we are obligated to make additional cash payments and pay royalties to Pherin in the event that certain regulatory and performance-based milestones and commercial sales are achieved. Additionally, in connection with the PH94B and PH10 license agreements, we were obligated to pay to Pherin monthly support payments of $10,000 for a term of 18 months, however no monthly support payment was required during the 18-month period identified in the PH10 license agreement if support payments were being made under the terms of the PH94B license agreement. The support payments required under the PH94B license agreement terminated in March 2020 and in April 2020 under the PH10 license agreement. Accordingly, we made a support payment of $10,000 under the PH10 license agreement in Fiscal 2021.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Option Plans, Employee Stock Purchase Plan, and 401(k)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have the following stock-based compensation plans, which are described below:</w:t>
      </w:r>
    </w:p>
    <w:p>
      <w:pPr>
        <w:spacing w:after="0" w:line="219" w:lineRule="exact"/>
        <w:rPr>
          <w:sz w:val="20"/>
          <w:szCs w:val="20"/>
          <w:color w:val="auto"/>
        </w:rPr>
      </w:pPr>
    </w:p>
    <w:p>
      <w:pPr>
        <w:ind w:left="660" w:hanging="330"/>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Amended and Restated 2016 Stock Incentive Plan (the 2016 Plan); and</w:t>
      </w:r>
    </w:p>
    <w:p>
      <w:pPr>
        <w:spacing w:after="0" w:line="30"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Amended and Restated 2019 Omnibus Equity Incentive Plan (the Amended 2019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Board unanimously approved the Company’s Amended and Restated 2016 Stock Incentive Plan, formerly titled the 2008 Stock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on July 26, 2016, and the 2016 Plan was approved by our stockholders at our 2016 Annual Meeting of Stockholders on September 26,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7.4 million shares remain outstanding at March 31, 2022. Upon the adoption of our 2019 Plan, no further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Amended 2019 Plan</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Our Board approved the VistaGen Therapeutics, Inc. 2019 Omnibus Equity Incentive Plan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on May 27, 2019, and our stockholders adopted it and ratified all previously issued grants on September 5, 2019. On June 28, 2021 our Board approved and at our Annual Meeting of Stockholders held on September 17, 2021, our stockholders approved certain amendments to the 2019 Plan (</w:t>
      </w:r>
      <w:r>
        <w:rPr>
          <w:rFonts w:ascii="Times New Roman" w:cs="Times New Roman" w:eastAsia="Times New Roman" w:hAnsi="Times New Roman"/>
          <w:sz w:val="18"/>
          <w:szCs w:val="18"/>
          <w:i w:val="1"/>
          <w:iCs w:val="1"/>
          <w:color w:val="auto"/>
        </w:rPr>
        <w:t>Amended 2019 Plan</w:t>
      </w:r>
      <w:r>
        <w:rPr>
          <w:rFonts w:ascii="Times New Roman" w:cs="Times New Roman" w:eastAsia="Times New Roman" w:hAnsi="Times New Roman"/>
          <w:sz w:val="18"/>
          <w:szCs w:val="18"/>
          <w:color w:val="auto"/>
        </w:rPr>
        <w:t>). The principal features of the Amended 2019 Plan are summarized below.</w:t>
      </w:r>
    </w:p>
    <w:p>
      <w:pPr>
        <w:spacing w:after="0" w:line="1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and Eligible Participants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Amended 2019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Amended 2019 Plan is also designed to align employees’ interests with stockholder interests.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Amended 2019 Plan provides for the grant of stock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 restricted stock units, and other stock-based awards, and performance awards, collectively referred to as “Awards”. Awards may be granted under the Amended 2019 Plan to officers, employees and consultants of the Company and our subsidiaries and to our non-employee directors. Incentive stock options may be granted only to employees of the Company or one of our subsidiaries.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Amended 2019 Plan is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Compensation Committee may grant SARs as a right in tandem with the number of shares underlying stock options granted under the Amended 2019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may also grant awards of restricted stock, which are shares of common stock subject to specified restrictions, and restricted stock units, which represent the right to receive shares of the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2022, the Compensation Committee has not granted any performance awards.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 total of 7.5 million shares of common stock was initially authorized for issuance under the 2019 Plan. Upon approval of the Amended 2019 Plan by our stockholders, a total of 18 million shares of our common stock became available for issuance under the Amended 2019 Plan.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event any award under the Amended 2019 Plan is canceled, terminates, expires or lapses for any reason prior to the issuance of shares or if shares are issued under the Amended 2019 Plan and thereafter are forfeited to us, the shares subject to such awards and the forfeited shares will again be available for grant under the Amended 2019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 more than 25% of any equity-based awards granted under the Amended 2019 Plan may vest on the grant date of such award. The Board believes this provision will provide the Company the necessary flexibility to issue Awards that will both attract new talent, particularly as the Company advances its late-stage clinical development and commercialization plans for its drug candidates and provide incentives sufficient to retain the Company’s existing employees and directors.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Repricing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2019 Plan does not permit repricing of outstanding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of the Company, the Compensation Committee may accelerate the time period relating to the exercise of any outstanding Award, including stock options or restricted stock units. In addition, the Compensation Committee may take other action, including (a) providing for the purchase of any award for an amount of cash or other property that could have been received upon the exercise of such award had the award been currently exercisable, (b) subject to certain limitations,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Amended 2019 Plan and requires consummation of the applicable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earlier terminated by the Board, the Amended 2019 Plan will terminate, and no further awards may be granted, on September 5, 2029, which is ten years after the date on which the 2019 Plan was initially approved by our stockholders. The Board may amend, suspend or terminate the Amended 2019 Plan at any time.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Amended 2019 Plan in such a manner and to such a degree as required. The amendment, suspension or termination of the Amended 2019 Plan or the amendment of an outstanding award generally may not, without a participant’s consent, materially impair the participant’s rights under an outstanding award.</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During Fiscal 2022, we granted from the Amended 2019 Plan and its predecessor options to purchase an aggregate of 5,205,000 shares of our common stock at exercise prices at or above the closing market price of our common stock on each respective grant date, including:</w:t>
      </w:r>
    </w:p>
    <w:p>
      <w:pPr>
        <w:spacing w:after="0" w:line="162" w:lineRule="exact"/>
        <w:rPr>
          <w:sz w:val="20"/>
          <w:szCs w:val="20"/>
          <w:color w:val="auto"/>
        </w:rPr>
      </w:pPr>
    </w:p>
    <w:p>
      <w:pPr>
        <w:ind w:left="660" w:right="100" w:hanging="330"/>
        <w:spacing w:after="0" w:line="25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4,090,000 shares of our common stock were granted to our officers and employees, of which options to purchase 1,650,000 shares were granted to newly-hired employees upon commencement of their employment. Options granted to newly-hired employees vest 25% on the first anniversary of the grant date with the remaining shares vesting ratably monthly over the next three years. General option grants to employees in March 2022, aggregating options to purchase 2,440,000 shares, including to employees who may have received new-hire grants earlier in Fiscal 2022, vest 25% upon grant with the remaining shares vesting ratably over two years;</w:t>
      </w:r>
    </w:p>
    <w:p>
      <w:pPr>
        <w:spacing w:after="0" w:line="186" w:lineRule="exact"/>
        <w:rPr>
          <w:rFonts w:ascii="Times New Roman" w:cs="Times New Roman" w:eastAsia="Times New Roman" w:hAnsi="Times New Roman"/>
          <w:sz w:val="18"/>
          <w:szCs w:val="18"/>
          <w:color w:val="auto"/>
        </w:rPr>
      </w:pPr>
    </w:p>
    <w:p>
      <w:pPr>
        <w:ind w:left="660" w:right="40" w:hanging="330"/>
        <w:spacing w:after="0" w:line="26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725,000 shares of our common stock were granted to the independent members of our Board, of which 225,000 of which were granted to three new independent members of our Board. Options granted to independent Board members vest ratably over one year following the respective grant dates;</w:t>
      </w:r>
    </w:p>
    <w:p>
      <w:pPr>
        <w:spacing w:after="0" w:line="176" w:lineRule="exact"/>
        <w:rPr>
          <w:rFonts w:ascii="Times New Roman" w:cs="Times New Roman" w:eastAsia="Times New Roman" w:hAnsi="Times New Roman"/>
          <w:sz w:val="18"/>
          <w:szCs w:val="18"/>
          <w:color w:val="auto"/>
        </w:rPr>
      </w:pPr>
    </w:p>
    <w:p>
      <w:pPr>
        <w:ind w:left="660" w:right="120" w:hanging="330"/>
        <w:spacing w:after="0" w:line="28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390,000 shares of our common stock were granted to certain consultants, which options were vested 25% upon grant with the balance generally vesting over one to two years following the grant date.</w:t>
      </w:r>
    </w:p>
    <w:p>
      <w:pPr>
        <w:spacing w:after="0" w:line="16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During Fiscal 2021, we granted options having exercise prices at or above the closing market price of our common stock on each respective grant date to purchase an aggregate of 4,990,000 shares of our common stock from the 2019 Plan as follows:</w:t>
      </w:r>
    </w:p>
    <w:p>
      <w:pPr>
        <w:spacing w:after="0" w:line="162" w:lineRule="exact"/>
        <w:rPr>
          <w:sz w:val="20"/>
          <w:szCs w:val="20"/>
          <w:color w:val="auto"/>
        </w:rPr>
      </w:pPr>
    </w:p>
    <w:p>
      <w:pPr>
        <w:ind w:left="420" w:right="360" w:hanging="332"/>
        <w:spacing w:after="0" w:line="280" w:lineRule="auto"/>
        <w:tabs>
          <w:tab w:leader="none" w:pos="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1,580,000 shares of our common stock to independent members of our Board, our officers and employees and certain consultants and advisors in April 2020. The options vested 25% upon grant with the remaining shares vesting ratably over two years;</w:t>
      </w:r>
    </w:p>
    <w:p>
      <w:pPr>
        <w:spacing w:after="0" w:line="161" w:lineRule="exact"/>
        <w:rPr>
          <w:rFonts w:ascii="Times New Roman" w:cs="Times New Roman" w:eastAsia="Times New Roman" w:hAnsi="Times New Roman"/>
          <w:sz w:val="18"/>
          <w:szCs w:val="18"/>
          <w:color w:val="auto"/>
        </w:rPr>
      </w:pPr>
    </w:p>
    <w:p>
      <w:pPr>
        <w:ind w:left="420" w:right="40" w:hanging="332"/>
        <w:spacing w:after="0" w:line="280" w:lineRule="auto"/>
        <w:tabs>
          <w:tab w:leader="none" w:pos="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365,000 shares of our common stock to various investor and public relations and scientific consultants in May and June 2020. The options vested 25% upon grant with the remaining shares vesting ratably monthly over one year;</w:t>
      </w:r>
    </w:p>
    <w:p>
      <w:pPr>
        <w:spacing w:after="0" w:line="161" w:lineRule="exact"/>
        <w:rPr>
          <w:rFonts w:ascii="Times New Roman" w:cs="Times New Roman" w:eastAsia="Times New Roman" w:hAnsi="Times New Roman"/>
          <w:sz w:val="18"/>
          <w:szCs w:val="18"/>
          <w:color w:val="auto"/>
        </w:rPr>
      </w:pPr>
    </w:p>
    <w:p>
      <w:pPr>
        <w:ind w:left="420" w:right="160" w:hanging="332"/>
        <w:spacing w:after="0" w:line="264" w:lineRule="auto"/>
        <w:tabs>
          <w:tab w:leader="none" w:pos="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195,000 shares of our common stock to various investor and public relations and scientific consultants in August through October 2020. Certain grants vested 25% upon grant with the remaining shares vesting ratably over one year or three years; other options vested monthly over a period of one year or two years;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420" w:right="200" w:hanging="332"/>
        <w:spacing w:after="0" w:line="280"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200,000 shares of our common stock to a new research and development employee in December 2020. The options vest 25% on the first anniversary of the grant date with the remaining shares vesting ratably monthly over the next four years;</w:t>
      </w:r>
    </w:p>
    <w:p>
      <w:pPr>
        <w:spacing w:after="0" w:line="161" w:lineRule="exact"/>
        <w:rPr>
          <w:rFonts w:ascii="Times New Roman" w:cs="Times New Roman" w:eastAsia="Times New Roman" w:hAnsi="Times New Roman"/>
          <w:sz w:val="18"/>
          <w:szCs w:val="18"/>
          <w:color w:val="auto"/>
        </w:rPr>
      </w:pPr>
    </w:p>
    <w:p>
      <w:pPr>
        <w:ind w:left="420" w:right="40" w:hanging="332"/>
        <w:spacing w:after="0" w:line="264"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1,375,000 shares of our common stock to independent members of our Board, our officers and employees in December 2020 following the December 2020 Public Offering. The options vested 25% upon grant with the remaining shares vesting ratably over two years; and</w:t>
      </w:r>
    </w:p>
    <w:p>
      <w:pPr>
        <w:spacing w:after="0" w:line="176" w:lineRule="exact"/>
        <w:rPr>
          <w:rFonts w:ascii="Times New Roman" w:cs="Times New Roman" w:eastAsia="Times New Roman" w:hAnsi="Times New Roman"/>
          <w:sz w:val="18"/>
          <w:szCs w:val="18"/>
          <w:color w:val="auto"/>
        </w:rPr>
      </w:pPr>
    </w:p>
    <w:p>
      <w:pPr>
        <w:ind w:left="420" w:right="380" w:hanging="332"/>
        <w:spacing w:after="0" w:line="280" w:lineRule="auto"/>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1,275,000 shares of our common stock to new employees during February and March 2021. The options vest 25% on the first anniversary of the grant date with the remaining shares vesting ratably monthly over the next three years.</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option grants to our officers, independent directors, consultants and service providers included in the accompanying Consolidated Statement of Operations and Comprehensive Loss for the years ended March 31, 2022 and 2021.</w:t>
      </w:r>
    </w:p>
    <w:p>
      <w:pPr>
        <w:spacing w:after="0" w:line="373"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1,457,600</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746,900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3,480,700</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Expense amounts reported above include $47,000 and $7,500 in research and development expense for the fiscal years ended March 31, 2022 and 2021, respectively, and $19,500 and $6,800 in general and administrative expense for the fiscal years ended March 31, 2022 and 2021, respectively, attributable to our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described below.</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used the Black-Scholes Option Pricing model with the following weighted average assumptions to determine stock-based compensation expense related to option grants during the fiscal years ended March 31, 2022 and 2021:</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(weighted average)</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(weighted average)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1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on date of grant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1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80.27%</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 at grant date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expected term of options represents the period that our stock-based compensation awards are expected to be outstanding. We have calculated the weighted-average expected term of the options using the simplified method as prescribed by Securities and Exchange Commission Staff Accounting Bulletins No. 107 and No. 110 (</w:t>
      </w:r>
      <w:r>
        <w:rPr>
          <w:rFonts w:ascii="Times New Roman" w:cs="Times New Roman" w:eastAsia="Times New Roman" w:hAnsi="Times New Roman"/>
          <w:sz w:val="18"/>
          <w:szCs w:val="18"/>
          <w:i w:val="1"/>
          <w:iCs w:val="1"/>
          <w:color w:val="auto"/>
        </w:rPr>
        <w:t>SAB No. 107 and 110</w:t>
      </w:r>
      <w:r>
        <w:rPr>
          <w:rFonts w:ascii="Times New Roman" w:cs="Times New Roman" w:eastAsia="Times New Roman" w:hAnsi="Times New Roman"/>
          <w:sz w:val="18"/>
          <w:szCs w:val="18"/>
          <w:color w:val="auto"/>
        </w:rPr>
        <w:t>). The utilization of SAB No. 107 and 110 is based on the lack of relevant historical option exercises and relevant historical data due to the relatively limited period during which our stock has been publicly traded with significant volume on a major exchange and the historical lack of liquidity in freely 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recognize the effect of forfeitures as they occur.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fiscal years ended March 31, 2022 and 2021 under the Amended 2019 Plan and the 2016 Plan: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Fiscal Years Ended March 31,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Exercise</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Price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beginning of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14,638,088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10,003,088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5,205,000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(356,199)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expired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end of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19,386,389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14,638,088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Options exercisable at end of period</w:t>
            </w:r>
          </w:p>
        </w:tc>
        <w:tc>
          <w:tcPr>
            <w:tcW w:w="13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13,569,261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6"/>
                <w:szCs w:val="16"/>
                <w:color w:val="auto"/>
              </w:rPr>
            </w:pPr>
          </w:p>
        </w:tc>
        <w:tc>
          <w:tcPr>
            <w:tcW w:w="13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10,732,059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grant-date fair value of options granted during the period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and exercisable under the Amended 2019 Plan and the 2016 Plan as of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Options Outstanding</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7"/>
              </w:rPr>
              <w:t>Weighted</w:t>
            </w:r>
          </w:p>
        </w:tc>
        <w:tc>
          <w:tcPr>
            <w:tcW w:w="1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2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7"/>
              </w:rPr>
              <w:t>Weighted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5"/>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Remaining</w:t>
            </w:r>
          </w:p>
        </w:tc>
        <w:tc>
          <w:tcPr>
            <w:tcW w:w="12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Average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5"/>
        </w:trPr>
        <w:tc>
          <w:tcPr>
            <w:tcW w:w="19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Number</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Years until</w:t>
            </w:r>
          </w:p>
        </w:tc>
        <w:tc>
          <w:tcPr>
            <w:tcW w:w="122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9"/>
              </w:rPr>
              <w:t>Exercise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Number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3"/>
        </w:trPr>
        <w:tc>
          <w:tcPr>
            <w:tcW w:w="66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Outstanding</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Expiration</w:t>
            </w:r>
          </w:p>
        </w:tc>
        <w:tc>
          <w:tcPr>
            <w:tcW w:w="12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7"/>
              </w:rPr>
              <w:t>Price</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Exercisable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Price</w:t>
            </w:r>
          </w:p>
        </w:tc>
      </w:tr>
      <w:tr>
        <w:trPr>
          <w:trHeight w:val="208"/>
        </w:trPr>
        <w:tc>
          <w:tcPr>
            <w:tcW w:w="6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$0.398</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2,454,176</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2,237,095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r>
      <w:tr>
        <w:trPr>
          <w:trHeight w:val="215"/>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3,145,625</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3,007,295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5"/>
        </w:trPr>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885,000</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5"/>
        </w:trPr>
        <w:tc>
          <w:tcPr>
            <w:tcW w:w="6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3,140,000</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15"/>
        </w:trPr>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3,951,253</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3,876,253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5"/>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2,910,000</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2,265,992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5"/>
        </w:trPr>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2,640,000</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502,291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5"/>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260,335</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135,335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08"/>
        </w:trPr>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19,386,389</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13,569,261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there were 7,288,157 registered shares of our common stock remaining available for grant under the Amended 2019 Plan.</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Aggregate intrinsic value is the sum of the amount by which the fair value of the underlying common stock exceeds the aggregate exercise price of the outstanding options (</w:t>
      </w:r>
      <w:r>
        <w:rPr>
          <w:rFonts w:ascii="Times New Roman" w:cs="Times New Roman" w:eastAsia="Times New Roman" w:hAnsi="Times New Roman"/>
          <w:sz w:val="18"/>
          <w:szCs w:val="18"/>
          <w:i w:val="1"/>
          <w:iCs w:val="1"/>
          <w:color w:val="auto"/>
        </w:rPr>
        <w:t>in-the-money-options</w:t>
      </w:r>
      <w:r>
        <w:rPr>
          <w:rFonts w:ascii="Times New Roman" w:cs="Times New Roman" w:eastAsia="Times New Roman" w:hAnsi="Times New Roman"/>
          <w:sz w:val="18"/>
          <w:szCs w:val="18"/>
          <w:color w:val="auto"/>
        </w:rPr>
        <w:t>). Based on the $1.24 per share quoted closing market price of our common stock on March 31, 2022, there was approximately $2,313,900 of intrinsic value in our outstanding options at that date.</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March 31, 2022, there was approximately $6,568,500 of unrecognized compensation cost related to non-vested stock-based compensation awards from the Amended 2019 Plan and the 2016 Plan, which cost is expected to be recognized through March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Board approved the VistaGen Therapeutics, Inc. 2019 Employee Stock Purchase Plan (the 2019 ESPP) on June 13, 2019. Our stockholders approved the 2019 ESPP at our annual meeting on September 5, 2019. The principal terms of our 2019 ESPP are summarized below.</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are eligible to participate in an option period.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the first day of each option period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Each participant’s payroll deductions under the 2019 ESPP will be credited to a liability account in his or her name under the 2019 ESPP. The aggregate liability for participant payroll deductions at March 31, 2022 and 2021 was $66,200 and $18,600, respectively, which amounts are included in accrued expenses in the accompanying Consolidated Balance Sheet at those 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option granted under the 2019 ESPP will automatically be exercised on the last day of the respective option period (referred to as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number of shares acquired by a participant upon exercise of his or her option will be determined by dividing the participant’s 2019 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 the 2019 ESPP is subject to the following limits:</w:t>
      </w:r>
    </w:p>
    <w:p>
      <w:pPr>
        <w:spacing w:after="0" w:line="223" w:lineRule="exact"/>
        <w:rPr>
          <w:sz w:val="20"/>
          <w:szCs w:val="20"/>
          <w:color w:val="auto"/>
        </w:rPr>
      </w:pPr>
    </w:p>
    <w:p>
      <w:pPr>
        <w:ind w:left="660" w:hanging="330"/>
        <w:spacing w:after="0" w:line="26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ind w:left="660" w:hanging="330"/>
        <w:spacing w:after="0" w:line="249"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jc w:val="both"/>
        <w:ind w:left="660" w:hanging="330"/>
        <w:spacing w:after="0" w:line="253"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$25,000 annual purchase and the 5% ownership limitations referred to above are required under the Code.</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Fiscal 2022, employees purchased an aggregate of 57,211 shares of our common stock under the 2019 ESPP and we received proceeds of $99,400. During Fiscal 2021, employees purchased an aggregate of 58,125 shares of our common stock and we received proceeds of $26,200.</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Fiscal 2022, we entered into a consulting agreement with one of the independent members of our Board to assist us in developing a phase-appropriate research and development human resources staffing plan to support our development of PH94B, PH10 and AV-101. We recorded expense of $6,800 during the quarter ended December 31, 2021 related to this agreement. There was no accounts payable balance or accrued expense related to this agreement at March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Fiscal 2022, we entered into a consulting agreement with another of the independent members of our Board to provide corporate development and public relations advisory services. We recorded expense of $45,000 during the quarter ended March 31, 2022 related to this agreement, all of which was included in accounts payable at that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2021, we engaged a consulting firm headed by one of the then-independent members of our Board to provide various market research studies, competitive analyses, and commercial advisory projects for certain of our CNS pipeline candidates pursuant to which we recorded research and development expense of $193,000. In May 2021, that Board member ceased to be independent upon acceptance of a position as our Chief Commercial Officer while remaining a member of our Board. We have not engaged in business with the related consulting firm during Fiscal 2022 prior to or subsequent to the acceptance of employment by our Chief Commercial Officer. There was no accounts payable or accrued expenses related to the consulting agreement at March 31, 2022 or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Contingencies, Guarantees and Indemnifications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our cash flows.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2022 or 2021.</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at March 31, 2022 or 2021.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Lease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2021, the following assets are subject to financing lease obligations and included in property and equipment:</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5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56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4"/>
                <w:szCs w:val="24"/>
                <w:color w:val="auto"/>
              </w:rPr>
            </w:pPr>
          </w:p>
        </w:tc>
      </w:tr>
      <w:tr>
        <w:trPr>
          <w:trHeight w:val="208"/>
        </w:trPr>
        <w:tc>
          <w:tcPr>
            <w:tcW w:w="5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w:t>
            </w:r>
          </w:p>
        </w:tc>
      </w:tr>
      <w:tr>
        <w:trPr>
          <w:trHeight w:val="215"/>
        </w:trPr>
        <w:tc>
          <w:tcPr>
            <w:tcW w:w="5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9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(14,700)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(12,400)</w:t>
            </w:r>
          </w:p>
        </w:tc>
      </w:tr>
      <w:tr>
        <w:trPr>
          <w:trHeight w:val="208"/>
        </w:trPr>
        <w:tc>
          <w:tcPr>
            <w:tcW w:w="56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8"/>
          <w:szCs w:val="18"/>
          <w:color w:val="auto"/>
        </w:rPr>
        <w:t>Amortization expense for assets recorded under financing leases is included in depreciation expense. Our financing lease expired in January 2022; accordingly, there are no future minimum payments required under our financing lease at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lease our headquarters office and laboratory space in South San Francisco, California under the terms of a lease that was set to expire on July 31, 2022 but which provided an option to renew for an additional five years at then-current market rates. For the purpose of determining the right-of-use asset and associated lease liability, we determined that the renewal of this lease for the period from August 2022 through July 2027 was reasonably probable at the time we adopted ASC 842. On October 14, 2021, we entered into an amendment to the lease (the </w:t>
      </w:r>
      <w:r>
        <w:rPr>
          <w:rFonts w:ascii="Times New Roman" w:cs="Times New Roman" w:eastAsia="Times New Roman" w:hAnsi="Times New Roman"/>
          <w:sz w:val="18"/>
          <w:szCs w:val="18"/>
          <w:i w:val="1"/>
          <w:iCs w:val="1"/>
          <w:color w:val="auto"/>
        </w:rPr>
        <w:t>Lease Amendment</w:t>
      </w:r>
      <w:r>
        <w:rPr>
          <w:rFonts w:ascii="Times New Roman" w:cs="Times New Roman" w:eastAsia="Times New Roman" w:hAnsi="Times New Roman"/>
          <w:sz w:val="18"/>
          <w:szCs w:val="18"/>
          <w:color w:val="auto"/>
        </w:rPr>
        <w:t xml:space="preserve">), pursuant to which the term of the lease was extended from August 1, 2022 to July 31, 2027 and the base rent under the lease for the five-year extension period was specified. Under the terms of the Lease Amendment, we have the option to renew the lease for an additional five-year term commencing on August 1, 2027. Consistent with our adoption of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beginning April 1, 2019, we recorded this lease in our Consolidated Balance Sheet as an operating lease. The lease of our South San Francisco facilities does not include any restrictions or covenants requiring special treatment under ASC 842.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presentation of the operating lease in our Condensed Consolidated Balance Sheet at March 31, 2022 and 2021:</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r>
      <w:tr>
        <w:trPr>
          <w:trHeight w:val="237"/>
        </w:trPr>
        <w:tc>
          <w:tcPr>
            <w:tcW w:w="7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3,219,600</w:t>
            </w:r>
          </w:p>
        </w:tc>
      </w:tr>
      <w:tr>
        <w:trPr>
          <w:trHeight w:val="20"/>
        </w:trPr>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7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7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obligation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433,300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364,800</w:t>
            </w:r>
          </w:p>
        </w:tc>
      </w:tr>
      <w:tr>
        <w:trPr>
          <w:trHeight w:val="215"/>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obligation</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3,350,800</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3,038,700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3,715,600</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effect of operating lease costs in our 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For the Fiscal Year</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For the Fiscal Year</w:t>
            </w:r>
          </w:p>
        </w:tc>
      </w:tr>
      <w:tr>
        <w:trPr>
          <w:trHeight w:val="215"/>
        </w:trPr>
        <w:tc>
          <w:tcPr>
            <w:tcW w:w="4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Ended</w:t>
            </w:r>
          </w:p>
        </w:tc>
      </w:tr>
      <w:tr>
        <w:trPr>
          <w:trHeight w:val="237"/>
        </w:trPr>
        <w:tc>
          <w:tcPr>
            <w:tcW w:w="44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00" w:type="dxa"/>
            <w:vAlign w:val="bottom"/>
          </w:tcPr>
          <w:p>
            <w:pPr>
              <w:spacing w:after="0"/>
              <w:rPr>
                <w:sz w:val="20"/>
                <w:szCs w:val="20"/>
                <w:color w:val="auto"/>
              </w:rPr>
            </w:pPr>
          </w:p>
        </w:tc>
      </w:tr>
      <w:tr>
        <w:trPr>
          <w:trHeight w:val="20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838,200</w:t>
            </w:r>
          </w:p>
        </w:tc>
        <w:tc>
          <w:tcPr>
            <w:tcW w:w="10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minimum (base rental) lease payments related to our South San Francisco operating lease are expected to be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Years Ending March 31,</w:t>
            </w: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240" w:type="dxa"/>
            <w:vAlign w:val="bottom"/>
            <w:tcBorders>
              <w:top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676,000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689,500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710,200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731,500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753,500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253,600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expense</w:t>
            </w: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3,814,300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(775,600)</w:t>
            </w:r>
          </w:p>
        </w:tc>
      </w:tr>
      <w:tr>
        <w:trPr>
          <w:trHeight w:val="248"/>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36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3,038,700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240" w:type="dxa"/>
            <w:vAlign w:val="bottom"/>
          </w:tcPr>
          <w:p>
            <w:pPr>
              <w:jc w:val="right"/>
              <w:ind w:right="371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4" w:right="339" w:bottom="83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The remaining lease term, in accordance with the Lease Amendment, and the discount rate assumption for our South San Francisco operating lease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2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r>
      <w:tr>
        <w:trPr>
          <w:trHeight w:val="237"/>
        </w:trPr>
        <w:tc>
          <w:tcPr>
            <w:tcW w:w="962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08"/>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remaining lease term in years</w:t>
            </w:r>
          </w:p>
        </w:tc>
        <w:tc>
          <w:tcPr>
            <w:tcW w:w="1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5.33</w:t>
            </w:r>
          </w:p>
        </w:tc>
      </w:tr>
      <w:tr>
        <w:trPr>
          <w:trHeight w:val="234"/>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Assumed discount rate</w:t>
            </w: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w w:val="98"/>
              </w:rPr>
              <w:t>8.54%</w:t>
            </w: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Supplemental disclosure of cash flow information related to our operating leases included in cash flows used by operating activities in the consolidated statements of cash flows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For the Fiscal Year</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For the Fiscal Year</w:t>
            </w:r>
          </w:p>
        </w:tc>
      </w:tr>
      <w:tr>
        <w:trPr>
          <w:trHeight w:val="215"/>
        </w:trPr>
        <w:tc>
          <w:tcPr>
            <w:tcW w:w="6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Ended</w:t>
            </w:r>
          </w:p>
        </w:tc>
      </w:tr>
      <w:tr>
        <w:trPr>
          <w:trHeight w:val="237"/>
        </w:trPr>
        <w:tc>
          <w:tcPr>
            <w:tcW w:w="6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00" w:type="dxa"/>
            <w:vAlign w:val="bottom"/>
          </w:tcPr>
          <w:p>
            <w:pPr>
              <w:spacing w:after="0"/>
              <w:rPr>
                <w:sz w:val="20"/>
                <w:szCs w:val="20"/>
                <w:color w:val="auto"/>
              </w:rPr>
            </w:pPr>
          </w:p>
        </w:tc>
      </w:tr>
      <w:tr>
        <w:trPr>
          <w:trHeight w:val="20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844,300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791,600</w:t>
            </w:r>
          </w:p>
        </w:tc>
        <w:tc>
          <w:tcPr>
            <w:tcW w:w="10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and Fiscal 2021, we recorded no new right-of-use assets arising from new lease liabilities.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$14,200 for both Fiscal 2022 and Fiscal 2021 attributable to this lease.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evaluated subsequent events through the date of this Annual Report and have identified the following material events and transactions that occurred after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of 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VistaStem Canada and Artemis, the two inactive wholly owned subsidiaries of VistaStem, were dissolved in April 2022 and June 2022,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of Options from 2019 Plan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April 1, 2022 through the date of this Annual Report, we granted options to purchase 400,000 shares of our common stock under the terms of our 2019 Plan to one newly-hired executive and three new employees. The options have an exercise price equal to the quoted closing market price of our common stock on the Nasdaq Capital Market on the respective date of grant, a term of ten years and vest 25% on the first anniversary of the grant date and ratably on a monthly basis for three years thereafter.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Financial Information (Unaudited)</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unaudited statements of operations data for each of the eight quarters in the period ended March 31, 2022.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Results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Total Fiscal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jc w:val="right"/>
              <w:ind w:right="240"/>
              <w:spacing w:after="0" w:line="18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6"/>
                <w:szCs w:val="16"/>
                <w:color w:val="auto"/>
              </w:rPr>
            </w:pPr>
          </w:p>
        </w:tc>
        <w:tc>
          <w:tcPr>
            <w:tcW w:w="980" w:type="dxa"/>
            <w:vAlign w:val="bottom"/>
          </w:tcPr>
          <w:p>
            <w:pPr>
              <w:jc w:val="center"/>
              <w:ind w:right="30"/>
              <w:spacing w:after="0" w:line="186"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2022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7,779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(12,800)</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(10,539)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(16,693)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(47,779)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(48,707)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5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Basic and diluted net loss per common share attributable to</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00" w:type="dxa"/>
            <w:vAlign w:val="bottom"/>
            <w:shd w:val="clear" w:color="auto" w:fill="CCEEFF"/>
          </w:tcPr>
          <w:p>
            <w:pPr>
              <w:ind w:left="140"/>
              <w:spacing w:after="0" w:line="193" w:lineRule="exact"/>
              <w:rPr>
                <w:sz w:val="20"/>
                <w:szCs w:val="20"/>
                <w:color w:val="auto"/>
              </w:rPr>
            </w:pPr>
            <w:r>
              <w:rPr>
                <w:rFonts w:ascii="Times New Roman" w:cs="Times New Roman" w:eastAsia="Times New Roman" w:hAnsi="Times New Roman"/>
                <w:sz w:val="18"/>
                <w:szCs w:val="18"/>
                <w:color w:val="auto"/>
              </w:rPr>
              <w:t>common stockholders</w:t>
            </w:r>
          </w:p>
        </w:tc>
        <w:tc>
          <w:tcPr>
            <w:tcW w:w="28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0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common share attributable to common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189,924,158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193,227,841</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202,328,683</w:t>
            </w: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206,532,083</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197,978,592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July 15, 2021, WithumSmith+Brown, PC, an independent registered public accounting firm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acquired certain assets of OUM &amp; Co., LLP (</w:t>
      </w:r>
      <w:r>
        <w:rPr>
          <w:rFonts w:ascii="Times New Roman" w:cs="Times New Roman" w:eastAsia="Times New Roman" w:hAnsi="Times New Roman"/>
          <w:sz w:val="18"/>
          <w:szCs w:val="18"/>
          <w:i w:val="1"/>
          <w:iCs w:val="1"/>
          <w:color w:val="auto"/>
        </w:rPr>
        <w:t>OUM</w:t>
      </w:r>
      <w:r>
        <w:rPr>
          <w:rFonts w:ascii="Times New Roman" w:cs="Times New Roman" w:eastAsia="Times New Roman" w:hAnsi="Times New Roman"/>
          <w:sz w:val="18"/>
          <w:szCs w:val="18"/>
          <w:color w:val="auto"/>
        </w:rPr>
        <w:t xml:space="preserve">), our independent registered public accounting firm (the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As a result of this transaction, on July 15, 2021, OUM resigned as our independent registered public accounting firm. Concurrent with such resignation, we, with the approval of our Audit Committee, consented to the engagement of Withum as our new independent registered public accounting firm.</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Prior to the Transaction, we did not consult with Withum regarding the application of accounting principles to any specific completed or contemplated transaction or regarding the type of audit opinion that might be rendered by Withum on our financial statements, and Withum did not provide any written or oral advice that was an important factor considered by us in reaching a decision as to any accounting, auditing or financial reporting issue.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OUM’s Report of Independent Registered Public Accounting Firm (the </w:t>
      </w:r>
      <w:r>
        <w:rPr>
          <w:rFonts w:ascii="Times New Roman" w:cs="Times New Roman" w:eastAsia="Times New Roman" w:hAnsi="Times New Roman"/>
          <w:sz w:val="18"/>
          <w:szCs w:val="18"/>
          <w:i w:val="1"/>
          <w:iCs w:val="1"/>
          <w:color w:val="auto"/>
        </w:rPr>
        <w:t>Audit Report</w:t>
      </w:r>
      <w:r>
        <w:rPr>
          <w:rFonts w:ascii="Times New Roman" w:cs="Times New Roman" w:eastAsia="Times New Roman" w:hAnsi="Times New Roman"/>
          <w:sz w:val="18"/>
          <w:szCs w:val="18"/>
          <w:color w:val="auto"/>
        </w:rPr>
        <w:t>) on our financial statements for the fiscal years ended March 31, 2021 did not contain any adverse opinion or disclaimer of opinion and was not qualified or modified as to uncertainty, audit scope or accounting principles.</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fiscal year ended March 31, 2021, and during the interim period from the end of the most recently completed fiscal year through July 15, 2021, the date of resignation, there were no “disagreements” (as such term is defined in Item 304(a)(1)(iv) of Regulation S-K and the related instructions to Item</w:t>
      </w:r>
    </w:p>
    <w:p>
      <w:pPr>
        <w:jc w:val="both"/>
        <w:ind w:firstLine="7"/>
        <w:spacing w:after="0" w:line="252" w:lineRule="auto"/>
        <w:tabs>
          <w:tab w:leader="none" w:pos="3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OUM on any matter of accounting principles or practices, financial statement disclosure or auditing scope or procedures, which disagreements, if not resolved to the satisfaction of OUM would have caused it to make reference to such disagreement in its reports. During the fiscal year ended March 31, 2021, and the subsequent interim period through July 15, 2021, there were no “reportable events” (as such term is defined in Item 304 (a)(1)(v)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and principal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evaluated the effectiveness of our disclosure controls and procedures (as defined in Exchange Act Rules 13a-15(e) and 15d-15(e)) as of March 31, 2022. Based upon that evaluation, our CEO and CFO concluded that, as of such date, our disclosure controls and procedures were effective to ensure that information required to be disclosed in reports filed by us under the Securities Exchange Act of 1934 is recorded, processed, summarized and reported within the required time periods and is accumulated and communicated to our management, including our CEO and CFO,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Management of the Company is responsible for establishing and maintaining adequate internal control over financial reporting, as such term is defined in the U.S. Securities Exchange Act of 1934, Rules 13a-15(f) and 15d-15(f). Our internal control system was designed to provide reasonable assurance to our management and board of directors regarding the preparation and fair presentation of published financial statements. Management assessed the effectiveness of our internal control over financial reporting for our fiscal year ended March 31, 2022 based on criteria set forth in </w:t>
      </w:r>
      <w:r>
        <w:rPr>
          <w:rFonts w:ascii="Times New Roman" w:cs="Times New Roman" w:eastAsia="Times New Roman" w:hAnsi="Times New Roman"/>
          <w:sz w:val="17"/>
          <w:szCs w:val="17"/>
          <w:i w:val="1"/>
          <w:iCs w:val="1"/>
          <w:color w:val="auto"/>
        </w:rPr>
        <w:t>Internal Control - 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Framework (2013)</w:t>
      </w:r>
      <w:r>
        <w:rPr>
          <w:rFonts w:ascii="Times New Roman" w:cs="Times New Roman" w:eastAsia="Times New Roman" w:hAnsi="Times New Roman"/>
          <w:sz w:val="17"/>
          <w:szCs w:val="17"/>
          <w:color w:val="auto"/>
        </w:rPr>
        <w:t>, issued by the Committee of Sponsoring Organizations of the Treadway Commission (</w:t>
      </w:r>
      <w:r>
        <w:rPr>
          <w:rFonts w:ascii="Times New Roman" w:cs="Times New Roman" w:eastAsia="Times New Roman" w:hAnsi="Times New Roman"/>
          <w:sz w:val="17"/>
          <w:szCs w:val="17"/>
          <w:i w:val="1"/>
          <w:iCs w:val="1"/>
          <w:color w:val="auto"/>
        </w:rPr>
        <w:t>COSO</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i w:val="1"/>
          <w:iCs w:val="1"/>
          <w:color w:val="auto"/>
        </w:rPr>
        <w:t xml:space="preserve"> COSO Framework</w:t>
      </w:r>
      <w:r>
        <w:rPr>
          <w:rFonts w:ascii="Times New Roman" w:cs="Times New Roman" w:eastAsia="Times New Roman" w:hAnsi="Times New Roman"/>
          <w:sz w:val="17"/>
          <w:szCs w:val="17"/>
          <w:color w:val="auto"/>
        </w:rPr>
        <w:t>). Based upon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assessment, management concluded that, as of March 31, 2022, our internal control over financial reporting was effective, based upon those criteria.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had assessed the effectiveness of our internal control over financial reporting for our fiscal year ended March 31, 2021 and identified the following material weaknesses existing during such fiscal year: (i) the size of our staff did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utilized accounting software that did not prevent erroneous or unauthorized changes to previous reporting periods and/or could be adjusted so as to not provide an adequate audit trail of entries made in the accounting software.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Beginning in April 2021, and through the date of this Annual Report, we have strengthened our internal controls by (i) retaining additional accounting staff to facilitate appropriate review of accounting transactions and/or accounting treatment by multiple qualified individuals and (ii) implementing state-of-the-art accounting software which prevents erroneous or unauthorized changes to previous reporting periods and/or adjustments and to provide an adequate auditing trail of entries made in the accounting software.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should be noted that any controls and procedures, no matter how well designed and operated, can provide only reasonable assurance of achieving their objectives and management necessarily applies its judgment and makes assumptions about the likelihood of future events. There can be no assurance that any design will succeed in achieving its stated goals under all potential future conditions, regardless of how remote. Management believes that the Financial Statements included in this Annual Report fairly present in all material respects our financial condition, results of operations and cash flows for the periods presented.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Smaller reporting companies may face additional limitations in achieving control objectives. Smaller reporting companies typically employ fewer individuals who are often tasked with a wide range of responsibilities, making it difficult to segregate duties. Often, one or two persons control many, or all, aspects of the smaller reporting company’s general and financial operations, placing such individual(s) in a position to override any system of internal control. Additionally, projections of an evaluation of current effectiveness to future periods are subject to the risk that controls may become inadequate because of changes in conditions, or that the degree of compliance with the controls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Attestation Report of Registered Public Accounting Firm</w:t>
      </w:r>
    </w:p>
    <w:p>
      <w:pPr>
        <w:spacing w:after="0" w:line="225"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independent public accounting firm regarding internal control over financial reporting pursuant to SEC rules for smaller reporting companies that permit us to provide only management’s report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is composed of individuals with significant management experience. Members of our Board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8"/>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S. Saxe, J.D. LL.M</w:t>
            </w:r>
          </w:p>
        </w:tc>
        <w:tc>
          <w:tcPr>
            <w:tcW w:w="4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400" w:type="dxa"/>
            <w:vAlign w:val="bottom"/>
            <w:shd w:val="clear" w:color="auto" w:fill="CCEEFF"/>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Independent Director</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Ann M. Cunningham, MBA</w:t>
            </w:r>
          </w:p>
        </w:tc>
        <w:tc>
          <w:tcPr>
            <w:tcW w:w="16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54</w:t>
            </w:r>
          </w:p>
        </w:tc>
        <w:tc>
          <w:tcPr>
            <w:tcW w:w="4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 and Director</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Joanne Curley, Ph.D.</w:t>
            </w:r>
          </w:p>
        </w:tc>
        <w:tc>
          <w:tcPr>
            <w:tcW w:w="16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54</w:t>
            </w:r>
          </w:p>
        </w:tc>
        <w:tc>
          <w:tcPr>
            <w:tcW w:w="4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Margaret M. FitzPatrick, M.A.</w:t>
            </w:r>
          </w:p>
        </w:tc>
        <w:tc>
          <w:tcPr>
            <w:tcW w:w="16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56</w:t>
            </w:r>
          </w:p>
        </w:tc>
        <w:tc>
          <w:tcPr>
            <w:tcW w:w="4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B. Gin, Ph.D., MBA</w:t>
            </w:r>
          </w:p>
        </w:tc>
        <w:tc>
          <w:tcPr>
            <w:tcW w:w="16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78</w:t>
            </w:r>
          </w:p>
        </w:tc>
        <w:tc>
          <w:tcPr>
            <w:tcW w:w="4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Mary L. Rotunno, J.D.</w:t>
            </w:r>
          </w:p>
        </w:tc>
        <w:tc>
          <w:tcPr>
            <w:tcW w:w="16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62</w:t>
            </w:r>
          </w:p>
        </w:tc>
        <w:tc>
          <w:tcPr>
            <w:tcW w:w="4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16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59</w:t>
            </w:r>
          </w:p>
        </w:tc>
        <w:tc>
          <w:tcPr>
            <w:tcW w:w="4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Jon S. Saxe, J.D., LL.M. </w:t>
      </w:r>
      <w:r>
        <w:rPr>
          <w:rFonts w:ascii="Times New Roman" w:cs="Times New Roman" w:eastAsia="Times New Roman" w:hAnsi="Times New Roman"/>
          <w:sz w:val="18"/>
          <w:szCs w:val="18"/>
          <w:color w:val="auto"/>
        </w:rPr>
        <w:t>has served as Chairman of our Board since 2000, first as Chairman of the Board of Directors of VistaGen Therapeutics,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corporation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xml:space="preserve">), then as Chairman of our Board after the merger by and between the Company and VistaGen California on May 11, 2011, at which time VistaGen California became a wholly-owned subsidiary of the Company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the lead director of Kyto Technology and Life Science, and also serves as a director of six additional private life science companies, Achelios, Arbor Vita Corporation, Aether, Inc., Arcuo Medical, LLC,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Ann M. Cunningham, MBA </w:t>
      </w:r>
      <w:r>
        <w:rPr>
          <w:rFonts w:ascii="Times New Roman" w:cs="Times New Roman" w:eastAsia="Times New Roman" w:hAnsi="Times New Roman"/>
          <w:sz w:val="18"/>
          <w:szCs w:val="18"/>
          <w:color w:val="auto"/>
        </w:rPr>
        <w:t>has served as a member of our Board since January 2019 and was appointed to serve as the Company’s Chief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on May 1, 2021. Prior to joining the Company, Ms. Cunningham was the Founder and Managing Partner of i3 Strategy Partners, a consulting firm founded in 2018 specializing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24" w:name="page125"/>
    <w:bookmarkEnd w:id="124"/>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Joanne Curley, PhD. </w:t>
      </w:r>
      <w:r>
        <w:rPr>
          <w:rFonts w:ascii="Times New Roman" w:cs="Times New Roman" w:eastAsia="Times New Roman" w:hAnsi="Times New Roman"/>
          <w:sz w:val="18"/>
          <w:szCs w:val="18"/>
          <w:color w:val="auto"/>
        </w:rPr>
        <w:t>Has served as a member of our Board of Directors since April 2021. Dr. Curley brings more than 25 years of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of pharmaceutical products, including research and development governance. Dr. Curley currently serves as the Chief Development Officer at Vera Therapeutics, Inc., a position she has held since March 2020. Prior to joining Vera, from June 2005 to March 2020, Dr. Curley held various director-level position with Gilead Sciences, Inc.,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selected Dr. Curley to serve on our Board of Directors due to her extensive experience in early product development, regulatory approval and commercialization of pharmaceutical products, giving her a unique perspective of the life cycle of drug development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Margaret M. FitzPatrick, M.A. </w:t>
      </w:r>
      <w:r>
        <w:rPr>
          <w:rFonts w:ascii="Times New Roman" w:cs="Times New Roman" w:eastAsia="Times New Roman" w:hAnsi="Times New Roman"/>
          <w:sz w:val="18"/>
          <w:szCs w:val="18"/>
          <w:color w:val="auto"/>
        </w:rPr>
        <w:t>has served on our Board of Directors since July 2021. Ms. FitzPatrick is a globally recognized corporate affairs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has been honored with several prestigious awards, including the Washington Business Journal’s C-Suite Executive of the Year Class (2019), PR Week’s Top 50 Most Powerful People in PR (2015) and PR Week’s Hall of Femme (2019). Recently, she served as Chief Corporate Affairs Officer of the Exelon Corporation, a Fortune 100 diversified clean energy company, from 2016 to 2020. Prior to her time at Exelon Corporation, Ms. FitzPatrick served as Global Chief Communications Officer and led public affairs at Johnson &amp; Johnson, the world’s largest and most broadly-based healthcare company, from 2013 to 2016, and as Global Chief Communication Officer and President of the Foundation at CIGNA. Ms. FitzPatrick also served as Executive Vice President at APCO Worldwide, a global public affairs and strategic communications consultancy, where she counseled executives on major global reputation efforts for notable industry leaders such as eBay and United Airlines, among others. Ms. FitzPatrick currently serves on the board of directors of AN2 Therapeutics, Inc. (NASDAQ: ANTX), as well as the board of the Southeast Tennis and Learning Center in Washington, D.C. In 2020 and was appointed by DC Mayor Muriel Bowser to serve as a Commissioner on the DC Commission on the Arts and Humanities. Ms. FitzPatrick holds a B.A. in English and Policy Studies from Syracuse University, and an M.A. in Public Policy from The George Washington University. In 2018, she completed the Harvard Business School program for corporate directors.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selected Ms. FitzPatrick to serve on the Board due to her extensive experience developing and executing multiple high impact customer-focused marketing communications initiatives for some of the world’s largest and most successful companies. The Board believes Ms. FitzPatrick’s expertise in positioning companies and products through public relations, marketing and digital media campaigns will provide valuable contributions to the Company both before and after commercial launch of the Company’s product candidates.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Jerry B. Gin, Ph.D., MBA </w:t>
      </w:r>
      <w:r>
        <w:rPr>
          <w:rFonts w:ascii="Times New Roman" w:cs="Times New Roman" w:eastAsia="Times New Roman" w:hAnsi="Times New Roman"/>
          <w:sz w:val="18"/>
          <w:szCs w:val="18"/>
          <w:color w:val="auto"/>
        </w:rPr>
        <w:t>has served on our Board of Directors since March 2016. Dr. Gin is currently the co-founder and CEO of Nuvora, Inc., a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Mary L. Rotunno, J.D. </w:t>
      </w:r>
      <w:r>
        <w:rPr>
          <w:rFonts w:ascii="Times New Roman" w:cs="Times New Roman" w:eastAsia="Times New Roman" w:hAnsi="Times New Roman"/>
          <w:sz w:val="18"/>
          <w:szCs w:val="18"/>
          <w:color w:val="auto"/>
        </w:rPr>
        <w:t>has served as a member of our Board since July 2021. Ms. Rotunno has served as General Counsel of El Camino Health, a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 system, since January 2014, and has served as a Member of the Executive Leadership Team at El Camino Health since August 2015. Ms. Rotunno is also Board Chair and a member of Audit, Executive/Governance and Nominations Committees for health 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Bachelor of Science in Nursing. She worked as a registered nurse before earning her Juris Doctor degree, cum laude, from the University of California, Hastings College of Law, San Francisco. She obtained certification by the Women’s Corporate Board Readiness Program at Santa Clara University and completed the Hastings Leadership Academy for Women and Dignity Health Ministry Leadership Program.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25" w:name="page126"/>
    <w:bookmarkEnd w:id="125"/>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We selected Ms. Rotunno to serve on our Board of Directors due to her extensive experience as an advocate for both patients and health care providers and her insights into strategies for value-based care and an understanding of the life cycle of the mental healthcare experience. Ms. Rotunno also brings insights on complex governance, regulatory and compliance requirements to complement her strategic vision and skills for scenario planning and enterprise risk management.</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Shawn K. Singh, J.D. </w:t>
      </w:r>
      <w:r>
        <w:rPr>
          <w:rFonts w:ascii="Times New Roman" w:cs="Times New Roman" w:eastAsia="Times New Roman" w:hAnsi="Times New Roman"/>
          <w:sz w:val="18"/>
          <w:szCs w:val="18"/>
          <w:color w:val="auto"/>
        </w:rPr>
        <w:t>has served as our Chief Executive Officer since August 2009, first as the Chief Executive Officer of VistaGen California, then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the Company after the Merger.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Greater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59</w:t>
            </w:r>
          </w:p>
        </w:tc>
        <w:tc>
          <w:tcPr>
            <w:tcW w:w="6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Mark A. Smith, M.D., Ph.D.</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66</w:t>
            </w: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Medical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M. Cunningham, MBA</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54</w:t>
            </w:r>
          </w:p>
        </w:tc>
        <w:tc>
          <w:tcPr>
            <w:tcW w:w="6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Director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Jerrold D. Dotson, CPA</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w:t>
            </w: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 Chief Financial Officer and Secretary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G. Adler, J.D.</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68</w:t>
            </w:r>
          </w:p>
        </w:tc>
        <w:tc>
          <w:tcPr>
            <w:tcW w:w="6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Legal Officer</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Shawn K. Singh, J.D. </w:t>
      </w:r>
      <w:r>
        <w:rPr>
          <w:rFonts w:ascii="Times New Roman" w:cs="Times New Roman" w:eastAsia="Times New Roman" w:hAnsi="Times New Roman"/>
          <w:sz w:val="18"/>
          <w:szCs w:val="18"/>
          <w:color w:val="auto"/>
        </w:rPr>
        <w:t>Please see Mr. Singh’s biography on page 124 of this Report, under the section 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Directors.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A. Smith, M.D., Ph.D. </w:t>
      </w:r>
      <w:r>
        <w:rPr>
          <w:rFonts w:ascii="Times New Roman" w:cs="Times New Roman" w:eastAsia="Times New Roman" w:hAnsi="Times New Roman"/>
          <w:sz w:val="18"/>
          <w:szCs w:val="18"/>
          <w:color w:val="auto"/>
        </w:rPr>
        <w:t>has served as our Chief Medical Officer since June 2016. Dr. Smith served as the Clinical Lead for Neuropsychiatry at Teva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Ann M. Cunningham, MBA. </w:t>
      </w:r>
      <w:r>
        <w:rPr>
          <w:rFonts w:ascii="Times New Roman" w:cs="Times New Roman" w:eastAsia="Times New Roman" w:hAnsi="Times New Roman"/>
          <w:sz w:val="18"/>
          <w:szCs w:val="18"/>
          <w:color w:val="auto"/>
        </w:rPr>
        <w:t>Please see Ms. Cunningham’s biography on page 122 of this Report, under the section 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Directors.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6" w:name="page127"/>
    <w:bookmarkEnd w:id="126"/>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Jerrold D. Dotson, CPA </w:t>
      </w:r>
      <w:r>
        <w:rPr>
          <w:rFonts w:ascii="Times New Roman" w:cs="Times New Roman" w:eastAsia="Times New Roman" w:hAnsi="Times New Roman"/>
          <w:sz w:val="18"/>
          <w:szCs w:val="18"/>
          <w:color w:val="auto"/>
        </w:rPr>
        <w:t>has served as our Chief Financial Officer since September 2011, as our Corporate Secretary since October 2013 and as a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Reid G. Adler, J.D. </w:t>
      </w:r>
      <w:r>
        <w:rPr>
          <w:rFonts w:ascii="Times New Roman" w:cs="Times New Roman" w:eastAsia="Times New Roman" w:hAnsi="Times New Roman"/>
          <w:sz w:val="18"/>
          <w:szCs w:val="18"/>
          <w:color w:val="auto"/>
        </w:rPr>
        <w:t>was appointed as our Chief Legal Officer on May 2, 2022. Prior to joining the Company, Mr. Adler was in private law practice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2011 to 2022, during which time he founded Capital Technology Law Group in 2019 and served as co-managing partner. While in private practice, Mr. Adler represented the Company with respect to certain technology transaction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NIH Office of Technology Transfer, where he recruited a team of over 40 people involved in the translation of research projects into health care products. Mr. Adler holds a B.S. degree in Chemistry from the University of Maryland and a J.D. from George Washington University.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currently consists of seven members and, accordingly, there are no vacancies on our Board. All actions of the Board require the approval of a majority of the directors in attendance at a meeting at which a quorum is present.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Board of Directors, Committee and Stockholder Meetings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met virtually three times and acted by unanimous written consent six times during our fiscal year ended March 31, 2022. Our Audit Committee met virtually four times. Our Compensation Committee met virtually two times and acted by unanimous written consent nine times with respect to executive compensation matters and grants of equity securities, including to new employees. Our Corporate Governance and Nominating Committee requested action by the entire Board with respect to appointment of new Board members and re-election of members of our Board and other resolutions presented to our stockholders at our September 2021 Annual Meeting of Stockholders and Board committee assignments. Each director serving during our fiscal year ended March 31, 2022 attended all of the meetings of the Board and the committees of the Board upon which such director served that were held during the fiscal year.</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the Board at our annual meetings of stockholders, but directors are encouraged to attend. Due to the continuing COVID-19 pandemic, we held our 2021 Annual Meeting of Stockholders in an on-line virtual format. Each of our directors attended our 2021 Annual Meeting of Stockholders virtually.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Ms. Curley, Ms. FitzPatrick, Mr. Gin and Ms. Rotunno are each “independent” as that term is defined by the rules of the Nasdaq Stock Market. In making these determinations, our Board considered the current and prior relationships that each nonemployee director has with the Company and all other facts and circumstances that our Board deemed relevant.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Charters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Corporate Governance and Nominating Committee. Independent directors currently serving on each committee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 and</w:t>
            </w:r>
          </w:p>
        </w:tc>
      </w:tr>
      <w:tr>
        <w:trPr>
          <w:trHeight w:val="237"/>
        </w:trPr>
        <w:tc>
          <w:tcPr>
            <w:tcW w:w="306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Audit Committee</w:t>
            </w:r>
          </w:p>
        </w:tc>
        <w:tc>
          <w:tcPr>
            <w:tcW w:w="2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Nominating Committee</w:t>
            </w:r>
          </w:p>
        </w:tc>
      </w:tr>
      <w:tr>
        <w:trPr>
          <w:trHeight w:val="20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S. Saxe, J.D., LL.M.</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Joanne Curley, Ph.D.</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Member</w:t>
            </w:r>
          </w:p>
        </w:tc>
      </w:tr>
      <w:tr>
        <w:trPr>
          <w:trHeight w:val="21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Margaret M. FitzPatrick, M.A.</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Member</w:t>
            </w:r>
          </w:p>
        </w:tc>
      </w:tr>
      <w:tr>
        <w:trPr>
          <w:trHeight w:val="21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Jerry B. Gin, Ph.D.</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L. Rotunno, J.D.</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r>
    </w:tbl>
    <w:p>
      <w:pPr>
        <w:spacing w:after="0" w:line="19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Members serve on these committees until their resignation or until otherwise determined by our Board. Since April 1, 2017, only our independent directors serve as members of these committees.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our fiscal year ended March 31, 2022, the Audit Committee of our Board consisted of Mr. Saxe, who serves as the committee chairman, Dr. Gin and Ms. Rotunno. Mr. Saxe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Under its charter, our Audit Committee is primarily responsible for, among other things, the following:</w:t>
      </w:r>
    </w:p>
    <w:p>
      <w:pPr>
        <w:spacing w:after="0" w:line="186" w:lineRule="exact"/>
        <w:rPr>
          <w:sz w:val="20"/>
          <w:szCs w:val="20"/>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replacing our independent auditors and evaluating their qualifications, independence and performance;</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scope of the annual audit and audit fees;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rotation of partners of independent auditors on engagement team as required by law;</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the results of annual audit and review of quarterly financial statements;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adequacy and effectiveness of internal control policies and procedures;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retention of independent auditors to perform any proposed permissible non-audit services;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internal audit functions and annually reviewing audit committee charter and committee performance;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During our fiscal year ended March 31, 2022, the Compensation Committee of our Board was composed of Dr. Gin, who served as the committee chairman and Mr. Saxe. Our Compensation Committee charter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Under its charter, the Compensation Committee is primarily responsible for, among other things, the following:</w:t>
      </w:r>
    </w:p>
    <w:p>
      <w:pPr>
        <w:spacing w:after="0" w:line="177" w:lineRule="exact"/>
        <w:rPr>
          <w:sz w:val="20"/>
          <w:szCs w:val="20"/>
          <w:color w:val="auto"/>
        </w:rPr>
      </w:pPr>
    </w:p>
    <w:p>
      <w:pPr>
        <w:ind w:left="660" w:right="340" w:hanging="330"/>
        <w:spacing w:after="0" w:line="259"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reviewing and approving our compensation programs and arrangements applicable to our executive officers (as defined in Rule I 6a-I (f)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8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objectives of our executive officer compensation programs;</w:t>
      </w:r>
    </w:p>
    <w:p>
      <w:pPr>
        <w:spacing w:after="0" w:line="222" w:lineRule="exact"/>
        <w:rPr>
          <w:rFonts w:ascii="Times New Roman" w:cs="Times New Roman" w:eastAsia="Times New Roman" w:hAnsi="Times New Roman"/>
          <w:sz w:val="18"/>
          <w:szCs w:val="18"/>
          <w:color w:val="auto"/>
        </w:rPr>
      </w:pPr>
    </w:p>
    <w:p>
      <w:pPr>
        <w:ind w:left="660" w:right="100" w:hanging="330"/>
        <w:spacing w:after="0" w:line="28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corporate performance measures and goals regarding executive officer compensation are set and determining the extent to which they are achieved and any related compensation earned;</w:t>
      </w:r>
    </w:p>
    <w:p>
      <w:pPr>
        <w:spacing w:after="0" w:line="161" w:lineRule="exact"/>
        <w:rPr>
          <w:rFonts w:ascii="Times New Roman" w:cs="Times New Roman" w:eastAsia="Times New Roman" w:hAnsi="Times New Roman"/>
          <w:sz w:val="18"/>
          <w:szCs w:val="18"/>
          <w:color w:val="auto"/>
        </w:rPr>
      </w:pPr>
    </w:p>
    <w:p>
      <w:pPr>
        <w:ind w:left="660" w:right="340" w:hanging="330"/>
        <w:spacing w:after="0" w:line="28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61" w:lineRule="exact"/>
        <w:rPr>
          <w:rFonts w:ascii="Times New Roman" w:cs="Times New Roman" w:eastAsia="Times New Roman" w:hAnsi="Times New Roman"/>
          <w:sz w:val="18"/>
          <w:szCs w:val="18"/>
          <w:color w:val="auto"/>
        </w:rPr>
      </w:pPr>
    </w:p>
    <w:p>
      <w:pPr>
        <w:ind w:left="660" w:right="180" w:hanging="330"/>
        <w:spacing w:after="0" w:line="264"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new equity compensation plan or any material change to an existing plan; and</w:t>
      </w:r>
    </w:p>
    <w:p>
      <w:pPr>
        <w:spacing w:after="0" w:line="222" w:lineRule="exact"/>
        <w:rPr>
          <w:rFonts w:ascii="Times New Roman" w:cs="Times New Roman" w:eastAsia="Times New Roman" w:hAnsi="Times New Roman"/>
          <w:sz w:val="18"/>
          <w:szCs w:val="18"/>
          <w:color w:val="auto"/>
        </w:rPr>
      </w:pPr>
    </w:p>
    <w:p>
      <w:pPr>
        <w:ind w:left="660" w:right="340" w:hanging="330"/>
        <w:spacing w:after="0" w:line="28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our fiscal year ended March 31, 2022, the Corporate Governance and Nominating Committee of our Board was composed of Ms. Rotunno, who served as the committee chairman, Dr. Curley and Ms. FitzPatrick. Ms. Cunningham’s prior membership on the committee terminated upon her acceptance of employment by the Company as Chief Commercial Officer effective May 1, 2021, when she was no longer considered an independent director under the standards established by the SEC and the rules of the Nasdaq Stock Market. Our Corporate Governance and Nominating Committee charter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Under its charter, the Corporate Governance and Nominating Committee is primarily responsible for, among other things, the following:</w:t>
      </w:r>
    </w:p>
    <w:p>
      <w:pPr>
        <w:spacing w:after="0" w:line="185" w:lineRule="exact"/>
        <w:rPr>
          <w:sz w:val="20"/>
          <w:szCs w:val="20"/>
          <w:color w:val="auto"/>
        </w:rPr>
      </w:pPr>
    </w:p>
    <w:p>
      <w:pPr>
        <w:ind w:left="660" w:hanging="330"/>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the Board;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with respect to the nominations or elections of our directors;</w:t>
      </w:r>
    </w:p>
    <w:p>
      <w:pPr>
        <w:spacing w:after="0" w:line="222" w:lineRule="exact"/>
        <w:rPr>
          <w:rFonts w:ascii="Times New Roman" w:cs="Times New Roman" w:eastAsia="Times New Roman" w:hAnsi="Times New Roman"/>
          <w:sz w:val="18"/>
          <w:szCs w:val="18"/>
          <w:color w:val="auto"/>
        </w:rPr>
      </w:pPr>
    </w:p>
    <w:p>
      <w:pPr>
        <w:ind w:left="660" w:right="280" w:hanging="330"/>
        <w:spacing w:after="0" w:line="28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corporate governance policies and procedures and our Code of Business Conduct and Ethics, and recommending any proposed changes to the Board for approval; and</w:t>
      </w:r>
    </w:p>
    <w:p>
      <w:pPr>
        <w:spacing w:after="0" w:line="161" w:lineRule="exact"/>
        <w:rPr>
          <w:rFonts w:ascii="Times New Roman" w:cs="Times New Roman" w:eastAsia="Times New Roman" w:hAnsi="Times New Roman"/>
          <w:sz w:val="18"/>
          <w:szCs w:val="18"/>
          <w:color w:val="auto"/>
        </w:rPr>
      </w:pPr>
    </w:p>
    <w:p>
      <w:pPr>
        <w:ind w:left="660" w:right="160" w:hanging="330"/>
        <w:spacing w:after="0" w:line="28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Compensation Committee of our Board currently consists of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Assessment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our employees, officers and directors. Our Code of Business Conduct and Ethics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Beneficial Ownership Reporting Compliance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Section 16(a) of the Exchange Act requires our officers, directors and persons who beneficially own more than ten percent of our common stock (collectively,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2022, all Reporting Persons complied with the applicable reporting requirements.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Objectives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year ended March 31, 2022,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NEOs for services performed in the fiscal years ended March 31, 2022 (</w:t>
      </w:r>
      <w:r>
        <w:rPr>
          <w:rFonts w:ascii="Times New Roman" w:cs="Times New Roman" w:eastAsia="Times New Roman" w:hAnsi="Times New Roman"/>
          <w:sz w:val="18"/>
          <w:szCs w:val="18"/>
          <w:i w:val="1"/>
          <w:iCs w:val="1"/>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w:t>
      </w:r>
      <w:r>
        <w:rPr>
          <w:rFonts w:ascii="Times New Roman" w:cs="Times New Roman" w:eastAsia="Times New Roman" w:hAnsi="Times New Roman"/>
          <w:sz w:val="18"/>
          <w:szCs w:val="18"/>
          <w:color w:val="auto"/>
        </w:rPr>
        <w:t>) and 2021 (</w:t>
      </w:r>
      <w:r>
        <w:rPr>
          <w:rFonts w:ascii="Times New Roman" w:cs="Times New Roman" w:eastAsia="Times New Roman" w:hAnsi="Times New Roman"/>
          <w:sz w:val="18"/>
          <w:szCs w:val="18"/>
          <w:i w:val="1"/>
          <w:iCs w:val="1"/>
          <w:color w:val="auto"/>
        </w:rPr>
        <w:t>Fiscal 2021</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240" w:type="dxa"/>
            <w:vAlign w:val="bottom"/>
          </w:tcPr>
          <w:p>
            <w:pPr>
              <w:spacing w:after="0"/>
              <w:rPr>
                <w:sz w:val="19"/>
                <w:szCs w:val="19"/>
                <w:color w:val="auto"/>
              </w:rPr>
            </w:pPr>
          </w:p>
        </w:tc>
        <w:tc>
          <w:tcPr>
            <w:tcW w:w="1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0"/>
              </w:rPr>
              <w:t xml:space="preserve">Bonus </w:t>
            </w:r>
            <w:r>
              <w:rPr>
                <w:rFonts w:ascii="Times New Roman" w:cs="Times New Roman" w:eastAsia="Times New Roman" w:hAnsi="Times New Roman"/>
                <w:sz w:val="29"/>
                <w:szCs w:val="29"/>
                <w:b w:val="1"/>
                <w:bCs w:val="1"/>
                <w:color w:val="auto"/>
                <w:w w:val="90"/>
                <w:vertAlign w:val="superscript"/>
              </w:rPr>
              <w:t>(7)</w:t>
            </w:r>
          </w:p>
        </w:tc>
        <w:tc>
          <w:tcPr>
            <w:tcW w:w="1320" w:type="dxa"/>
            <w:vAlign w:val="bottom"/>
            <w:gridSpan w:val="2"/>
          </w:tcPr>
          <w:p>
            <w:pPr>
              <w:jc w:val="center"/>
              <w:ind w:right="200"/>
              <w:spacing w:after="0" w:line="219" w:lineRule="exact"/>
              <w:rPr>
                <w:sz w:val="20"/>
                <w:szCs w:val="20"/>
                <w:color w:val="auto"/>
              </w:rPr>
            </w:pPr>
            <w:r>
              <w:rPr>
                <w:rFonts w:ascii="Times New Roman" w:cs="Times New Roman" w:eastAsia="Times New Roman" w:hAnsi="Times New Roman"/>
                <w:sz w:val="16"/>
                <w:szCs w:val="16"/>
                <w:b w:val="1"/>
                <w:bCs w:val="1"/>
                <w:color w:val="auto"/>
                <w:w w:val="99"/>
              </w:rPr>
              <w:t xml:space="preserve">Awards </w:t>
            </w:r>
            <w:r>
              <w:rPr>
                <w:rFonts w:ascii="Times New Roman" w:cs="Times New Roman" w:eastAsia="Times New Roman" w:hAnsi="Times New Roman"/>
                <w:sz w:val="25"/>
                <w:szCs w:val="25"/>
                <w:b w:val="1"/>
                <w:bCs w:val="1"/>
                <w:color w:val="auto"/>
                <w:w w:val="99"/>
                <w:vertAlign w:val="superscript"/>
              </w:rPr>
              <w:t>(1)(8)</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20" w:type="dxa"/>
            <w:vAlign w:val="bottom"/>
          </w:tcPr>
          <w:p>
            <w:pPr>
              <w:jc w:val="right"/>
              <w:ind w:right="392"/>
              <w:spacing w:after="0" w:line="171" w:lineRule="exact"/>
              <w:rPr>
                <w:sz w:val="20"/>
                <w:szCs w:val="20"/>
                <w:color w:val="auto"/>
              </w:rPr>
            </w:pPr>
            <w:r>
              <w:rPr>
                <w:rFonts w:ascii="Times New Roman" w:cs="Times New Roman" w:eastAsia="Times New Roman" w:hAnsi="Times New Roman"/>
                <w:sz w:val="15"/>
                <w:szCs w:val="15"/>
                <w:b w:val="1"/>
                <w:bCs w:val="1"/>
                <w:color w:val="auto"/>
              </w:rPr>
              <w:t>(9)</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3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Shawn K. Singh </w:t>
            </w:r>
            <w:r>
              <w:rPr>
                <w:rFonts w:ascii="Times New Roman" w:cs="Times New Roman" w:eastAsia="Times New Roman" w:hAnsi="Times New Roman"/>
                <w:sz w:val="24"/>
                <w:szCs w:val="24"/>
                <w:color w:val="auto"/>
                <w:vertAlign w:val="superscript"/>
              </w:rPr>
              <w:t>(2)</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269,960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333,660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439,618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Mark A. Smith, M.D., Ph.D. </w:t>
            </w:r>
            <w:r>
              <w:rPr>
                <w:rFonts w:ascii="Times New Roman" w:cs="Times New Roman" w:eastAsia="Times New Roman" w:hAnsi="Times New Roman"/>
                <w:sz w:val="24"/>
                <w:szCs w:val="24"/>
                <w:color w:val="auto"/>
                <w:vertAlign w:val="superscript"/>
              </w:rPr>
              <w:t>(3)</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448,750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134,613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422,638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125,055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219,445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Ann M. Cunningham </w:t>
            </w:r>
            <w:r>
              <w:rPr>
                <w:rFonts w:ascii="Times New Roman" w:cs="Times New Roman" w:eastAsia="Times New Roman" w:hAnsi="Times New Roman"/>
                <w:sz w:val="24"/>
                <w:szCs w:val="24"/>
                <w:color w:val="auto"/>
                <w:vertAlign w:val="superscript"/>
              </w:rPr>
              <w:t>(4)</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395,833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668,827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Jerrold D. Dotson </w:t>
            </w:r>
            <w:r>
              <w:rPr>
                <w:rFonts w:ascii="Times New Roman" w:cs="Times New Roman" w:eastAsia="Times New Roman" w:hAnsi="Times New Roman"/>
                <w:sz w:val="24"/>
                <w:szCs w:val="24"/>
                <w:color w:val="auto"/>
                <w:vertAlign w:val="superscript"/>
              </w:rPr>
              <w:t>(5)</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402,500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134,613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712,113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Vice President, Chief Financial</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110,250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219,399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Officer and Secretary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Reid G. Adler </w:t>
            </w:r>
            <w:r>
              <w:rPr>
                <w:rFonts w:ascii="Times New Roman" w:cs="Times New Roman" w:eastAsia="Times New Roman" w:hAnsi="Times New Roman"/>
                <w:sz w:val="24"/>
                <w:szCs w:val="24"/>
                <w:color w:val="auto"/>
                <w:vertAlign w:val="superscript"/>
              </w:rPr>
              <w:t>(6)</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660" w:hanging="330"/>
        <w:spacing w:after="0" w:line="254"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The amounts in this column do not represent any cash payments actually received by the NEOs with respect to any of such options to purchase shares of our common stock awarded to them during the periods presented. With the exception of Mr. Dotson, who in June 2021 exercised certain vested options granted during Fiscal 2021, none of the NEOs have exercised any of such options to purchase common stock granted during Fiscal 2022 or Fiscal 2021, and there can be no assurance that any of them will ever realize any of the ASC 718 grant date fair value amounts presented in the Option Awards column.</w:t>
      </w:r>
    </w:p>
    <w:p>
      <w:pPr>
        <w:spacing w:after="0" w:line="211" w:lineRule="exact"/>
        <w:rPr>
          <w:rFonts w:ascii="Times New Roman" w:cs="Times New Roman" w:eastAsia="Times New Roman" w:hAnsi="Times New Roman"/>
          <w:sz w:val="18"/>
          <w:szCs w:val="18"/>
          <w:color w:val="auto"/>
        </w:rPr>
      </w:pPr>
    </w:p>
    <w:p>
      <w:pPr>
        <w:jc w:val="both"/>
        <w:ind w:left="660" w:hanging="330"/>
        <w:spacing w:after="0" w:line="257"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Singh became Chief Executive Officer of VistaGen Therapeutics, Inc. (a California corporation)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on August 20, 2009 and our Chief Executive Officer in May 2011. Pursuant to his January 2010 employment agreement, as amended in June 2016, Mr. Singh’s annual base cash salary, was contractually set at $395,000. The Compensation Committee has since adjusted Mr. Singh’s base annual salary to $550,000 effective in January 2021 and to $600,000 effective in January 2022. Pursuant to his employment agreement, Mr. Singh is eligible to receive an annual cash incentive bonus of up to fifty percent (50%) of his base cash salary.</w:t>
      </w:r>
    </w:p>
    <w:p>
      <w:pPr>
        <w:spacing w:after="0" w:line="210"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Smith has served as our Chief Medical Officer since June 2016. During Fiscal 2021, Dr. Smith’s annual base cash salary was $440,000. The Compensation Committee adjusted Dr. Smith’s base annual salary to $475,000 effective in January 2022.</w:t>
      </w:r>
    </w:p>
    <w:p>
      <w:pPr>
        <w:spacing w:after="0" w:line="188"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Cunningham has served as our Chief Commercial Officer since May 2021. Her initial base cash salary upon her employment with the Company was $425,000. The Compensation Committee adjusted Ms. Cunningham’s base annual salary to $450,000 effective in January 2022. Cash compensation received by Ms. Cunningham during Fiscal 2022 as an independent director pursuant to her Board and Committee service prior to her employment by the Company is excluded from this table and is reflected in the Director Compensation table.</w:t>
      </w:r>
    </w:p>
    <w:p>
      <w:pPr>
        <w:spacing w:after="0" w:line="20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Dotson has served as our Chief Financial Officer since September 2011. During Fiscal 2021, Mr. Dotson’s annual base cash salary was $395,000. The Compensation Committee adjusted Mr. Dotson’s base annual salary to $425,000 effective in January 2022.</w:t>
      </w:r>
    </w:p>
    <w:p>
      <w:pPr>
        <w:spacing w:after="0" w:line="18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was appointed as the Company’s Chief Legal Officer in May 2022; accordingly no employee compensation or stock option grants are reported for him for either Fiscal 2022 or Fiscal 2021. Upon his employment with the Company, Mr. Adler’s annual base cash salary was set at $375,000.</w:t>
      </w:r>
    </w:p>
    <w:p>
      <w:pPr>
        <w:spacing w:after="0" w:line="203"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 Bonus column for Fiscal 2022 reflect bonuses awarded by the Compensation Committee that were earned during calendar year 2021 by each NEO for attainment of performance-based objectives during that period and paid in February 2022. Amounts reported in the Bonus column for Fiscal 2021 reflect bonuses awarded by the Compensation Committee and earned during the period from April 1, 2019 through December 31, 2020 by each NEO for attainment of performance-based objectives during that period and paid in December 2020.</w:t>
      </w:r>
    </w:p>
    <w:p>
      <w:pPr>
        <w:spacing w:after="0" w:line="208"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table below do not represent any cash payments actually received by the NEOs with respect to any of such options to purchase shares of our common stock awarded to them during Fiscal 2022. Rather, the table below provides information regarding the option awards we granted to the NEOs during Fiscal 2022 and the weighted average assumptions used in the Black Scholes Option Pricing Model to determine the grant date fair values of the respective awards.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111" w:gutter="0" w:footer="0" w:header="0"/>
        </w:sectPr>
      </w:pPr>
    </w:p>
    <w:bookmarkStart w:id="132" w:name="page133"/>
    <w:bookmarkEnd w:id="132"/>
    <w:tbl>
      <w:tblPr>
        <w:tblLayout w:type="fixed"/>
        <w:tblInd w:w="660" w:type="dxa"/>
        <w:tblCellMar>
          <w:top w:w="0" w:type="dxa"/>
          <w:left w:w="0" w:type="dxa"/>
          <w:bottom w:w="0" w:type="dxa"/>
          <w:right w:w="0" w:type="dxa"/>
        </w:tblCellMar>
      </w:tblPr>
      <w:tr>
        <w:trPr>
          <w:trHeight w:val="21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138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2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2022</w:t>
            </w:r>
          </w:p>
        </w:tc>
        <w:tc>
          <w:tcPr>
            <w:tcW w:w="13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5/1/2021</w:t>
            </w:r>
          </w:p>
        </w:tc>
        <w:tc>
          <w:tcPr>
            <w:tcW w:w="26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3/1/2022</w:t>
            </w:r>
          </w:p>
        </w:tc>
        <w:tc>
          <w:tcPr>
            <w:tcW w:w="42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269,960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134,613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533,536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135,291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668,827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Mr. Dotson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134,613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134,613</w:t>
            </w: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2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8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2022</w:t>
            </w:r>
          </w:p>
        </w:tc>
        <w:tc>
          <w:tcPr>
            <w:tcW w:w="28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5/1/2021</w:t>
            </w:r>
          </w:p>
        </w:tc>
        <w:tc>
          <w:tcPr>
            <w:tcW w:w="1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3/1/2022</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2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300,000</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2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150,000</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2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300,000</w:t>
            </w:r>
          </w:p>
        </w:tc>
        <w:tc>
          <w:tcPr>
            <w:tcW w:w="1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150,000</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Mr. Dotson</w:t>
            </w:r>
          </w:p>
        </w:tc>
        <w:tc>
          <w:tcPr>
            <w:tcW w:w="2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150,000</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80" w:type="dxa"/>
            <w:vAlign w:val="bottom"/>
          </w:tcPr>
          <w:p>
            <w:pPr>
              <w:spacing w:after="0"/>
              <w:rPr>
                <w:sz w:val="18"/>
                <w:szCs w:val="18"/>
                <w:color w:val="auto"/>
              </w:rPr>
            </w:pPr>
          </w:p>
        </w:tc>
        <w:tc>
          <w:tcPr>
            <w:tcW w:w="3240" w:type="dxa"/>
            <w:vAlign w:val="bottom"/>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134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5/1/2021</w:t>
            </w:r>
          </w:p>
        </w:tc>
        <w:tc>
          <w:tcPr>
            <w:tcW w:w="180" w:type="dxa"/>
            <w:vAlign w:val="bottom"/>
          </w:tcPr>
          <w:p>
            <w:pPr>
              <w:spacing w:after="0"/>
              <w:rPr>
                <w:sz w:val="20"/>
                <w:szCs w:val="20"/>
                <w:color w:val="auto"/>
              </w:rPr>
            </w:pPr>
          </w:p>
        </w:tc>
        <w:tc>
          <w:tcPr>
            <w:tcW w:w="32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3/1/2022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80" w:type="dxa"/>
            <w:vAlign w:val="bottom"/>
          </w:tcPr>
          <w:p>
            <w:pPr>
              <w:spacing w:after="0"/>
              <w:rPr>
                <w:sz w:val="18"/>
                <w:szCs w:val="18"/>
                <w:color w:val="auto"/>
              </w:rPr>
            </w:pPr>
          </w:p>
        </w:tc>
        <w:tc>
          <w:tcPr>
            <w:tcW w:w="32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32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5687060</wp:posOffset>
            </wp:positionH>
            <wp:positionV relativeFrom="paragraph">
              <wp:posOffset>-1228090</wp:posOffset>
            </wp:positionV>
            <wp:extent cx="1143635" cy="136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43635" cy="136525"/>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-955040</wp:posOffset>
            </wp:positionV>
            <wp:extent cx="1143635" cy="136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43635" cy="136525"/>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-681990</wp:posOffset>
            </wp:positionV>
            <wp:extent cx="1143635" cy="136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43635" cy="136525"/>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-408940</wp:posOffset>
            </wp:positionV>
            <wp:extent cx="1143635" cy="136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43635" cy="136525"/>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-135890</wp:posOffset>
            </wp:positionV>
            <wp:extent cx="1143635" cy="136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43635" cy="136525"/>
                    </a:xfrm>
                    <a:prstGeom prst="rect">
                      <a:avLst/>
                    </a:prstGeom>
                    <a:noFill/>
                  </pic:spPr>
                </pic:pic>
              </a:graphicData>
            </a:graphic>
          </wp:anchor>
        </w:drawing>
      </w:r>
    </w:p>
    <w:p>
      <w:pPr>
        <w:spacing w:after="0" w:line="204" w:lineRule="exact"/>
        <w:rPr>
          <w:sz w:val="20"/>
          <w:szCs w:val="20"/>
          <w:color w:val="auto"/>
        </w:rPr>
      </w:pPr>
    </w:p>
    <w:p>
      <w:pPr>
        <w:ind w:left="660" w:right="80" w:hanging="330"/>
        <w:spacing w:after="0" w:line="259"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table below do not represent any cash payments actually received by the NEOs with respect to any of such options to purchase shares of our common stock awarded to them during the period presented. Rather, the table below provides information regarding the option awards we granted to the NEOs during Fiscal 2022 and the assumptions used in the Black Scholes Option Pricing Model to determine the grant date fair values of the respective awards.</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2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138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4/23/2020</w:t>
            </w:r>
          </w:p>
        </w:tc>
        <w:tc>
          <w:tcPr>
            <w:tcW w:w="260" w:type="dxa"/>
            <w:vAlign w:val="bottom"/>
          </w:tcPr>
          <w:p>
            <w:pPr>
              <w:spacing w:after="0"/>
              <w:rPr>
                <w:sz w:val="20"/>
                <w:szCs w:val="20"/>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12/30/2020</w:t>
            </w:r>
          </w:p>
        </w:tc>
        <w:tc>
          <w:tcPr>
            <w:tcW w:w="42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359,214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439,618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179,257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219,445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Dotson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40,177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179,222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219,399</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Shares Granted -</w:t>
            </w:r>
          </w:p>
        </w:tc>
        <w:tc>
          <w:tcPr>
            <w:tcW w:w="2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8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28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4/23/2020</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12/30/2020</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2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300,000</w:t>
            </w:r>
          </w:p>
        </w:tc>
        <w:tc>
          <w:tcPr>
            <w:tcW w:w="1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300,000</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2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150,000</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150,000</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Dotson</w:t>
            </w:r>
          </w:p>
        </w:tc>
        <w:tc>
          <w:tcPr>
            <w:tcW w:w="2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150,000</w:t>
            </w:r>
          </w:p>
        </w:tc>
        <w:tc>
          <w:tcPr>
            <w:tcW w:w="1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150,000</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220" w:type="dxa"/>
            <w:vAlign w:val="bottom"/>
          </w:tcPr>
          <w:p>
            <w:pPr>
              <w:spacing w:after="0"/>
              <w:rPr>
                <w:sz w:val="18"/>
                <w:szCs w:val="18"/>
                <w:color w:val="auto"/>
              </w:rPr>
            </w:pPr>
          </w:p>
        </w:tc>
        <w:tc>
          <w:tcPr>
            <w:tcW w:w="3200" w:type="dxa"/>
            <w:vAlign w:val="bottom"/>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134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4/23/2020</w:t>
            </w:r>
          </w:p>
        </w:tc>
        <w:tc>
          <w:tcPr>
            <w:tcW w:w="220" w:type="dxa"/>
            <w:vAlign w:val="bottom"/>
          </w:tcPr>
          <w:p>
            <w:pPr>
              <w:spacing w:after="0"/>
              <w:rPr>
                <w:sz w:val="20"/>
                <w:szCs w:val="20"/>
                <w:color w:val="auto"/>
              </w:rPr>
            </w:pPr>
          </w:p>
        </w:tc>
        <w:tc>
          <w:tcPr>
            <w:tcW w:w="320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12/30/2020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0.398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220" w:type="dxa"/>
            <w:vAlign w:val="bottom"/>
          </w:tcPr>
          <w:p>
            <w:pPr>
              <w:spacing w:after="0"/>
              <w:rPr>
                <w:sz w:val="18"/>
                <w:szCs w:val="18"/>
                <w:color w:val="auto"/>
              </w:rPr>
            </w:pPr>
          </w:p>
        </w:tc>
        <w:tc>
          <w:tcPr>
            <w:tcW w:w="32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84.27%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32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5755640</wp:posOffset>
            </wp:positionH>
            <wp:positionV relativeFrom="paragraph">
              <wp:posOffset>-1228090</wp:posOffset>
            </wp:positionV>
            <wp:extent cx="1075055" cy="136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75055" cy="13652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-955040</wp:posOffset>
            </wp:positionV>
            <wp:extent cx="1075055" cy="136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75055" cy="13652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-681990</wp:posOffset>
            </wp:positionV>
            <wp:extent cx="1075055" cy="136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75055" cy="13652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-408940</wp:posOffset>
            </wp:positionV>
            <wp:extent cx="1075055" cy="136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75055" cy="13652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-135890</wp:posOffset>
            </wp:positionV>
            <wp:extent cx="1075055" cy="136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75055" cy="136525"/>
                    </a:xfrm>
                    <a:prstGeom prst="rect">
                      <a:avLst/>
                    </a:prstGeom>
                    <a:noFill/>
                  </pic:spPr>
                </pic:pic>
              </a:graphicData>
            </a:graphic>
          </wp:anchor>
        </w:drawing>
      </w:r>
    </w:p>
    <w:p>
      <w:pPr>
        <w:spacing w:after="0" w:line="17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No NEO is entitled to receive, nor has any NEO received, any perquisites or other personal benefits that, in the aggregate, are worth over $50,000 or over 10% of her or his base salary.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officers or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Following the approval of our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2022, four six-month option periods have been completed under the 2019 ESPP. The table below indicates the number of shares purchased by each NEO and the per share purchase price for each option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Purchase Period Ended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June 30,</w:t>
            </w:r>
          </w:p>
        </w:tc>
        <w:tc>
          <w:tcPr>
            <w:tcW w:w="1320" w:type="dxa"/>
            <w:vAlign w:val="bottom"/>
            <w:gridSpan w:val="3"/>
          </w:tcPr>
          <w:p>
            <w:pPr>
              <w:ind w:left="60"/>
              <w:spacing w:after="0" w:line="190" w:lineRule="exact"/>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16"/>
                <w:szCs w:val="16"/>
                <w:color w:val="auto"/>
              </w:rPr>
            </w:pPr>
          </w:p>
        </w:tc>
        <w:tc>
          <w:tcPr>
            <w:tcW w:w="1160" w:type="dxa"/>
            <w:vAlign w:val="bottom"/>
            <w:gridSpan w:val="2"/>
          </w:tcPr>
          <w:p>
            <w:pPr>
              <w:jc w:val="right"/>
              <w:ind w:right="480"/>
              <w:spacing w:after="0" w:line="190" w:lineRule="exact"/>
              <w:rPr>
                <w:sz w:val="20"/>
                <w:szCs w:val="20"/>
                <w:color w:val="auto"/>
              </w:rPr>
            </w:pPr>
            <w:r>
              <w:rPr>
                <w:rFonts w:ascii="Times New Roman" w:cs="Times New Roman" w:eastAsia="Times New Roman" w:hAnsi="Times New Roman"/>
                <w:sz w:val="18"/>
                <w:szCs w:val="18"/>
                <w:color w:val="auto"/>
              </w:rPr>
              <w:t>June 30,</w:t>
            </w:r>
          </w:p>
        </w:tc>
        <w:tc>
          <w:tcPr>
            <w:tcW w:w="112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purchase price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0.4480</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0.4521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1.9465</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purchased by: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Singh</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 Smith</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Ms. Cunningham</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Mr. Dotson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Adler</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option period under the 2019 ESPP will end on June 30, 2022.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Outstanding Warrants and Options at March 31, 2022</w:t>
      </w:r>
    </w:p>
    <w:p>
      <w:pPr>
        <w:spacing w:after="0" w:line="227" w:lineRule="exact"/>
        <w:rPr>
          <w:sz w:val="20"/>
          <w:szCs w:val="20"/>
          <w:color w:val="auto"/>
        </w:rPr>
      </w:pPr>
    </w:p>
    <w:p>
      <w:pPr>
        <w:ind w:right="300"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provides information regarding each unexercised stock option and warrant to purchase shares of our common stock held by each of the NEOs as of March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Stock Options and Warrants at March 31, 2022</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and Warrants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and</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48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 Unexercisable</w:t>
            </w:r>
          </w:p>
        </w:tc>
        <w:tc>
          <w:tcPr>
            <w:tcW w:w="480" w:type="dxa"/>
            <w:vAlign w:val="bottom"/>
          </w:tcPr>
          <w:p>
            <w:pPr>
              <w:spacing w:after="0"/>
              <w:rPr>
                <w:sz w:val="20"/>
                <w:szCs w:val="20"/>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6/19/2026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175,000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9/19/2027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78,334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1,666</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148,750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21,250</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290,624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9,375</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0.398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215,625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84,375</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225,000</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2,300,334</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341,666</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Mark A. Smith</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6/19/2026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9/19/2027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143,750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6,2500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145,313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4,687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42,187</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112,500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1,319,376</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166,624</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M. Cunningham</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47,917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2,083</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72,656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53,906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21,094</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300,000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112,500</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311,979</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438,021</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5,001</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6/19/2026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9/19/2027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6,250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135,489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4,687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42,187</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112,500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1,080,178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165,624</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Reid G. Adler (10)</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9/19/2027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24,219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781</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0.398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4" w:right="339" w:bottom="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4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2.74</w:t>
            </w: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7/16/2031</w:t>
            </w:r>
          </w:p>
        </w:tc>
      </w:tr>
      <w:tr>
        <w:trPr>
          <w:trHeight w:val="215"/>
        </w:trPr>
        <w:tc>
          <w:tcPr>
            <w:tcW w:w="264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1.37</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3/1/2032</w:t>
            </w:r>
          </w:p>
        </w:tc>
      </w:tr>
      <w:tr>
        <w:trPr>
          <w:trHeight w:val="236"/>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184,219</w:t>
            </w:r>
          </w:p>
        </w:tc>
        <w:tc>
          <w:tcPr>
            <w:tcW w:w="10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63,281</w:t>
            </w: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10"/>
        </w:trPr>
        <w:tc>
          <w:tcPr>
            <w:tcW w:w="2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133</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4"/>
        </w:trPr>
        <w:tc>
          <w:tcPr>
            <w:tcW w:w="26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36" w:name="page137"/>
    <w:bookmarkEnd w:id="136"/>
    <w:p>
      <w:pPr>
        <w:jc w:val="both"/>
        <w:ind w:left="500" w:hanging="493"/>
        <w:spacing w:after="0" w:line="259"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became fully exercisable. The exercise price of the option was reduced to $1.50 per share on August 29, 2018.</w:t>
      </w:r>
    </w:p>
    <w:p>
      <w:pPr>
        <w:spacing w:after="0" w:line="208"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May 23, 2022, when all shares granted will be fully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$0.398 per share granted on April 23, 2020 when the market price of our common stock was $0.398 per share. The option became exercisable for 25% of the shares granted immediately upon grant, with the remaining shares becoming exercisable ratably monthly through April 23, 2022, when all shares granted will be fully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$1.77 per share granted on December 30, 2020 when the market price of our common stock was $1.77 per share. The option became exercisable for 25% of the shares granted immediately upon grant, with the remaining shares becoming exercisable ratably monthly through December 30, 2022, when all shares granted will be fully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$1.37 per share granted on March 1, 2022 when the market price of our common stock was $1.37 per share. The option became exercisable for 25% of the shares granted immediately upon grant, with the remaining shares becoming exercisable ratably monthly through March 1, 2024, when all shares granted will be fully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59"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$2.53 per share granted to Ms.Cuningham upon commencemnt of her employment by the Company on May 1, 2021 when the market price of our common stock was $2.53 per share. The option becomes exercisable for 25% of the shares granted on the first anniversary of the grant date, with the remaining 75% of the shares becoming exercisable ratably monthly through May 1, 2025, when all shares granted will be fully exercisable.</w:t>
      </w:r>
    </w:p>
    <w:p>
      <w:pPr>
        <w:spacing w:after="0" w:line="208" w:lineRule="exact"/>
        <w:rPr>
          <w:rFonts w:ascii="Times New Roman" w:cs="Times New Roman" w:eastAsia="Times New Roman" w:hAnsi="Times New Roman"/>
          <w:sz w:val="18"/>
          <w:szCs w:val="18"/>
          <w:color w:val="auto"/>
        </w:rPr>
      </w:pPr>
    </w:p>
    <w:p>
      <w:pPr>
        <w:jc w:val="both"/>
        <w:ind w:left="500" w:hanging="493"/>
        <w:spacing w:after="0" w:line="255"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to purchase shares of our common stock reflected in this table were awarded to Mr. Adler for services to the Company as a legal advisor prior to his employment by the Company effective May 1, 2022. On May 2, 2022, when the market price of our common stock was $1.28 per share, in conjunction with the commencement of his employment by the Company, Mr. Adler was granted an option to purchase 200,000 shares of our common stock at an exercise price of $1.28 per share. The option becomes exercisable for 25% of the shares granted on the first anniversary of the grant date, with the remaining 75% of the shares becoming exercisable ratably monthly through May 2, 2026, when all shares granted will be fully exercisable</w:t>
      </w:r>
    </w:p>
    <w:p>
      <w:pPr>
        <w:spacing w:after="0" w:line="212"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$2.74 per share granted on July 16, 2021 when the market price of our common stock was $2.74 per share. The option became exercisable for 25% of the shares granted immediately upon grant, with the remaining shares becoming exercisable ratably monthly through July 16, 2023, when all shares granted will be fully exercisable.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or Severance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an employment agreement with Mr. Singh, the material terms of which are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Mr. Singh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to $498,000 effective in April 2019, to $550,000 effective in January 2021 and to $600,000 effective in January 2022. Under his agreement, Mr. Singh is eligible to receive an annual incentive cash bonus of up to 50% of his base salary. The Compensation Committee awarded Mr. Singh a cash bonus of $350,000 in February 2022 for attainment of performance-based objectives during calendar 2021 and $333,660 in December 2020 for attainment of performance-based objectives during the period from April 1, 2019 through December 31, 2020. The award of his incentive bonus, if any, is at the discretion of the Compensation Committee of our Board of Directors. In the event we terminate Mr. Singh’s employment without cause, he is entitled to receive severance in an amount equal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7" w:name="page138"/>
    <w:bookmarkEnd w:id="137"/>
    <w:p>
      <w:pPr>
        <w:ind w:left="660" w:hanging="330"/>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22"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incentive cash bonus that the Board of Directors determines in good faith that Mr. Singh earned prior to his termination; and</w:t>
      </w:r>
    </w:p>
    <w:p>
      <w:pPr>
        <w:spacing w:after="0" w:line="159" w:lineRule="exact"/>
        <w:rPr>
          <w:rFonts w:ascii="Times New Roman" w:cs="Times New Roman" w:eastAsia="Times New Roman" w:hAnsi="Times New Roman"/>
          <w:sz w:val="18"/>
          <w:szCs w:val="18"/>
          <w:color w:val="auto"/>
        </w:rPr>
      </w:pPr>
    </w:p>
    <w:p>
      <w:pPr>
        <w:ind w:left="660" w:right="80" w:hanging="330"/>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such twelve-month period.</w:t>
      </w:r>
    </w:p>
    <w:p>
      <w:pPr>
        <w:spacing w:after="0" w:line="16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his employment agreement, Mr. Singh is entitled to severance if he terminates his employment for good reason after a change of control. Under his agreement, “good reason” means any of the following events, if we affect the event without Mr. Singh’s consent (subject to our right to cure):</w:t>
      </w:r>
    </w:p>
    <w:p>
      <w:pPr>
        <w:spacing w:after="0" w:line="162" w:lineRule="exact"/>
        <w:rPr>
          <w:sz w:val="20"/>
          <w:szCs w:val="20"/>
          <w:color w:val="auto"/>
        </w:rPr>
      </w:pPr>
    </w:p>
    <w:p>
      <w:pPr>
        <w:ind w:left="660" w:hanging="330"/>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responsibility; or</w:t>
      </w:r>
    </w:p>
    <w:p>
      <w:pPr>
        <w:spacing w:after="0" w:line="222"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base salary except for reductions that are comparable to reductions generally applicable to similarly situated executives of VistaGen.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Furthermore, pursuant to his employment agreement and his stock option award agreements, 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Mr. Singh’s employment agreement,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Mr. Singh’s employment agreement, the estimated amount that could be paid by us assuming that a change of control occurred on the last business day of our current fiscal year, is $600,000 for Mr. Singh, excluding any pro-rated portion of an annual or periodic bonus and the imputed value of accelerated vesting of stock options, if 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Effective April 1, 2021, our Board adopted a director compensation policy for the independent directors of our Board, as “independent” is defined by the rules of the Nasdaq Stock Market, the details of which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Schedule of Director Fees, effective April 1,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1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Cash(1)</w:t>
            </w:r>
          </w:p>
        </w:tc>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Equity(2)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100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directors serving on the Board will be entitled</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Audit Committee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 the following equity awards: (i) a one-time grant of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1000" w:type="dxa"/>
            <w:vAlign w:val="bottom"/>
            <w:gridSpan w:val="2"/>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upon appointment to the Board in an amount to be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1000" w:type="dxa"/>
            <w:vAlign w:val="bottom"/>
            <w:gridSpan w:val="2"/>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at  the  sole  discretion  of  the  Compensation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and (ii) an annual grant of stock options or</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to be determined at the sole discretion of the</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Chair</w:t>
            </w:r>
          </w:p>
        </w:tc>
        <w:tc>
          <w:tcPr>
            <w:tcW w:w="1000" w:type="dxa"/>
            <w:vAlign w:val="bottom"/>
            <w:gridSpan w:val="2"/>
          </w:tcPr>
          <w:p>
            <w:pPr>
              <w:jc w:val="right"/>
              <w:ind w:right="714"/>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10,000</w:t>
            </w:r>
          </w:p>
        </w:tc>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1000" w:type="dxa"/>
            <w:vAlign w:val="bottom"/>
            <w:gridSpan w:val="2"/>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-1364615</wp:posOffset>
            </wp:positionV>
            <wp:extent cx="2917825" cy="1092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17825" cy="1092200"/>
                    </a:xfrm>
                    <a:prstGeom prst="rect">
                      <a:avLst/>
                    </a:prstGeom>
                    <a:noFill/>
                  </pic:spPr>
                </pic:pic>
              </a:graphicData>
            </a:graphic>
          </wp:anchor>
        </w:drawing>
      </w:r>
    </w:p>
    <w:p>
      <w:pPr>
        <w:spacing w:after="0" w:line="190" w:lineRule="exact"/>
        <w:rPr>
          <w:sz w:val="20"/>
          <w:szCs w:val="20"/>
          <w:color w:val="auto"/>
        </w:rPr>
      </w:pPr>
    </w:p>
    <w:p>
      <w:pPr>
        <w:ind w:left="340" w:hanging="333"/>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fees payable in quarterly installments.</w:t>
      </w:r>
    </w:p>
    <w:p>
      <w:pPr>
        <w:spacing w:after="0" w:line="222"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issued pursuant to the Director Compensation Plan will be issued pursuant to the 2019 Plan, (defined below) or a successor plan, if any. Each award issued under the Director Compensation Plan will vest in equal monthly installments over a 12-month period beginning on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-702945</wp:posOffset>
            </wp:positionV>
            <wp:extent cx="7169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8" w:name="page139"/>
    <w:bookmarkEnd w:id="13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noted previously, Dr. Curley was appointed to our Board in April 2021 and Ms. FitzPatrick and Ms. Rotunno were appointed to the Board during July 2021. Upon appointment, each new director was granted an option to purchase 75,000 shares of our common stock under the terms of our 2019 Omnibus Equity Incentive Plan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at an exercise price equal to the market price of our common stock on their respective date of appointment. The options become exercisable ratably monthly over the 12 months following the date of grant. On May 1, 2021, Ms. Cunningham joined the Company as our Chief Commercial Officer and, accordingly, she was no longer considered an independent director under the standards established by the SEC and the rules of the Nasdaq Stock Market. Dr. Underdown retired from the Board on July 21, 2021, prior to Ms. FitzPatrick’s appointment. Dr. Curley, Ms. FitzPatrick, Ms. Rotunno, Ms. Cunningham and Mr. Underdown were each paid cash compensation for their Board and committee service for the portion of the fiscal year ended March 31, 2022 during which they were considered independent directors.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March 1, 2022, we granted to each of our five current independent directors an option to purchase 100,000 shares of our common stock at an exercise price of $1.37 per share under the terms of our 2019 Plan. Each option becomes exercisable ratably monthly over the 12 months following the date of grant and each grant expires ten years after the date of grant.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independent, non-employee directors in our fiscal year ended March 31,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Awards(2)(11)</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S. Saxe (4)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71,250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160,639</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Joanne Curley </w:t>
            </w:r>
            <w:r>
              <w:rPr>
                <w:rFonts w:ascii="Times New Roman" w:cs="Times New Roman" w:eastAsia="Times New Roman" w:hAnsi="Times New Roman"/>
                <w:sz w:val="24"/>
                <w:szCs w:val="24"/>
                <w:color w:val="auto"/>
                <w:vertAlign w:val="superscript"/>
              </w:rPr>
              <w:t>(5)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51,563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196,824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248,387</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M. Cunningham (6)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Margaret M. FitzPatrick </w:t>
            </w:r>
            <w:r>
              <w:rPr>
                <w:rFonts w:ascii="Times New Roman" w:cs="Times New Roman" w:eastAsia="Times New Roman" w:hAnsi="Times New Roman"/>
                <w:sz w:val="24"/>
                <w:szCs w:val="24"/>
                <w:color w:val="auto"/>
                <w:vertAlign w:val="superscript"/>
              </w:rPr>
              <w:t>(7)</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38,111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234,059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272,170</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B. Gin (8)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71,563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160,952</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Mary L. Rotunno </w:t>
            </w:r>
            <w:r>
              <w:rPr>
                <w:rFonts w:ascii="Times New Roman" w:cs="Times New Roman" w:eastAsia="Times New Roman" w:hAnsi="Times New Roman"/>
                <w:sz w:val="24"/>
                <w:szCs w:val="24"/>
                <w:color w:val="auto"/>
                <w:vertAlign w:val="superscript"/>
              </w:rPr>
              <w:t>(9)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51,359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254,145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305,504</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Brian J. Underdown </w:t>
            </w:r>
            <w:r>
              <w:rPr>
                <w:rFonts w:ascii="Times New Roman" w:cs="Times New Roman" w:eastAsia="Times New Roman" w:hAnsi="Times New Roman"/>
                <w:sz w:val="24"/>
                <w:szCs w:val="24"/>
                <w:color w:val="auto"/>
                <w:vertAlign w:val="superscript"/>
              </w:rPr>
              <w:t>(10)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23,030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23,030</w:t>
            </w:r>
          </w:p>
        </w:tc>
      </w:tr>
    </w:tbl>
    <w:p>
      <w:pPr>
        <w:spacing w:after="0" w:line="197" w:lineRule="exact"/>
        <w:rPr>
          <w:sz w:val="20"/>
          <w:szCs w:val="20"/>
          <w:color w:val="auto"/>
        </w:rPr>
      </w:pPr>
    </w:p>
    <w:p>
      <w:pPr>
        <w:ind w:left="500" w:hanging="493"/>
        <w:spacing w:after="0" w:line="280"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fees earned for service on our Board, and Audit Committee, Compensation Committee and Corporate Governance and Nominating Committee during Fiscal 2022, which amounts were paid in full during Fiscal 2022.</w:t>
      </w:r>
    </w:p>
    <w:p>
      <w:pPr>
        <w:spacing w:after="0" w:line="161" w:lineRule="exact"/>
        <w:rPr>
          <w:rFonts w:ascii="Times New Roman" w:cs="Times New Roman" w:eastAsia="Times New Roman" w:hAnsi="Times New Roman"/>
          <w:sz w:val="18"/>
          <w:szCs w:val="18"/>
          <w:color w:val="auto"/>
        </w:rPr>
      </w:pPr>
    </w:p>
    <w:p>
      <w:pPr>
        <w:jc w:val="both"/>
        <w:ind w:left="500" w:hanging="493"/>
        <w:spacing w:after="0" w:line="254"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do not represent any cash payments actually received by Mr. Saxe, Ms.Curley, Ms. FitzPatrick, Dr. Gin or Ms. Rotunno with respect to any of such stock options awarded to them during Fiscal 2022. Rather, the amounts represent the aggregate grant date fair value of options to purchase shares of our common stock awarded to each of Mr. Saxe, Ms.Curley, Ms. FitzPatrick, Dr. Gin and Ms. Rotunno during Fiscal 2022,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To date, Mr. Saxe, Ms.Curley, Ms. FitzPatrick, Dr. Gin and Ms. Rotunno have not exercised any of the options granted during Fiscal 2022, and there can be no assurance that any of them will ever realize the full ASC 718 grant date fair value amounts presented in the “Option Awards” column.</w:t>
      </w:r>
    </w:p>
    <w:p>
      <w:pPr>
        <w:spacing w:after="0" w:line="186" w:lineRule="exact"/>
        <w:rPr>
          <w:sz w:val="20"/>
          <w:szCs w:val="20"/>
          <w:color w:val="auto"/>
        </w:rPr>
      </w:pPr>
    </w:p>
    <w:p>
      <w:pPr>
        <w:jc w:val="both"/>
        <w:ind w:left="500" w:hanging="493"/>
        <w:spacing w:after="0" w:line="259"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Saxe served as the Chairman of our Board, the Chairman of our Audit Committee and a member of our Compensation Committee throughout Fiscal 2022. At March 31, 2022, Mr. Saxe held: (i) 55,751 shares of our common stock; (ii) options to purchase 685,000 registered shares of our common stock, of which options to purchase 559,749 shares were exercisable; and (iii) warrants to purchase 7,500 restricted shares of our common stock, all of which are exercisable.</w:t>
      </w:r>
    </w:p>
    <w:p>
      <w:pPr>
        <w:spacing w:after="0" w:line="181"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Curley was appointed to our Board in April 2021 and has also served as a member of our Corporate Governance and Nominating Committee since her appointment. At March 31, 2022, Dr. Curley held options to purchase 175,000 registered shares of our common stock, of which 68,750 shares were exercisable.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9" w:name="page140"/>
    <w:bookmarkEnd w:id="139"/>
    <w:p>
      <w:pPr>
        <w:jc w:val="both"/>
        <w:ind w:left="500" w:hanging="493"/>
        <w:spacing w:after="0" w:line="255"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Cunningham served as a member of our Board and as a member of our Corporate Governance and Nominating Committee from January 2019 through April 30, 2021. On May 1, 2021, Ms. Cunningham joined the Company as its Chief Commercial Officer and, since she was no longer considered an independent director under the standards established by the SEC and the rules of the Nasdaq Stock Market, her membership on the Corporate Governance and Nominating Committee terminated while her membership on the Board as a non-independent member continues. At March 31, 2022, Ms. Cunningham held options to purchase 750,000 registered shares of our common stock, of which 311,979 shares were exercisable.</w:t>
      </w:r>
    </w:p>
    <w:p>
      <w:pPr>
        <w:spacing w:after="0" w:line="212"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FitzPatrick was appointed to our Board in July 2021 and has also served as a member of our Corporate Governance and Nominating Committee since her appointment. At March 31, 2022, Ms. FitzPatrick held options to purchase 175,000 registered shares of our common stock, of which 50,000 shares were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Gin served as a member of our Board, as the Chairman of our Compensation Committee following Dr. Underdown’s retirement in July 2021 and as a member of our Audit Committee during Fiscal 2022. At March 31, 2022, Mr. Gin held: (i) 100,000 shares of our common stock, and (ii) options to purchase 710,000 registered shares of our common stock, of which options to purchase 584,479 shares were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4"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Rotunno was appointed to our Board in July 2021 and has also served as a member of our Audit Committee and as Chair of the Corporate Governance and Nominating Committee since her appointment. At March 31, 2022, Ms. Rotunno held options to purchase 175,000 registered shares of our common stock, of which 50,000 shares were exercisable.</w:t>
      </w:r>
    </w:p>
    <w:p>
      <w:pPr>
        <w:spacing w:after="0" w:line="203" w:lineRule="exact"/>
        <w:rPr>
          <w:rFonts w:ascii="Times New Roman" w:cs="Times New Roman" w:eastAsia="Times New Roman" w:hAnsi="Times New Roman"/>
          <w:sz w:val="18"/>
          <w:szCs w:val="18"/>
          <w:color w:val="auto"/>
        </w:rPr>
      </w:pPr>
    </w:p>
    <w:p>
      <w:pPr>
        <w:jc w:val="both"/>
        <w:ind w:left="500" w:hanging="493"/>
        <w:spacing w:after="0" w:line="260"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Underdown served as a member of our Board, as the Chairman of our Compensation Committee and as a member of our Audit Committee and Corporate Governance and Nominating Committee until his retirement from the Board on July 21, 2021. At March 31, 2022, Mr. Underdown held:</w:t>
      </w:r>
    </w:p>
    <w:p>
      <w:pPr>
        <w:ind w:left="500" w:right="20" w:hanging="9"/>
        <w:spacing w:after="0" w:line="258" w:lineRule="auto"/>
        <w:tabs>
          <w:tab w:leader="none" w:pos="7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485,000 registered shares of our common stock, of which options to purchase 459,479 shares were exercisable; and (ii) warrants to purchase 7,500 restricted shares of our common stock, all of which are exercisable.</w:t>
      </w:r>
    </w:p>
    <w:p>
      <w:pPr>
        <w:spacing w:after="0" w:line="181" w:lineRule="exact"/>
        <w:rPr>
          <w:rFonts w:ascii="Times New Roman" w:cs="Times New Roman" w:eastAsia="Times New Roman" w:hAnsi="Times New Roman"/>
          <w:sz w:val="18"/>
          <w:szCs w:val="18"/>
          <w:color w:val="auto"/>
        </w:rPr>
      </w:pPr>
    </w:p>
    <w:p>
      <w:pPr>
        <w:ind w:left="500" w:hanging="493"/>
        <w:spacing w:after="0" w:line="280"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information regarding the option awards we granted to our independent Board members during Fiscal 2022 and the weighted average assumptions used in the Black Scholes Option Pricing Model to determine the grant date fair values of the respective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 Grant</w:t>
            </w:r>
          </w:p>
        </w:tc>
        <w:tc>
          <w:tcPr>
            <w:tcW w:w="4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6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4/23/2021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7/6/2021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7/21/2021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3/1/2022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Saxe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 Curley</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Ms. FitzPatrick</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 Gin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Ms. Rotunno</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Mr. Saxe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89,389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 Curley</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89,389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Ms. FitzPatrick</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89,389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 Gin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89,389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Ms. Rotunno</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89,389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 Award Assumptions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price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date market price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term (years)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Volatility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82.77%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Rate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per share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Aggregate option shares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June 9, 2022 for:</w:t>
      </w:r>
    </w:p>
    <w:p>
      <w:pPr>
        <w:spacing w:after="0" w:line="223" w:lineRule="exact"/>
        <w:rPr>
          <w:sz w:val="20"/>
          <w:szCs w:val="20"/>
          <w:color w:val="auto"/>
        </w:rPr>
      </w:pPr>
    </w:p>
    <w:p>
      <w:pPr>
        <w:ind w:left="660" w:hanging="330"/>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five percent (5%) of shares of our common stock;</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percentage ownership is based on 206,640,955 shares of common stock outstanding at June 9, 2022.</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June 9, 2022.</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VistaGen Therapeutics, Inc., 343 Allerton Avenue, South San Francisco, California 94080.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7"/>
        </w:trPr>
        <w:tc>
          <w:tcPr>
            <w:tcW w:w="1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shares</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r>
      <w:tr>
        <w:trPr>
          <w:trHeight w:val="237"/>
        </w:trPr>
        <w:tc>
          <w:tcPr>
            <w:tcW w:w="16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owned (1)</w:t>
            </w:r>
          </w:p>
        </w:tc>
      </w:tr>
      <w:tr>
        <w:trPr>
          <w:trHeight w:val="208"/>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J.D.(2)</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2,488,690</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Mark A. Smith, M.D., Ph.D. (3)</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1,387,416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M. Cunningham, MBA (4)</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442,969</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Jerrold D. Dotson (5)</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1,229,126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G. Adler, J.D. (6)</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233,692</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Jon S. Saxe, J.D., LL.M. (7)</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678,198</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Joanne Curley, Ph.D. (8)</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116,666</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Margaret M. FitzPatrick, M.A. (9)</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116,666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B. Gin, Ph.D., MBA (10)</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839,947</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Mary L. Rotunno, J.D. (11)</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166,666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persons) (12)</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7,300,038</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associated with New Enterprise Associates (13)</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16,302,596</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Venrock (14)</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16,047,286</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OrbiMed (15)</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12,909,283</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r>
      <w:tr>
        <w:trPr>
          <w:trHeight w:val="215"/>
        </w:trPr>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Acuta Capital Partners, LLC (16)</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11,736,283</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r>
      <w:tr>
        <w:trPr>
          <w:trHeight w:val="215"/>
        </w:trPr>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BlackRock Inc. (17)</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11,894,193</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r>
      <w:tr>
        <w:trPr>
          <w:trHeight w:val="234"/>
        </w:trPr>
        <w:tc>
          <w:tcPr>
            <w:tcW w:w="16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Commodore Capital LP (18)</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10,455,910</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r>
    </w:tbl>
    <w:p>
      <w:pPr>
        <w:spacing w:after="0" w:line="19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69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203" w:lineRule="exact"/>
        <w:rPr>
          <w:sz w:val="20"/>
          <w:szCs w:val="20"/>
          <w:color w:val="auto"/>
        </w:rPr>
      </w:pPr>
    </w:p>
    <w:p>
      <w:pPr>
        <w:ind w:left="340" w:hanging="333"/>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206,640,955 shares of common stock issued and outstanding as of June 9, 2022.</w:t>
      </w:r>
    </w:p>
    <w:p>
      <w:pPr>
        <w:spacing w:after="0" w:line="222"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2,241,458 shares of common stock and warrants to purchase 72,000 restricted shares of common stock exercisable within 60 days of June 9, 2022.</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1,372,501 shares of common stock exercisable within 60 days of June 9, 2022.</w:t>
      </w:r>
    </w:p>
    <w:p>
      <w:pPr>
        <w:spacing w:after="0" w:line="22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442,969 shares of common stock exercisable within 60 days of June 9, 2022.</w:t>
      </w:r>
    </w:p>
    <w:p>
      <w:pPr>
        <w:spacing w:after="0" w:line="222"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1,123,929 shares of common stock, including options to purchase 626 shares of common stock held by Mr. Dotson’s wife, and warrants to purchase 10,000 restricted shares of common stock exercisable within 60 days of June 9, 2022.</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199,063 shares of common stock exercisable within 60 days of June 9, 2022.</w:t>
      </w:r>
    </w:p>
    <w:p>
      <w:pPr>
        <w:spacing w:after="0" w:line="222"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614,947 shares of common stock and warrants to purchase 7,500 restricted shares of common stock exercisable within 60 days of June 9, 2022.</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116,666 shares of common stock exercisable within 60 days of June 9, 2022.</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950" w:gutter="0" w:footer="0" w:header="0"/>
        </w:sectPr>
      </w:pPr>
    </w:p>
    <w:bookmarkStart w:id="141" w:name="page142"/>
    <w:bookmarkEnd w:id="141"/>
    <w:p>
      <w:pPr>
        <w:ind w:left="340" w:hanging="333"/>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116,666 shares of common stock exercisable within 60 days of June 9, 2022.</w:t>
      </w:r>
    </w:p>
    <w:p>
      <w:pPr>
        <w:spacing w:after="0" w:line="222"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 shares of common stock held by Dr. Gin’s wife. Also includes options to purchase 639,947 shares of common stock exercisable within 60 days of June 9, 2022</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116,666 shares of common stock exercisable within 60 days of June 9, 2022</w:t>
      </w:r>
    </w:p>
    <w:p>
      <w:pPr>
        <w:spacing w:after="0" w:line="222"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 restricted shares of common stock held by Dr. Gin's wife. Also includes options to purchase 6,984,812 shares of common stock and warrants to purchase 89,500 restricted shares of common stock exercisable within 60 days of June 9, 2022.</w:t>
      </w:r>
    </w:p>
    <w:p>
      <w:pPr>
        <w:spacing w:after="0" w:line="159" w:lineRule="exact"/>
        <w:rPr>
          <w:rFonts w:ascii="Times New Roman" w:cs="Times New Roman" w:eastAsia="Times New Roman" w:hAnsi="Times New Roman"/>
          <w:sz w:val="18"/>
          <w:szCs w:val="18"/>
          <w:color w:val="auto"/>
        </w:rPr>
      </w:pPr>
    </w:p>
    <w:p>
      <w:pPr>
        <w:jc w:val="both"/>
        <w:ind w:left="340" w:hanging="333"/>
        <w:spacing w:after="0" w:line="269" w:lineRule="auto"/>
        <w:tabs>
          <w:tab w:leader="none" w:pos="3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Company records through June 9, 2022. The shares held by Growth Opportunities 17, LLC (</w:t>
      </w:r>
      <w:r>
        <w:rPr>
          <w:rFonts w:ascii="Times New Roman" w:cs="Times New Roman" w:eastAsia="Times New Roman" w:hAnsi="Times New Roman"/>
          <w:sz w:val="17"/>
          <w:szCs w:val="17"/>
          <w:i w:val="1"/>
          <w:iCs w:val="1"/>
          <w:color w:val="auto"/>
        </w:rPr>
        <w:t>GEO</w:t>
      </w:r>
      <w:r>
        <w:rPr>
          <w:rFonts w:ascii="Times New Roman" w:cs="Times New Roman" w:eastAsia="Times New Roman" w:hAnsi="Times New Roman"/>
          <w:sz w:val="17"/>
          <w:szCs w:val="17"/>
          <w:color w:val="auto"/>
        </w:rPr>
        <w:t>) are indirectly held by New Enterprise Associates 17, L.P. (</w:t>
      </w:r>
      <w:r>
        <w:rPr>
          <w:rFonts w:ascii="Times New Roman" w:cs="Times New Roman" w:eastAsia="Times New Roman" w:hAnsi="Times New Roman"/>
          <w:sz w:val="17"/>
          <w:szCs w:val="17"/>
          <w:i w:val="1"/>
          <w:iCs w:val="1"/>
          <w:color w:val="auto"/>
        </w:rPr>
        <w:t>NEA 17</w:t>
      </w:r>
      <w:r>
        <w:rPr>
          <w:rFonts w:ascii="Times New Roman" w:cs="Times New Roman" w:eastAsia="Times New Roman" w:hAnsi="Times New Roman"/>
          <w:sz w:val="17"/>
          <w:szCs w:val="17"/>
          <w:color w:val="auto"/>
        </w:rPr>
        <w:t>), which is the sole member of GEO; NEA Partners 17, L.P. (</w:t>
      </w:r>
      <w:r>
        <w:rPr>
          <w:rFonts w:ascii="Times New Roman" w:cs="Times New Roman" w:eastAsia="Times New Roman" w:hAnsi="Times New Roman"/>
          <w:sz w:val="17"/>
          <w:szCs w:val="17"/>
          <w:i w:val="1"/>
          <w:iCs w:val="1"/>
          <w:color w:val="auto"/>
        </w:rPr>
        <w:t>NEA Partners 17</w:t>
      </w:r>
      <w:r>
        <w:rPr>
          <w:rFonts w:ascii="Times New Roman" w:cs="Times New Roman" w:eastAsia="Times New Roman" w:hAnsi="Times New Roman"/>
          <w:sz w:val="17"/>
          <w:szCs w:val="17"/>
          <w:color w:val="auto"/>
        </w:rPr>
        <w:t>), which is the sole general partner of NEA 17; and NEA 17 GP, LLC (</w:t>
      </w:r>
      <w:r>
        <w:rPr>
          <w:rFonts w:ascii="Times New Roman" w:cs="Times New Roman" w:eastAsia="Times New Roman" w:hAnsi="Times New Roman"/>
          <w:sz w:val="17"/>
          <w:szCs w:val="17"/>
          <w:i w:val="1"/>
          <w:iCs w:val="1"/>
          <w:color w:val="auto"/>
        </w:rPr>
        <w:t>NEA 17 LLC</w:t>
      </w:r>
      <w:r>
        <w:rPr>
          <w:rFonts w:ascii="Times New Roman" w:cs="Times New Roman" w:eastAsia="Times New Roman" w:hAnsi="Times New Roman"/>
          <w:sz w:val="17"/>
          <w:szCs w:val="17"/>
          <w:color w:val="auto"/>
        </w:rPr>
        <w:t xml:space="preserve"> and, together with NEA Partners 17, the </w:t>
      </w:r>
      <w:r>
        <w:rPr>
          <w:rFonts w:ascii="Times New Roman" w:cs="Times New Roman" w:eastAsia="Times New Roman" w:hAnsi="Times New Roman"/>
          <w:sz w:val="17"/>
          <w:szCs w:val="17"/>
          <w:i w:val="1"/>
          <w:iCs w:val="1"/>
          <w:color w:val="auto"/>
        </w:rPr>
        <w:t>Control Entities</w:t>
      </w:r>
      <w:r>
        <w:rPr>
          <w:rFonts w:ascii="Times New Roman" w:cs="Times New Roman" w:eastAsia="Times New Roman" w:hAnsi="Times New Roman"/>
          <w:sz w:val="17"/>
          <w:szCs w:val="17"/>
          <w:color w:val="auto"/>
        </w:rPr>
        <w:t xml:space="preserve">), which is the sole general partner of NEA Partners 17. The Managing Members of NEA 17 LLC are Forest Baskett, Ali Behbahani, Carmen Chang, Anthony A. Florence, Jr., Liza Landsman, Mohamad H. Makhzoumi, Joshua Makower, Edward T. Mathers, Scott D. Sandell, Peter W. Sonsini, Paul Walker and Rick Yang (together, the </w:t>
      </w:r>
      <w:r>
        <w:rPr>
          <w:rFonts w:ascii="Times New Roman" w:cs="Times New Roman" w:eastAsia="Times New Roman" w:hAnsi="Times New Roman"/>
          <w:sz w:val="17"/>
          <w:szCs w:val="17"/>
          <w:i w:val="1"/>
          <w:iCs w:val="1"/>
          <w:color w:val="auto"/>
        </w:rPr>
        <w:t>Managers</w:t>
      </w:r>
      <w:r>
        <w:rPr>
          <w:rFonts w:ascii="Times New Roman" w:cs="Times New Roman" w:eastAsia="Times New Roman" w:hAnsi="Times New Roman"/>
          <w:sz w:val="17"/>
          <w:szCs w:val="17"/>
          <w:color w:val="auto"/>
        </w:rPr>
        <w:t xml:space="preserve">). GEO is the record owner of the shares identified herein (the </w:t>
      </w:r>
      <w:r>
        <w:rPr>
          <w:rFonts w:ascii="Times New Roman" w:cs="Times New Roman" w:eastAsia="Times New Roman" w:hAnsi="Times New Roman"/>
          <w:sz w:val="17"/>
          <w:szCs w:val="17"/>
          <w:i w:val="1"/>
          <w:iCs w:val="1"/>
          <w:color w:val="auto"/>
        </w:rPr>
        <w:t>GEO Shares</w:t>
      </w:r>
      <w:r>
        <w:rPr>
          <w:rFonts w:ascii="Times New Roman" w:cs="Times New Roman" w:eastAsia="Times New Roman" w:hAnsi="Times New Roman"/>
          <w:sz w:val="17"/>
          <w:szCs w:val="17"/>
          <w:color w:val="auto"/>
        </w:rPr>
        <w:t>). As the sole member of GEO, NEA 17 may be deemed to own beneficially the GEO Shares. As the general partner of NEA 17, NEA Partners 17 may be deemed to own beneficially the GEO Shares. As the sole general partner of NEA Partners 17, NEA 17 LLC may be deemed to own beneficially the GEO Shares. As members of NEA 17 LLC, each of the Managers may be deemed to own beneficially the GEO Shares. Each of the aforementioned reporting persons disclaims beneficial ownership of the GEO Shares other than those shares which such person owns of record. The principal business address for GEO 10 is 1954 Greenspring Drive, Suite 600, Timonium, MD 21093.</w:t>
      </w:r>
    </w:p>
    <w:p>
      <w:pPr>
        <w:spacing w:after="0" w:line="175" w:lineRule="exact"/>
        <w:rPr>
          <w:rFonts w:ascii="Times New Roman" w:cs="Times New Roman" w:eastAsia="Times New Roman" w:hAnsi="Times New Roman"/>
          <w:sz w:val="17"/>
          <w:szCs w:val="17"/>
          <w:color w:val="auto"/>
        </w:rPr>
      </w:pPr>
    </w:p>
    <w:p>
      <w:pPr>
        <w:jc w:val="both"/>
        <w:ind w:left="340" w:hanging="333"/>
        <w:spacing w:after="0" w:line="254"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a Schedule 13G/A filed by Venrock Healthcare Partners II, L.P. on February 14, 2022. Entities associated with Venrock that hold the securities listed herein include Venrock Healthcare Capital Partners II, L.P.; VHCP Co-Investment Holdings II, LLC and Venrock Healthcare Capital Partners EG, L.P. and VHCP Management II, LLC. VHCP Management II, LLC (</w:t>
      </w:r>
      <w:r>
        <w:rPr>
          <w:rFonts w:ascii="Times New Roman" w:cs="Times New Roman" w:eastAsia="Times New Roman" w:hAnsi="Times New Roman"/>
          <w:sz w:val="18"/>
          <w:szCs w:val="18"/>
          <w:i w:val="1"/>
          <w:iCs w:val="1"/>
          <w:color w:val="auto"/>
        </w:rPr>
        <w:t>VHCPM</w:t>
      </w:r>
      <w:r>
        <w:rPr>
          <w:rFonts w:ascii="Times New Roman" w:cs="Times New Roman" w:eastAsia="Times New Roman" w:hAnsi="Times New Roman"/>
          <w:sz w:val="18"/>
          <w:szCs w:val="18"/>
          <w:color w:val="auto"/>
        </w:rPr>
        <w:t>) is the sole general partner of Venrock Healthcare Capital Partners II, L.P. and the sole manager of VHCP Co Investment Holdings II, LLC. VHCP Management EG, LLC (</w:t>
      </w:r>
      <w:r>
        <w:rPr>
          <w:rFonts w:ascii="Times New Roman" w:cs="Times New Roman" w:eastAsia="Times New Roman" w:hAnsi="Times New Roman"/>
          <w:sz w:val="18"/>
          <w:szCs w:val="18"/>
          <w:i w:val="1"/>
          <w:iCs w:val="1"/>
          <w:color w:val="auto"/>
        </w:rPr>
        <w:t>VHCPEG</w:t>
      </w:r>
      <w:r>
        <w:rPr>
          <w:rFonts w:ascii="Times New Roman" w:cs="Times New Roman" w:eastAsia="Times New Roman" w:hAnsi="Times New Roman"/>
          <w:sz w:val="18"/>
          <w:szCs w:val="18"/>
          <w:color w:val="auto"/>
        </w:rPr>
        <w:t>) is the sole general partner of Venrock Healthcare Capital Partners EG, L.P. Dr. Bong Koh and Nimish Shah are the voting members of VHCPM and VHCPEG. The address of each of the entities and individuals identified in this footnote is c/o Venrock, 7 Bryant Park, 23rd Floor, New York, NY 10018.</w:t>
      </w:r>
    </w:p>
    <w:p>
      <w:pPr>
        <w:spacing w:after="0" w:line="186" w:lineRule="exact"/>
        <w:rPr>
          <w:rFonts w:ascii="Times New Roman" w:cs="Times New Roman" w:eastAsia="Times New Roman" w:hAnsi="Times New Roman"/>
          <w:sz w:val="18"/>
          <w:szCs w:val="18"/>
          <w:color w:val="auto"/>
        </w:rPr>
      </w:pPr>
    </w:p>
    <w:p>
      <w:pPr>
        <w:jc w:val="both"/>
        <w:ind w:left="340" w:hanging="333"/>
        <w:spacing w:after="0" w:line="259"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a Schedule 13G/A filed by OrbiMed Advisors LLC on February 11, 2022. Consists of (i) 10,519,240 shares beneficially owned by OrbiMed Capital LLC and (ii) 2,390,043 shares beneficially owned by OrbiMed Advisors LLC. OrbiMed Advisors LLC (</w:t>
      </w:r>
      <w:r>
        <w:rPr>
          <w:rFonts w:ascii="Times New Roman" w:cs="Times New Roman" w:eastAsia="Times New Roman" w:hAnsi="Times New Roman"/>
          <w:sz w:val="18"/>
          <w:szCs w:val="18"/>
          <w:i w:val="1"/>
          <w:iCs w:val="1"/>
          <w:color w:val="auto"/>
        </w:rPr>
        <w:t>OrbiMed Advisors</w:t>
      </w:r>
      <w:r>
        <w:rPr>
          <w:rFonts w:ascii="Times New Roman" w:cs="Times New Roman" w:eastAsia="Times New Roman" w:hAnsi="Times New Roman"/>
          <w:sz w:val="18"/>
          <w:szCs w:val="18"/>
          <w:color w:val="auto"/>
        </w:rPr>
        <w:t>), a registered investment adviser under the Investment Advisors Act of 1940, as amended. OrbiMed Capital LLC (</w:t>
      </w:r>
      <w:r>
        <w:rPr>
          <w:rFonts w:ascii="Times New Roman" w:cs="Times New Roman" w:eastAsia="Times New Roman" w:hAnsi="Times New Roman"/>
          <w:sz w:val="18"/>
          <w:szCs w:val="18"/>
          <w:i w:val="1"/>
          <w:iCs w:val="1"/>
          <w:color w:val="auto"/>
        </w:rPr>
        <w:t>OrbiMed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is a relying advisor of OrbiMed Advisors. OrbiMed Advisors and OrbiMed Capital exercise voting and investment power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committee comprised of Carl L. Gordon, Sven H. Borho, and W. Carter Neild, each of whom disclaims beneficial ownership of the shares held by BIOG, Genesis, and OPM. The business address of each of the individuals and entities listed above is c/o OrbiMed Advisors LLC, 601 Lexington Avenue, 54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7" w:lineRule="exact"/>
        <w:rPr>
          <w:rFonts w:ascii="Times New Roman" w:cs="Times New Roman" w:eastAsia="Times New Roman" w:hAnsi="Times New Roman"/>
          <w:sz w:val="18"/>
          <w:szCs w:val="18"/>
          <w:color w:val="auto"/>
        </w:rPr>
      </w:pPr>
    </w:p>
    <w:p>
      <w:pPr>
        <w:jc w:val="both"/>
        <w:ind w:left="340" w:hanging="333"/>
        <w:spacing w:after="0" w:line="26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a Schedule 13G/A filed by Acuta Capital Partners, LLC (</w:t>
      </w:r>
      <w:r>
        <w:rPr>
          <w:rFonts w:ascii="Times New Roman" w:cs="Times New Roman" w:eastAsia="Times New Roman" w:hAnsi="Times New Roman"/>
          <w:sz w:val="18"/>
          <w:szCs w:val="18"/>
          <w:i w:val="1"/>
          <w:iCs w:val="1"/>
          <w:color w:val="auto"/>
        </w:rPr>
        <w:t>Acuta</w:t>
      </w:r>
      <w:r>
        <w:rPr>
          <w:rFonts w:ascii="Times New Roman" w:cs="Times New Roman" w:eastAsia="Times New Roman" w:hAnsi="Times New Roman"/>
          <w:sz w:val="18"/>
          <w:szCs w:val="18"/>
          <w:color w:val="auto"/>
        </w:rPr>
        <w:t>) on February 15, 2022. Anupam Dalal is the Chief Investment Officer and Manfred Yu is the Manager of Acuta. Both Mr. Dalal and Mr. Yu have voting and investment authority over all of the shares held by each of Acuta, and disclaim beneficial ownership except to the extent of their indirect pecuniary interests therein. The business address for Acuta is 1301 Shoreway Road, Suite 350, Belmont, California 94002.</w:t>
      </w:r>
    </w:p>
    <w:p>
      <w:pPr>
        <w:spacing w:after="0" w:line="177" w:lineRule="exact"/>
        <w:rPr>
          <w:rFonts w:ascii="Times New Roman" w:cs="Times New Roman" w:eastAsia="Times New Roman" w:hAnsi="Times New Roman"/>
          <w:sz w:val="18"/>
          <w:szCs w:val="18"/>
          <w:color w:val="auto"/>
        </w:rPr>
      </w:pPr>
    </w:p>
    <w:p>
      <w:pPr>
        <w:jc w:val="both"/>
        <w:ind w:left="340" w:right="20" w:hanging="333"/>
        <w:spacing w:after="0" w:line="213"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a Schedule 13G/A filed by BlackRock Inc. (</w:t>
      </w:r>
      <w:r>
        <w:rPr>
          <w:rFonts w:ascii="Times New Roman" w:cs="Times New Roman" w:eastAsia="Times New Roman" w:hAnsi="Times New Roman"/>
          <w:sz w:val="18"/>
          <w:szCs w:val="18"/>
          <w:i w:val="1"/>
          <w:iCs w:val="1"/>
          <w:color w:val="auto"/>
        </w:rPr>
        <w:t>BlackRock</w:t>
      </w:r>
      <w:r>
        <w:rPr>
          <w:rFonts w:ascii="Times New Roman" w:cs="Times New Roman" w:eastAsia="Times New Roman" w:hAnsi="Times New Roman"/>
          <w:sz w:val="18"/>
          <w:szCs w:val="18"/>
          <w:color w:val="auto"/>
        </w:rPr>
        <w:t>) on February 4, 2022. BlackRock Inc. has sole investment authority over all of the shares held by BlackRock Inc and its affiliated entities. The primary business address of BlackRock is 55 East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New York, NY 10055.</w:t>
      </w:r>
    </w:p>
    <w:p>
      <w:pPr>
        <w:spacing w:after="0" w:line="196" w:lineRule="exact"/>
        <w:rPr>
          <w:rFonts w:ascii="Times New Roman" w:cs="Times New Roman" w:eastAsia="Times New Roman" w:hAnsi="Times New Roman"/>
          <w:sz w:val="18"/>
          <w:szCs w:val="18"/>
          <w:color w:val="auto"/>
        </w:rPr>
      </w:pPr>
    </w:p>
    <w:p>
      <w:pPr>
        <w:jc w:val="both"/>
        <w:ind w:left="340" w:hanging="333"/>
        <w:spacing w:after="0" w:line="255"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a Schedule 13G filed by Commodore Capital LP, a Delaware limited partnership (</w:t>
      </w:r>
      <w:r>
        <w:rPr>
          <w:rFonts w:ascii="Times New Roman" w:cs="Times New Roman" w:eastAsia="Times New Roman" w:hAnsi="Times New Roman"/>
          <w:sz w:val="18"/>
          <w:szCs w:val="18"/>
          <w:i w:val="1"/>
          <w:iCs w:val="1"/>
          <w:color w:val="auto"/>
        </w:rPr>
        <w:t>Commodore</w:t>
      </w:r>
      <w:r>
        <w:rPr>
          <w:rFonts w:ascii="Times New Roman" w:cs="Times New Roman" w:eastAsia="Times New Roman" w:hAnsi="Times New Roman"/>
          <w:sz w:val="18"/>
          <w:szCs w:val="18"/>
          <w:color w:val="auto"/>
        </w:rPr>
        <w:t>) and Commodore Capital Master LP, a Cayman Islands exempted limited partnership (</w:t>
      </w:r>
      <w:r>
        <w:rPr>
          <w:rFonts w:ascii="Times New Roman" w:cs="Times New Roman" w:eastAsia="Times New Roman" w:hAnsi="Times New Roman"/>
          <w:sz w:val="18"/>
          <w:szCs w:val="18"/>
          <w:i w:val="1"/>
          <w:iCs w:val="1"/>
          <w:color w:val="auto"/>
        </w:rPr>
        <w:t>Commodore Master</w:t>
      </w:r>
      <w:r>
        <w:rPr>
          <w:rFonts w:ascii="Times New Roman" w:cs="Times New Roman" w:eastAsia="Times New Roman" w:hAnsi="Times New Roman"/>
          <w:sz w:val="18"/>
          <w:szCs w:val="18"/>
          <w:color w:val="auto"/>
        </w:rPr>
        <w:t>) on April 4, 2022. Commodore is the investment manager to Commodore Master. As of April 4, 2022, Commodore may be deemed to beneficially own an aggregate of 10,455,910 shares of our common stock. Commodore, as the investment manager to Commodore Master, may also be deemed to beneficially own these securities. Michael Kramarz and Robert Egen Atkinson are the managing partners of Commodore and exercise investment discretion with respect to these securities. The address for Commodore and Commodore Master is 767 Fifth Avenue, Floor 12, New York, NY 10153.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June 9, 2022, options to purchase a total of 19,546,202 registered shares of our common stock were outstanding at a weighted average exercise price of $1.46 per share, of which options to purchase 14,296,787 shares of our common stock were vested and exercisable at a weighted average exercise price of $1.35 per share and options to purchase 5,249,415 shares were unvested and not exercisable at a weighted average exercise price of $1.76 per share. These options were issued under our Amended and Restated 2019 Omnibus Equity Incentive Plan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xml:space="preserve">) and under our Amended and Restated 2016 Stock Incentive Plan, formerly titled the 2008 Stock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as described below. At June 9, 2022, an additional 7,028,344 shares remained available for future equity grants under our 2019 Plan, and no new awards are available for grant under our 2016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2" w:name="page143"/>
    <w:bookmarkEnd w:id="142"/>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table summarizes awards outstanding under the 2016 Plan and the 2019 Plan, as well as shares available for issuance under 2019 Plan and our 2019 Employee Stock Purchase Plan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as of March 31, 2022. The following information does not reflect issuances or exercises under the 2016 Plan, 2019 Plan or the 2019 ESPP subsequent to March 31,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3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 2019 Plan and 2016 Plan</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19,386,389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2019 ESPP</w:t>
            </w:r>
          </w:p>
        </w:tc>
        <w:tc>
          <w:tcPr>
            <w:tcW w:w="1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19,386,389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Board unanimously approved the Company’s 2016 Plan on July 26, 2016, and it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7.4 million shares remained outstanding at March 31, 2022. Upon the adoption of our 2019 Plan, no further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Amended 2019 Plan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Board approved the Company’s 2019 Plan on May 27, 2019, and our stockholders adopted it and ratified all previously issued grants on September 5, 2019. On June 28, 2021 our Board approved and at our Annual Meeting of Stockholders held on September 17, 2021, our stockholders approved certain amendments to the 2019 Plan (</w:t>
      </w:r>
      <w:r>
        <w:rPr>
          <w:rFonts w:ascii="Times New Roman" w:cs="Times New Roman" w:eastAsia="Times New Roman" w:hAnsi="Times New Roman"/>
          <w:sz w:val="18"/>
          <w:szCs w:val="18"/>
          <w:i w:val="1"/>
          <w:iCs w:val="1"/>
          <w:color w:val="auto"/>
        </w:rPr>
        <w:t>Amended 2019 Plan</w:t>
      </w:r>
      <w:r>
        <w:rPr>
          <w:rFonts w:ascii="Times New Roman" w:cs="Times New Roman" w:eastAsia="Times New Roman" w:hAnsi="Times New Roman"/>
          <w:sz w:val="18"/>
          <w:szCs w:val="18"/>
          <w:color w:val="auto"/>
        </w:rPr>
        <w:t>). The principal features of the Amended 2019 Plan are summarized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and Eligible Participants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Amended 2019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Amended 2019 Plan is also designed to align employees’ interests with stockholder interests.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Amended 2019 Plan provides for the grant of stock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 restricted stock units, and other stock-based awards, and performance awards, collectively referred to as “Awards”. Awards may be granted under the Amended 2019 Plan to officers, employees and consultants of the Company and our subsidiaries and to our non-employee directors. Incentive stock options may be granted only to employees of the Company or one of our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Amended 2019 Plan is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Compensation Committee may grant SARs as a right in tandem with the number of shares underlying stock options granted under the Amended 2019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may also grant awards of restricted stock, which are shares of common stock subject to specified restrictions, and restricted stock units, which represent the right to receive shares of the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2022, the Compensation Committee has not granted any performance awards.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 total of 7.5 million shares of common stock was initially authorized for issuance under the 2019 Plan. Upon approval of the Amended 2019 Plan by our stockholders at our September 2021 Annual Meeting of Stockholders, a total of 18 million shares of our common stock became available for issuance under the Amended 2019 Plan.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event any award under the Amended 2019 Plan is canceled, terminates, expires or lapses for any reason prior to the issuance of shares or if shares are issued under the Amended 2019 Plan and thereafter are forfeited to us, the shares subject to such awards and the forfeited shares will again be available for grant under the Amended 2019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 more than 25% of any equity-based awards granted under the Amended 2019 Plan may vest on the grant date of such award. The Board believes this provision will provide the Company the necessary flexibility to issue Awards that will both attract new talent, particularly as the Company advances its late-stage clinical development and commercialization plans for its drug candidates and provide incentives sufficient to retain the Company’s existing employees and directors.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Repricing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2019 Plan does not permit repricing of outstanding stock options.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of the Company, the Compensation Committee may accelerate the time period relating to the exercise of any outstanding Award, including stock options or restricted stock units. In addition, the Compensation Committee may take other action, including (a) providing for the purchase of any award for an amount of cash or other property that could have been received upon the exercise of such award had the award been currently exercisable, (b) subject to certain limitations,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Amended 2019 Plan and requires consummation of the applicable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earlier terminated by the Board, the Amended 2019 Plan will terminate, and no further awards may be granted, on September 5, 2029, which is ten years after the date on which the 2019 Plan was initially approved by our stockholders. The Board may amend, suspend or terminate the Amended 2019 Plan at any time.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Amended 2019 Plan in such a manner and to such a degree as required. The amendment, suspension or termination of the Amended 2019 Plan or the amendment of an outstanding award generally may not, without a participant’s consent, materially impair the participant’s rights under an outstanding award.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Board approved the VistaGen Therapeutics, Inc. 2019 Employee Stock Purchase Plan (the 2019 ESPP) on June 13, 2019. Our stockholders approved the 2019 ESPP at our annual meeting on September 5, 2019. The principal terms of our 2019 ESPP are summarized below.</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are eligible to participate in an option period.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the first day of each option period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Each participant’s payroll deductions under the 2019 ESPP will be credited to a liability account in his or her name under the 2019 ESPP. The aggregate liability for participant payroll deductions at March 31, 2022 and 2021 was $66,200 and $18,600, respectively, which amounts are included in accrued expenses in the accompanying Consolidated Balance Sheet at those 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option granted under the 2019 ESPP will automatically be exercised on the last day of the respective option period (referred to as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number of shares acquired by a participant upon exercise of his or her option will be determined by dividing the participant’s 2019 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Participation in the 2019 ESPP is subject to the following limits:</w:t>
      </w:r>
    </w:p>
    <w:p>
      <w:pPr>
        <w:spacing w:after="0" w:line="223" w:lineRule="exact"/>
        <w:rPr>
          <w:sz w:val="20"/>
          <w:szCs w:val="20"/>
          <w:color w:val="auto"/>
        </w:rPr>
      </w:pPr>
    </w:p>
    <w:p>
      <w:pPr>
        <w:ind w:left="660" w:hanging="330"/>
        <w:spacing w:after="0" w:line="26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ind w:left="660" w:hanging="330"/>
        <w:spacing w:after="0" w:line="249"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jc w:val="both"/>
        <w:ind w:left="660" w:hanging="330"/>
        <w:spacing w:after="0" w:line="253"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$25,000 annual purchase and the 5% ownership limitations referred to above are required under the Code.</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Fiscal 2022, employees purchased an aggregate of 57,211 shares of our common stock under the 2019 ESPP and we received proceeds of $99,400. During Fiscal 2021, employees purchased an aggregate of 58,125 shares of our common stock and we received proceeds of $26,200.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Fiscal 2022, we entered into a consulting agreement with one of the independent members of our Board to assist us in developing a phase-appropriate research and development human resources staffing plan to support our development of PH94B, PH10 and AV-101. We recorded expense of $6,800 during the quarter ended December 31, 2021 related to this agreement. There was no accounts payable balance or accrued expense related to this agreement at March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Fiscal 2022, we entered into a consulting agreement with another of the independent members of our Board to provide corporate development and public relations advisory services. We recorded expense of $45,000 during the quarter ended March 31, 2022 related to this agreement, all of which was included in accounts payable at that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2021, we engaged a consulting firm headed by one of the then-independent members of our Board to provide various market research studies, competitive analyses, and commercial advisory projects for certain of our CNS pipeline candidates pursuant to which we recorded research and development expense of $193,000. In May 2021, that Board member ceased to be independent upon acceptance of a position as our Chief Commercial Officer while remaining a member of our Board. We did not engage in business with the related consulting firm during Fiscal 2022 prior to or subsequent to the acceptance of employment by our Chief Commercial Officer. There was no accounts payable or accrued expenses related to the consulting agreement at March 31, 2022 or 2021.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i w:val="1"/>
          <w:iCs w:val="1"/>
          <w:color w:val="auto"/>
        </w:rPr>
        <w:t>Legal Services Consultant</w:t>
      </w:r>
    </w:p>
    <w:p>
      <w:pPr>
        <w:spacing w:after="0" w:line="2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Prior to his appointment as the Company’s Chief Legal Officer effective May 2, 2022, we had engaged the law firm of which Mr. Adler was a partner to provide various legal services and advice over a number of years. During our fiscal years ended March 31, 2021 and 2022 and from April 1, 2022 until Mr. Adler’s appointment, the Company paid to Capital Technology Law Group fees of $169,000, $210,000, and $18,000, respectively, for various legal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Ms. Curley, Ms. FitzPatrick, Mr. Gin and Ms. Rotunno are each “independent” as that term is defined by the rules of the Nasdaq Stock Market. In making these determinations, our Board considered the current and prior relationships that each nonemployee director has with the Company and all other facts and circumstances that our Board deemed relevant.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recommendation of the Audit Committee of the Board, the Board appointed OUM &amp; Co. LLP (</w:t>
      </w:r>
      <w:r>
        <w:rPr>
          <w:rFonts w:ascii="Times New Roman" w:cs="Times New Roman" w:eastAsia="Times New Roman" w:hAnsi="Times New Roman"/>
          <w:sz w:val="18"/>
          <w:szCs w:val="18"/>
          <w:i w:val="1"/>
          <w:iCs w:val="1"/>
          <w:color w:val="auto"/>
        </w:rPr>
        <w:t>OUM</w:t>
      </w:r>
      <w:r>
        <w:rPr>
          <w:rFonts w:ascii="Times New Roman" w:cs="Times New Roman" w:eastAsia="Times New Roman" w:hAnsi="Times New Roman"/>
          <w:sz w:val="18"/>
          <w:szCs w:val="18"/>
          <w:color w:val="auto"/>
        </w:rPr>
        <w:t>) as our independent registered public accounting firm for our fiscal year ended March 31, 2022. Subsequently, on July 15, 2021, WithumSmith+Brown, PC, an independent registered public accounting firm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acquired certain assets of OUM. As a result, on July 15, 2021, OUM resigned as our independent registered public accounting firm. Concurrent with such resignation, the Company, with the approval of its Audit Committee, consented to the engagement of Withum. The Company’s stockholders ratified the appointment of Withum at the Annual Meeting of Stockholders held in September 2021. Accordingly, Withum has served as the Company’s independent registered public accounting firm since July 15, 2021 and has rendered the opinion on the Company’s financial statements included in Item 8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Services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described above, Withum served as our independent registered public accounting firm for our fiscal year ended March 31, 2022 and OUM served as our independent registered public accounting firm for our fiscal year ended March 31, 2021. Information provided below includes fees for professional services provided to us by Withum and OUM for the respective fiscal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15"/>
        </w:trPr>
        <w:tc>
          <w:tcPr>
            <w:tcW w:w="3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271,900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258,600</w:t>
            </w:r>
          </w:p>
        </w:tc>
        <w:tc>
          <w:tcPr>
            <w:tcW w:w="100" w:type="dxa"/>
            <w:vAlign w:val="bottom"/>
            <w:shd w:val="clear" w:color="auto" w:fill="CCEEFF"/>
          </w:tcPr>
          <w:p>
            <w:pPr>
              <w:spacing w:after="0"/>
              <w:rPr>
                <w:sz w:val="18"/>
                <w:szCs w:val="18"/>
                <w:color w:val="auto"/>
              </w:rPr>
            </w:pPr>
          </w:p>
        </w:tc>
      </w:tr>
      <w:tr>
        <w:trPr>
          <w:trHeight w:val="21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94,000</w:t>
            </w:r>
          </w:p>
        </w:tc>
      </w:tr>
      <w:tr>
        <w:trPr>
          <w:trHeight w:val="21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4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386,200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366,600</w:t>
            </w:r>
          </w:p>
        </w:tc>
        <w:tc>
          <w:tcPr>
            <w:tcW w:w="100" w:type="dxa"/>
            <w:vAlign w:val="bottom"/>
            <w:shd w:val="clear" w:color="auto" w:fill="CCEEFF"/>
          </w:tcPr>
          <w:p>
            <w:pPr>
              <w:spacing w:after="0"/>
              <w:rPr>
                <w:sz w:val="18"/>
                <w:szCs w:val="18"/>
                <w:color w:val="auto"/>
              </w:rPr>
            </w:pPr>
          </w:p>
        </w:tc>
      </w:tr>
      <w:tr>
        <w:trPr>
          <w:trHeight w:val="430"/>
        </w:trPr>
        <w:tc>
          <w:tcPr>
            <w:tcW w:w="3400" w:type="dxa"/>
            <w:vAlign w:val="bottom"/>
          </w:tcPr>
          <w:p>
            <w:pPr>
              <w:spacing w:after="0"/>
              <w:rPr>
                <w:sz w:val="24"/>
                <w:szCs w:val="24"/>
                <w:color w:val="auto"/>
              </w:rPr>
            </w:pPr>
          </w:p>
        </w:tc>
        <w:tc>
          <w:tcPr>
            <w:tcW w:w="460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340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Audit fees include fees billed for the annual audit of the Company’s financial statements and quarterly reviews for the fiscal years ended March 31, 2022 and 2021, and for services normally provided by Withum or OUM in connection with routine statutory and regulatory filings or engagements.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Audit-related fees include fees billed for assurance and related services that are reasonably related to the performance of the annual audit or reviews of the Company’s financial statements and are not reported under “</w:t>
      </w: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During our fiscal years ended March 31, 2022 and 2021, Withum and OUM billed the Company for services related to comfort letters and consents for the use of its audit opinion in our filings of Registration Statements on Form S-3, Form S-1, and Form S-8 that included or incorporated by reference the Company’s audited financial statements for the fiscal years ended March 31, 2021 and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 include fees for professional services for tax compliance, tax advice and tax planning for the tax years ended March 31,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All other fees include fees for products and services other than those described above. During our fiscal years ended March 31, 2022 and 2021, no such fees were billed by either Withum or OUM.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5"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WithumSmith+Brown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our independent registered public accounting firm, the audited consolidated financial statements in the VistaGen Therapeutics, Inc. Annual Report on Form 10-K for the year ended March 31, 2022. The Audit Committee also discussed with Withum those matters required to be discussed by Public Company Accounting Oversight Board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Auditing Standard No. 16.</w:t>
      </w:r>
    </w:p>
    <w:p>
      <w:pPr>
        <w:spacing w:after="0" w:line="18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Withum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2022.</w:t>
      </w:r>
    </w:p>
    <w:p>
      <w:pPr>
        <w:spacing w:after="0" w:line="17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2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Jon S. Saxe, Audit Committee Chairman</w:t>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Jerry B. Gin</w:t>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Mary L. Rotunno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20, 2022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under Item 8 on page 85.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Consolidated Financial Statement Schedules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 Index below are filed or incorporated by reference as part of this report.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7132955" cy="4232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955" cy="4232275"/>
                    </a:xfrm>
                    <a:prstGeom prst="rect">
                      <a:avLst/>
                    </a:prstGeom>
                    <a:noFill/>
                  </pic:spPr>
                </pic:pic>
              </a:graphicData>
            </a:graphic>
          </wp:anchor>
        </w:drawing>
      </w:r>
    </w:p>
    <w:p>
      <w:pPr>
        <w:spacing w:after="0" w:line="11" w:lineRule="exact"/>
        <w:rPr>
          <w:sz w:val="20"/>
          <w:szCs w:val="20"/>
          <w:color w:val="auto"/>
        </w:rPr>
      </w:pPr>
    </w:p>
    <w:p>
      <w:pPr>
        <w:ind w:left="1020" w:right="520" w:hanging="628"/>
        <w:spacing w:after="0" w:line="196" w:lineRule="auto"/>
        <w:tabs>
          <w:tab w:leader="none" w:pos="1000" w:val="left"/>
        </w:tabs>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u w:val="single" w:color="auto"/>
            <w:color w:val="0000EE"/>
          </w:rPr>
          <w:t>1.1</w:t>
        </w:r>
      </w:hyperlink>
      <w:r>
        <w:rPr>
          <w:rFonts w:ascii="Times New Roman" w:cs="Times New Roman" w:eastAsia="Times New Roman" w:hAnsi="Times New Roman"/>
          <w:sz w:val="18"/>
          <w:szCs w:val="18"/>
          <w:color w:val="0000EE"/>
        </w:rPr>
        <w:tab/>
        <w:t>Open Market Sale Agreement</w:t>
      </w:r>
      <w:r>
        <w:rPr>
          <w:rFonts w:ascii="Times New Roman" w:cs="Times New Roman" w:eastAsia="Times New Roman" w:hAnsi="Times New Roman"/>
          <w:sz w:val="29"/>
          <w:szCs w:val="29"/>
          <w:color w:val="0000EE"/>
          <w:vertAlign w:val="superscript"/>
        </w:rPr>
        <w:t>SM</w:t>
      </w:r>
      <w:r>
        <w:rPr>
          <w:rFonts w:ascii="Times New Roman" w:cs="Times New Roman" w:eastAsia="Times New Roman" w:hAnsi="Times New Roman"/>
          <w:sz w:val="18"/>
          <w:szCs w:val="18"/>
          <w:color w:val="0000EE"/>
        </w:rPr>
        <w:t>, dated May 14, 2021, by and between VistaGen Therapeutics, Inc. and Jefferies LLC, incorporated by reference from Exhibit 1.1 to the Company’s Current Report on Form 8-K filed on May 14, 2021.</w:t>
      </w:r>
    </w:p>
    <w:p>
      <w:pPr>
        <w:spacing w:after="0" w:line="2" w:lineRule="exact"/>
        <w:rPr>
          <w:sz w:val="20"/>
          <w:szCs w:val="20"/>
          <w:color w:val="auto"/>
        </w:rPr>
      </w:pPr>
    </w:p>
    <w:p>
      <w:pPr>
        <w:ind w:left="360"/>
        <w:spacing w:after="0"/>
        <w:tabs>
          <w:tab w:leader="none" w:pos="1000" w:val="left"/>
        </w:tabs>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Agreement and Plan of Merger by and among Excaliber Enterprises, Ltd., VistaGen Therapeutics, Inc. and Excaliber Merger Subsidiary, Inc.</w:t>
      </w:r>
    </w:p>
    <w:p>
      <w:pPr>
        <w:spacing w:after="0" w:line="21" w:lineRule="exact"/>
        <w:rPr>
          <w:sz w:val="20"/>
          <w:szCs w:val="20"/>
          <w:color w:val="auto"/>
        </w:rPr>
      </w:pPr>
    </w:p>
    <w:p>
      <w:pPr>
        <w:jc w:val="both"/>
        <w:ind w:left="1020" w:right="20" w:hanging="628"/>
        <w:spacing w:after="0" w:line="257" w:lineRule="auto"/>
        <w:tabs>
          <w:tab w:leader="none" w:pos="1000" w:val="left"/>
        </w:tabs>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u w:val="single" w:color="auto"/>
            <w:color w:val="0000EE"/>
          </w:rPr>
          <w:t>3.4</w:t>
        </w:r>
      </w:hyperlink>
      <w:r>
        <w:rPr>
          <w:rFonts w:ascii="Times New Roman" w:cs="Times New Roman" w:eastAsia="Times New Roman" w:hAnsi="Times New Roman"/>
          <w:sz w:val="18"/>
          <w:szCs w:val="18"/>
          <w:color w:val="0000EE"/>
        </w:rPr>
        <w:tab/>
        <w:t>Articles of Merger filed with the Nevada Secretary of State on May 24, 2011, incorporated by reference from Exhibit 3.1 to the Company’s Current Report on Form 8-K filed on May 31, 2011.</w:t>
      </w:r>
    </w:p>
    <w:p>
      <w:pPr>
        <w:jc w:val="both"/>
        <w:ind w:left="1020" w:hanging="628"/>
        <w:spacing w:after="0" w:line="257" w:lineRule="auto"/>
        <w:tabs>
          <w:tab w:leader="none" w:pos="1000" w:val="left"/>
        </w:tabs>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u w:val="single" w:color="auto"/>
            <w:color w:val="0000EE"/>
          </w:rPr>
          <w:t>3.5</w:t>
        </w:r>
      </w:hyperlink>
      <w:r>
        <w:rPr>
          <w:rFonts w:ascii="Times New Roman" w:cs="Times New Roman" w:eastAsia="Times New Roman" w:hAnsi="Times New Roman"/>
          <w:sz w:val="18"/>
          <w:szCs w:val="18"/>
          <w:color w:val="0000EE"/>
        </w:rPr>
        <w:tab/>
        <w:t>Certificate of Designations Series A Preferred, incorporated by reference from Exhibit 3.1 to the Company’s Current Report on Form 8-K filed on December 23, 2011.</w:t>
      </w:r>
    </w:p>
    <w:p>
      <w:pPr>
        <w:jc w:val="both"/>
        <w:ind w:left="1020" w:hanging="628"/>
        <w:spacing w:after="0" w:line="257" w:lineRule="auto"/>
        <w:tabs>
          <w:tab w:leader="none" w:pos="1000" w:val="left"/>
        </w:tabs>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u w:val="single" w:color="auto"/>
            <w:color w:val="0000EE"/>
          </w:rPr>
          <w:t>3.6</w:t>
        </w:r>
      </w:hyperlink>
      <w:r>
        <w:rPr>
          <w:rFonts w:ascii="Times New Roman" w:cs="Times New Roman" w:eastAsia="Times New Roman" w:hAnsi="Times New Roman"/>
          <w:sz w:val="18"/>
          <w:szCs w:val="18"/>
          <w:color w:val="0000EE"/>
        </w:rPr>
        <w:tab/>
        <w:t>Certificate of Change filed with the Nevada Secretary of State on August 11, 2014 incorporated by reference from Exhibit 3.1 to the Company’s Current Report on Form 8-K filed on August 14, 2014.</w:t>
      </w:r>
    </w:p>
    <w:p>
      <w:pPr>
        <w:jc w:val="both"/>
        <w:ind w:left="1020" w:hanging="628"/>
        <w:spacing w:after="0" w:line="254" w:lineRule="auto"/>
        <w:tabs>
          <w:tab w:leader="none" w:pos="1000" w:val="left"/>
        </w:tabs>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u w:val="single" w:color="auto"/>
            <w:color w:val="0000EE"/>
          </w:rPr>
          <w:t>3.7</w:t>
        </w:r>
      </w:hyperlink>
      <w:r>
        <w:rPr>
          <w:rFonts w:ascii="Times New Roman" w:cs="Times New Roman" w:eastAsia="Times New Roman" w:hAnsi="Times New Roman"/>
          <w:sz w:val="18"/>
          <w:szCs w:val="18"/>
          <w:color w:val="0000EE"/>
        </w:rPr>
        <w:tab/>
        <w:t>Certificate of Designation of the Relative Rights and Preferences of the Series B 10% Convertible Preferred Stock of VistaGen Therapeutics, Inc., filed with the Nevada Secretary of State on May 7, 2015, incorporated by reference from Exhibit 3.1 to the Company’s Current Report on Form 8-K filed on May 13, 2015.</w:t>
      </w:r>
    </w:p>
    <w:p>
      <w:pPr>
        <w:spacing w:after="0" w:line="1" w:lineRule="exact"/>
        <w:rPr>
          <w:sz w:val="20"/>
          <w:szCs w:val="20"/>
          <w:color w:val="auto"/>
        </w:rPr>
      </w:pPr>
    </w:p>
    <w:p>
      <w:pPr>
        <w:jc w:val="both"/>
        <w:ind w:left="1020" w:hanging="628"/>
        <w:spacing w:after="0" w:line="257" w:lineRule="auto"/>
        <w:tabs>
          <w:tab w:leader="none" w:pos="1000" w:val="left"/>
        </w:tabs>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u w:val="single" w:color="auto"/>
            <w:color w:val="0000EE"/>
          </w:rPr>
          <w:t>3.9</w:t>
        </w:r>
      </w:hyperlink>
      <w:r>
        <w:rPr>
          <w:rFonts w:ascii="Times New Roman" w:cs="Times New Roman" w:eastAsia="Times New Roman" w:hAnsi="Times New Roman"/>
          <w:sz w:val="18"/>
          <w:szCs w:val="18"/>
          <w:color w:val="0000EE"/>
        </w:rPr>
        <w:tab/>
        <w:t>Certificate of Designation of the Relative Rights and Preferences of the Series C Convertible Preferred Stock of VistaGen Therapeutics, Inc., dated January 25, 2016, incorporated by reference from Exhibit 3.1 to the Company’s Current Report on Form 8-K filed on January 29, 2016.</w:t>
      </w:r>
    </w:p>
    <w:p>
      <w:pPr>
        <w:jc w:val="both"/>
        <w:ind w:left="1020" w:hanging="673"/>
        <w:spacing w:after="0" w:line="257" w:lineRule="auto"/>
        <w:tabs>
          <w:tab w:leader="none" w:pos="1000" w:val="left"/>
        </w:tabs>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u w:val="single" w:color="auto"/>
            <w:color w:val="0000EE"/>
          </w:rPr>
          <w:t>3.10</w:t>
        </w:r>
      </w:hyperlink>
      <w:r>
        <w:rPr>
          <w:rFonts w:ascii="Times New Roman" w:cs="Times New Roman" w:eastAsia="Times New Roman" w:hAnsi="Times New Roman"/>
          <w:sz w:val="18"/>
          <w:szCs w:val="18"/>
          <w:color w:val="0000EE"/>
        </w:rPr>
        <w:tab/>
        <w:t>Restated Articles of Incorporation of VistaGen Therapeutics, Inc., dated August 16, 2016, incorporated by reference from Exhibit 3.1 to the Company’s Current Report on Form 8-K, filed on August 17, 2016.</w:t>
      </w:r>
    </w:p>
    <w:p>
      <w:pPr>
        <w:jc w:val="both"/>
        <w:ind w:left="1020" w:hanging="670"/>
        <w:spacing w:after="0" w:line="257" w:lineRule="auto"/>
        <w:tabs>
          <w:tab w:leader="none" w:pos="1000" w:val="left"/>
        </w:tabs>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color w:val="0000EE"/>
        </w:rPr>
        <w:tab/>
        <w:t>Second Amended and Restated Bylaws of VistaGen Therapeutics, Inc., dated August 16, 2016, incorporated by reference from Exhibit 3.2 to the Company’s Current Report on Form 8-K, filed on August 16, 2016.</w:t>
      </w:r>
    </w:p>
    <w:p>
      <w:pPr>
        <w:jc w:val="both"/>
        <w:ind w:left="1020" w:hanging="673"/>
        <w:spacing w:after="0" w:line="257" w:lineRule="auto"/>
        <w:tabs>
          <w:tab w:leader="none" w:pos="1000" w:val="left"/>
        </w:tabs>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color w:val="0000EE"/>
        </w:rPr>
        <w:tab/>
        <w:t>Certificate of Amendment to the Restated and Amended Articles of Incorporation of VistaGen Therapeutics, Inc., dated September 15, 2017; incorporated by reference from Exhibit 3.1 to the Company’s Current Report on Form 8-K, filed on September 20, 2017.</w:t>
      </w:r>
    </w:p>
    <w:p>
      <w:pPr>
        <w:jc w:val="both"/>
        <w:ind w:left="1020" w:hanging="673"/>
        <w:spacing w:after="0" w:line="257" w:lineRule="auto"/>
        <w:tabs>
          <w:tab w:leader="none" w:pos="1000" w:val="left"/>
        </w:tabs>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u w:val="single" w:color="auto"/>
            <w:color w:val="0000EE"/>
          </w:rPr>
          <w:t>3.13</w:t>
        </w:r>
      </w:hyperlink>
      <w:r>
        <w:rPr>
          <w:rFonts w:ascii="Times New Roman" w:cs="Times New Roman" w:eastAsia="Times New Roman" w:hAnsi="Times New Roman"/>
          <w:sz w:val="18"/>
          <w:szCs w:val="18"/>
          <w:color w:val="0000EE"/>
        </w:rPr>
        <w:tab/>
        <w:t>Certificate of Amendment to the Restated and Amended Articles of Incorporation, as amended, of VistaGen Therapeutics, Inc., dated September 6 ,2019; incorporated by reference from Exhibit 3.1 to the Company’s Current Report on Form 8-K, filed on September 6, 2019.</w:t>
      </w:r>
    </w:p>
    <w:p>
      <w:pPr>
        <w:jc w:val="both"/>
        <w:ind w:left="1020" w:hanging="673"/>
        <w:spacing w:after="0" w:line="254" w:lineRule="auto"/>
        <w:tabs>
          <w:tab w:leader="none" w:pos="1000" w:val="left"/>
        </w:tabs>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u w:val="single" w:color="auto"/>
            <w:color w:val="0000EE"/>
          </w:rPr>
          <w:t>3.14</w:t>
        </w:r>
      </w:hyperlink>
      <w:r>
        <w:rPr>
          <w:rFonts w:ascii="Times New Roman" w:cs="Times New Roman" w:eastAsia="Times New Roman" w:hAnsi="Times New Roman"/>
          <w:sz w:val="18"/>
          <w:szCs w:val="18"/>
          <w:color w:val="0000EE"/>
        </w:rPr>
        <w:tab/>
        <w:t>Certificate of Designation of the Relative Rights and Preferences of the Series D Convertible Preferred Stock of VistaGen Therapeutics, Inc., filed with the Nevada Secretary of State on December 21, 2020, incorporated by reference from Exhibit 3.1 to the Company’s Current Report on Form 8-K filed on December 22, 2020.</w:t>
      </w:r>
    </w:p>
    <w:p>
      <w:pPr>
        <w:spacing w:after="0" w:line="1" w:lineRule="exact"/>
        <w:rPr>
          <w:sz w:val="20"/>
          <w:szCs w:val="20"/>
          <w:color w:val="auto"/>
        </w:rPr>
      </w:pPr>
    </w:p>
    <w:p>
      <w:pPr>
        <w:ind w:left="360"/>
        <w:spacing w:after="0"/>
        <w:tabs>
          <w:tab w:leader="none" w:pos="1000" w:val="left"/>
        </w:tabs>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u w:val="single" w:color="auto"/>
            <w:color w:val="0000EE"/>
          </w:rPr>
          <w:t>3.15</w:t>
        </w:r>
      </w:hyperlink>
      <w:r>
        <w:rPr>
          <w:rFonts w:ascii="Times New Roman" w:cs="Times New Roman" w:eastAsia="Times New Roman" w:hAnsi="Times New Roman"/>
          <w:sz w:val="18"/>
          <w:szCs w:val="18"/>
          <w:color w:val="0000EE"/>
        </w:rPr>
        <w:tab/>
        <w:t>Certificate of Amendment to the Restated and Amended Articles of Incorporation, as amended, of VistaGen Therapeutics, Inc., dated March</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 2021, incorporated by reference from Exhibit 3.1 to the Company’s Current Report on Form 8-K, filed on March 5, 2021.</w:t>
      </w:r>
    </w:p>
    <w:p>
      <w:pPr>
        <w:spacing w:after="0" w:line="8" w:lineRule="exact"/>
        <w:rPr>
          <w:sz w:val="20"/>
          <w:szCs w:val="20"/>
          <w:color w:val="auto"/>
        </w:rPr>
      </w:pPr>
    </w:p>
    <w:p>
      <w:pPr>
        <w:ind w:left="260"/>
        <w:spacing w:after="0"/>
        <w:tabs>
          <w:tab w:leader="none" w:pos="1000" w:val="left"/>
        </w:tabs>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License Agreement by and between Mount Sinai School of Medicine of New York University and the Company, dated October 1, 2004.</w:t>
      </w:r>
    </w:p>
    <w:p>
      <w:pPr>
        <w:spacing w:after="0" w:line="21" w:lineRule="exact"/>
        <w:rPr>
          <w:sz w:val="20"/>
          <w:szCs w:val="20"/>
          <w:color w:val="auto"/>
        </w:rPr>
      </w:pPr>
    </w:p>
    <w:p>
      <w:pPr>
        <w:ind w:left="260"/>
        <w:spacing w:after="0"/>
        <w:tabs>
          <w:tab w:leader="none" w:pos="1000" w:val="left"/>
        </w:tabs>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u w:val="single" w:color="auto"/>
            <w:color w:val="0000EE"/>
          </w:rPr>
          <w:t>10.40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Employment Agreement, by and between, VistaGen and Shawn K. Singh, dated April 28, 2010, as amended May 9, 2011.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49" w:name="page150"/>
    <w:bookmarkEnd w:id="149"/>
    <w:p>
      <w:pPr>
        <w:ind w:left="40"/>
        <w:spacing w:after="0"/>
        <w:tabs>
          <w:tab w:leader="none" w:pos="780" w:val="left"/>
        </w:tabs>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u w:val="single" w:color="auto"/>
            <w:color w:val="0000EE"/>
          </w:rPr>
          <w:t>10.41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Employment Agreement, by and between, VistaGen and H. Ralph Snodgrass, PhD, dated April 28, 2010, as amended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-119380</wp:posOffset>
            </wp:positionV>
            <wp:extent cx="7132955" cy="6604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32955" cy="6604000"/>
                    </a:xfrm>
                    <a:prstGeom prst="rect">
                      <a:avLst/>
                    </a:prstGeom>
                    <a:noFill/>
                  </pic:spPr>
                </pic:pic>
              </a:graphicData>
            </a:graphic>
          </wp:anchor>
        </w:drawing>
      </w:r>
    </w:p>
    <w:p>
      <w:pPr>
        <w:spacing w:after="0" w:line="7" w:lineRule="exact"/>
        <w:rPr>
          <w:sz w:val="20"/>
          <w:szCs w:val="20"/>
          <w:color w:val="auto"/>
        </w:rPr>
      </w:pPr>
    </w:p>
    <w:p>
      <w:pPr>
        <w:jc w:val="both"/>
        <w:ind w:left="800" w:hanging="718"/>
        <w:spacing w:after="0" w:line="257" w:lineRule="auto"/>
        <w:tabs>
          <w:tab w:leader="none" w:pos="780" w:val="left"/>
        </w:tabs>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u w:val="single" w:color="auto"/>
            <w:color w:val="0000EE"/>
          </w:rPr>
          <w:t>10.49</w:t>
        </w:r>
      </w:hyperlink>
      <w:r>
        <w:rPr>
          <w:rFonts w:ascii="Times New Roman" w:cs="Times New Roman" w:eastAsia="Times New Roman" w:hAnsi="Times New Roman"/>
          <w:sz w:val="18"/>
          <w:szCs w:val="18"/>
          <w:color w:val="0000EE"/>
        </w:rPr>
        <w:tab/>
        <w:t>License Agreement No. 1, dated as of October 24, 2011 between University Health Network and VistaGen Therapeutics, Inc., incorporated by reference from Exhibit 10.1 to the Company’s Current Report on Form 8-K filed on November 30, 2011.</w:t>
      </w:r>
    </w:p>
    <w:p>
      <w:pPr>
        <w:jc w:val="both"/>
        <w:ind w:left="800" w:hanging="718"/>
        <w:spacing w:after="0" w:line="257" w:lineRule="auto"/>
        <w:tabs>
          <w:tab w:leader="none" w:pos="780" w:val="left"/>
        </w:tabs>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u w:val="single" w:color="auto"/>
            <w:color w:val="0000EE"/>
          </w:rPr>
          <w:t>10.57</w:t>
        </w:r>
      </w:hyperlink>
      <w:r>
        <w:rPr>
          <w:rFonts w:ascii="Times New Roman" w:cs="Times New Roman" w:eastAsia="Times New Roman" w:hAnsi="Times New Roman"/>
          <w:sz w:val="18"/>
          <w:szCs w:val="18"/>
          <w:color w:val="0000EE"/>
        </w:rPr>
        <w:tab/>
        <w:t>License Agreement No. 2, dated as of March 19, 2012 between University Health Network and VistaGen Therapeutics, Inc., incorporated by reference from Exhibit 10.57 to the Company’s Annual Report on Form 10-K filed on July 2, 2012.</w:t>
      </w:r>
    </w:p>
    <w:p>
      <w:pPr>
        <w:jc w:val="both"/>
        <w:ind w:left="800" w:hanging="718"/>
        <w:spacing w:after="0" w:line="257" w:lineRule="auto"/>
        <w:tabs>
          <w:tab w:leader="none" w:pos="780" w:val="left"/>
        </w:tabs>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u w:val="single" w:color="auto"/>
            <w:color w:val="0000EE"/>
          </w:rPr>
          <w:t>10.67</w:t>
        </w:r>
      </w:hyperlink>
      <w:r>
        <w:rPr>
          <w:rFonts w:ascii="Times New Roman" w:cs="Times New Roman" w:eastAsia="Times New Roman" w:hAnsi="Times New Roman"/>
          <w:sz w:val="18"/>
          <w:szCs w:val="18"/>
          <w:color w:val="0000EE"/>
        </w:rPr>
        <w:tab/>
        <w:t>Note Exchange and Purchase Agreement dated as of October 11, 2012 by and between VistaGen Therapeutics, Inc. and Platinum Long Term Growth VII, LLP, incorporated by reference from Exhibit 10.1 to the Company’s Current Report on Form 8-K filed on October 16, 2012.</w:t>
      </w:r>
    </w:p>
    <w:p>
      <w:pPr>
        <w:jc w:val="both"/>
        <w:ind w:left="800" w:hanging="718"/>
        <w:spacing w:after="0" w:line="254" w:lineRule="auto"/>
        <w:tabs>
          <w:tab w:leader="none" w:pos="780" w:val="left"/>
        </w:tabs>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u w:val="single" w:color="auto"/>
            <w:color w:val="0000EE"/>
          </w:rPr>
          <w:t>10.73</w:t>
        </w:r>
      </w:hyperlink>
      <w:r>
        <w:rPr>
          <w:rFonts w:ascii="Times New Roman" w:cs="Times New Roman" w:eastAsia="Times New Roman" w:hAnsi="Times New Roman"/>
          <w:sz w:val="18"/>
          <w:szCs w:val="18"/>
          <w:color w:val="0000EE"/>
        </w:rPr>
        <w:tab/>
        <w:t>Amendment to Note Exchange and Purchase Agreement as of November 14, 2012 between VistaGen Therapeutics Inc. and Platinum Long Term Growth VII, LLP, incorporated by reference from Exhibit 10.1 to the Company’s Current Report on Form 8-K filed on November 20, 2012.</w:t>
      </w:r>
    </w:p>
    <w:p>
      <w:pPr>
        <w:spacing w:after="0" w:line="1" w:lineRule="exact"/>
        <w:rPr>
          <w:sz w:val="20"/>
          <w:szCs w:val="20"/>
          <w:color w:val="auto"/>
        </w:rPr>
      </w:pPr>
    </w:p>
    <w:p>
      <w:pPr>
        <w:jc w:val="both"/>
        <w:ind w:left="800" w:hanging="718"/>
        <w:spacing w:after="0" w:line="254" w:lineRule="auto"/>
        <w:tabs>
          <w:tab w:leader="none" w:pos="780" w:val="left"/>
        </w:tabs>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u w:val="single" w:color="auto"/>
            <w:color w:val="0000EE"/>
          </w:rPr>
          <w:t>10.75</w:t>
        </w:r>
      </w:hyperlink>
      <w:r>
        <w:rPr>
          <w:rFonts w:ascii="Times New Roman" w:cs="Times New Roman" w:eastAsia="Times New Roman" w:hAnsi="Times New Roman"/>
          <w:sz w:val="18"/>
          <w:szCs w:val="18"/>
          <w:color w:val="0000EE"/>
        </w:rPr>
        <w:tab/>
        <w:t>Amendment No. 2 to Note Exchange and Purchase Agreement as of January 31, 2013 between VistaGen Therapeutics Inc. and Platinum Long Term Growth VII, LLP, incorporated by reference from Exhibit 10.1 to the Company’s Quarterly Report on Form 10-Q filed on February 14, 2013.</w:t>
      </w:r>
    </w:p>
    <w:p>
      <w:pPr>
        <w:spacing w:after="0" w:line="1" w:lineRule="exact"/>
        <w:rPr>
          <w:sz w:val="20"/>
          <w:szCs w:val="20"/>
          <w:color w:val="auto"/>
        </w:rPr>
      </w:pPr>
    </w:p>
    <w:p>
      <w:pPr>
        <w:jc w:val="both"/>
        <w:ind w:left="800" w:hanging="718"/>
        <w:spacing w:after="0" w:line="254" w:lineRule="auto"/>
        <w:tabs>
          <w:tab w:leader="none" w:pos="780" w:val="left"/>
        </w:tabs>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u w:val="single" w:color="auto"/>
            <w:color w:val="0000EE"/>
          </w:rPr>
          <w:t>10.76</w:t>
        </w:r>
      </w:hyperlink>
      <w:r>
        <w:rPr>
          <w:rFonts w:ascii="Times New Roman" w:cs="Times New Roman" w:eastAsia="Times New Roman" w:hAnsi="Times New Roman"/>
          <w:sz w:val="18"/>
          <w:szCs w:val="18"/>
          <w:color w:val="0000EE"/>
        </w:rPr>
        <w:tab/>
        <w:t>Amendment No. 3 to Note Exchange and Purchase Agreement as of February 22, 2013 between VistaGen Therapeutics Inc. and Platinum Long Term Growth VII, LLP, incorporated by reference from Exhibit 10.1 to the Company’s Current Report on Form 8-K filed on February 28, 2013.</w:t>
      </w:r>
    </w:p>
    <w:p>
      <w:pPr>
        <w:spacing w:after="0" w:line="1" w:lineRule="exact"/>
        <w:rPr>
          <w:sz w:val="20"/>
          <w:szCs w:val="20"/>
          <w:color w:val="auto"/>
        </w:rPr>
      </w:pPr>
    </w:p>
    <w:p>
      <w:pPr>
        <w:jc w:val="both"/>
        <w:ind w:left="800" w:right="20" w:hanging="718"/>
        <w:spacing w:after="0" w:line="257" w:lineRule="auto"/>
        <w:tabs>
          <w:tab w:leader="none" w:pos="780" w:val="left"/>
        </w:tabs>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u w:val="single" w:color="auto"/>
            <w:color w:val="0000EE"/>
          </w:rPr>
          <w:t>10.77</w:t>
        </w:r>
      </w:hyperlink>
      <w:r>
        <w:rPr>
          <w:rFonts w:ascii="Times New Roman" w:cs="Times New Roman" w:eastAsia="Times New Roman" w:hAnsi="Times New Roman"/>
          <w:sz w:val="18"/>
          <w:szCs w:val="18"/>
          <w:color w:val="0000EE"/>
        </w:rPr>
        <w:tab/>
        <w:t>Form of Warrant to Purchase Common Stock issued to independent members of the Company’s Board of Directors and its executive officers on March 3, 2013, incorporated by reference from Exhibit 10.1 to the Company’s Current Report on Form 8-K filed on March 6, 2013.</w:t>
      </w:r>
    </w:p>
    <w:p>
      <w:pPr>
        <w:jc w:val="both"/>
        <w:ind w:left="800" w:hanging="718"/>
        <w:spacing w:after="0" w:line="257" w:lineRule="auto"/>
        <w:tabs>
          <w:tab w:leader="none" w:pos="780" w:val="left"/>
        </w:tabs>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u w:val="single" w:color="auto"/>
            <w:color w:val="0000EE"/>
          </w:rPr>
          <w:t>10.83</w:t>
        </w:r>
      </w:hyperlink>
      <w:r>
        <w:rPr>
          <w:rFonts w:ascii="Times New Roman" w:cs="Times New Roman" w:eastAsia="Times New Roman" w:hAnsi="Times New Roman"/>
          <w:sz w:val="18"/>
          <w:szCs w:val="18"/>
          <w:color w:val="0000EE"/>
        </w:rPr>
        <w:tab/>
        <w:t>Lease between Bayside Area Development, LLC and VistaGen Therapeutics, Inc. (California) dated April 24, 2013, incorporated by reference from Exhibit 10.83 to the Company’s Annual Report on Form 10-K filed July 18, 2013.</w:t>
      </w:r>
    </w:p>
    <w:p>
      <w:pPr>
        <w:jc w:val="both"/>
        <w:ind w:left="800" w:hanging="718"/>
        <w:spacing w:after="0" w:line="257" w:lineRule="auto"/>
        <w:tabs>
          <w:tab w:leader="none" w:pos="780" w:val="left"/>
        </w:tabs>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u w:val="single" w:color="auto"/>
            <w:color w:val="0000EE"/>
          </w:rPr>
          <w:t>10.84</w:t>
        </w:r>
      </w:hyperlink>
      <w:r>
        <w:rPr>
          <w:rFonts w:ascii="Times New Roman" w:cs="Times New Roman" w:eastAsia="Times New Roman" w:hAnsi="Times New Roman"/>
          <w:sz w:val="18"/>
          <w:szCs w:val="18"/>
          <w:color w:val="0000EE"/>
        </w:rPr>
        <w:tab/>
        <w:t>Indemnification Agreement effective May 20, 2013 between the Company and Jon S. Saxe, incorporated by reference from Exhibit 10.84 to the Company’s Annual Report on Form 10-K filed on July 18, 2013.</w:t>
      </w:r>
    </w:p>
    <w:p>
      <w:pPr>
        <w:jc w:val="both"/>
        <w:ind w:left="800" w:hanging="718"/>
        <w:spacing w:after="0" w:line="257" w:lineRule="auto"/>
        <w:tabs>
          <w:tab w:leader="none" w:pos="780" w:val="left"/>
        </w:tabs>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u w:val="single" w:color="auto"/>
            <w:color w:val="0000EE"/>
          </w:rPr>
          <w:t>10.85</w:t>
        </w:r>
      </w:hyperlink>
      <w:r>
        <w:rPr>
          <w:rFonts w:ascii="Times New Roman" w:cs="Times New Roman" w:eastAsia="Times New Roman" w:hAnsi="Times New Roman"/>
          <w:sz w:val="18"/>
          <w:szCs w:val="18"/>
          <w:color w:val="0000EE"/>
        </w:rPr>
        <w:tab/>
        <w:t>Indemnification Agreement effective May 20, 2013 between the Company and Shawn K. Singh, incorporated by reference from Exhibit 10.85 to the Company’s Annual Report on Form 10-K filed on July 18, 2013.</w:t>
      </w:r>
    </w:p>
    <w:p>
      <w:pPr>
        <w:ind w:left="80"/>
        <w:spacing w:after="0"/>
        <w:tabs>
          <w:tab w:leader="none" w:pos="780" w:val="left"/>
        </w:tabs>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u w:val="single" w:color="auto"/>
            <w:color w:val="0000EE"/>
          </w:rPr>
          <w:t>10.86</w:t>
        </w:r>
      </w:hyperlink>
      <w:r>
        <w:rPr>
          <w:rFonts w:ascii="Times New Roman" w:cs="Times New Roman" w:eastAsia="Times New Roman" w:hAnsi="Times New Roman"/>
          <w:sz w:val="18"/>
          <w:szCs w:val="18"/>
          <w:color w:val="0000EE"/>
        </w:rPr>
        <w:tab/>
        <w:t>Indemnification Agreement effective May 20, 2013 between the Company and H. Ralph Snodgrass, incorporated by reference from Exhibit</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10.86 to the Company’s Annual Report on Form 10-K filed on July 18, 2013.</w:t>
      </w:r>
    </w:p>
    <w:p>
      <w:pPr>
        <w:spacing w:after="0" w:line="8" w:lineRule="exact"/>
        <w:rPr>
          <w:sz w:val="20"/>
          <w:szCs w:val="20"/>
          <w:color w:val="auto"/>
        </w:rPr>
      </w:pPr>
    </w:p>
    <w:p>
      <w:pPr>
        <w:ind w:left="80"/>
        <w:spacing w:after="0"/>
        <w:tabs>
          <w:tab w:leader="none" w:pos="780" w:val="left"/>
        </w:tabs>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u w:val="single" w:color="auto"/>
            <w:color w:val="0000EE"/>
          </w:rPr>
          <w:t>10.87</w:t>
        </w:r>
      </w:hyperlink>
      <w:r>
        <w:rPr>
          <w:rFonts w:ascii="Times New Roman" w:cs="Times New Roman" w:eastAsia="Times New Roman" w:hAnsi="Times New Roman"/>
          <w:sz w:val="18"/>
          <w:szCs w:val="18"/>
          <w:color w:val="0000EE"/>
        </w:rPr>
        <w:tab/>
        <w:t>Indemnification Agreement effective May 20, 2013 between the Company and Brian J. Underdown, incorporated by reference from Exhibit</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10.87 to the Company’s Annual Report on Form 10-K filed on July 18, 2013.</w:t>
      </w:r>
    </w:p>
    <w:p>
      <w:pPr>
        <w:spacing w:after="0" w:line="8" w:lineRule="exact"/>
        <w:rPr>
          <w:sz w:val="20"/>
          <w:szCs w:val="20"/>
          <w:color w:val="auto"/>
        </w:rPr>
      </w:pPr>
    </w:p>
    <w:p>
      <w:pPr>
        <w:ind w:left="80"/>
        <w:spacing w:after="0"/>
        <w:tabs>
          <w:tab w:leader="none" w:pos="780" w:val="left"/>
        </w:tabs>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u w:val="single" w:color="auto"/>
            <w:color w:val="0000EE"/>
          </w:rPr>
          <w:t>10.88</w:t>
        </w:r>
      </w:hyperlink>
      <w:r>
        <w:rPr>
          <w:rFonts w:ascii="Times New Roman" w:cs="Times New Roman" w:eastAsia="Times New Roman" w:hAnsi="Times New Roman"/>
          <w:sz w:val="18"/>
          <w:szCs w:val="18"/>
          <w:color w:val="0000EE"/>
        </w:rPr>
        <w:tab/>
        <w:t>Indemnification Agreement effective May 20, 2013 between the Company and Jerrold D. Dotson, incorporated by reference from Exhibit</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10.88 to the Company’s Annual Report on Form 10-K filed on July 18, 2013.</w:t>
      </w:r>
    </w:p>
    <w:p>
      <w:pPr>
        <w:spacing w:after="0" w:line="8" w:lineRule="exact"/>
        <w:rPr>
          <w:sz w:val="20"/>
          <w:szCs w:val="20"/>
          <w:color w:val="auto"/>
        </w:rPr>
      </w:pPr>
    </w:p>
    <w:p>
      <w:pPr>
        <w:jc w:val="both"/>
        <w:ind w:left="800" w:hanging="756"/>
        <w:spacing w:after="0" w:line="254" w:lineRule="auto"/>
        <w:tabs>
          <w:tab w:leader="none" w:pos="780" w:val="left"/>
        </w:tabs>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u w:val="single" w:color="auto"/>
            <w:color w:val="0000EE"/>
          </w:rPr>
          <w:t>10.111</w:t>
        </w:r>
      </w:hyperlink>
      <w:r>
        <w:rPr>
          <w:rFonts w:ascii="Times New Roman" w:cs="Times New Roman" w:eastAsia="Times New Roman" w:hAnsi="Times New Roman"/>
          <w:sz w:val="18"/>
          <w:szCs w:val="18"/>
          <w:color w:val="0000EE"/>
        </w:rPr>
        <w:tab/>
        <w:t>Exchange Agreement, by and between VistaGen Therapeutics, Inc., and Platinum Long Term Growth VII, LLC and Montsant Partners, LLC, dated January 25, 2016, incorporated by reference from Exhibit 10.1 to the Company’s Current Report on Form 8-K filed on January 29, 2016.</w:t>
      </w:r>
    </w:p>
    <w:p>
      <w:pPr>
        <w:spacing w:after="0" w:line="1" w:lineRule="exact"/>
        <w:rPr>
          <w:sz w:val="20"/>
          <w:szCs w:val="20"/>
          <w:color w:val="auto"/>
        </w:rPr>
      </w:pPr>
    </w:p>
    <w:p>
      <w:pPr>
        <w:jc w:val="both"/>
        <w:ind w:left="800" w:hanging="759"/>
        <w:spacing w:after="0" w:line="257" w:lineRule="auto"/>
        <w:tabs>
          <w:tab w:leader="none" w:pos="780" w:val="left"/>
        </w:tabs>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u w:val="single" w:color="auto"/>
            <w:color w:val="0000EE"/>
          </w:rPr>
          <w:t>10.112</w:t>
        </w:r>
      </w:hyperlink>
      <w:r>
        <w:rPr>
          <w:rFonts w:ascii="Times New Roman" w:cs="Times New Roman" w:eastAsia="Times New Roman" w:hAnsi="Times New Roman"/>
          <w:sz w:val="18"/>
          <w:szCs w:val="18"/>
          <w:color w:val="0000EE"/>
        </w:rPr>
        <w:tab/>
        <w:t>Indemnification Agreement effective April 8, 2016 between the Company and Jerry B. Gin, incorporated by reference from Exhibit 10.112 to the Company’s Annual Report on Form 10-K filed on June 24, 2016.</w:t>
      </w:r>
    </w:p>
    <w:p>
      <w:pPr>
        <w:jc w:val="both"/>
        <w:ind w:left="800" w:hanging="759"/>
        <w:spacing w:after="0" w:line="257" w:lineRule="auto"/>
        <w:tabs>
          <w:tab w:leader="none" w:pos="780" w:val="left"/>
        </w:tabs>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u w:val="single" w:color="auto"/>
            <w:color w:val="0000EE"/>
          </w:rPr>
          <w:t>10.116</w:t>
        </w:r>
      </w:hyperlink>
      <w:r>
        <w:rPr>
          <w:rFonts w:ascii="Times New Roman" w:cs="Times New Roman" w:eastAsia="Times New Roman" w:hAnsi="Times New Roman"/>
          <w:sz w:val="18"/>
          <w:szCs w:val="18"/>
          <w:color w:val="0000EE"/>
        </w:rPr>
        <w:tab/>
        <w:t>Second Amendment to Employment Agreement by and between VistaGen Therapeutics, Inc. and Shawn K. Singh, dated June 22, 2016, incorporated by reference from Exhibit 10.116 to the Company’s Annual Report on Form 10-K filed on June 24, 2016.</w:t>
      </w:r>
    </w:p>
    <w:p>
      <w:pPr>
        <w:ind w:left="40"/>
        <w:spacing w:after="0"/>
        <w:tabs>
          <w:tab w:leader="none" w:pos="780" w:val="left"/>
        </w:tabs>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u w:val="single" w:color="auto"/>
            <w:color w:val="0000EE"/>
          </w:rPr>
          <w:t>10.117</w:t>
        </w:r>
      </w:hyperlink>
      <w:r>
        <w:rPr>
          <w:rFonts w:ascii="Times New Roman" w:cs="Times New Roman" w:eastAsia="Times New Roman" w:hAnsi="Times New Roman"/>
          <w:sz w:val="18"/>
          <w:szCs w:val="18"/>
          <w:color w:val="0000EE"/>
        </w:rPr>
        <w:tab/>
        <w:t>Second Amendment to Employment Agreement by and between VistaGen Therapeutics, Inc. and H. Ralph Snodgrass, Ph.D., dated June 22,</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2016, incorporated by reference from Exhibit 10.117 to the Company’s Annual Report on Form 10-K filed on June 24, 2016.</w:t>
      </w:r>
    </w:p>
    <w:p>
      <w:pPr>
        <w:spacing w:after="0" w:line="8" w:lineRule="exact"/>
        <w:rPr>
          <w:sz w:val="20"/>
          <w:szCs w:val="20"/>
          <w:color w:val="auto"/>
        </w:rPr>
      </w:pPr>
    </w:p>
    <w:p>
      <w:pPr>
        <w:jc w:val="both"/>
        <w:ind w:left="800" w:hanging="759"/>
        <w:spacing w:after="0" w:line="257" w:lineRule="auto"/>
        <w:tabs>
          <w:tab w:leader="none" w:pos="780" w:val="left"/>
        </w:tabs>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u w:val="single" w:color="auto"/>
            <w:color w:val="0000EE"/>
          </w:rPr>
          <w:t>10.118</w:t>
        </w:r>
      </w:hyperlink>
      <w:r>
        <w:rPr>
          <w:rFonts w:ascii="Times New Roman" w:cs="Times New Roman" w:eastAsia="Times New Roman" w:hAnsi="Times New Roman"/>
          <w:sz w:val="18"/>
          <w:szCs w:val="18"/>
          <w:color w:val="0000EE"/>
        </w:rPr>
        <w:tab/>
        <w:t>Second Amendment to Lease between Bayside Area Development and the Company, effective November 10, 2016, incorporated by reference from Exhibit 10.1 to the Company’s Quarterly report on Form 10-Q filed on November 15, 2016.</w:t>
      </w:r>
    </w:p>
    <w:p>
      <w:pPr>
        <w:ind w:left="40"/>
        <w:spacing w:after="0"/>
        <w:tabs>
          <w:tab w:leader="none" w:pos="780" w:val="left"/>
        </w:tabs>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u w:val="single" w:color="auto"/>
            <w:color w:val="0000EE"/>
          </w:rPr>
          <w:t>10.119</w:t>
        </w:r>
      </w:hyperlink>
      <w:r>
        <w:rPr>
          <w:rFonts w:ascii="Times New Roman" w:cs="Times New Roman" w:eastAsia="Times New Roman" w:hAnsi="Times New Roman"/>
          <w:sz w:val="18"/>
          <w:szCs w:val="18"/>
          <w:color w:val="0000EE"/>
        </w:rPr>
        <w:tab/>
        <w:t>Indemnification Agreement effective November 10, 2016 between the Company and Mark A. Smith, incorporated by reference from Exhibit</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10.2 to the Company’s Quarterly report on Form 10-Q filed on November 15, 2016.</w:t>
      </w:r>
    </w:p>
    <w:p>
      <w:pPr>
        <w:spacing w:after="0" w:line="8" w:lineRule="exact"/>
        <w:rPr>
          <w:sz w:val="20"/>
          <w:szCs w:val="20"/>
          <w:color w:val="auto"/>
        </w:rPr>
      </w:pPr>
    </w:p>
    <w:p>
      <w:pPr>
        <w:spacing w:after="0"/>
        <w:tabs>
          <w:tab w:leader="none" w:pos="780" w:val="left"/>
        </w:tabs>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u w:val="single" w:color="auto"/>
            <w:color w:val="0000EE"/>
          </w:rPr>
          <w:t>10.120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t>Exclusive License and Sublicense Agreement by and between VistaGen Therapeutics, Inc. and Apollo Biologics LP, effective December 9,</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2016, incorporated by reference from Exhibit 10.1 to the Company’s Quarterly Report on Form 10-Q filed on May 11, 2017.</w:t>
      </w:r>
    </w:p>
    <w:p>
      <w:pPr>
        <w:spacing w:after="0" w:line="8" w:lineRule="exact"/>
        <w:rPr>
          <w:sz w:val="20"/>
          <w:szCs w:val="20"/>
          <w:color w:val="auto"/>
        </w:rPr>
      </w:pPr>
    </w:p>
    <w:p>
      <w:pPr>
        <w:ind w:left="800" w:hanging="813"/>
        <w:spacing w:after="0" w:line="274" w:lineRule="auto"/>
        <w:tabs>
          <w:tab w:leader="none" w:pos="780" w:val="left"/>
        </w:tabs>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u w:val="single" w:color="auto"/>
            <w:color w:val="0000EE"/>
          </w:rPr>
          <w:t>10.121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t>Patent License Amendment Agreement between VistaGen Therapeutics Inc. and University Health Network effective December 9, 2016, incorporated by reference from Exhibit 10.2 to the Company’s Quarterly Report on Form 10-Q/A filed on May 1, 2017.</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85090</wp:posOffset>
            </wp:positionV>
            <wp:extent cx="71329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540" w:top="578" w:right="339" w:bottom="1440" w:gutter="0" w:footer="0" w:header="0"/>
        </w:sectPr>
      </w:pPr>
    </w:p>
    <w:bookmarkStart w:id="150" w:name="page151"/>
    <w:bookmarkEnd w:id="150"/>
    <w:p>
      <w:pPr>
        <w:ind w:left="800" w:right="20" w:hanging="763"/>
        <w:spacing w:after="0" w:line="260" w:lineRule="auto"/>
        <w:tabs>
          <w:tab w:leader="none" w:pos="780" w:val="left"/>
        </w:tabs>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u w:val="single" w:color="auto"/>
            <w:color w:val="0000EE"/>
          </w:rPr>
          <w:t>10.122</w:t>
        </w:r>
      </w:hyperlink>
      <w:r>
        <w:rPr>
          <w:rFonts w:ascii="Times New Roman" w:cs="Times New Roman" w:eastAsia="Times New Roman" w:hAnsi="Times New Roman"/>
          <w:sz w:val="18"/>
          <w:szCs w:val="18"/>
          <w:color w:val="0000EE"/>
        </w:rPr>
        <w:tab/>
        <w:t>Amended and Restated 2016 Stock Incentive Plan (formerly the VistaGen Therapeutics, Inc. 2008 Stock Incentive Plan), incorporated by reference from Exhibit 10.122 to the Company’s Annual Report on Form 10-K filed on June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-272415</wp:posOffset>
            </wp:positionV>
            <wp:extent cx="7132955" cy="63392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32955" cy="6339205"/>
                    </a:xfrm>
                    <a:prstGeom prst="rect">
                      <a:avLst/>
                    </a:prstGeom>
                    <a:noFill/>
                  </pic:spPr>
                </pic:pic>
              </a:graphicData>
            </a:graphic>
          </wp:anchor>
        </w:drawing>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u w:val="single" w:color="auto"/>
            <w:color w:val="0000EE"/>
          </w:rPr>
          <w:t>10.123</w:t>
        </w:r>
      </w:hyperlink>
      <w:r>
        <w:rPr>
          <w:rFonts w:ascii="Times New Roman" w:cs="Times New Roman" w:eastAsia="Times New Roman" w:hAnsi="Times New Roman"/>
          <w:sz w:val="18"/>
          <w:szCs w:val="18"/>
          <w:color w:val="0000EE"/>
        </w:rPr>
        <w:tab/>
        <w:t>Underwriting Agreement, dated as of August 31, 2017, by and between VistaGen Therapeutics, Inc. and Oppenheimer &amp; Co. Inc., incorporated by reference from Exhibit 1.1 to the Company’s Current Report on Form 8-K filed on August 31, 2017.</w:t>
      </w:r>
    </w:p>
    <w:p>
      <w:pPr>
        <w:ind w:left="40"/>
        <w:spacing w:after="0"/>
        <w:tabs>
          <w:tab w:leader="none" w:pos="780" w:val="left"/>
        </w:tabs>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u w:val="single" w:color="auto"/>
            <w:color w:val="0000EE"/>
          </w:rPr>
          <w:t>10.124</w:t>
        </w:r>
      </w:hyperlink>
      <w:r>
        <w:rPr>
          <w:rFonts w:ascii="Times New Roman" w:cs="Times New Roman" w:eastAsia="Times New Roman" w:hAnsi="Times New Roman"/>
          <w:sz w:val="18"/>
          <w:szCs w:val="18"/>
          <w:color w:val="0000EE"/>
        </w:rPr>
        <w:tab/>
        <w:t>Form of Series A1 Warrant, incorporated by reference from Exhibit 4.1 to the Company’s Current Report on Form 8-K filed on August 31,</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2017.</w:t>
      </w:r>
    </w:p>
    <w:p>
      <w:pPr>
        <w:spacing w:after="0" w:line="8" w:lineRule="exact"/>
        <w:rPr>
          <w:sz w:val="20"/>
          <w:szCs w:val="20"/>
          <w:color w:val="auto"/>
        </w:rPr>
      </w:pPr>
    </w:p>
    <w:p>
      <w:pPr>
        <w:ind w:left="800" w:right="20" w:hanging="763"/>
        <w:spacing w:after="0" w:line="257" w:lineRule="auto"/>
        <w:tabs>
          <w:tab w:leader="none" w:pos="780" w:val="left"/>
        </w:tabs>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u w:val="single" w:color="auto"/>
            <w:color w:val="0000EE"/>
          </w:rPr>
          <w:t>10.126</w:t>
        </w:r>
      </w:hyperlink>
      <w:r>
        <w:rPr>
          <w:rFonts w:ascii="Times New Roman" w:cs="Times New Roman" w:eastAsia="Times New Roman" w:hAnsi="Times New Roman"/>
          <w:sz w:val="18"/>
          <w:szCs w:val="18"/>
          <w:color w:val="0000EE"/>
        </w:rPr>
        <w:tab/>
        <w:t>Underwriting Agreement, dated as of December 11, 2017, by and between VistaGen Therapeutics, Inc. and Oppenheimer &amp; Co. Inc., incorporated by reference from Exhibit 1.1 to the Company’s Current Report on Form 8-K filed on December 13, 2017.</w:t>
      </w:r>
    </w:p>
    <w:p>
      <w:pPr>
        <w:ind w:left="40"/>
        <w:spacing w:after="0"/>
        <w:tabs>
          <w:tab w:leader="none" w:pos="780" w:val="left"/>
        </w:tabs>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u w:val="single" w:color="auto"/>
            <w:color w:val="0000EE"/>
          </w:rPr>
          <w:t>10.127</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Form of Warrant, incorporated by reference from Exhibit 4.1 to the Company’s Current Report on Form 8-K filed on December 13, 2017.</w:t>
      </w:r>
    </w:p>
    <w:p>
      <w:pPr>
        <w:spacing w:after="0" w:line="21" w:lineRule="exact"/>
        <w:rPr>
          <w:sz w:val="20"/>
          <w:szCs w:val="20"/>
          <w:color w:val="auto"/>
        </w:rPr>
      </w:pP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u w:val="single" w:color="auto"/>
            <w:color w:val="0000EE"/>
          </w:rPr>
          <w:t>10.128</w:t>
        </w:r>
      </w:hyperlink>
      <w:r>
        <w:rPr>
          <w:rFonts w:ascii="Times New Roman" w:cs="Times New Roman" w:eastAsia="Times New Roman" w:hAnsi="Times New Roman"/>
          <w:sz w:val="18"/>
          <w:szCs w:val="18"/>
          <w:color w:val="0000EE"/>
        </w:rPr>
        <w:tab/>
        <w:t>Form of Summer 2018 Private Placement Subscription Agreement, incorporated by reference from the Company’s Current Report on Form 8-K filed on August 9, 2018.</w:t>
      </w:r>
    </w:p>
    <w:p>
      <w:pPr>
        <w:ind w:left="800" w:right="20" w:hanging="763"/>
        <w:spacing w:after="0" w:line="257" w:lineRule="auto"/>
        <w:tabs>
          <w:tab w:leader="none" w:pos="780" w:val="left"/>
        </w:tabs>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u w:val="single" w:color="auto"/>
            <w:color w:val="0000EE"/>
          </w:rPr>
          <w:t>10.129</w:t>
        </w:r>
      </w:hyperlink>
      <w:r>
        <w:rPr>
          <w:rFonts w:ascii="Times New Roman" w:cs="Times New Roman" w:eastAsia="Times New Roman" w:hAnsi="Times New Roman"/>
          <w:sz w:val="18"/>
          <w:szCs w:val="18"/>
          <w:color w:val="0000EE"/>
        </w:rPr>
        <w:tab/>
        <w:t>Form of Summer 2018 Private Placement Warrant, incorporated by reference from the Company’s Current Report on Form 8-K filed on August 9, 2018.</w:t>
      </w:r>
    </w:p>
    <w:p>
      <w:pPr>
        <w:ind w:left="800" w:hanging="813"/>
        <w:spacing w:after="0" w:line="257" w:lineRule="auto"/>
        <w:tabs>
          <w:tab w:leader="none" w:pos="780" w:val="left"/>
        </w:tabs>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u w:val="single" w:color="auto"/>
            <w:color w:val="0000EE"/>
          </w:rPr>
          <w:t>10.130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t>License Agreement (PH94B), by and between VistaGen Therapeutics, Inc. and Pherin Pharmaceuticals, Inc., dated September 11, 2018, incorporated by reference from Exhibit 10.1 to the Company’s Current Report on Form 8-K filed on September 13, 2018</w:t>
      </w:r>
    </w:p>
    <w:p>
      <w:pPr>
        <w:ind w:left="800" w:hanging="813"/>
        <w:spacing w:after="0" w:line="257" w:lineRule="auto"/>
        <w:tabs>
          <w:tab w:leader="none" w:pos="780" w:val="left"/>
        </w:tabs>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u w:val="single" w:color="auto"/>
            <w:color w:val="0000EE"/>
          </w:rPr>
          <w:t>10.131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t>Option Agreement, by and between VistaGen Therapeutics, Inc. and Pherin Pharmaceuticals, Inc., dated September 11, 2018, incorporated by reference from Exhibit 10.2 to the Company’s Current Report on Form 8-K filed on September 13, 2018.</w:t>
      </w:r>
    </w:p>
    <w:p>
      <w:pPr>
        <w:ind w:left="800" w:hanging="813"/>
        <w:spacing w:after="0" w:line="257" w:lineRule="auto"/>
        <w:tabs>
          <w:tab w:leader="none" w:pos="780" w:val="left"/>
        </w:tabs>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u w:val="single" w:color="auto"/>
            <w:color w:val="0000EE"/>
          </w:rPr>
          <w:t>10.132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t>License Agreement (PH10), by and between VistaGen Therapeutics, Inc. and Pherin Pharmaceuticals, Inc., dated October 24, 2018, incorporated by reference from Exhibit 10.3 to the Company’s Quarterly Report on Form 10-Q/A filed on October 30, 2018.</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u w:val="single" w:color="auto"/>
            <w:color w:val="0000EE"/>
          </w:rPr>
          <w:t>10.133</w:t>
        </w:r>
      </w:hyperlink>
      <w:r>
        <w:rPr>
          <w:rFonts w:ascii="Times New Roman" w:cs="Times New Roman" w:eastAsia="Times New Roman" w:hAnsi="Times New Roman"/>
          <w:sz w:val="18"/>
          <w:szCs w:val="18"/>
          <w:color w:val="0000EE"/>
        </w:rPr>
        <w:tab/>
        <w:t>Form of Fall 2018 Private Placement Subscription Agreement, incorporated by reference from Exhibit 10.4 to the Company’s Quarterly Report on Form 10-Q filed on October 29, 2018.</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u w:val="single" w:color="auto"/>
            <w:color w:val="0000EE"/>
          </w:rPr>
          <w:t>10.134</w:t>
        </w:r>
      </w:hyperlink>
      <w:r>
        <w:rPr>
          <w:rFonts w:ascii="Times New Roman" w:cs="Times New Roman" w:eastAsia="Times New Roman" w:hAnsi="Times New Roman"/>
          <w:sz w:val="18"/>
          <w:szCs w:val="18"/>
          <w:color w:val="0000EE"/>
        </w:rPr>
        <w:tab/>
        <w:t>Form of Fall 2018 Private Placement Warrant, incorporated by reference from Exhibit 10.5 to the Company’s Quarterly Report on Form 10-Q filed on October 29, 2018.</w:t>
      </w:r>
    </w:p>
    <w:p>
      <w:pPr>
        <w:ind w:left="800" w:right="20" w:hanging="763"/>
        <w:spacing w:after="0" w:line="257" w:lineRule="auto"/>
        <w:tabs>
          <w:tab w:leader="none" w:pos="780" w:val="left"/>
        </w:tabs>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u w:val="single" w:color="auto"/>
            <w:color w:val="0000EE"/>
          </w:rPr>
          <w:t>10.135</w:t>
        </w:r>
      </w:hyperlink>
      <w:r>
        <w:rPr>
          <w:rFonts w:ascii="Times New Roman" w:cs="Times New Roman" w:eastAsia="Times New Roman" w:hAnsi="Times New Roman"/>
          <w:sz w:val="18"/>
          <w:szCs w:val="18"/>
          <w:color w:val="0000EE"/>
        </w:rPr>
        <w:tab/>
        <w:t>Indemnification Agreement, dated January 10, 2019, by and between VistaGen Therapeutics, Inc. and Ann Cunningham, incorporated by reference from Exhibit 10.1 to the Company’s Current Report on Form 8-K filed on January 15, 2019.</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u w:val="single" w:color="auto"/>
            <w:color w:val="0000EE"/>
          </w:rPr>
          <w:t>10.136</w:t>
        </w:r>
      </w:hyperlink>
      <w:r>
        <w:rPr>
          <w:rFonts w:ascii="Times New Roman" w:cs="Times New Roman" w:eastAsia="Times New Roman" w:hAnsi="Times New Roman"/>
          <w:sz w:val="18"/>
          <w:szCs w:val="18"/>
          <w:color w:val="0000EE"/>
        </w:rPr>
        <w:tab/>
        <w:t>Indemnification Agreement, dated November 10, 2016, by and between VistaGen Therapeutics, Inc. and Mark A. McPartland, incorporated by reference from Exhibit 10.136 to the Company’s Annual Report on Form 10-K filed on June 25, 2019.</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u w:val="single" w:color="auto"/>
            <w:color w:val="0000EE"/>
          </w:rPr>
          <w:t>10.137</w:t>
        </w:r>
      </w:hyperlink>
      <w:r>
        <w:rPr>
          <w:rFonts w:ascii="Times New Roman" w:cs="Times New Roman" w:eastAsia="Times New Roman" w:hAnsi="Times New Roman"/>
          <w:sz w:val="18"/>
          <w:szCs w:val="18"/>
          <w:color w:val="0000EE"/>
        </w:rPr>
        <w:tab/>
        <w:t>Underwriting Agreement, dated as of February 26, 2019, by and between VistaGen Therapeutics, Inc. and William Blair &amp; Company, LLC, incorporated by reference from Exhibit 1.1 to the Company’s Current Report on Form 8-K filed on March 4, 2019.</w:t>
      </w:r>
    </w:p>
    <w:p>
      <w:pPr>
        <w:ind w:left="800" w:right="20" w:hanging="763"/>
        <w:spacing w:after="0" w:line="257" w:lineRule="auto"/>
        <w:tabs>
          <w:tab w:leader="none" w:pos="780" w:val="left"/>
        </w:tabs>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u w:val="single" w:color="auto"/>
            <w:color w:val="0000EE"/>
          </w:rPr>
          <w:t>10.138</w:t>
        </w:r>
      </w:hyperlink>
      <w:r>
        <w:rPr>
          <w:rFonts w:ascii="Times New Roman" w:cs="Times New Roman" w:eastAsia="Times New Roman" w:hAnsi="Times New Roman"/>
          <w:sz w:val="18"/>
          <w:szCs w:val="18"/>
          <w:color w:val="0000EE"/>
        </w:rPr>
        <w:tab/>
        <w:t>Master Services Agreement, dated July 11, 2017, by and between VistaGen Therapeutics, Inc. and Cato Research Ltd., incorporated by reference from Exhibit 10.138 to the Company’s Annual Report on Form 10-K filed on June 25, 2019.</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u w:val="single" w:color="auto"/>
            <w:color w:val="0000EE"/>
          </w:rPr>
          <w:t>10.139</w:t>
        </w:r>
      </w:hyperlink>
      <w:r>
        <w:rPr>
          <w:rFonts w:ascii="Times New Roman" w:cs="Times New Roman" w:eastAsia="Times New Roman" w:hAnsi="Times New Roman"/>
          <w:sz w:val="18"/>
          <w:szCs w:val="18"/>
          <w:color w:val="0000EE"/>
        </w:rPr>
        <w:tab/>
        <w:t>VistaGen Therapeutics, Inc. 2019 Omnibus Equity Incentive Plan, incorporated by reference from Exhibit 99.1 to the Company’s Registration Statement on Form S-8 filed on October 1, 2019.</w:t>
      </w:r>
    </w:p>
    <w:p>
      <w:pPr>
        <w:ind w:left="800" w:right="20" w:hanging="763"/>
        <w:spacing w:after="0" w:line="257" w:lineRule="auto"/>
        <w:tabs>
          <w:tab w:leader="none" w:pos="780" w:val="left"/>
        </w:tabs>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u w:val="single" w:color="auto"/>
            <w:color w:val="0000EE"/>
          </w:rPr>
          <w:t>10.140</w:t>
        </w:r>
      </w:hyperlink>
      <w:r>
        <w:rPr>
          <w:rFonts w:ascii="Times New Roman" w:cs="Times New Roman" w:eastAsia="Times New Roman" w:hAnsi="Times New Roman"/>
          <w:sz w:val="18"/>
          <w:szCs w:val="18"/>
          <w:color w:val="0000EE"/>
        </w:rPr>
        <w:tab/>
        <w:t>VistaGen Therapeutics, Inc. 2019 Employee Stock Purchase Plan, incorporated by reference from Exhibit 99.2 to the Company’s Registration Statement on Form S-8 filed on October 1, 2019.</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u w:val="single" w:color="auto"/>
            <w:color w:val="0000EE"/>
          </w:rPr>
          <w:t>10.141</w:t>
        </w:r>
      </w:hyperlink>
      <w:r>
        <w:rPr>
          <w:rFonts w:ascii="Times New Roman" w:cs="Times New Roman" w:eastAsia="Times New Roman" w:hAnsi="Times New Roman"/>
          <w:sz w:val="18"/>
          <w:szCs w:val="18"/>
          <w:color w:val="0000EE"/>
        </w:rPr>
        <w:tab/>
        <w:t>Form of Fall 2019 Private Placement Subscription Agreement, incorporated by reference from Exhibit 10.1 to the Company’s Quarterly Report on Form 10-Q filed on November 7, 2019.</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u w:val="single" w:color="auto"/>
            <w:color w:val="0000EE"/>
          </w:rPr>
          <w:t>10.142</w:t>
        </w:r>
      </w:hyperlink>
      <w:r>
        <w:rPr>
          <w:rFonts w:ascii="Times New Roman" w:cs="Times New Roman" w:eastAsia="Times New Roman" w:hAnsi="Times New Roman"/>
          <w:sz w:val="18"/>
          <w:szCs w:val="18"/>
          <w:color w:val="0000EE"/>
        </w:rPr>
        <w:tab/>
        <w:t>Form of Fall 2019 Private Placement Warrant, incorporated by reference from Exhibit 10.2 to the Company’s Quarterly Report on Form 10-Q filed on November 7, 2019.</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u w:val="single" w:color="auto"/>
            <w:color w:val="0000EE"/>
          </w:rPr>
          <w:t>10.143</w:t>
        </w:r>
      </w:hyperlink>
      <w:r>
        <w:rPr>
          <w:rFonts w:ascii="Times New Roman" w:cs="Times New Roman" w:eastAsia="Times New Roman" w:hAnsi="Times New Roman"/>
          <w:sz w:val="18"/>
          <w:szCs w:val="18"/>
          <w:color w:val="0000EE"/>
        </w:rPr>
        <w:tab/>
        <w:t>Form of Securities Purchase Agreement, dated January 24, 2020 between the Company and each purchaser named in the signature pages thereto, incorporated by reference from Exhibit 10.1 to the Company’s Current Report on Form 8-K filed on January 27, 2020.</w:t>
      </w:r>
    </w:p>
    <w:p>
      <w:pPr>
        <w:ind w:left="800" w:hanging="763"/>
        <w:spacing w:after="0" w:line="257" w:lineRule="auto"/>
        <w:tabs>
          <w:tab w:leader="none" w:pos="780" w:val="left"/>
        </w:tabs>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u w:val="single" w:color="auto"/>
            <w:color w:val="0000EE"/>
          </w:rPr>
          <w:t>10.144</w:t>
        </w:r>
      </w:hyperlink>
      <w:r>
        <w:rPr>
          <w:rFonts w:ascii="Times New Roman" w:cs="Times New Roman" w:eastAsia="Times New Roman" w:hAnsi="Times New Roman"/>
          <w:sz w:val="18"/>
          <w:szCs w:val="18"/>
          <w:color w:val="0000EE"/>
        </w:rPr>
        <w:tab/>
        <w:t>Form of Warrant, dated January 24, 2020, incorporated by reference from Exhibit 10.2 to the Company’s Current Report on Form 8-K filed on January 27, 2020.</w:t>
      </w:r>
    </w:p>
    <w:p>
      <w:pPr>
        <w:ind w:left="800" w:right="20" w:hanging="763"/>
        <w:spacing w:after="0" w:line="274" w:lineRule="auto"/>
        <w:tabs>
          <w:tab w:leader="none" w:pos="780" w:val="left"/>
        </w:tabs>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u w:val="single" w:color="auto"/>
            <w:color w:val="0000EE"/>
          </w:rPr>
          <w:t>10.145</w:t>
        </w:r>
      </w:hyperlink>
      <w:r>
        <w:rPr>
          <w:rFonts w:ascii="Times New Roman" w:cs="Times New Roman" w:eastAsia="Times New Roman" w:hAnsi="Times New Roman"/>
          <w:sz w:val="18"/>
          <w:szCs w:val="18"/>
          <w:color w:val="0000EE"/>
        </w:rPr>
        <w:tab/>
        <w:t>Purchase Agreement, by and between VistaGen Therapeutics, Inc. and Lincoln Park Capital Fund, LLC, dated March 24, 2020, incorporated by reference from Exhibit 10.1 to the Company's Current Report on Form 8-K, filed March 26, 2020.</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85090</wp:posOffset>
            </wp:positionV>
            <wp:extent cx="71329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540" w:top="578"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9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146</w:t>
              </w:r>
            </w:hyperlink>
          </w:p>
        </w:tc>
        <w:tc>
          <w:tcPr>
            <w:tcW w:w="10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Registration Rights Agreement, by and between VistaGen Therapeutics, Inc. and Lincoln Park Capital Fund, LLC, dated March 24, 2020,</w:t>
            </w:r>
          </w:p>
        </w:tc>
        <w:tc>
          <w:tcPr>
            <w:tcW w:w="20" w:type="dxa"/>
            <w:vAlign w:val="bottom"/>
          </w:tcPr>
          <w:p>
            <w:pPr>
              <w:spacing w:after="0"/>
              <w:rPr>
                <w:sz w:val="17"/>
                <w:szCs w:val="17"/>
                <w:color w:val="auto"/>
              </w:rPr>
            </w:pPr>
          </w:p>
        </w:tc>
      </w:tr>
      <w:tr>
        <w:trPr>
          <w:trHeight w:val="235"/>
        </w:trPr>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10300" w:type="dxa"/>
            <w:vAlign w:val="bottom"/>
            <w:tcBorders>
              <w:top w:val="single" w:sz="8" w:color="CCEEFF"/>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incorporated by reference from Exhibit 10.2 to the Company's Current Report on Form 8-K, filed March 26, 2020</w:t>
            </w:r>
          </w:p>
        </w:tc>
        <w:tc>
          <w:tcPr>
            <w:tcW w:w="20" w:type="dxa"/>
            <w:vAlign w:val="bottom"/>
          </w:tcPr>
          <w:p>
            <w:pPr>
              <w:spacing w:after="0"/>
              <w:rPr>
                <w:sz w:val="20"/>
                <w:szCs w:val="20"/>
                <w:color w:val="auto"/>
              </w:rPr>
            </w:pPr>
          </w:p>
        </w:tc>
      </w:tr>
      <w:tr>
        <w:trPr>
          <w:trHeight w:val="168"/>
        </w:trPr>
        <w:tc>
          <w:tcPr>
            <w:tcW w:w="940" w:type="dxa"/>
            <w:vAlign w:val="bottom"/>
            <w:gridSpan w:val="7"/>
          </w:tcPr>
          <w:p>
            <w:pPr>
              <w:jc w:val="center"/>
              <w:spacing w:after="0" w:line="168"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147</w:t>
              </w:r>
            </w:hyperlink>
          </w:p>
        </w:tc>
        <w:tc>
          <w:tcPr>
            <w:tcW w:w="10300" w:type="dxa"/>
            <w:vAlign w:val="bottom"/>
          </w:tcPr>
          <w:p>
            <w:pPr>
              <w:ind w:left="80"/>
              <w:spacing w:after="0" w:line="168" w:lineRule="exact"/>
              <w:rPr>
                <w:sz w:val="20"/>
                <w:szCs w:val="20"/>
                <w:color w:val="auto"/>
              </w:rPr>
            </w:pPr>
            <w:r>
              <w:rPr>
                <w:rFonts w:ascii="Times New Roman" w:cs="Times New Roman" w:eastAsia="Times New Roman" w:hAnsi="Times New Roman"/>
                <w:sz w:val="18"/>
                <w:szCs w:val="18"/>
                <w:color w:val="auto"/>
              </w:rPr>
              <w:t>Note Payable Agreement by and between VistaGen Therapeutics, Inc. and Silicon Valley Bank, dated April 22, 2020, incorporated by</w:t>
            </w:r>
          </w:p>
        </w:tc>
        <w:tc>
          <w:tcPr>
            <w:tcW w:w="20" w:type="dxa"/>
            <w:vAlign w:val="bottom"/>
          </w:tcPr>
          <w:p>
            <w:pPr>
              <w:spacing w:after="0"/>
              <w:rPr>
                <w:sz w:val="14"/>
                <w:szCs w:val="14"/>
                <w:color w:val="auto"/>
              </w:rPr>
            </w:pPr>
          </w:p>
        </w:tc>
      </w:tr>
      <w:tr>
        <w:trPr>
          <w:trHeight w:val="235"/>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0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April 27, 2020.</w:t>
            </w:r>
          </w:p>
        </w:tc>
      </w:tr>
      <w:tr>
        <w:trPr>
          <w:trHeight w:val="168"/>
        </w:trPr>
        <w:tc>
          <w:tcPr>
            <w:tcW w:w="940" w:type="dxa"/>
            <w:vAlign w:val="bottom"/>
            <w:tcBorders>
              <w:top w:val="single" w:sz="8" w:color="auto"/>
            </w:tcBorders>
            <w:gridSpan w:val="7"/>
            <w:shd w:val="clear" w:color="auto" w:fill="CCEEFF"/>
          </w:tcPr>
          <w:p>
            <w:pPr>
              <w:jc w:val="center"/>
              <w:spacing w:after="0" w:line="168"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148</w:t>
              </w:r>
            </w:hyperlink>
            <w:r>
              <w:rPr>
                <w:rFonts w:ascii="Times New Roman" w:cs="Times New Roman" w:eastAsia="Times New Roman" w:hAnsi="Times New Roman"/>
                <w:sz w:val="18"/>
                <w:szCs w:val="18"/>
                <w:color w:val="000000"/>
                <w:w w:val="99"/>
              </w:rPr>
              <w:t>#</w:t>
            </w:r>
          </w:p>
        </w:tc>
        <w:tc>
          <w:tcPr>
            <w:tcW w:w="10300" w:type="dxa"/>
            <w:vAlign w:val="bottom"/>
            <w:tcBorders>
              <w:top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w w:val="99"/>
              </w:rPr>
              <w:t>License and Collaboration Agreement between VistaGen Therapeutics, Inc. and EverInsight Therapeutics Inc. incorporated by reference from</w:t>
            </w:r>
          </w:p>
        </w:tc>
        <w:tc>
          <w:tcPr>
            <w:tcW w:w="20" w:type="dxa"/>
            <w:vAlign w:val="bottom"/>
          </w:tcPr>
          <w:p>
            <w:pPr>
              <w:spacing w:after="0"/>
              <w:rPr>
                <w:sz w:val="14"/>
                <w:szCs w:val="14"/>
                <w:color w:val="auto"/>
              </w:rPr>
            </w:pPr>
          </w:p>
        </w:tc>
      </w:tr>
      <w:tr>
        <w:trPr>
          <w:trHeight w:val="235"/>
        </w:trPr>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10300" w:type="dxa"/>
            <w:vAlign w:val="bottom"/>
            <w:tcBorders>
              <w:top w:val="single" w:sz="8" w:color="CCEEFF"/>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June 26, 2020.</w:t>
            </w:r>
          </w:p>
        </w:tc>
        <w:tc>
          <w:tcPr>
            <w:tcW w:w="20" w:type="dxa"/>
            <w:vAlign w:val="bottom"/>
          </w:tcPr>
          <w:p>
            <w:pPr>
              <w:spacing w:after="0"/>
              <w:rPr>
                <w:sz w:val="20"/>
                <w:szCs w:val="20"/>
                <w:color w:val="auto"/>
              </w:rPr>
            </w:pPr>
          </w:p>
        </w:tc>
      </w:tr>
      <w:tr>
        <w:trPr>
          <w:trHeight w:val="168"/>
        </w:trPr>
        <w:tc>
          <w:tcPr>
            <w:tcW w:w="940" w:type="dxa"/>
            <w:vAlign w:val="bottom"/>
            <w:gridSpan w:val="7"/>
          </w:tcPr>
          <w:p>
            <w:pPr>
              <w:jc w:val="center"/>
              <w:spacing w:after="0" w:line="168"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149</w:t>
              </w:r>
            </w:hyperlink>
          </w:p>
        </w:tc>
        <w:tc>
          <w:tcPr>
            <w:tcW w:w="10300" w:type="dxa"/>
            <w:vAlign w:val="bottom"/>
          </w:tcPr>
          <w:p>
            <w:pPr>
              <w:ind w:left="80"/>
              <w:spacing w:after="0" w:line="168" w:lineRule="exact"/>
              <w:rPr>
                <w:sz w:val="20"/>
                <w:szCs w:val="20"/>
                <w:color w:val="auto"/>
              </w:rPr>
            </w:pPr>
            <w:r>
              <w:rPr>
                <w:rFonts w:ascii="Times New Roman" w:cs="Times New Roman" w:eastAsia="Times New Roman" w:hAnsi="Times New Roman"/>
                <w:sz w:val="18"/>
                <w:szCs w:val="18"/>
                <w:color w:val="auto"/>
              </w:rPr>
              <w:t>Underwriting Agreement, dated August 2, 2020, by and between VistaGen Therapeutics, Inc. and Maxim Group, LLC incorporated by</w:t>
            </w:r>
          </w:p>
        </w:tc>
        <w:tc>
          <w:tcPr>
            <w:tcW w:w="20" w:type="dxa"/>
            <w:vAlign w:val="bottom"/>
          </w:tcPr>
          <w:p>
            <w:pPr>
              <w:spacing w:after="0"/>
              <w:rPr>
                <w:sz w:val="14"/>
                <w:szCs w:val="14"/>
                <w:color w:val="auto"/>
              </w:rPr>
            </w:pPr>
          </w:p>
        </w:tc>
      </w:tr>
      <w:tr>
        <w:trPr>
          <w:trHeight w:val="235"/>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0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reference from Exhibit 1.1 to the Company’s Current Report on Form 8-K filed on August 6, 2020.</w:t>
            </w:r>
          </w:p>
        </w:tc>
      </w:tr>
      <w:tr>
        <w:trPr>
          <w:trHeight w:val="168"/>
        </w:trPr>
        <w:tc>
          <w:tcPr>
            <w:tcW w:w="940" w:type="dxa"/>
            <w:vAlign w:val="bottom"/>
            <w:tcBorders>
              <w:top w:val="single" w:sz="8" w:color="auto"/>
            </w:tcBorders>
            <w:gridSpan w:val="7"/>
            <w:shd w:val="clear" w:color="auto" w:fill="CCEEFF"/>
          </w:tcPr>
          <w:p>
            <w:pPr>
              <w:jc w:val="center"/>
              <w:spacing w:after="0" w:line="168"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150</w:t>
              </w:r>
            </w:hyperlink>
          </w:p>
        </w:tc>
        <w:tc>
          <w:tcPr>
            <w:tcW w:w="10300" w:type="dxa"/>
            <w:vAlign w:val="bottom"/>
            <w:tcBorders>
              <w:top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w w:val="99"/>
              </w:rPr>
              <w:t>Underwriting Agreement, dated December 18, 2020 by and among VistaGen Therapeutics, Inc., Jefferies LLC and William Blair &amp; Company,</w:t>
            </w:r>
          </w:p>
        </w:tc>
        <w:tc>
          <w:tcPr>
            <w:tcW w:w="20" w:type="dxa"/>
            <w:vAlign w:val="bottom"/>
          </w:tcPr>
          <w:p>
            <w:pPr>
              <w:spacing w:after="0"/>
              <w:rPr>
                <w:sz w:val="14"/>
                <w:szCs w:val="14"/>
                <w:color w:val="auto"/>
              </w:rPr>
            </w:pPr>
          </w:p>
        </w:tc>
      </w:tr>
      <w:tr>
        <w:trPr>
          <w:trHeight w:val="235"/>
        </w:trPr>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10300" w:type="dxa"/>
            <w:vAlign w:val="bottom"/>
            <w:tcBorders>
              <w:top w:val="single" w:sz="8" w:color="CCEEFF"/>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L.L.C. incorporated by reference from Exhibit 1.1 to the Company’s Current Report on Form 8-K filed on December 22, 2020.</w:t>
            </w:r>
          </w:p>
        </w:tc>
        <w:tc>
          <w:tcPr>
            <w:tcW w:w="20" w:type="dxa"/>
            <w:vAlign w:val="bottom"/>
          </w:tcPr>
          <w:p>
            <w:pPr>
              <w:spacing w:after="0"/>
              <w:rPr>
                <w:sz w:val="20"/>
                <w:szCs w:val="20"/>
                <w:color w:val="auto"/>
              </w:rPr>
            </w:pPr>
          </w:p>
        </w:tc>
      </w:tr>
      <w:tr>
        <w:trPr>
          <w:trHeight w:val="168"/>
        </w:trPr>
        <w:tc>
          <w:tcPr>
            <w:tcW w:w="940" w:type="dxa"/>
            <w:vAlign w:val="bottom"/>
            <w:gridSpan w:val="7"/>
          </w:tcPr>
          <w:p>
            <w:pPr>
              <w:jc w:val="center"/>
              <w:spacing w:after="0" w:line="168"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151</w:t>
              </w:r>
            </w:hyperlink>
          </w:p>
        </w:tc>
        <w:tc>
          <w:tcPr>
            <w:tcW w:w="10300" w:type="dxa"/>
            <w:vAlign w:val="bottom"/>
          </w:tcPr>
          <w:p>
            <w:pPr>
              <w:ind w:left="80"/>
              <w:spacing w:after="0" w:line="168" w:lineRule="exact"/>
              <w:rPr>
                <w:sz w:val="20"/>
                <w:szCs w:val="20"/>
                <w:color w:val="auto"/>
              </w:rPr>
            </w:pPr>
            <w:r>
              <w:rPr>
                <w:rFonts w:ascii="Times New Roman" w:cs="Times New Roman" w:eastAsia="Times New Roman" w:hAnsi="Times New Roman"/>
                <w:sz w:val="18"/>
                <w:szCs w:val="18"/>
                <w:color w:val="auto"/>
              </w:rPr>
              <w:t>Indemnification Agreement, dated April 26, 2021, by and between VistaGen Therapeutics, Inc. and Joanne Curley, Ph.D. incorporated by</w:t>
            </w:r>
          </w:p>
        </w:tc>
        <w:tc>
          <w:tcPr>
            <w:tcW w:w="20" w:type="dxa"/>
            <w:vAlign w:val="bottom"/>
          </w:tcPr>
          <w:p>
            <w:pPr>
              <w:spacing w:after="0"/>
              <w:rPr>
                <w:sz w:val="14"/>
                <w:szCs w:val="14"/>
                <w:color w:val="auto"/>
              </w:rPr>
            </w:pPr>
          </w:p>
        </w:tc>
      </w:tr>
      <w:tr>
        <w:trPr>
          <w:trHeight w:val="235"/>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0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April 27, 2021.</w:t>
            </w:r>
          </w:p>
        </w:tc>
      </w:tr>
      <w:tr>
        <w:trPr>
          <w:trHeight w:val="168"/>
        </w:trPr>
        <w:tc>
          <w:tcPr>
            <w:tcW w:w="940" w:type="dxa"/>
            <w:vAlign w:val="bottom"/>
            <w:tcBorders>
              <w:top w:val="single" w:sz="8" w:color="auto"/>
            </w:tcBorders>
            <w:gridSpan w:val="7"/>
            <w:shd w:val="clear" w:color="auto" w:fill="CCEEFF"/>
          </w:tcPr>
          <w:p>
            <w:pPr>
              <w:jc w:val="center"/>
              <w:spacing w:after="0" w:line="168"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152</w:t>
              </w:r>
            </w:hyperlink>
          </w:p>
        </w:tc>
        <w:tc>
          <w:tcPr>
            <w:tcW w:w="10300" w:type="dxa"/>
            <w:vAlign w:val="bottom"/>
            <w:tcBorders>
              <w:top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rPr>
              <w:t>Indemnification Agreement, dated July 6, 2021, by and between VistaGen Therapeutics, Inc. and Mary L. Rotunno, J.D. incorporated by</w:t>
            </w:r>
          </w:p>
        </w:tc>
        <w:tc>
          <w:tcPr>
            <w:tcW w:w="20" w:type="dxa"/>
            <w:vAlign w:val="bottom"/>
          </w:tcPr>
          <w:p>
            <w:pPr>
              <w:spacing w:after="0"/>
              <w:rPr>
                <w:sz w:val="14"/>
                <w:szCs w:val="14"/>
                <w:color w:val="auto"/>
              </w:rPr>
            </w:pPr>
          </w:p>
        </w:tc>
      </w:tr>
      <w:tr>
        <w:trPr>
          <w:trHeight w:val="235"/>
        </w:trPr>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10300" w:type="dxa"/>
            <w:vAlign w:val="bottom"/>
            <w:tcBorders>
              <w:top w:val="single" w:sz="8" w:color="CCEEFF"/>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July 8, 2021.</w:t>
            </w:r>
          </w:p>
        </w:tc>
        <w:tc>
          <w:tcPr>
            <w:tcW w:w="20" w:type="dxa"/>
            <w:vAlign w:val="bottom"/>
          </w:tcPr>
          <w:p>
            <w:pPr>
              <w:spacing w:after="0"/>
              <w:rPr>
                <w:sz w:val="20"/>
                <w:szCs w:val="20"/>
                <w:color w:val="auto"/>
              </w:rPr>
            </w:pPr>
          </w:p>
        </w:tc>
      </w:tr>
      <w:tr>
        <w:trPr>
          <w:trHeight w:val="168"/>
        </w:trPr>
        <w:tc>
          <w:tcPr>
            <w:tcW w:w="940" w:type="dxa"/>
            <w:vAlign w:val="bottom"/>
            <w:gridSpan w:val="7"/>
          </w:tcPr>
          <w:p>
            <w:pPr>
              <w:jc w:val="center"/>
              <w:spacing w:after="0" w:line="168"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153</w:t>
              </w:r>
            </w:hyperlink>
          </w:p>
        </w:tc>
        <w:tc>
          <w:tcPr>
            <w:tcW w:w="10300" w:type="dxa"/>
            <w:vAlign w:val="bottom"/>
          </w:tcPr>
          <w:p>
            <w:pPr>
              <w:ind w:left="80"/>
              <w:spacing w:after="0" w:line="168" w:lineRule="exact"/>
              <w:rPr>
                <w:sz w:val="20"/>
                <w:szCs w:val="20"/>
                <w:color w:val="auto"/>
              </w:rPr>
            </w:pPr>
            <w:r>
              <w:rPr>
                <w:rFonts w:ascii="Times New Roman" w:cs="Times New Roman" w:eastAsia="Times New Roman" w:hAnsi="Times New Roman"/>
                <w:sz w:val="18"/>
                <w:szCs w:val="18"/>
                <w:color w:val="auto"/>
              </w:rPr>
              <w:t>Indemnification Agreement, dated July 21, 2021, by and between VistaGen Therapeutics, Inc. and Margaret M. FitzPatrick incorporated by</w:t>
            </w:r>
          </w:p>
        </w:tc>
        <w:tc>
          <w:tcPr>
            <w:tcW w:w="20" w:type="dxa"/>
            <w:vAlign w:val="bottom"/>
          </w:tcPr>
          <w:p>
            <w:pPr>
              <w:spacing w:after="0"/>
              <w:rPr>
                <w:sz w:val="14"/>
                <w:szCs w:val="14"/>
                <w:color w:val="auto"/>
              </w:rPr>
            </w:pPr>
          </w:p>
        </w:tc>
      </w:tr>
      <w:tr>
        <w:trPr>
          <w:trHeight w:val="235"/>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0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July 22, 2021.</w:t>
            </w:r>
          </w:p>
        </w:tc>
      </w:tr>
      <w:tr>
        <w:trPr>
          <w:trHeight w:val="168"/>
        </w:trPr>
        <w:tc>
          <w:tcPr>
            <w:tcW w:w="940" w:type="dxa"/>
            <w:vAlign w:val="bottom"/>
            <w:tcBorders>
              <w:top w:val="single" w:sz="8" w:color="auto"/>
            </w:tcBorders>
            <w:gridSpan w:val="7"/>
            <w:shd w:val="clear" w:color="auto" w:fill="CCEEFF"/>
          </w:tcPr>
          <w:p>
            <w:pPr>
              <w:jc w:val="center"/>
              <w:spacing w:after="0" w:line="168"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154</w:t>
              </w:r>
            </w:hyperlink>
          </w:p>
        </w:tc>
        <w:tc>
          <w:tcPr>
            <w:tcW w:w="10300" w:type="dxa"/>
            <w:vAlign w:val="bottom"/>
            <w:tcBorders>
              <w:top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rPr>
              <w:t>Third Amendment to Lease, by and between Bayside Area Development, LLC and VistaGen Therapeutics, Inc. dated October 14, 2021,</w:t>
            </w:r>
          </w:p>
        </w:tc>
        <w:tc>
          <w:tcPr>
            <w:tcW w:w="20" w:type="dxa"/>
            <w:vAlign w:val="bottom"/>
          </w:tcPr>
          <w:p>
            <w:pPr>
              <w:spacing w:after="0"/>
              <w:rPr>
                <w:sz w:val="14"/>
                <w:szCs w:val="14"/>
                <w:color w:val="auto"/>
              </w:rPr>
            </w:pPr>
          </w:p>
        </w:tc>
      </w:tr>
      <w:tr>
        <w:trPr>
          <w:trHeight w:val="235"/>
        </w:trPr>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10300" w:type="dxa"/>
            <w:vAlign w:val="bottom"/>
            <w:tcBorders>
              <w:top w:val="single" w:sz="8" w:color="CCEEFF"/>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incorporated by reference from Exhibit 10.1 to the Company’s Quarterly Report on Form 10-Q filed on November 10, 2021.</w:t>
            </w:r>
          </w:p>
        </w:tc>
        <w:tc>
          <w:tcPr>
            <w:tcW w:w="20" w:type="dxa"/>
            <w:vAlign w:val="bottom"/>
          </w:tcPr>
          <w:p>
            <w:pPr>
              <w:spacing w:after="0"/>
              <w:rPr>
                <w:sz w:val="20"/>
                <w:szCs w:val="20"/>
                <w:color w:val="auto"/>
              </w:rPr>
            </w:pPr>
          </w:p>
        </w:tc>
      </w:tr>
      <w:tr>
        <w:trPr>
          <w:trHeight w:val="208"/>
        </w:trPr>
        <w:tc>
          <w:tcPr>
            <w:tcW w:w="9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10.155</w:t>
            </w:r>
          </w:p>
        </w:tc>
        <w:tc>
          <w:tcPr>
            <w:tcW w:w="10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Indemnification Agreement, dated May 13, 2022, by and between VistaGen Therapeutics, Inc. and Reid G. Adler, J.D., filed herewith.</w:t>
            </w:r>
          </w:p>
        </w:tc>
        <w:tc>
          <w:tcPr>
            <w:tcW w:w="20" w:type="dxa"/>
            <w:vAlign w:val="bottom"/>
          </w:tcPr>
          <w:p>
            <w:pPr>
              <w:spacing w:after="0"/>
              <w:rPr>
                <w:sz w:val="18"/>
                <w:szCs w:val="18"/>
                <w:color w:val="auto"/>
              </w:rPr>
            </w:pPr>
          </w:p>
        </w:tc>
      </w:tr>
      <w:tr>
        <w:trPr>
          <w:trHeight w:val="208"/>
        </w:trPr>
        <w:tc>
          <w:tcPr>
            <w:tcW w:w="720" w:type="dxa"/>
            <w:vAlign w:val="bottom"/>
            <w:tcBorders>
              <w:bottom w:val="single" w:sz="8" w:color="auto"/>
            </w:tcBorders>
            <w:gridSpan w:val="5"/>
            <w:shd w:val="clear" w:color="auto" w:fill="CCEEFF"/>
          </w:tcPr>
          <w:p>
            <w:pPr>
              <w:jc w:val="center"/>
              <w:ind w:left="210"/>
              <w:spacing w:after="0" w:line="168" w:lineRule="exact"/>
              <w:rPr>
                <w:sz w:val="20"/>
                <w:szCs w:val="20"/>
                <w:color w:val="auto"/>
              </w:rPr>
            </w:pPr>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300" w:type="dxa"/>
            <w:vAlign w:val="bottom"/>
            <w:tcBorders>
              <w:bottom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rPr>
              <w:t>List of Subsidiaries, filed herewith.</w:t>
            </w:r>
          </w:p>
        </w:tc>
        <w:tc>
          <w:tcPr>
            <w:tcW w:w="20" w:type="dxa"/>
            <w:vAlign w:val="bottom"/>
          </w:tcPr>
          <w:p>
            <w:pPr>
              <w:spacing w:after="0"/>
              <w:rPr>
                <w:sz w:val="18"/>
                <w:szCs w:val="18"/>
                <w:color w:val="auto"/>
              </w:rPr>
            </w:pPr>
          </w:p>
        </w:tc>
      </w:tr>
      <w:tr>
        <w:trPr>
          <w:trHeight w:val="168"/>
        </w:trPr>
        <w:tc>
          <w:tcPr>
            <w:tcW w:w="720" w:type="dxa"/>
            <w:vAlign w:val="bottom"/>
            <w:gridSpan w:val="5"/>
          </w:tcPr>
          <w:p>
            <w:pPr>
              <w:jc w:val="center"/>
              <w:ind w:left="210"/>
              <w:spacing w:after="0" w:line="168"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300" w:type="dxa"/>
            <w:vAlign w:val="bottom"/>
          </w:tcPr>
          <w:p>
            <w:pPr>
              <w:ind w:left="80"/>
              <w:spacing w:after="0" w:line="168" w:lineRule="exact"/>
              <w:rPr>
                <w:sz w:val="20"/>
                <w:szCs w:val="20"/>
                <w:color w:val="auto"/>
              </w:rPr>
            </w:pPr>
            <w:r>
              <w:rPr>
                <w:rFonts w:ascii="Times New Roman" w:cs="Times New Roman" w:eastAsia="Times New Roman" w:hAnsi="Times New Roman"/>
                <w:sz w:val="18"/>
                <w:szCs w:val="18"/>
                <w:color w:val="auto"/>
              </w:rPr>
              <w:t>Consent of WithumSmith+Brown, PC, Independent Registered Public Accounting Firm, filed herewith.</w:t>
            </w:r>
          </w:p>
        </w:tc>
        <w:tc>
          <w:tcPr>
            <w:tcW w:w="20" w:type="dxa"/>
            <w:vAlign w:val="bottom"/>
          </w:tcPr>
          <w:p>
            <w:pPr>
              <w:spacing w:after="0"/>
              <w:rPr>
                <w:sz w:val="14"/>
                <w:szCs w:val="14"/>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720" w:type="dxa"/>
            <w:vAlign w:val="bottom"/>
            <w:tcBorders>
              <w:bottom w:val="single" w:sz="8" w:color="auto"/>
            </w:tcBorders>
            <w:gridSpan w:val="5"/>
            <w:shd w:val="clear" w:color="auto" w:fill="CCEEFF"/>
          </w:tcPr>
          <w:p>
            <w:pPr>
              <w:jc w:val="center"/>
              <w:ind w:left="210"/>
              <w:spacing w:after="0" w:line="168"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300" w:type="dxa"/>
            <w:vAlign w:val="bottom"/>
            <w:tcBorders>
              <w:bottom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rPr>
              <w:t>Consent of OUM,LLP, Independent Registered Public Accounting Firm, filed herewith.</w:t>
            </w:r>
          </w:p>
        </w:tc>
        <w:tc>
          <w:tcPr>
            <w:tcW w:w="20" w:type="dxa"/>
            <w:vAlign w:val="bottom"/>
          </w:tcPr>
          <w:p>
            <w:pPr>
              <w:spacing w:after="0"/>
              <w:rPr>
                <w:sz w:val="18"/>
                <w:szCs w:val="18"/>
                <w:color w:val="auto"/>
              </w:rPr>
            </w:pPr>
          </w:p>
        </w:tc>
      </w:tr>
      <w:tr>
        <w:trPr>
          <w:trHeight w:val="168"/>
        </w:trPr>
        <w:tc>
          <w:tcPr>
            <w:tcW w:w="720" w:type="dxa"/>
            <w:vAlign w:val="bottom"/>
            <w:gridSpan w:val="5"/>
          </w:tcPr>
          <w:p>
            <w:pPr>
              <w:jc w:val="center"/>
              <w:ind w:left="210"/>
              <w:spacing w:after="0" w:line="168"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300" w:type="dxa"/>
            <w:vAlign w:val="bottom"/>
          </w:tcPr>
          <w:p>
            <w:pPr>
              <w:ind w:left="80"/>
              <w:spacing w:after="0" w:line="168" w:lineRule="exact"/>
              <w:rPr>
                <w:sz w:val="20"/>
                <w:szCs w:val="20"/>
                <w:color w:val="auto"/>
              </w:rPr>
            </w:pPr>
            <w:r>
              <w:rPr>
                <w:rFonts w:ascii="Times New Roman" w:cs="Times New Roman" w:eastAsia="Times New Roman" w:hAnsi="Times New Roman"/>
                <w:sz w:val="18"/>
                <w:szCs w:val="18"/>
                <w:color w:val="auto"/>
              </w:rPr>
              <w:t>Certification of the Company’s Chief Executive Officer pursuant to Section 302 of the Sarbanes-Oxley Act of 2002, filed herewith.</w:t>
            </w:r>
          </w:p>
        </w:tc>
        <w:tc>
          <w:tcPr>
            <w:tcW w:w="20" w:type="dxa"/>
            <w:vAlign w:val="bottom"/>
          </w:tcPr>
          <w:p>
            <w:pPr>
              <w:spacing w:after="0"/>
              <w:rPr>
                <w:sz w:val="14"/>
                <w:szCs w:val="14"/>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720" w:type="dxa"/>
            <w:vAlign w:val="bottom"/>
            <w:tcBorders>
              <w:bottom w:val="single" w:sz="8" w:color="auto"/>
            </w:tcBorders>
            <w:gridSpan w:val="5"/>
            <w:shd w:val="clear" w:color="auto" w:fill="CCEEFF"/>
          </w:tcPr>
          <w:p>
            <w:pPr>
              <w:jc w:val="center"/>
              <w:ind w:left="210"/>
              <w:spacing w:after="0" w:line="168"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300" w:type="dxa"/>
            <w:vAlign w:val="bottom"/>
            <w:tcBorders>
              <w:bottom w:val="single" w:sz="8" w:color="auto"/>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rPr>
              <w:t>Certification of the Company’s Chief Financial Officer pursuant to Section 302 of the Sarbanes-Oxley Act of 2002, filed herewith.</w:t>
            </w:r>
          </w:p>
        </w:tc>
        <w:tc>
          <w:tcPr>
            <w:tcW w:w="20" w:type="dxa"/>
            <w:vAlign w:val="bottom"/>
          </w:tcPr>
          <w:p>
            <w:pPr>
              <w:spacing w:after="0"/>
              <w:rPr>
                <w:sz w:val="18"/>
                <w:szCs w:val="18"/>
                <w:color w:val="auto"/>
              </w:rPr>
            </w:pPr>
          </w:p>
        </w:tc>
      </w:tr>
      <w:tr>
        <w:trPr>
          <w:trHeight w:val="168"/>
        </w:trPr>
        <w:tc>
          <w:tcPr>
            <w:tcW w:w="720" w:type="dxa"/>
            <w:vAlign w:val="bottom"/>
            <w:gridSpan w:val="5"/>
          </w:tcPr>
          <w:p>
            <w:pPr>
              <w:jc w:val="center"/>
              <w:ind w:left="210"/>
              <w:spacing w:after="0" w:line="168"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300" w:type="dxa"/>
            <w:vAlign w:val="bottom"/>
          </w:tcPr>
          <w:p>
            <w:pPr>
              <w:ind w:left="80"/>
              <w:spacing w:after="0" w:line="168" w:lineRule="exact"/>
              <w:rPr>
                <w:sz w:val="20"/>
                <w:szCs w:val="20"/>
                <w:color w:val="auto"/>
              </w:rPr>
            </w:pPr>
            <w:r>
              <w:rPr>
                <w:rFonts w:ascii="Times New Roman" w:cs="Times New Roman" w:eastAsia="Times New Roman" w:hAnsi="Times New Roman"/>
                <w:sz w:val="18"/>
                <w:szCs w:val="18"/>
                <w:color w:val="auto"/>
              </w:rPr>
              <w:t>Certification of the Company’s Chief Executive Officer and Chief Financial Officer pursuant to Section 906 of the Sarbanes-Oxley Act of</w:t>
            </w:r>
          </w:p>
        </w:tc>
        <w:tc>
          <w:tcPr>
            <w:tcW w:w="20" w:type="dxa"/>
            <w:vAlign w:val="bottom"/>
          </w:tcPr>
          <w:p>
            <w:pPr>
              <w:spacing w:after="0"/>
              <w:rPr>
                <w:sz w:val="14"/>
                <w:szCs w:val="14"/>
                <w:color w:val="auto"/>
              </w:rPr>
            </w:pPr>
          </w:p>
        </w:tc>
      </w:tr>
      <w:tr>
        <w:trPr>
          <w:trHeight w:val="235"/>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2002, filed herewith.</w:t>
            </w:r>
          </w:p>
        </w:tc>
      </w:tr>
      <w:tr>
        <w:trPr>
          <w:trHeight w:val="208"/>
        </w:trPr>
        <w:tc>
          <w:tcPr>
            <w:tcW w:w="940" w:type="dxa"/>
            <w:vAlign w:val="bottom"/>
            <w:tcBorders>
              <w:top w:val="single" w:sz="8" w:color="auto"/>
              <w:bottom w:val="single" w:sz="8" w:color="auto"/>
            </w:tcBorders>
            <w:gridSpan w:val="7"/>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101.INS</w:t>
            </w:r>
          </w:p>
        </w:tc>
        <w:tc>
          <w:tcPr>
            <w:tcW w:w="10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c>
          <w:tcPr>
            <w:tcW w:w="20" w:type="dxa"/>
            <w:vAlign w:val="bottom"/>
          </w:tcPr>
          <w:p>
            <w:pPr>
              <w:spacing w:after="0"/>
              <w:rPr>
                <w:sz w:val="18"/>
                <w:szCs w:val="18"/>
                <w:color w:val="auto"/>
              </w:rPr>
            </w:pPr>
          </w:p>
        </w:tc>
      </w:tr>
      <w:tr>
        <w:trPr>
          <w:trHeight w:val="208"/>
        </w:trPr>
        <w:tc>
          <w:tcPr>
            <w:tcW w:w="9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filed herewith</w:t>
            </w:r>
          </w:p>
        </w:tc>
        <w:tc>
          <w:tcPr>
            <w:tcW w:w="20" w:type="dxa"/>
            <w:vAlign w:val="bottom"/>
          </w:tcPr>
          <w:p>
            <w:pPr>
              <w:spacing w:after="0"/>
              <w:rPr>
                <w:sz w:val="18"/>
                <w:szCs w:val="18"/>
                <w:color w:val="auto"/>
              </w:rPr>
            </w:pPr>
          </w:p>
        </w:tc>
      </w:tr>
      <w:tr>
        <w:trPr>
          <w:trHeight w:val="208"/>
        </w:trPr>
        <w:tc>
          <w:tcPr>
            <w:tcW w:w="940" w:type="dxa"/>
            <w:vAlign w:val="bottom"/>
            <w:tcBorders>
              <w:bottom w:val="single" w:sz="8" w:color="auto"/>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0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c>
          <w:tcPr>
            <w:tcW w:w="20" w:type="dxa"/>
            <w:vAlign w:val="bottom"/>
          </w:tcPr>
          <w:p>
            <w:pPr>
              <w:spacing w:after="0"/>
              <w:rPr>
                <w:sz w:val="18"/>
                <w:szCs w:val="18"/>
                <w:color w:val="auto"/>
              </w:rPr>
            </w:pPr>
          </w:p>
        </w:tc>
      </w:tr>
      <w:tr>
        <w:trPr>
          <w:trHeight w:val="208"/>
        </w:trPr>
        <w:tc>
          <w:tcPr>
            <w:tcW w:w="9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filed herewith</w:t>
            </w:r>
          </w:p>
        </w:tc>
        <w:tc>
          <w:tcPr>
            <w:tcW w:w="20" w:type="dxa"/>
            <w:vAlign w:val="bottom"/>
          </w:tcPr>
          <w:p>
            <w:pPr>
              <w:spacing w:after="0"/>
              <w:rPr>
                <w:sz w:val="18"/>
                <w:szCs w:val="18"/>
                <w:color w:val="auto"/>
              </w:rPr>
            </w:pPr>
          </w:p>
        </w:tc>
      </w:tr>
      <w:tr>
        <w:trPr>
          <w:trHeight w:val="208"/>
        </w:trPr>
        <w:tc>
          <w:tcPr>
            <w:tcW w:w="940" w:type="dxa"/>
            <w:vAlign w:val="bottom"/>
            <w:tcBorders>
              <w:bottom w:val="single" w:sz="8" w:color="auto"/>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0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filed herewith</w:t>
            </w:r>
          </w:p>
        </w:tc>
        <w:tc>
          <w:tcPr>
            <w:tcW w:w="20" w:type="dxa"/>
            <w:vAlign w:val="bottom"/>
          </w:tcPr>
          <w:p>
            <w:pPr>
              <w:spacing w:after="0"/>
              <w:rPr>
                <w:sz w:val="18"/>
                <w:szCs w:val="18"/>
                <w:color w:val="auto"/>
              </w:rPr>
            </w:pPr>
          </w:p>
        </w:tc>
      </w:tr>
      <w:tr>
        <w:trPr>
          <w:trHeight w:val="224"/>
        </w:trPr>
        <w:tc>
          <w:tcPr>
            <w:tcW w:w="94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color w:val="auto"/>
                <w:w w:val="99"/>
              </w:rPr>
              <w:t>101.PRE</w:t>
            </w:r>
          </w:p>
        </w:tc>
        <w:tc>
          <w:tcPr>
            <w:tcW w:w="10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filed herewith</w:t>
            </w:r>
          </w:p>
        </w:tc>
        <w:tc>
          <w:tcPr>
            <w:tcW w:w="20" w:type="dxa"/>
            <w:vAlign w:val="bottom"/>
          </w:tcPr>
          <w:p>
            <w:pPr>
              <w:spacing w:after="0"/>
              <w:rPr>
                <w:sz w:val="19"/>
                <w:szCs w:val="19"/>
                <w:color w:val="auto"/>
              </w:rPr>
            </w:pPr>
          </w:p>
        </w:tc>
      </w:tr>
    </w:tbl>
    <w:p>
      <w:pPr>
        <w:ind w:left="1020" w:hanging="643"/>
        <w:spacing w:after="0"/>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379095</wp:posOffset>
            </wp:positionV>
            <wp:extent cx="7132955" cy="47015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0">
                      <a:extLst>
                        <a:ext uri="{28A0092B-C50C-407E-A947-70E740481C1C}"/>
                      </a:extLst>
                    </a:blip>
                    <a:srcRect/>
                    <a:stretch>
                      <a:fillRect/>
                    </a:stretch>
                  </pic:blipFill>
                  <pic:spPr bwMode="auto">
                    <a:xfrm>
                      <a:off x="0" y="0"/>
                      <a:ext cx="7132955" cy="4701540"/>
                    </a:xfrm>
                    <a:prstGeom prst="rect">
                      <a:avLst/>
                    </a:prstGeom>
                    <a:noFill/>
                  </pic:spPr>
                </pic:pic>
              </a:graphicData>
            </a:graphic>
          </wp:anchor>
        </w:drawing>
        <w:t>Cover Page Interactive Data File (formatted as Inline XBRL and contained in Exhibit 101)</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2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Incorporated by reference from the like-numbered exhibit filed with our Current Report on Form 8-K on May 16, 2011.</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Confidential treatment has been granted for certain confidential portions of this agreement.</w:t>
      </w:r>
    </w:p>
    <w:p>
      <w:pPr>
        <w:spacing w:after="0" w:line="8" w:lineRule="exact"/>
        <w:rPr>
          <w:rFonts w:ascii="Times New Roman" w:cs="Times New Roman" w:eastAsia="Times New Roman" w:hAnsi="Times New Roman"/>
          <w:sz w:val="18"/>
          <w:szCs w:val="18"/>
          <w:color w:val="auto"/>
        </w:rPr>
      </w:pPr>
    </w:p>
    <w:p>
      <w:pPr>
        <w:ind w:left="660" w:right="280" w:hanging="645"/>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23rd day of June, 2022.</w:t>
      </w:r>
    </w:p>
    <w:p>
      <w:pPr>
        <w:spacing w:after="0" w:line="373"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tc>
      </w:tr>
      <w:tr>
        <w:trPr>
          <w:trHeight w:val="4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2022</w:t>
            </w:r>
          </w:p>
        </w:tc>
        <w:tc>
          <w:tcPr>
            <w:tcW w:w="62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Shawn K. Singh</w:t>
            </w:r>
          </w:p>
        </w:tc>
      </w:tr>
      <w:tr>
        <w:trPr>
          <w:trHeight w:val="186"/>
        </w:trPr>
        <w:tc>
          <w:tcPr>
            <w:tcW w:w="3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Shawn K. Singh, J.D.</w:t>
            </w:r>
          </w:p>
        </w:tc>
      </w:tr>
      <w:tr>
        <w:trPr>
          <w:trHeight w:val="238"/>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48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72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0"/>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Shawn K. Singh</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Shawn K. Singh, JD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920" w:type="dxa"/>
            <w:vAlign w:val="bottom"/>
          </w:tcPr>
          <w:p>
            <w:pPr>
              <w:spacing w:after="0"/>
              <w:rPr>
                <w:sz w:val="20"/>
                <w:szCs w:val="20"/>
                <w:color w:val="auto"/>
              </w:rPr>
            </w:pPr>
          </w:p>
        </w:tc>
      </w:tr>
      <w:tr>
        <w:trPr>
          <w:trHeight w:val="40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Jerrold D. Dotson</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Jerrold D. Dotson</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920" w:type="dxa"/>
            <w:vAlign w:val="bottom"/>
          </w:tcPr>
          <w:p>
            <w:pPr>
              <w:spacing w:after="0"/>
              <w:rPr>
                <w:sz w:val="20"/>
                <w:szCs w:val="20"/>
                <w:color w:val="auto"/>
              </w:rPr>
            </w:pPr>
          </w:p>
        </w:tc>
      </w:tr>
      <w:tr>
        <w:trPr>
          <w:trHeight w:val="40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Jon S. Saxe</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Jon S. Saxe</w:t>
            </w:r>
          </w:p>
        </w:tc>
        <w:tc>
          <w:tcPr>
            <w:tcW w:w="4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0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 M. Cunningham</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Ann M. Cunningham</w:t>
            </w:r>
          </w:p>
        </w:tc>
        <w:tc>
          <w:tcPr>
            <w:tcW w:w="4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0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Joanne Curley</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Joanne Curley, Ph.D.</w:t>
            </w:r>
          </w:p>
        </w:tc>
        <w:tc>
          <w:tcPr>
            <w:tcW w:w="4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0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Margaret M. FitzPatrick</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Margaret M. FitzPatrick</w:t>
            </w:r>
          </w:p>
        </w:tc>
        <w:tc>
          <w:tcPr>
            <w:tcW w:w="4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0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Jerry B. Gin</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Jerry B. Gin, Ph.D.</w:t>
            </w:r>
          </w:p>
        </w:tc>
        <w:tc>
          <w:tcPr>
            <w:tcW w:w="4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0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Mary L. Rotunno</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231"/>
        </w:trPr>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Mary L. Rotunno, J.D.</w:t>
            </w:r>
          </w:p>
        </w:tc>
        <w:tc>
          <w:tcPr>
            <w:tcW w:w="4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08"/>
        </w:trPr>
        <w:tc>
          <w:tcPr>
            <w:tcW w:w="2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150</w:t>
            </w:r>
          </w:p>
        </w:tc>
        <w:tc>
          <w:tcPr>
            <w:tcW w:w="1920" w:type="dxa"/>
            <w:vAlign w:val="bottom"/>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 a California corporation d/b/a VistaStem Therapeutics, Inc.</w:t>
      </w:r>
    </w:p>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7"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333-259799, 333-234026, 333-223556 and 333-208354), Form S-3 (File Nos. 333-254299, 333-237968, 333-234025 and 333-215671) and Form S-1 (No. 333-237514) of VistaGen Therapeutics, Inc. of our report dated June 23, 2022, which includes an explanatory paragraph relating to VistaGen Therapeutics, Inc.’s ability to continue as a going concern, relating to the consolidated financial statements, which appears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2022</w:t>
      </w:r>
    </w:p>
    <w:p>
      <w:pPr>
        <w:sectPr>
          <w:pgSz w:w="11900" w:h="16838" w:orient="portrait"/>
          <w:cols w:equalWidth="0" w:num="1">
            <w:col w:w="11240"/>
          </w:cols>
          <w:pgMar w:left="32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7"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333-259799, 333-234026, 333-223556 and 333-208354), Form S-3 (File Nos. 333-254299, 333-237968, 333-234025 and 333-215671) and Form S-1 (No. 333-237514) of VistaGen Therapeutics, Inc. of our report dated June 29, 2021, relating to the consolidated financial statements of VistaGen Therapeutics, Inc. for the year ended March 31, 2021, which appears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2022</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223" w:lineRule="exact"/>
        <w:rPr>
          <w:sz w:val="20"/>
          <w:szCs w:val="20"/>
          <w:color w:val="auto"/>
        </w:rPr>
      </w:pPr>
    </w:p>
    <w:p>
      <w:pPr>
        <w:ind w:left="540" w:hanging="533"/>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2" w:lineRule="exact"/>
        <w:rPr>
          <w:rFonts w:ascii="Times New Roman" w:cs="Times New Roman" w:eastAsia="Times New Roman" w:hAnsi="Times New Roman"/>
          <w:sz w:val="18"/>
          <w:szCs w:val="18"/>
          <w:color w:val="auto"/>
        </w:rPr>
      </w:pPr>
    </w:p>
    <w:p>
      <w:pPr>
        <w:ind w:firstLine="7"/>
        <w:spacing w:after="0" w:line="280" w:lineRule="auto"/>
        <w:tabs>
          <w:tab w:leader="none" w:pos="59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1" w:lineRule="exact"/>
        <w:rPr>
          <w:rFonts w:ascii="Times New Roman" w:cs="Times New Roman" w:eastAsia="Times New Roman" w:hAnsi="Times New Roman"/>
          <w:sz w:val="18"/>
          <w:szCs w:val="18"/>
          <w:color w:val="auto"/>
        </w:rPr>
      </w:pPr>
    </w:p>
    <w:p>
      <w:pPr>
        <w:ind w:firstLine="7"/>
        <w:spacing w:after="0" w:line="280" w:lineRule="auto"/>
        <w:tabs>
          <w:tab w:leader="none" w:pos="61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7"/>
        <w:spacing w:after="0" w:line="264" w:lineRule="auto"/>
        <w:tabs>
          <w:tab w:leader="none" w:pos="6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firstLine="330"/>
        <w:spacing w:after="0" w:line="264" w:lineRule="auto"/>
        <w:tabs>
          <w:tab w:leader="none" w:pos="92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330"/>
        <w:spacing w:after="0" w:line="264" w:lineRule="auto"/>
        <w:tabs>
          <w:tab w:leader="none" w:pos="106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330"/>
        <w:spacing w:after="0" w:line="280" w:lineRule="auto"/>
        <w:tabs>
          <w:tab w:leader="none" w:pos="110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0"/>
        <w:spacing w:after="0" w:line="264" w:lineRule="auto"/>
        <w:tabs>
          <w:tab w:leader="none" w:pos="93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7"/>
        <w:spacing w:after="0" w:line="280" w:lineRule="auto"/>
        <w:tabs>
          <w:tab w:leader="none" w:pos="6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330"/>
        <w:spacing w:after="0" w:line="280" w:lineRule="auto"/>
        <w:tabs>
          <w:tab w:leader="none" w:pos="88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0"/>
        <w:spacing w:after="0" w:line="280" w:lineRule="auto"/>
        <w:tabs>
          <w:tab w:leader="none" w:pos="88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June 23, 2022</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Shawn K. Singh</w:t>
            </w:r>
          </w:p>
        </w:tc>
      </w:tr>
      <w:tr>
        <w:trPr>
          <w:trHeight w:val="20"/>
        </w:trPr>
        <w:tc>
          <w:tcPr>
            <w:tcW w:w="5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K. Singh, JD</w:t>
            </w:r>
          </w:p>
        </w:tc>
      </w:tr>
      <w:tr>
        <w:trPr>
          <w:trHeight w:val="234"/>
        </w:trPr>
        <w:tc>
          <w:tcPr>
            <w:tcW w:w="562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Principal Executive Officer</w:t>
            </w:r>
          </w:p>
        </w:tc>
      </w:tr>
    </w:tbl>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Jerrold D. Dotson, certify that:</w:t>
      </w:r>
    </w:p>
    <w:p>
      <w:pPr>
        <w:spacing w:after="0" w:line="223" w:lineRule="exact"/>
        <w:rPr>
          <w:sz w:val="20"/>
          <w:szCs w:val="20"/>
          <w:color w:val="auto"/>
        </w:rPr>
      </w:pPr>
    </w:p>
    <w:p>
      <w:pPr>
        <w:ind w:left="540" w:hanging="533"/>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2" w:lineRule="exact"/>
        <w:rPr>
          <w:rFonts w:ascii="Times New Roman" w:cs="Times New Roman" w:eastAsia="Times New Roman" w:hAnsi="Times New Roman"/>
          <w:sz w:val="18"/>
          <w:szCs w:val="18"/>
          <w:color w:val="auto"/>
        </w:rPr>
      </w:pPr>
    </w:p>
    <w:p>
      <w:pPr>
        <w:ind w:firstLine="7"/>
        <w:spacing w:after="0" w:line="280" w:lineRule="auto"/>
        <w:tabs>
          <w:tab w:leader="none" w:pos="5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1" w:lineRule="exact"/>
        <w:rPr>
          <w:rFonts w:ascii="Times New Roman" w:cs="Times New Roman" w:eastAsia="Times New Roman" w:hAnsi="Times New Roman"/>
          <w:sz w:val="18"/>
          <w:szCs w:val="18"/>
          <w:color w:val="auto"/>
        </w:rPr>
      </w:pPr>
    </w:p>
    <w:p>
      <w:pPr>
        <w:ind w:firstLine="7"/>
        <w:spacing w:after="0" w:line="280" w:lineRule="auto"/>
        <w:tabs>
          <w:tab w:leader="none" w:pos="6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7"/>
        <w:spacing w:after="0" w:line="264" w:lineRule="auto"/>
        <w:tabs>
          <w:tab w:leader="none" w:pos="6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firstLine="330"/>
        <w:spacing w:after="0" w:line="264" w:lineRule="auto"/>
        <w:tabs>
          <w:tab w:leader="none" w:pos="92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330"/>
        <w:spacing w:after="0" w:line="264" w:lineRule="auto"/>
        <w:tabs>
          <w:tab w:leader="none" w:pos="106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330"/>
        <w:spacing w:after="0" w:line="280" w:lineRule="auto"/>
        <w:tabs>
          <w:tab w:leader="none" w:pos="110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0"/>
        <w:spacing w:after="0" w:line="264" w:lineRule="auto"/>
        <w:tabs>
          <w:tab w:leader="none" w:pos="93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7"/>
        <w:spacing w:after="0" w:line="280" w:lineRule="auto"/>
        <w:tabs>
          <w:tab w:leader="none" w:pos="6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330"/>
        <w:spacing w:after="0" w:line="280" w:lineRule="auto"/>
        <w:tabs>
          <w:tab w:leader="none" w:pos="88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0"/>
        <w:spacing w:after="0" w:line="280" w:lineRule="auto"/>
        <w:tabs>
          <w:tab w:leader="none" w:pos="88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June 23, 2022</w:t>
            </w: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Jerrold D. Dotson</w:t>
            </w:r>
          </w:p>
        </w:tc>
        <w:tc>
          <w:tcPr>
            <w:tcW w:w="420" w:type="dxa"/>
            <w:vAlign w:val="bottom"/>
          </w:tcPr>
          <w:p>
            <w:pPr>
              <w:spacing w:after="0"/>
              <w:rPr>
                <w:sz w:val="18"/>
                <w:szCs w:val="18"/>
                <w:color w:val="auto"/>
              </w:rPr>
            </w:pPr>
          </w:p>
        </w:tc>
      </w:tr>
      <w:tr>
        <w:trPr>
          <w:trHeight w:val="217"/>
        </w:trPr>
        <w:tc>
          <w:tcPr>
            <w:tcW w:w="56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Jerrold D. Dotson</w:t>
            </w:r>
          </w:p>
        </w:tc>
      </w:tr>
      <w:tr>
        <w:trPr>
          <w:trHeight w:val="234"/>
        </w:trPr>
        <w:tc>
          <w:tcPr>
            <w:tcW w:w="56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bl>
    <w:p>
      <w:pPr>
        <w:sectPr>
          <w:pgSz w:w="11900" w:h="16838" w:orient="portrait"/>
          <w:cols w:equalWidth="0" w:num="1">
            <w:col w:w="11240"/>
          </w:cols>
          <w:pgMar w:left="320" w:top="1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VistaGen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202" w:lineRule="exact"/>
        <w:rPr>
          <w:sz w:val="20"/>
          <w:szCs w:val="20"/>
          <w:color w:val="auto"/>
        </w:rPr>
      </w:pPr>
    </w:p>
    <w:p>
      <w:pPr>
        <w:ind w:left="500" w:right="20" w:firstLine="475"/>
        <w:spacing w:after="0" w:line="282" w:lineRule="auto"/>
        <w:tabs>
          <w:tab w:leader="none" w:pos="11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annual period ended March 31, 2022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0" w:lineRule="exact"/>
        <w:rPr>
          <w:rFonts w:ascii="Times New Roman" w:cs="Times New Roman" w:eastAsia="Times New Roman" w:hAnsi="Times New Roman"/>
          <w:sz w:val="18"/>
          <w:szCs w:val="18"/>
          <w:color w:val="auto"/>
        </w:rPr>
      </w:pPr>
    </w:p>
    <w:p>
      <w:pPr>
        <w:ind w:left="1260" w:hanging="285"/>
        <w:spacing w:after="0"/>
        <w:tabs>
          <w:tab w:leader="none" w:pos="1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 JD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Jerrold D. Dotson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Jerrold D. Dotson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1)"/>
      <w:numFmt w:val="lowerRoman"/>
      <w:start w:val="5"/>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o"/>
      <w:numFmt w:val="bullet"/>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lowerRoman"/>
      <w:start w:val="5"/>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decimal"/>
      <w:start w:val="20"/>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304"/>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1)"/>
      <w:numFmt w:val="decimal"/>
      <w:start w:val="9"/>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1)"/>
      <w:numFmt w:val="decimal"/>
      <w:start w:val="4"/>
    </w:lvl>
  </w:abstractNum>
  <w:abstractNum w:abstractNumId="71">
    <w:nsid w:val="613EFDC5"/>
    <w:multiLevelType w:val="hybridMultilevel"/>
    <w:lvl w:ilvl="0">
      <w:lvlJc w:val="left"/>
      <w:lvlText w:val="(%1)"/>
      <w:numFmt w:val="decimal"/>
      <w:start w:val="6"/>
    </w:lvl>
    <w:lvl w:ilvl="1">
      <w:lvlJc w:val="left"/>
      <w:lvlText w:val="(%2)"/>
      <w:numFmt w:val="lowerRoman"/>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9"/>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lvl w:ilvl="1">
      <w:lvlJc w:val="left"/>
      <w:lvlText w:val="%2"/>
      <w:numFmt w:val="decimal"/>
      <w:start w:val="104"/>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2" Type="http://schemas.openxmlformats.org/officeDocument/2006/relationships/image" Target="media/image161.png"/><Relationship Id="rId184" Type="http://schemas.openxmlformats.org/officeDocument/2006/relationships/image" Target="media/image162.png"/><Relationship Id="rId206" Type="http://schemas.openxmlformats.org/officeDocument/2006/relationships/image" Target="media/image163.png"/><Relationship Id="rId208" Type="http://schemas.openxmlformats.org/officeDocument/2006/relationships/image" Target="media/image164.png"/><Relationship Id="rId230" Type="http://schemas.openxmlformats.org/officeDocument/2006/relationships/image" Target="media/image165.png"/><Relationship Id="rId240" Type="http://schemas.openxmlformats.org/officeDocument/2006/relationships/image" Target="media/image166.png"/><Relationship Id="rId241" Type="http://schemas.openxmlformats.org/officeDocument/2006/relationships/image" Target="media/image167.png"/><Relationship Id="rId168" Type="http://schemas.openxmlformats.org/officeDocument/2006/relationships/hyperlink" Target="http://www.sec.gov/Archives/edgar/data/1411685/000165495421005701/ex1-1.htm" TargetMode="External"/><Relationship Id="rId169" Type="http://schemas.openxmlformats.org/officeDocument/2006/relationships/hyperlink" Target="http://www.sec.gov/Archives/edgar/data/1411685/000141588911000362/ex2-1.htm" TargetMode="External"/><Relationship Id="rId170" Type="http://schemas.openxmlformats.org/officeDocument/2006/relationships/hyperlink" Target="http://www.sec.gov/Archives/edgar/data/1411685/000141588911000445/exhibit3-1.htm" TargetMode="External"/><Relationship Id="rId171" Type="http://schemas.openxmlformats.org/officeDocument/2006/relationships/hyperlink" Target="http://www.sec.gov/Archives/edgar/data/1411685/000141588911001446/ex3-12232011_081210.htm" TargetMode="External"/><Relationship Id="rId172" Type="http://schemas.openxmlformats.org/officeDocument/2006/relationships/hyperlink" Target="http://www.sec.gov/Archives/edgar/data/1411685/000141588914002464/ex3-1.htm" TargetMode="External"/><Relationship Id="rId173" Type="http://schemas.openxmlformats.org/officeDocument/2006/relationships/hyperlink" Target="http://www.sec.gov/Archives/edgar/data/1411685/000141588915001677/ex3-1.htm" TargetMode="External"/><Relationship Id="rId174" Type="http://schemas.openxmlformats.org/officeDocument/2006/relationships/hyperlink" Target="http://www.sec.gov/Archives/edgar/data/1411685/000141588916006879/ex3-1.htm" TargetMode="External"/><Relationship Id="rId175" Type="http://schemas.openxmlformats.org/officeDocument/2006/relationships/hyperlink" Target="http://www.sec.gov/Archives/edgar/data/1411685/000141588916006879/ex3-2.htm" TargetMode="External"/><Relationship Id="rId176" Type="http://schemas.openxmlformats.org/officeDocument/2006/relationships/hyperlink" Target="http://www.sec.gov/Archives/edgar/data/1411685/000165495417008632/ex3-1.htm" TargetMode="External"/><Relationship Id="rId177" Type="http://schemas.openxmlformats.org/officeDocument/2006/relationships/hyperlink" Target="http://www.sec.gov/Archives/edgar/data/1411685/000165495419010432/ex3-1.htm" TargetMode="External"/><Relationship Id="rId178" Type="http://schemas.openxmlformats.org/officeDocument/2006/relationships/hyperlink" Target="http://www.sec.gov/Archives/edgar/data/1411685/000165495420013839/ex3-1.htm" TargetMode="External"/><Relationship Id="rId179" Type="http://schemas.openxmlformats.org/officeDocument/2006/relationships/hyperlink" Target="http://www.sec.gov/Archives/edgar/data/1411685/000165495421002420/ex3-1.htm" TargetMode="External"/><Relationship Id="rId180" Type="http://schemas.openxmlformats.org/officeDocument/2006/relationships/hyperlink" Target="http://www.sec.gov/Archives/edgar/data/1411685/000141588911000362/ex10-22.htm" TargetMode="External"/><Relationship Id="rId181" Type="http://schemas.openxmlformats.org/officeDocument/2006/relationships/hyperlink" Target="http://www.sec.gov/Archives/edgar/data/1411685/000141588911000362/ex10-40.htm" TargetMode="External"/><Relationship Id="rId183" Type="http://schemas.openxmlformats.org/officeDocument/2006/relationships/hyperlink" Target="http://www.sec.gov/Archives/edgar/data/1411685/000141588911000362/ex10-41.htm" TargetMode="External"/><Relationship Id="rId185" Type="http://schemas.openxmlformats.org/officeDocument/2006/relationships/hyperlink" Target="http://www.sec.gov/Archives/edgar/data/1411685/000141588911001342/ex10-11302011_101124.htm" TargetMode="External"/><Relationship Id="rId186" Type="http://schemas.openxmlformats.org/officeDocument/2006/relationships/hyperlink" Target="http://www.sec.gov/Archives/edgar/data/1411685/000141588912000973/ex10-57.htm" TargetMode="External"/><Relationship Id="rId187" Type="http://schemas.openxmlformats.org/officeDocument/2006/relationships/hyperlink" Target="http://www.sec.gov/Archives/edgar/data/1411685/000141588912001496/ex10-1.htm" TargetMode="External"/><Relationship Id="rId188" Type="http://schemas.openxmlformats.org/officeDocument/2006/relationships/hyperlink" Target="http://www.sec.gov/Archives/edgar/data/1411685/000141588912001749/ex10-11202012_021125.htm" TargetMode="External"/><Relationship Id="rId189" Type="http://schemas.openxmlformats.org/officeDocument/2006/relationships/hyperlink" Target="http://www.sec.gov/Archives/edgar/data/1411685/000141588913000263/npeaamend.htm" TargetMode="External"/><Relationship Id="rId190" Type="http://schemas.openxmlformats.org/officeDocument/2006/relationships/hyperlink" Target="http://www.sec.gov/Archives/edgar/data/1411685/000141588913000316/ex10-02282013_010201.htm" TargetMode="External"/><Relationship Id="rId191" Type="http://schemas.openxmlformats.org/officeDocument/2006/relationships/hyperlink" Target="http://www.sec.gov/Archives/edgar/data/1411685/000141588913000363/ex10-03062013_040313.htm" TargetMode="External"/><Relationship Id="rId192" Type="http://schemas.openxmlformats.org/officeDocument/2006/relationships/hyperlink" Target="http://www.sec.gov/Archives/edgar/data/1411685/000141588913001409/leasebaysidevistagen.htm" TargetMode="External"/><Relationship Id="rId193" Type="http://schemas.openxmlformats.org/officeDocument/2006/relationships/hyperlink" Target="http://www.sec.gov/Archives/edgar/data/1411685/000141588913001409/saxeindemnification.htm" TargetMode="External"/><Relationship Id="rId194" Type="http://schemas.openxmlformats.org/officeDocument/2006/relationships/hyperlink" Target="http://www.sec.gov/Archives/edgar/data/1411685/000141588913001409/singhindemnification.htm" TargetMode="External"/><Relationship Id="rId195" Type="http://schemas.openxmlformats.org/officeDocument/2006/relationships/hyperlink" Target="http://www.sec.gov/Archives/edgar/data/1411685/000141588913001409/snodgrassindemnification.htm" TargetMode="External"/><Relationship Id="rId196" Type="http://schemas.openxmlformats.org/officeDocument/2006/relationships/hyperlink" Target="http://www.sec.gov/Archives/edgar/data/1411685/000141588913001409/underdownindemnification.htm" TargetMode="External"/><Relationship Id="rId197" Type="http://schemas.openxmlformats.org/officeDocument/2006/relationships/hyperlink" Target="http://www.sec.gov/Archives/edgar/data/1411685/000141588913001409/dotsonindemnification.htm" TargetMode="External"/><Relationship Id="rId198" Type="http://schemas.openxmlformats.org/officeDocument/2006/relationships/hyperlink" Target="http://www.sec.gov/Archives/edgar/data/1411685/000141588916004564/ex10-01292016_020122.htm" TargetMode="External"/><Relationship Id="rId199" Type="http://schemas.openxmlformats.org/officeDocument/2006/relationships/hyperlink" Target="http://www.sec.gov/Archives/edgar/data/1411685/000141588916006331/ex10-112.htm" TargetMode="External"/><Relationship Id="rId200" Type="http://schemas.openxmlformats.org/officeDocument/2006/relationships/hyperlink" Target="http://www.sec.gov/Archives/edgar/data/1411685/000141588916006331/ex10-116.htm" TargetMode="External"/><Relationship Id="rId201" Type="http://schemas.openxmlformats.org/officeDocument/2006/relationships/hyperlink" Target="http://www.sec.gov/Archives/edgar/data/1411685/000141588916006331/ex10-117.htm" TargetMode="External"/><Relationship Id="rId202" Type="http://schemas.openxmlformats.org/officeDocument/2006/relationships/hyperlink" Target="http://www.sec.gov/Archives/edgar/data/1411685/000141588916007413/ex10-1.htm" TargetMode="External"/><Relationship Id="rId203" Type="http://schemas.openxmlformats.org/officeDocument/2006/relationships/hyperlink" Target="http://www.sec.gov/Archives/edgar/data/1411685/000141588916007413/ex10-2.htm" TargetMode="External"/><Relationship Id="rId204" Type="http://schemas.openxmlformats.org/officeDocument/2006/relationships/hyperlink" Target="http://www.sec.gov/Archives/edgar/data/1411685/000165495417004468/ex10-1.htm" TargetMode="External"/><Relationship Id="rId205" Type="http://schemas.openxmlformats.org/officeDocument/2006/relationships/hyperlink" Target="http://www.sec.gov/Archives/edgar/data/1411685/000165495417003815/ex10-2.htm" TargetMode="External"/><Relationship Id="rId207" Type="http://schemas.openxmlformats.org/officeDocument/2006/relationships/hyperlink" Target="http://www.sec.gov/Archives/edgar/data/1411685/000165495417005976/ex10-122.htm" TargetMode="External"/><Relationship Id="rId209" Type="http://schemas.openxmlformats.org/officeDocument/2006/relationships/hyperlink" Target="http://www.sec.gov/Archives/edgar/data/1411685/000165495417008025/vsta_ex11.htm" TargetMode="External"/><Relationship Id="rId210" Type="http://schemas.openxmlformats.org/officeDocument/2006/relationships/hyperlink" Target="http://www.sec.gov/Archives/edgar/data/1411685/000165495417008025/ex4-1.htm" TargetMode="External"/><Relationship Id="rId211" Type="http://schemas.openxmlformats.org/officeDocument/2006/relationships/hyperlink" Target="http://www.sec.gov/Archives/edgar/data/1411685/000165495417011630/ex1-1.htm" TargetMode="External"/><Relationship Id="rId212" Type="http://schemas.openxmlformats.org/officeDocument/2006/relationships/hyperlink" Target="http://www.sec.gov/Archives/edgar/data/1411685/000165495417011630/ex4-1.htm" TargetMode="External"/><Relationship Id="rId213" Type="http://schemas.openxmlformats.org/officeDocument/2006/relationships/hyperlink" Target="http://www.sec.gov/Archives/edgar/data/1411685/000165495418008742/ex10-1.htm" TargetMode="External"/><Relationship Id="rId214" Type="http://schemas.openxmlformats.org/officeDocument/2006/relationships/hyperlink" Target="http://www.sec.gov/Archives/edgar/data/1411685/000165495418008742/ex10-2.htm" TargetMode="External"/><Relationship Id="rId215" Type="http://schemas.openxmlformats.org/officeDocument/2006/relationships/hyperlink" Target="http://www.sec.gov/Archives/edgar/data/1411685/000165495418010158/ex10-1.htm" TargetMode="External"/><Relationship Id="rId216" Type="http://schemas.openxmlformats.org/officeDocument/2006/relationships/hyperlink" Target="http://www.sec.gov/Archives/edgar/data/1411685/000165495418010158/ex10-2.htm" TargetMode="External"/><Relationship Id="rId217" Type="http://schemas.openxmlformats.org/officeDocument/2006/relationships/hyperlink" Target="http://www.sec.gov/Archives/edgar/data/1411685/000165495418011715/ex10-3.htm" TargetMode="External"/><Relationship Id="rId218" Type="http://schemas.openxmlformats.org/officeDocument/2006/relationships/hyperlink" Target="http://www.sec.gov/Archives/edgar/data/1411685/000165495418011665/ex10-4.htm" TargetMode="External"/><Relationship Id="rId219" Type="http://schemas.openxmlformats.org/officeDocument/2006/relationships/hyperlink" Target="http://www.sec.gov/Archives/edgar/data/1411685/000165495418011665/ex10-5.htm" TargetMode="External"/><Relationship Id="rId220" Type="http://schemas.openxmlformats.org/officeDocument/2006/relationships/hyperlink" Target="http://www.sec.gov/Archives/edgar/data/1411685/000165495419000496/ex10-1.htm" TargetMode="External"/><Relationship Id="rId221" Type="http://schemas.openxmlformats.org/officeDocument/2006/relationships/hyperlink" Target="http://www.sec.gov/Archives/edgar/data/1411685/000165495419007632/ex10_136.htm" TargetMode="External"/><Relationship Id="rId222" Type="http://schemas.openxmlformats.org/officeDocument/2006/relationships/hyperlink" Target="http://www.sec.gov/Archives/edgar/data/1411685/000165495419002248/ex1-1.htm" TargetMode="External"/><Relationship Id="rId223" Type="http://schemas.openxmlformats.org/officeDocument/2006/relationships/hyperlink" Target="http://www.sec.gov/Archives/edgar/data/1411685/000165495419007632/ex10-138.htm" TargetMode="External"/><Relationship Id="rId224" Type="http://schemas.openxmlformats.org/officeDocument/2006/relationships/hyperlink" Target="http://www.sec.gov/Archives/edgar/data/1411685/000165495419008434/def14a_july262019.htm" TargetMode="External"/><Relationship Id="rId225" Type="http://schemas.openxmlformats.org/officeDocument/2006/relationships/hyperlink" Target="http://www.sec.gov/Archives/edgar/data/1411685/000165495419012431/ex10-1.htm" TargetMode="External"/><Relationship Id="rId226" Type="http://schemas.openxmlformats.org/officeDocument/2006/relationships/hyperlink" Target="http://www.sec.gov/Archives/edgar/data/1411685/000165495419012431/ex10-2.htm" TargetMode="External"/><Relationship Id="rId227" Type="http://schemas.openxmlformats.org/officeDocument/2006/relationships/hyperlink" Target="http://www.sec.gov/Archives/edgar/data/1411685/000165495420000744/ex10-1.htm" TargetMode="External"/><Relationship Id="rId228" Type="http://schemas.openxmlformats.org/officeDocument/2006/relationships/hyperlink" Target="http://www.sec.gov/Archives/edgar/data/1411685/000165495420000744/ex10-2.htm" TargetMode="External"/><Relationship Id="rId229" Type="http://schemas.openxmlformats.org/officeDocument/2006/relationships/hyperlink" Target="http://www.sec.gov/Archives/edgar/data/1411685/000165495420003246/ex10-1.htm" TargetMode="External"/><Relationship Id="rId231" Type="http://schemas.openxmlformats.org/officeDocument/2006/relationships/hyperlink" Target="http://www.sec.gov/Archives/edgar/data/1411685/000165495420003246/ex10-2.htm" TargetMode="External"/><Relationship Id="rId232" Type="http://schemas.openxmlformats.org/officeDocument/2006/relationships/hyperlink" Target="http://www.sec.gov/Archives/edgar/data/1411685/000165495420004484/ex10-1.htm" TargetMode="External"/><Relationship Id="rId233" Type="http://schemas.openxmlformats.org/officeDocument/2006/relationships/hyperlink" Target="http://www.sec.gov/Archives/edgar/data/1411685/000165495420007024/ex10-1.htm" TargetMode="External"/><Relationship Id="rId234" Type="http://schemas.openxmlformats.org/officeDocument/2006/relationships/hyperlink" Target="http://www.sec.gov/Archives/edgar/data/1411685/000165495420008543/ex1-1.htm" TargetMode="External"/><Relationship Id="rId235" Type="http://schemas.openxmlformats.org/officeDocument/2006/relationships/hyperlink" Target="http://www.sec.gov/Archives/edgar/data/1411685/000165495420013839/ex1-1.htm" TargetMode="External"/><Relationship Id="rId236" Type="http://schemas.openxmlformats.org/officeDocument/2006/relationships/hyperlink" Target="http://www.sec.gov/Archives/edgar/data/1411685/000165495421004680/ex10-1.htm" TargetMode="External"/><Relationship Id="rId237" Type="http://schemas.openxmlformats.org/officeDocument/2006/relationships/hyperlink" Target="http://www.sec.gov/Archives/edgar/data/1411685/000165495421007757/ex10-1.htm" TargetMode="External"/><Relationship Id="rId238" Type="http://schemas.openxmlformats.org/officeDocument/2006/relationships/hyperlink" Target="http://www.sec.gov/Archives/edgar/data/1411685/000165495421008125/ex10-1.htm" TargetMode="External"/><Relationship Id="rId239" Type="http://schemas.openxmlformats.org/officeDocument/2006/relationships/hyperlink" Target="http://www.sec.gov/Archives/edgar/data/1411685/000143774921026161/ex_29658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2022-06-23T15:27:55Z</dcterms:created>
  <dcterms:modified xsi:type="dcterms:W3CDTF">2022-06-23T15:27:55Z</dcterms:modified>
</cp:coreProperties>
</file>