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6"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December 6, 2017</w:t>
      </w:r>
    </w:p>
    <w:p>
      <w:pPr>
        <w:spacing w:after="0" w:line="212" w:lineRule="exact"/>
        <w:rPr>
          <w:sz w:val="24"/>
          <w:szCs w:val="24"/>
          <w:color w:val="auto"/>
        </w:rPr>
      </w:pPr>
    </w:p>
    <w:p>
      <w:pPr>
        <w:jc w:val="center"/>
        <w:ind w:right="-319"/>
        <w:spacing w:after="0"/>
        <w:rPr>
          <w:sz w:val="20"/>
          <w:szCs w:val="20"/>
          <w:color w:val="auto"/>
        </w:rPr>
      </w:pPr>
      <w:r>
        <w:rPr>
          <w:rFonts w:ascii="Arial" w:cs="Arial" w:eastAsia="Arial" w:hAnsi="Arial"/>
          <w:sz w:val="22"/>
          <w:szCs w:val="22"/>
          <w:b w:val="1"/>
          <w:bCs w:val="1"/>
          <w:color w:val="auto"/>
        </w:rPr>
        <w:t>VistaGen Therapeutics, Inc.</w:t>
      </w:r>
    </w:p>
    <w:p>
      <w:pPr>
        <w:spacing w:after="0" w:line="23" w:lineRule="exact"/>
        <w:rPr>
          <w:sz w:val="24"/>
          <w:szCs w:val="24"/>
          <w:color w:val="auto"/>
        </w:rPr>
      </w:pPr>
    </w:p>
    <w:p>
      <w:pPr>
        <w:jc w:val="center"/>
        <w:ind w:right="-3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120"/>
          </w:cols>
          <w:pgMar w:left="240" w:top="922" w:right="539" w:bottom="1440" w:gutter="0" w:footer="0" w:header="0"/>
        </w:sectPr>
      </w:pPr>
    </w:p>
    <w:p>
      <w:pPr>
        <w:spacing w:after="0" w:line="205" w:lineRule="exact"/>
        <w:rPr>
          <w:sz w:val="24"/>
          <w:szCs w:val="24"/>
          <w:color w:val="auto"/>
        </w:rPr>
      </w:pPr>
    </w:p>
    <w:p>
      <w:pPr>
        <w:jc w:val="center"/>
        <w:ind w:left="130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left="1300"/>
        <w:spacing w:after="0"/>
        <w:rPr>
          <w:sz w:val="20"/>
          <w:szCs w:val="20"/>
          <w:color w:val="auto"/>
        </w:rPr>
      </w:pPr>
      <w:r>
        <w:rPr>
          <w:rFonts w:ascii="Arial" w:cs="Arial" w:eastAsia="Arial" w:hAnsi="Arial"/>
          <w:sz w:val="16"/>
          <w:szCs w:val="16"/>
          <w:i w:val="1"/>
          <w:iCs w:val="1"/>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001-37761</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1000"/>
        <w:spacing w:after="0"/>
        <w:rPr>
          <w:sz w:val="20"/>
          <w:szCs w:val="20"/>
          <w:color w:val="auto"/>
        </w:rPr>
      </w:pPr>
      <w:r>
        <w:rPr>
          <w:rFonts w:ascii="Arial" w:cs="Arial" w:eastAsia="Arial" w:hAnsi="Arial"/>
          <w:sz w:val="16"/>
          <w:szCs w:val="16"/>
          <w:i w:val="1"/>
          <w:iCs w:val="1"/>
          <w:color w:val="auto"/>
        </w:rPr>
        <w:t>(IRS Employer Identification Number)</w:t>
      </w:r>
    </w:p>
    <w:p>
      <w:pPr>
        <w:spacing w:after="0" w:line="32" w:lineRule="exact"/>
        <w:rPr>
          <w:sz w:val="24"/>
          <w:szCs w:val="24"/>
          <w:color w:val="auto"/>
        </w:rPr>
      </w:pPr>
    </w:p>
    <w:p>
      <w:pPr>
        <w:sectPr>
          <w:pgSz w:w="11900" w:h="16838" w:orient="portrait"/>
          <w:cols w:equalWidth="0" w:num="3">
            <w:col w:w="4040" w:space="720"/>
            <w:col w:w="1940" w:space="720"/>
            <w:col w:w="3700"/>
          </w:cols>
          <w:pgMar w:left="240" w:top="922" w:right="539" w:bottom="1440" w:gutter="0" w:footer="0" w:header="0"/>
          <w:type w:val="continuous"/>
        </w:sectPr>
      </w:pPr>
    </w:p>
    <w:p>
      <w:pPr>
        <w:ind w:left="2140"/>
        <w:spacing w:after="0"/>
        <w:rPr>
          <w:sz w:val="20"/>
          <w:szCs w:val="20"/>
          <w:color w:val="auto"/>
        </w:rPr>
      </w:pPr>
      <w:r>
        <w:rPr>
          <w:rFonts w:ascii="Arial" w:cs="Arial" w:eastAsia="Arial" w:hAnsi="Arial"/>
          <w:sz w:val="18"/>
          <w:szCs w:val="18"/>
          <w:i w:val="1"/>
          <w:iCs w:val="1"/>
          <w:color w:val="auto"/>
        </w:rPr>
        <w:t>incorporation)</w:t>
      </w:r>
    </w:p>
    <w:p>
      <w:pPr>
        <w:spacing w:after="0" w:line="213"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343 Allerton Ave.</w:t>
      </w:r>
    </w:p>
    <w:p>
      <w:pPr>
        <w:spacing w:after="0" w:line="21" w:lineRule="exact"/>
        <w:rPr>
          <w:sz w:val="24"/>
          <w:szCs w:val="24"/>
          <w:color w:val="auto"/>
        </w:rPr>
      </w:pPr>
    </w:p>
    <w:p>
      <w:pPr>
        <w:ind w:left="4280"/>
        <w:spacing w:after="0"/>
        <w:rPr>
          <w:sz w:val="20"/>
          <w:szCs w:val="20"/>
          <w:color w:val="auto"/>
        </w:rPr>
      </w:pPr>
      <w:r>
        <w:rPr>
          <w:rFonts w:ascii="Arial" w:cs="Arial" w:eastAsia="Arial" w:hAnsi="Arial"/>
          <w:sz w:val="15"/>
          <w:szCs w:val="15"/>
          <w:b w:val="1"/>
          <w:bCs w:val="1"/>
          <w:color w:val="auto"/>
        </w:rPr>
        <w:t>South San Francisco, California 94090</w:t>
      </w:r>
    </w:p>
    <w:p>
      <w:pPr>
        <w:spacing w:after="0" w:line="44" w:lineRule="exact"/>
        <w:rPr>
          <w:sz w:val="24"/>
          <w:szCs w:val="24"/>
          <w:color w:val="auto"/>
        </w:rPr>
      </w:pPr>
    </w:p>
    <w:p>
      <w:pPr>
        <w:ind w:left="4340"/>
        <w:spacing w:after="0"/>
        <w:rPr>
          <w:sz w:val="20"/>
          <w:szCs w:val="20"/>
          <w:color w:val="auto"/>
        </w:rPr>
      </w:pPr>
      <w:r>
        <w:rPr>
          <w:rFonts w:ascii="Arial" w:cs="Arial" w:eastAsia="Arial" w:hAnsi="Arial"/>
          <w:sz w:val="16"/>
          <w:szCs w:val="16"/>
          <w:i w:val="1"/>
          <w:iCs w:val="1"/>
          <w:color w:val="auto"/>
        </w:rPr>
        <w:t>(Address of principal executive offices)</w:t>
      </w:r>
    </w:p>
    <w:p>
      <w:pPr>
        <w:sectPr>
          <w:pgSz w:w="11900" w:h="16838" w:orient="portrait"/>
          <w:cols w:equalWidth="0" w:num="1">
            <w:col w:w="11120"/>
          </w:cols>
          <w:pgMar w:left="240" w:top="922" w:right="539" w:bottom="1440" w:gutter="0" w:footer="0" w:header="0"/>
          <w:type w:val="continuous"/>
        </w:sectPr>
      </w:pPr>
    </w:p>
    <w:p>
      <w:pPr>
        <w:spacing w:after="0" w:line="236"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ind w:right="-31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3"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5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367" w:lineRule="exact"/>
        <w:rPr>
          <w:sz w:val="24"/>
          <w:szCs w:val="24"/>
          <w:color w:val="auto"/>
        </w:rPr>
      </w:pPr>
    </w:p>
    <w:p>
      <w:pPr>
        <w:ind w:right="10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8"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58"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(17 CFR 230.405) or Rule 12b-2 of the Securities Exchange Act of 1934 (17 CFR 240.12b-2) </w:t>
      </w:r>
      <w:r>
        <w:rPr>
          <w:rFonts w:ascii="MS PGothic" w:cs="MS PGothic" w:eastAsia="MS PGothic" w:hAnsi="MS PGothic"/>
          <w:sz w:val="18"/>
          <w:szCs w:val="18"/>
          <w:color w:val="auto"/>
        </w:rPr>
        <w:t>☐</w:t>
      </w:r>
    </w:p>
    <w:p>
      <w:pPr>
        <w:spacing w:after="0" w:line="191" w:lineRule="exact"/>
        <w:rPr>
          <w:sz w:val="24"/>
          <w:szCs w:val="24"/>
          <w:color w:val="auto"/>
        </w:rPr>
      </w:pPr>
    </w:p>
    <w:p>
      <w:pPr>
        <w:ind w:right="120"/>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529590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20"/>
          </w:cols>
          <w:pgMar w:left="240" w:top="922" w:right="5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2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6, 2017,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announced that the U.S. Patent and Trademark Office issued U.S. Patent No. 9,834,801 related to certain methods of production for AV-101, the Company's lead product candidate. A copy of the press release is attached to this Current Report on Form 8-K as Exhibit 99.1, and is incorporated herein by reference.</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r>
        <w:rPr>
          <w:rFonts w:ascii="Arial" w:cs="Arial" w:eastAsia="Arial" w:hAnsi="Arial"/>
          <w:sz w:val="15"/>
          <w:szCs w:val="15"/>
          <w:color w:val="auto"/>
        </w:rPr>
        <w: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560070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19" w:right="239" w:bottom="1440" w:gutter="0" w:footer="0" w:header="0"/>
        </w:sectPr>
      </w:pPr>
    </w:p>
    <w:bookmarkStart w:id="2" w:name="page3"/>
    <w:bookmarkEnd w:id="2"/>
    <w:p>
      <w:pPr>
        <w:ind w:left="548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VistaGen Therapeutics, Inc.</w:t>
      </w:r>
    </w:p>
    <w:p>
      <w:pPr>
        <w:spacing w:after="0" w:line="231" w:lineRule="exact"/>
        <w:rPr>
          <w:sz w:val="20"/>
          <w:szCs w:val="20"/>
          <w:color w:val="auto"/>
        </w:rPr>
      </w:pPr>
    </w:p>
    <w:p>
      <w:pPr>
        <w:ind w:left="60"/>
        <w:spacing w:after="0"/>
        <w:tabs>
          <w:tab w:leader="none" w:pos="5480" w:val="left"/>
          <w:tab w:leader="none" w:pos="6040" w:val="left"/>
        </w:tabs>
        <w:rPr>
          <w:sz w:val="20"/>
          <w:szCs w:val="20"/>
          <w:color w:val="auto"/>
        </w:rPr>
      </w:pPr>
      <w:r>
        <w:rPr>
          <w:rFonts w:ascii="Arial" w:cs="Arial" w:eastAsia="Arial" w:hAnsi="Arial"/>
          <w:sz w:val="18"/>
          <w:szCs w:val="18"/>
          <w:color w:val="auto"/>
        </w:rPr>
        <w:t>Date: December 6,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Shawn K. Singh</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693420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80"/>
          </w:cols>
          <w:pgMar w:left="240" w:top="557" w:right="9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920" w:type="dxa"/>
            <w:vAlign w:val="bottom"/>
          </w:tcPr>
          <w:p>
            <w:pPr>
              <w:ind w:left="35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657"/>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240" w:type="dxa"/>
            <w:vAlign w:val="bottom"/>
          </w:tcPr>
          <w:p>
            <w:pPr>
              <w:spacing w:after="0"/>
              <w:rPr>
                <w:sz w:val="24"/>
                <w:szCs w:val="24"/>
                <w:color w:val="auto"/>
              </w:rPr>
            </w:pPr>
          </w:p>
        </w:tc>
        <w:tc>
          <w:tcPr>
            <w:tcW w:w="9920" w:type="dxa"/>
            <w:vAlign w:val="bottom"/>
          </w:tcPr>
          <w:p>
            <w:pPr>
              <w:ind w:left="45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99.</w:t>
              </w:r>
              <w:r>
                <w:rPr>
                  <w:rFonts w:ascii="Arial" w:cs="Arial" w:eastAsia="Arial" w:hAnsi="Arial"/>
                  <w:sz w:val="18"/>
                  <w:szCs w:val="18"/>
                  <w:u w:val="single" w:color="auto"/>
                  <w:color w:val="0000EE"/>
                  <w:w w:val="79"/>
                </w:rPr>
                <w:t>1</w:t>
              </w:r>
            </w:hyperlink>
          </w:p>
        </w:tc>
        <w:tc>
          <w:tcPr>
            <w:tcW w:w="940" w:type="dxa"/>
            <w:vAlign w:val="bottom"/>
            <w:tcBorders>
              <w:bottom w:val="single" w:sz="8" w:color="CCEEFF"/>
            </w:tcBorders>
            <w:shd w:val="clear" w:color="auto" w:fill="CCEEFF"/>
          </w:tcPr>
          <w:p>
            <w:pPr>
              <w:spacing w:after="0"/>
              <w:rPr>
                <w:sz w:val="17"/>
                <w:szCs w:val="17"/>
                <w:color w:val="auto"/>
              </w:rPr>
            </w:pPr>
          </w:p>
        </w:tc>
        <w:tc>
          <w:tcPr>
            <w:tcW w:w="10160" w:type="dxa"/>
            <w:vAlign w:val="bottom"/>
            <w:tcBorders>
              <w:bottom w:val="single" w:sz="8" w:color="CCEEFF"/>
            </w:tcBorders>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rPr>
              <w:t>Press release issued by VistaGen Therapeutics Inc., dated December 6, 2017.</w:t>
            </w: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99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235075" cy="797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507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VistaGen Therapeutics Granted U.S. Patent regarding Methods of Production for AV-101</w:t>
      </w:r>
    </w:p>
    <w:p>
      <w:pPr>
        <w:spacing w:after="0" w:line="219"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auto"/>
        </w:rPr>
        <w:t xml:space="preserve">South San Francisco, CA (December 6, 2017)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0563C1"/>
        </w:rPr>
        <w:t>VistaGen Therapeutics Inc.</w:t>
      </w:r>
      <w:r>
        <w:rPr>
          <w:rFonts w:ascii="Arial" w:cs="Arial" w:eastAsia="Arial" w:hAnsi="Arial"/>
          <w:sz w:val="16"/>
          <w:szCs w:val="16"/>
          <w:b w:val="1"/>
          <w:bCs w:val="1"/>
          <w:color w:val="auto"/>
        </w:rPr>
        <w:t xml:space="preserve"> </w:t>
      </w:r>
      <w:r>
        <w:rPr>
          <w:rFonts w:ascii="Arial" w:cs="Arial" w:eastAsia="Arial" w:hAnsi="Arial"/>
          <w:sz w:val="16"/>
          <w:szCs w:val="16"/>
          <w:color w:val="auto"/>
        </w:rPr>
        <w:t>(NASDAQ: VTGN), a clinical-stage biopharmaceutical company focused 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developing new generation medicines for depression and other central nervous system (CNS) disorders, today announced the U.S. Patent and Trademark Office (USPTO) has issued </w:t>
      </w:r>
      <w:r>
        <w:rPr>
          <w:rFonts w:ascii="Arial" w:cs="Arial" w:eastAsia="Arial" w:hAnsi="Arial"/>
          <w:sz w:val="16"/>
          <w:szCs w:val="16"/>
          <w:u w:val="single" w:color="auto"/>
          <w:color w:val="0563C1"/>
        </w:rPr>
        <w:t>U.S. Patent No. 9,834,801</w:t>
      </w:r>
      <w:r>
        <w:rPr>
          <w:rFonts w:ascii="Arial" w:cs="Arial" w:eastAsia="Arial" w:hAnsi="Arial"/>
          <w:sz w:val="16"/>
          <w:szCs w:val="16"/>
          <w:color w:val="auto"/>
        </w:rPr>
        <w:t xml:space="preserve"> related to certain methods of production for AV-101, VistaGen’s lead CNS product candidate.</w:t>
      </w:r>
    </w:p>
    <w:p>
      <w:pPr>
        <w:spacing w:after="0" w:line="15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"The issuance of this U.S. patent by the USPTO advances our intellectual property strategy for AV-101 at this vital period in its clinical development. This issued U.S. patent, in conjunction with the potential issuance of additional AV-101 patent applications currently under review worldwide, provides VistaGen with added long-term intellectual property protection for AV-101 and enhances its commercial potential,” stated </w:t>
      </w:r>
      <w:r>
        <w:rPr>
          <w:rFonts w:ascii="Arial" w:cs="Arial" w:eastAsia="Arial" w:hAnsi="Arial"/>
          <w:sz w:val="16"/>
          <w:szCs w:val="16"/>
          <w:u w:val="single" w:color="auto"/>
          <w:color w:val="0563C1"/>
        </w:rPr>
        <w:t>Shawn Singh, Chief Executive Officer of VistaGen.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VistaGen Therapeutics, Inc. (NASDAQ: VTGN) is a clinical-stage biopharmaceutical company focused on developing new generation medicines for depression and other CNS disorders. VistaGen's lead CNS product candidate, AV-101, is in Phase 2 development, initially as a new generation oral antidepressant drug candidate for major depressive disorder (MDD). AV-101's </w:t>
      </w:r>
      <w:r>
        <w:rPr>
          <w:rFonts w:ascii="Arial" w:cs="Arial" w:eastAsia="Arial" w:hAnsi="Arial"/>
          <w:sz w:val="16"/>
          <w:szCs w:val="16"/>
          <w:u w:val="single" w:color="auto"/>
          <w:color w:val="0563C1"/>
        </w:rPr>
        <w:t>mechanism of action</w:t>
      </w:r>
      <w:r>
        <w:rPr>
          <w:rFonts w:ascii="Arial" w:cs="Arial" w:eastAsia="Arial" w:hAnsi="Arial"/>
          <w:sz w:val="16"/>
          <w:szCs w:val="16"/>
          <w:color w:val="auto"/>
        </w:rPr>
        <w:t xml:space="preserve"> is fundamentally different from all FDA-approved antidepressants and atypical antipsychotics used adjunctively to treat MDD, with potential to drive a paradigm shift towards a new generation of safer and faster-acting antidepressants. AV-101 is currently being evaluated by the National Institute of Mental Health (NIMH) in a small Phase 2 monotherapy study in MDD being fully funded by the NIMH and conducted by Dr. Carlos Zarate Jr., Chief, Section on the Neurobiology and Treatment of Mood Disorders and Chief of Experimental Therapeutics and Pathophysiology Branch at the NIMH. VistaGen is preparing to launch a 180-patient Phase 2 study of AV-101 as an adjunctive treatment for MDD patients with an inadequate response to standard, FDA-approved antidepressants, with Dr. Maurizio Fava of Harvard University as Principal Investigator. AV-101 may also have the potential to treat multiple CNS disorders and neurodegenerative diseases in addition to MDD, including neuropathic pain, epilepsy, Huntington's disease, Parkinson’s disease levodopa-induced dyskinesia and other disorders where modulation of the NMDA receptors, activation of the AMPA neurotransmitter pathways and/or key active metabolites of AV-101 may achieve therapeutic benefit.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0563C1"/>
        </w:rPr>
        <w:t>www.vistagen.com</w:t>
      </w:r>
      <w:r>
        <w:rPr>
          <w:rFonts w:ascii="Arial" w:cs="Arial" w:eastAsia="Arial" w:hAnsi="Arial"/>
          <w:sz w:val="18"/>
          <w:szCs w:val="18"/>
          <w:color w:val="auto"/>
        </w:rPr>
        <w:t xml:space="preserve"> and connect with VistaGen on </w:t>
      </w:r>
      <w:r>
        <w:rPr>
          <w:rFonts w:ascii="Arial" w:cs="Arial" w:eastAsia="Arial" w:hAnsi="Arial"/>
          <w:sz w:val="18"/>
          <w:szCs w:val="18"/>
          <w:u w:val="single" w:color="auto"/>
          <w:color w:val="0563C1"/>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0563C1"/>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0563C1"/>
        </w:rPr>
        <w:t>Facebook</w:t>
      </w:r>
      <w:r>
        <w:rPr>
          <w:rFonts w:ascii="Arial" w:cs="Arial" w:eastAsia="Arial" w:hAnsi="Arial"/>
          <w:sz w:val="18"/>
          <w:szCs w:val="18"/>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 xml:space="preserve">The statements in this press release that are not historical facts may constitute forward-looking statements that are based on current expectations and are subject to risks and uncertainties that could cause actual future results to differ materially from those expressed or implied by such statements. Those risks and uncertainties include, but are not limited to, risks related to securing sufficient funding for, and the launch, continuation and results of the NIMH's Phase 2 (monotherapy) and/or the Company's planned Phase 2 (adjunctive treatment) clinical studies of AV-101 in MDD, and other CNS diseases and disorders, including neuropathic pain and PD LID, allowance of patent applications and continued protection of its intellectual property, and the availability of substantial additional capital to support its operations, including the AV-101 Phase 2 adjunctive treatment study and other potential AV-101 clinical development activities described above. These and other risks and uncertainties are identified and described in more detail in VistaGen's filings with the Securities and Exchange Commission (SEC). These filings are available on the SEC's website at </w:t>
      </w:r>
      <w:r>
        <w:rPr>
          <w:rFonts w:ascii="Arial" w:cs="Arial" w:eastAsia="Arial" w:hAnsi="Arial"/>
          <w:sz w:val="15"/>
          <w:szCs w:val="15"/>
          <w:u w:val="single" w:color="auto"/>
          <w:color w:val="0563C1"/>
        </w:rPr>
        <w:t>www.sec.gov</w:t>
      </w:r>
      <w:r>
        <w:rPr>
          <w:rFonts w:ascii="Arial" w:cs="Arial" w:eastAsia="Arial" w:hAnsi="Arial"/>
          <w:sz w:val="15"/>
          <w:szCs w:val="15"/>
          <w:color w:val="auto"/>
        </w:rPr>
        <w:t>. VistaGen undertakes no obligation to publicly update or revise any forward-looking statements.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(650) 577-3600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563C1"/>
        </w:rPr>
        <w:t>IR@vistagen.com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Valter Pinto / Allison Soss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896-1254/+1 (212) 896-1267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VistaGen@KCSA.com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2020-01-18T23:17:23Z</dcterms:created>
  <dcterms:modified xsi:type="dcterms:W3CDTF">2020-01-18T23:17:23Z</dcterms:modified>
</cp:coreProperties>
</file>