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February 19, 2016</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000-54014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VistaGen Therapeutics,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small business issuer as specified in its charter)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Nevada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20-5093315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343 Allerton Avenue, South San Francisco, California 94080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577-3600</w:t>
      </w:r>
    </w:p>
    <w:p>
      <w:pPr>
        <w:spacing w:after="0" w:line="23" w:lineRule="exact"/>
        <w:rPr>
          <w:rFonts w:ascii="Arial" w:cs="Arial" w:eastAsia="Arial" w:hAnsi="Arial"/>
          <w:sz w:val="18"/>
          <w:szCs w:val="18"/>
          <w:u w:val="single" w:color="auto"/>
          <w:color w:val="auto"/>
        </w:rPr>
      </w:pPr>
    </w:p>
    <w:p>
      <w:pPr>
        <w:ind w:left="4540"/>
        <w:spacing w:after="0"/>
        <w:rPr>
          <w:rFonts w:ascii="Arial" w:cs="Arial" w:eastAsia="Arial" w:hAnsi="Arial"/>
          <w:sz w:val="18"/>
          <w:szCs w:val="18"/>
          <w:u w:val="single" w:color="auto"/>
          <w:color w:val="auto"/>
        </w:rPr>
      </w:pPr>
      <w:r>
        <w:rPr>
          <w:rFonts w:ascii="Arial" w:cs="Arial" w:eastAsia="Arial" w:hAnsi="Arial"/>
          <w:sz w:val="18"/>
          <w:szCs w:val="18"/>
          <w:color w:val="auto"/>
        </w:rPr>
        <w:t>(Registrant's Telephone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8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1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February 17, 2016, in a self-placed private placement transaction,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sold to an accredited investor Series B Preferred Units consisting of (i) an aggregate of 28,571 shares of the Company’s Series B 10% Convertible Preferred Stock and (ii) five-year warrants to purchase an aggregate of 28,571 shares of common stock, par value $0.001 per share (“</w:t>
      </w:r>
      <w:r>
        <w:rPr>
          <w:rFonts w:ascii="Arial" w:cs="Arial" w:eastAsia="Arial" w:hAnsi="Arial"/>
          <w:sz w:val="16"/>
          <w:szCs w:val="16"/>
          <w:i w:val="1"/>
          <w:iCs w:val="1"/>
          <w:color w:val="auto"/>
        </w:rPr>
        <w:t>Common Stock</w:t>
      </w:r>
      <w:r>
        <w:rPr>
          <w:rFonts w:ascii="Arial" w:cs="Arial" w:eastAsia="Arial" w:hAnsi="Arial"/>
          <w:sz w:val="16"/>
          <w:szCs w:val="16"/>
          <w:color w:val="auto"/>
        </w:rPr>
        <w:t>”) at an exercise price of $7.00 per share. The Company received cash proceeds of $200,000 from this sale of Series B Preferred Units, which proceeds will be used for general corporate purposes.</w:t>
      </w:r>
    </w:p>
    <w:p>
      <w:pPr>
        <w:spacing w:after="0" w:line="15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Between February 17, 2016 and February 19, 2016, the Company entered into Warrant Exchange Agreements (individually, the “</w:t>
      </w:r>
      <w:r>
        <w:rPr>
          <w:rFonts w:ascii="Arial" w:cs="Arial" w:eastAsia="Arial" w:hAnsi="Arial"/>
          <w:sz w:val="16"/>
          <w:szCs w:val="16"/>
          <w:i w:val="1"/>
          <w:iCs w:val="1"/>
          <w:color w:val="auto"/>
        </w:rPr>
        <w:t>Agreement</w:t>
      </w:r>
      <w:r>
        <w:rPr>
          <w:rFonts w:ascii="Arial" w:cs="Arial" w:eastAsia="Arial" w:hAnsi="Arial"/>
          <w:sz w:val="16"/>
          <w:szCs w:val="16"/>
          <w:color w:val="auto"/>
        </w:rPr>
        <w:t>” and collectively, the “</w:t>
      </w:r>
      <w:r>
        <w:rPr>
          <w:rFonts w:ascii="Arial" w:cs="Arial" w:eastAsia="Arial" w:hAnsi="Arial"/>
          <w:sz w:val="16"/>
          <w:szCs w:val="16"/>
          <w:i w:val="1"/>
          <w:iCs w:val="1"/>
          <w:color w:val="auto"/>
        </w:rPr>
        <w:t>Agreements</w:t>
      </w:r>
      <w:r>
        <w:rPr>
          <w:rFonts w:ascii="Arial" w:cs="Arial" w:eastAsia="Arial" w:hAnsi="Arial"/>
          <w:sz w:val="16"/>
          <w:szCs w:val="16"/>
          <w:color w:val="auto"/>
        </w:rPr>
        <w:t>”) with certain holders of outstanding warrants to purchase an aggregate of 173,648 shares of the Company’s Common Stock (the “</w:t>
      </w:r>
      <w:r>
        <w:rPr>
          <w:rFonts w:ascii="Arial" w:cs="Arial" w:eastAsia="Arial" w:hAnsi="Arial"/>
          <w:sz w:val="16"/>
          <w:szCs w:val="16"/>
          <w:i w:val="1"/>
          <w:iCs w:val="1"/>
          <w:color w:val="auto"/>
        </w:rPr>
        <w:t>Warrants</w:t>
      </w:r>
      <w:r>
        <w:rPr>
          <w:rFonts w:ascii="Arial" w:cs="Arial" w:eastAsia="Arial" w:hAnsi="Arial"/>
          <w:sz w:val="16"/>
          <w:szCs w:val="16"/>
          <w:color w:val="auto"/>
        </w:rPr>
        <w:t>”), pursuant to which the holders agreed to cancel the Warrants in exchange for an aggregate of 130,240 shares of unregistered Common Stock. A copy of the Agreement was attached to the Company’s Quarterly Report on Form 10-Q for the period ended December 31, 2015 as Exhibit 10.1.</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shares of Common Stock issued pursuant to the Agreements, and the Series B Preferred Units were offered and sold in transactions exempt from registration under the Securities Act in reliance on Section 4(2) and/or 3(a)(9) thereof and Rule 506 of Regulation D thereunder. Each recipient of securities represented that it was an “accredited investor” as defined in Regulation D, and that it is not subject to the “Bad Actor” disqualifications described in Rule 506(d).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Following the transactions disclosed above, the Company currently has the following Common Stock and Common Stock equivalents outstanding: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Equivalent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Shares</w:t>
            </w:r>
          </w:p>
        </w:tc>
        <w:tc>
          <w:tcPr>
            <w:tcW w:w="0" w:type="dxa"/>
            <w:vAlign w:val="bottom"/>
          </w:tcPr>
          <w:p>
            <w:pPr>
              <w:spacing w:after="0"/>
              <w:rPr>
                <w:sz w:val="1"/>
                <w:szCs w:val="1"/>
                <w:color w:val="auto"/>
              </w:rPr>
            </w:pPr>
          </w:p>
        </w:tc>
      </w:tr>
      <w:tr>
        <w:trPr>
          <w:trHeight w:val="237"/>
        </w:trPr>
        <w:tc>
          <w:tcPr>
            <w:tcW w:w="9360" w:type="dxa"/>
            <w:vAlign w:val="bottom"/>
            <w:gridSpan w:val="2"/>
          </w:tcPr>
          <w:p>
            <w:pPr>
              <w:spacing w:after="0"/>
              <w:rPr>
                <w:sz w:val="20"/>
                <w:szCs w:val="20"/>
                <w:color w:val="auto"/>
              </w:rPr>
            </w:pPr>
            <w:r>
              <w:rPr>
                <w:rFonts w:ascii="Arial" w:cs="Arial" w:eastAsia="Arial" w:hAnsi="Arial"/>
                <w:sz w:val="18"/>
                <w:szCs w:val="18"/>
                <w:color w:val="auto"/>
              </w:rPr>
              <w:t>Security Class</w:t>
            </w:r>
          </w:p>
        </w:tc>
        <w:tc>
          <w:tcPr>
            <w:tcW w:w="8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40" w:type="dxa"/>
            <w:vAlign w:val="bottom"/>
            <w:tcBorders>
              <w:top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2,402,646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Series A Convertible Preferred Stock; 500,000 shares issued and outstanding, convertible 1:1.5</w:t>
            </w:r>
          </w:p>
        </w:tc>
        <w:tc>
          <w:tcPr>
            <w:tcW w:w="2060" w:type="dxa"/>
            <w:vAlign w:val="bottom"/>
            <w:gridSpan w:val="3"/>
          </w:tcPr>
          <w:p>
            <w:pPr>
              <w:jc w:val="right"/>
              <w:ind w:right="10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Series B 10% Convertible Preferred Stock; 3,622,220 shares issued and outstanding, convertible 1:1</w:t>
            </w:r>
          </w:p>
        </w:tc>
        <w:tc>
          <w:tcPr>
            <w:tcW w:w="2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3,622,220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Series C Convertible Preferred Stock; 2,318,012 shares issued and outstanding, convertible 1:1</w:t>
            </w:r>
          </w:p>
        </w:tc>
        <w:tc>
          <w:tcPr>
            <w:tcW w:w="2060" w:type="dxa"/>
            <w:vAlign w:val="bottom"/>
            <w:gridSpan w:val="3"/>
          </w:tcPr>
          <w:p>
            <w:pPr>
              <w:jc w:val="right"/>
              <w:ind w:right="100"/>
              <w:spacing w:after="0"/>
              <w:rPr>
                <w:sz w:val="20"/>
                <w:szCs w:val="20"/>
                <w:color w:val="auto"/>
              </w:rPr>
            </w:pPr>
            <w:r>
              <w:rPr>
                <w:rFonts w:ascii="Arial" w:cs="Arial" w:eastAsia="Arial" w:hAnsi="Arial"/>
                <w:sz w:val="18"/>
                <w:szCs w:val="18"/>
                <w:color w:val="auto"/>
              </w:rPr>
              <w:t>3,218,012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tcPr>
          <w:p>
            <w:pPr>
              <w:ind w:left="120"/>
              <w:spacing w:after="0"/>
              <w:rPr>
                <w:sz w:val="20"/>
                <w:szCs w:val="20"/>
                <w:color w:val="auto"/>
              </w:rPr>
            </w:pPr>
            <w:r>
              <w:rPr>
                <w:rFonts w:ascii="Arial" w:cs="Arial" w:eastAsia="Arial" w:hAnsi="Arial"/>
                <w:sz w:val="18"/>
                <w:szCs w:val="18"/>
                <w:color w:val="auto"/>
              </w:rPr>
              <w:t>Total Common and Common Equivalent Shares Outstanding</w:t>
            </w:r>
          </w:p>
        </w:tc>
        <w:tc>
          <w:tcPr>
            <w:tcW w:w="2060" w:type="dxa"/>
            <w:vAlign w:val="bottom"/>
            <w:gridSpan w:val="3"/>
          </w:tcPr>
          <w:p>
            <w:pPr>
              <w:jc w:val="right"/>
              <w:ind w:right="100"/>
              <w:spacing w:after="0"/>
              <w:rPr>
                <w:sz w:val="20"/>
                <w:szCs w:val="20"/>
                <w:color w:val="auto"/>
              </w:rPr>
            </w:pPr>
            <w:r>
              <w:rPr>
                <w:rFonts w:ascii="Arial" w:cs="Arial" w:eastAsia="Arial" w:hAnsi="Arial"/>
                <w:sz w:val="18"/>
                <w:szCs w:val="18"/>
                <w:color w:val="auto"/>
              </w:rPr>
              <w:t>9,092,878</w:t>
            </w:r>
          </w:p>
        </w:tc>
        <w:tc>
          <w:tcPr>
            <w:tcW w:w="0" w:type="dxa"/>
            <w:vAlign w:val="bottom"/>
          </w:tcPr>
          <w:p>
            <w:pPr>
              <w:spacing w:after="0"/>
              <w:rPr>
                <w:sz w:val="1"/>
                <w:szCs w:val="1"/>
                <w:color w:val="auto"/>
              </w:rPr>
            </w:pPr>
          </w:p>
        </w:tc>
      </w:tr>
      <w:tr>
        <w:trPr>
          <w:trHeight w:val="644"/>
        </w:trPr>
        <w:tc>
          <w:tcPr>
            <w:tcW w:w="20" w:type="dxa"/>
            <w:vAlign w:val="bottom"/>
          </w:tcPr>
          <w:p>
            <w:pPr>
              <w:spacing w:after="0"/>
              <w:rPr>
                <w:sz w:val="24"/>
                <w:szCs w:val="24"/>
                <w:color w:val="auto"/>
              </w:rPr>
            </w:pPr>
          </w:p>
        </w:tc>
        <w:tc>
          <w:tcPr>
            <w:tcW w:w="93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VistaGen Therapeutics, Inc.</w:t>
      </w:r>
    </w:p>
    <w:p>
      <w:pPr>
        <w:spacing w:after="0" w:line="229" w:lineRule="exact"/>
        <w:rPr>
          <w:sz w:val="20"/>
          <w:szCs w:val="20"/>
          <w:color w:val="auto"/>
        </w:rPr>
      </w:pPr>
    </w:p>
    <w:p>
      <w:pPr>
        <w:spacing w:after="0"/>
        <w:tabs>
          <w:tab w:leader="none" w:pos="5680" w:val="left"/>
          <w:tab w:leader="none" w:pos="6160" w:val="left"/>
        </w:tabs>
        <w:rPr>
          <w:sz w:val="20"/>
          <w:szCs w:val="20"/>
          <w:color w:val="auto"/>
        </w:rPr>
      </w:pPr>
      <w:r>
        <w:rPr>
          <w:rFonts w:ascii="Arial" w:cs="Arial" w:eastAsia="Arial" w:hAnsi="Arial"/>
          <w:sz w:val="18"/>
          <w:szCs w:val="18"/>
          <w:color w:val="auto"/>
        </w:rPr>
        <w:t>Date: February 24,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169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Shawn K. Singh</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1220"/>
      </w:cols>
      <w:pgMar w:left="240" w:top="116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5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2020-01-19T16:24:26Z</dcterms:created>
  <dcterms:modified xsi:type="dcterms:W3CDTF">2020-01-19T16:24:26Z</dcterms:modified>
</cp:coreProperties>
</file>