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SCHEDULE 13G*</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TO § 240.13d-1(b), (c), AND (d) AND AMENDMENTS THERETO FILED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 240.13d-2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__)*</w:t>
      </w:r>
    </w:p>
    <w:p>
      <w:pPr>
        <w:spacing w:after="0" w:line="200" w:lineRule="exact"/>
        <w:rPr>
          <w:sz w:val="24"/>
          <w:szCs w:val="24"/>
          <w:color w:val="auto"/>
        </w:rPr>
      </w:pP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$0.001 per share (the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92840H400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October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the Statement)</w:t>
      </w:r>
    </w:p>
    <w:p>
      <w:pPr>
        <w:spacing w:after="0" w:line="200" w:lineRule="exact"/>
        <w:rPr>
          <w:sz w:val="24"/>
          <w:szCs w:val="24"/>
          <w:color w:val="auto"/>
        </w:rPr>
      </w:pP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right="9540" w:firstLine="8"/>
        <w:spacing w:after="0" w:line="224" w:lineRule="exact"/>
        <w:tabs>
          <w:tab w:leader="none" w:pos="6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Rule 13d-1(b) </w:t>
      </w:r>
      <w:r>
        <w:rPr>
          <w:rFonts w:ascii="MS PGothic" w:cs="MS PGothic" w:eastAsia="MS PGothic" w:hAnsi="MS PGothic"/>
          <w:sz w:val="17"/>
          <w:szCs w:val="17"/>
          <w:color w:val="auto"/>
        </w:rPr>
        <w:t>☒</w:t>
      </w:r>
      <w:r>
        <w:rPr>
          <w:rFonts w:ascii="Arial" w:cs="Arial" w:eastAsia="Arial" w:hAnsi="Arial"/>
          <w:sz w:val="17"/>
          <w:szCs w:val="17"/>
          <w:color w:val="auto"/>
        </w:rPr>
        <w:t xml:space="preserve"> Rule 13d-1(c)</w:t>
      </w: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ind w:firstLine="8"/>
        <w:spacing w:after="0" w:line="277" w:lineRule="auto"/>
        <w:tabs>
          <w:tab w:leader="none" w:pos="1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02"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2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97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589788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1,565,829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right="4980" w:hanging="727"/>
        <w:spacing w:after="0" w:line="366" w:lineRule="auto"/>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(9) </w:t>
      </w:r>
      <w:r>
        <w:rPr>
          <w:rFonts w:ascii="Arial" w:cs="Arial" w:eastAsia="Arial" w:hAnsi="Arial"/>
          <w:sz w:val="18"/>
          <w:szCs w:val="18"/>
          <w:b w:val="1"/>
          <w:bCs w:val="1"/>
          <w:color w:val="auto"/>
        </w:rPr>
        <w:t>5.6%</w:t>
      </w:r>
      <w:r>
        <w:rPr>
          <w:rFonts w:ascii="Arial" w:cs="Arial" w:eastAsia="Arial" w:hAnsi="Arial"/>
          <w:sz w:val="29"/>
          <w:szCs w:val="29"/>
          <w:u w:val="single" w:color="auto"/>
          <w:color w:val="auto"/>
          <w:vertAlign w:val="superscript"/>
        </w:rPr>
        <w:t>1</w:t>
      </w:r>
    </w:p>
    <w:p>
      <w:pPr>
        <w:spacing w:after="0" w:line="1" w:lineRule="exact"/>
        <w:rPr>
          <w:rFonts w:ascii="Arial" w:cs="Arial" w:eastAsia="Arial" w:hAnsi="Arial"/>
          <w:sz w:val="18"/>
          <w:szCs w:val="18"/>
          <w:color w:val="auto"/>
        </w:rPr>
      </w:pPr>
    </w:p>
    <w:p>
      <w:pPr>
        <w:ind w:left="1200" w:hanging="731"/>
        <w:spacing w:after="0"/>
        <w:tabs>
          <w:tab w:leader="none" w:pos="12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05"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IA; 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220" w:firstLine="8"/>
        <w:spacing w:after="0" w:line="243" w:lineRule="auto"/>
        <w:tabs>
          <w:tab w:leader="none" w:pos="120" w:val="left"/>
        </w:tabs>
        <w:numPr>
          <w:ilvl w:val="0"/>
          <w:numId w:val="9"/>
        </w:numPr>
        <w:rPr>
          <w:rFonts w:ascii="Arial" w:cs="Arial" w:eastAsia="Arial" w:hAnsi="Arial"/>
          <w:sz w:val="29"/>
          <w:szCs w:val="29"/>
          <w:u w:val="single" w:color="auto"/>
          <w:color w:val="auto"/>
          <w:vertAlign w:val="superscript"/>
        </w:rPr>
      </w:pPr>
      <w:r>
        <w:rPr>
          <w:rFonts w:ascii="Arial" w:cs="Arial" w:eastAsia="Arial" w:hAnsi="Arial"/>
          <w:sz w:val="17"/>
          <w:szCs w:val="17"/>
          <w:color w:val="auto"/>
        </w:rPr>
        <w:t>The percentages reported in this Schedule 13G are based upon 27,845,372 Shares outstanding comprised of (i) 7,875,151 Shares outstanding as of June 30, 2023 (according to the issuer’s Prospectus Supplement as filed with the Securities and Exchange Commission on October 3, 2023), (ii) 15,010,810 Shares issued in connection with the issuer’s recent public offering (according to the issuer’s Prospectus Supplement as filed with the Securities and Exchange Commission on October 3, 2023), (iii) 4,137,077 Shares sold under the issuer’s ATM program since June 30, 2023 (according to the issuer’s Prospectus Supplement as filed with the Securities and Exchange Commission on October 3, 2023), and (iv) 822,334 Shares issuable upon exercise of certain warrants held by affiliates of the Reporting Persons. Except as described in the preceding sentence, all Shares for the holdings of the reporting persons reported in this Schedule 13G are as of the opening of the market on October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140" w:type="dxa"/>
            <w:vAlign w:val="bottom"/>
            <w:tcBorders>
              <w:right w:val="single" w:sz="8" w:color="auto"/>
            </w:tcBorders>
          </w:tcPr>
          <w:p>
            <w:pPr>
              <w:ind w:left="1900"/>
              <w:spacing w:after="0"/>
              <w:rPr>
                <w:sz w:val="20"/>
                <w:szCs w:val="20"/>
                <w:color w:val="auto"/>
              </w:rPr>
            </w:pPr>
            <w:r>
              <w:rPr>
                <w:rFonts w:ascii="Arial" w:cs="Arial" w:eastAsia="Arial" w:hAnsi="Arial"/>
                <w:sz w:val="18"/>
                <w:szCs w:val="18"/>
                <w:b w:val="1"/>
                <w:bCs w:val="1"/>
                <w:color w:val="auto"/>
              </w:rPr>
              <w:t>13G</w:t>
            </w:r>
          </w:p>
        </w:tc>
        <w:tc>
          <w:tcPr>
            <w:tcW w:w="3580" w:type="dxa"/>
            <w:vAlign w:val="bottom"/>
            <w:tcBorders>
              <w:top w:val="single" w:sz="8" w:color="auto"/>
              <w:right w:val="single" w:sz="8" w:color="auto"/>
            </w:tcBorders>
          </w:tcPr>
          <w:p>
            <w:pPr>
              <w:ind w:left="1100"/>
              <w:spacing w:after="0"/>
              <w:rPr>
                <w:sz w:val="20"/>
                <w:szCs w:val="20"/>
                <w:color w:val="auto"/>
              </w:rPr>
            </w:pPr>
            <w:r>
              <w:rPr>
                <w:rFonts w:ascii="Arial" w:cs="Arial" w:eastAsia="Arial" w:hAnsi="Arial"/>
                <w:sz w:val="18"/>
                <w:szCs w:val="18"/>
                <w:color w:val="auto"/>
              </w:rPr>
              <w:t>Page 3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140" w:type="dxa"/>
            <w:vAlign w:val="bottom"/>
            <w:tcBorders>
              <w:right w:val="single" w:sz="8" w:color="auto"/>
            </w:tcBorders>
          </w:tcPr>
          <w:p>
            <w:pPr>
              <w:spacing w:after="0"/>
              <w:rPr>
                <w:sz w:val="4"/>
                <w:szCs w:val="4"/>
                <w:color w:val="auto"/>
              </w:rPr>
            </w:pPr>
          </w:p>
        </w:tc>
        <w:tc>
          <w:tcPr>
            <w:tcW w:w="358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Advisors Holdings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1,565,829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hanging="727"/>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5.6%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4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1,565,829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o</w:t>
      </w:r>
    </w:p>
    <w:p>
      <w:pPr>
        <w:spacing w:after="0" w:line="332" w:lineRule="exact"/>
        <w:rPr>
          <w:sz w:val="20"/>
          <w:szCs w:val="20"/>
          <w:color w:val="auto"/>
        </w:rPr>
      </w:pPr>
    </w:p>
    <w:p>
      <w:pPr>
        <w:ind w:left="1200" w:hanging="727"/>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5.6%</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84"/>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5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28,107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hanging="727"/>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BD;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6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Group LP</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28,107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hanging="727"/>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PN;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7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Citadel Securities GP LLC</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Delaware</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28,107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hanging="727"/>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0.1%</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OO;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1040"/>
              <w:spacing w:after="0"/>
              <w:rPr>
                <w:sz w:val="20"/>
                <w:szCs w:val="20"/>
                <w:color w:val="auto"/>
              </w:rPr>
            </w:pPr>
            <w:r>
              <w:rPr>
                <w:rFonts w:ascii="Arial" w:cs="Arial" w:eastAsia="Arial" w:hAnsi="Arial"/>
                <w:sz w:val="18"/>
                <w:szCs w:val="18"/>
                <w:color w:val="auto"/>
              </w:rPr>
              <w:t>Page 8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5871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87184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Kenneth Griffin</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(a)</w:t>
      </w:r>
      <w:r>
        <w:rPr>
          <w:sz w:val="20"/>
          <w:szCs w:val="20"/>
          <w:color w:val="auto"/>
        </w:rPr>
        <w:tab/>
      </w:r>
      <w:r>
        <w:rPr>
          <w:rFonts w:ascii="MS PGothic" w:cs="MS PGothic" w:eastAsia="MS PGothic" w:hAnsi="MS PGothic"/>
          <w:sz w:val="18"/>
          <w:szCs w:val="18"/>
          <w:color w:val="auto"/>
        </w:rPr>
        <w:t>☐</w:t>
      </w:r>
    </w:p>
    <w:p>
      <w:pPr>
        <w:spacing w:after="0" w:line="9" w:lineRule="exact"/>
        <w:rPr>
          <w:sz w:val="20"/>
          <w:szCs w:val="20"/>
          <w:color w:val="auto"/>
        </w:rPr>
      </w:pPr>
    </w:p>
    <w:p>
      <w:pPr>
        <w:jc w:val="both"/>
        <w:ind w:left="10580"/>
        <w:spacing w:after="0" w:line="207" w:lineRule="exact"/>
        <w:tabs>
          <w:tab w:leader="none" w:pos="11000" w:val="left"/>
        </w:tabs>
        <w:rPr>
          <w:sz w:val="20"/>
          <w:szCs w:val="20"/>
          <w:color w:val="auto"/>
        </w:rPr>
      </w:pPr>
      <w:r>
        <w:rPr>
          <w:rFonts w:ascii="Arial" w:cs="Arial" w:eastAsia="Arial" w:hAnsi="Arial"/>
          <w:sz w:val="18"/>
          <w:szCs w:val="18"/>
          <w:color w:val="auto"/>
        </w:rPr>
        <w:t>(b)</w:t>
      </w:r>
      <w:r>
        <w:rPr>
          <w:sz w:val="20"/>
          <w:szCs w:val="20"/>
          <w:color w:val="auto"/>
        </w:rPr>
        <w:tab/>
      </w:r>
      <w:r>
        <w:rPr>
          <w:rFonts w:ascii="MS PGothic" w:cs="MS PGothic" w:eastAsia="MS PGothic" w:hAnsi="MS PGothic"/>
          <w:sz w:val="18"/>
          <w:szCs w:val="18"/>
          <w:color w:val="auto"/>
        </w:rPr>
        <w:t>☐</w:t>
      </w:r>
    </w:p>
    <w:p>
      <w:pPr>
        <w:spacing w:after="0" w:line="337" w:lineRule="exact"/>
        <w:rPr>
          <w:sz w:val="20"/>
          <w:szCs w:val="20"/>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46" w:lineRule="exact"/>
        <w:rPr>
          <w:rFonts w:ascii="Arial" w:cs="Arial" w:eastAsia="Arial" w:hAnsi="Arial"/>
          <w:sz w:val="18"/>
          <w:szCs w:val="18"/>
          <w:color w:val="auto"/>
        </w:rPr>
      </w:pPr>
    </w:p>
    <w:p>
      <w:pPr>
        <w:ind w:left="1200" w:hanging="686"/>
        <w:spacing w:after="0"/>
        <w:tabs>
          <w:tab w:leader="none" w:pos="12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U.S. Citizen</w:t>
      </w:r>
    </w:p>
    <w:p>
      <w:pPr>
        <w:spacing w:after="0" w:line="134" w:lineRule="exact"/>
        <w:rPr>
          <w:rFonts w:ascii="Arial" w:cs="Arial" w:eastAsia="Arial" w:hAnsi="Arial"/>
          <w:sz w:val="18"/>
          <w:szCs w:val="18"/>
          <w:color w:val="auto"/>
        </w:rPr>
      </w:pPr>
    </w:p>
    <w:p>
      <w:pPr>
        <w:ind w:left="3460" w:hanging="698"/>
        <w:spacing w:after="0"/>
        <w:tabs>
          <w:tab w:leader="none" w:pos="34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6"/>
              </w:rPr>
              <w:t>NUMBER OF</w:t>
            </w:r>
          </w:p>
        </w:tc>
        <w:tc>
          <w:tcPr>
            <w:tcW w:w="920" w:type="dxa"/>
            <w:vAlign w:val="bottom"/>
          </w:tcPr>
          <w:p>
            <w:pPr>
              <w:spacing w:after="0"/>
              <w:rPr>
                <w:sz w:val="20"/>
                <w:szCs w:val="20"/>
                <w:color w:val="auto"/>
              </w:rPr>
            </w:pPr>
          </w:p>
        </w:tc>
        <w:tc>
          <w:tcPr>
            <w:tcW w:w="8060" w:type="dxa"/>
            <w:vAlign w:val="bottom"/>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1760" w:type="dxa"/>
            <w:vAlign w:val="bottom"/>
            <w:vMerge w:val="continue"/>
          </w:tcPr>
          <w:p>
            <w:pPr>
              <w:spacing w:after="0"/>
              <w:rPr>
                <w:sz w:val="7"/>
                <w:szCs w:val="7"/>
                <w:color w:val="auto"/>
              </w:rPr>
            </w:pP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6.</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1"/>
              </w:rPr>
              <w:t>SHARES</w:t>
            </w:r>
          </w:p>
        </w:tc>
        <w:tc>
          <w:tcPr>
            <w:tcW w:w="920" w:type="dxa"/>
            <w:vAlign w:val="bottom"/>
            <w:vMerge w:val="continue"/>
          </w:tcPr>
          <w:p>
            <w:pPr>
              <w:spacing w:after="0"/>
              <w:rPr>
                <w:sz w:val="18"/>
                <w:szCs w:val="18"/>
                <w:color w:val="auto"/>
              </w:rPr>
            </w:pPr>
          </w:p>
        </w:tc>
        <w:tc>
          <w:tcPr>
            <w:tcW w:w="8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rPr>
              <w:t>BENEFICIALLY</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1,593,936 Shares</w:t>
            </w:r>
          </w:p>
        </w:tc>
        <w:tc>
          <w:tcPr>
            <w:tcW w:w="0" w:type="dxa"/>
            <w:vAlign w:val="bottom"/>
          </w:tcPr>
          <w:p>
            <w:pPr>
              <w:spacing w:after="0"/>
              <w:rPr>
                <w:sz w:val="1"/>
                <w:szCs w:val="1"/>
                <w:color w:val="auto"/>
              </w:rPr>
            </w:pPr>
          </w:p>
        </w:tc>
      </w:tr>
      <w:tr>
        <w:trPr>
          <w:trHeight w:val="230"/>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97"/>
              </w:rPr>
              <w:t>OWNED BY</w:t>
            </w:r>
          </w:p>
        </w:tc>
        <w:tc>
          <w:tcPr>
            <w:tcW w:w="920" w:type="dxa"/>
            <w:vAlign w:val="bottom"/>
            <w:tcBorders>
              <w:bottom w:val="single" w:sz="8" w:color="auto"/>
            </w:tcBorders>
          </w:tcPr>
          <w:p>
            <w:pPr>
              <w:spacing w:after="0"/>
              <w:rPr>
                <w:sz w:val="20"/>
                <w:szCs w:val="20"/>
                <w:color w:val="auto"/>
              </w:rPr>
            </w:pPr>
          </w:p>
        </w:tc>
        <w:tc>
          <w:tcPr>
            <w:tcW w:w="80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760" w:type="dxa"/>
            <w:vAlign w:val="bottom"/>
          </w:tcPr>
          <w:p>
            <w:pPr>
              <w:jc w:val="center"/>
              <w:ind w:right="390"/>
              <w:spacing w:after="0" w:line="182" w:lineRule="exact"/>
              <w:rPr>
                <w:sz w:val="20"/>
                <w:szCs w:val="20"/>
                <w:color w:val="auto"/>
              </w:rPr>
            </w:pPr>
            <w:r>
              <w:rPr>
                <w:rFonts w:ascii="Arial" w:cs="Arial" w:eastAsia="Arial" w:hAnsi="Arial"/>
                <w:sz w:val="18"/>
                <w:szCs w:val="18"/>
                <w:color w:val="auto"/>
                <w:w w:val="95"/>
              </w:rPr>
              <w:t>EACH</w:t>
            </w:r>
          </w:p>
        </w:tc>
        <w:tc>
          <w:tcPr>
            <w:tcW w:w="920" w:type="dxa"/>
            <w:vAlign w:val="bottom"/>
            <w:vMerge w:val="restart"/>
          </w:tcPr>
          <w:p>
            <w:pPr>
              <w:jc w:val="right"/>
              <w:ind w:right="190"/>
              <w:spacing w:after="0"/>
              <w:rPr>
                <w:sz w:val="20"/>
                <w:szCs w:val="20"/>
                <w:color w:val="auto"/>
              </w:rPr>
            </w:pPr>
            <w:r>
              <w:rPr>
                <w:rFonts w:ascii="Arial" w:cs="Arial" w:eastAsia="Arial" w:hAnsi="Arial"/>
                <w:sz w:val="18"/>
                <w:szCs w:val="18"/>
                <w:color w:val="auto"/>
              </w:rPr>
              <w:t>7.</w:t>
            </w:r>
          </w:p>
        </w:tc>
        <w:tc>
          <w:tcPr>
            <w:tcW w:w="8060" w:type="dxa"/>
            <w:vAlign w:val="bottom"/>
            <w:vMerge w:val="restart"/>
          </w:tcPr>
          <w:p>
            <w:pPr>
              <w:ind w:left="28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rPr>
                <w:sz w:val="20"/>
                <w:szCs w:val="20"/>
                <w:color w:val="auto"/>
              </w:rPr>
            </w:pPr>
            <w:r>
              <w:rPr>
                <w:rFonts w:ascii="Arial" w:cs="Arial" w:eastAsia="Arial" w:hAnsi="Arial"/>
                <w:sz w:val="18"/>
                <w:szCs w:val="18"/>
                <w:color w:val="auto"/>
                <w:w w:val="93"/>
              </w:rPr>
              <w:t>REPORTING</w:t>
            </w:r>
          </w:p>
        </w:tc>
        <w:tc>
          <w:tcPr>
            <w:tcW w:w="920" w:type="dxa"/>
            <w:vAlign w:val="bottom"/>
            <w:vMerge w:val="continue"/>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76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8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60" w:type="dxa"/>
            <w:vAlign w:val="bottom"/>
          </w:tcPr>
          <w:p>
            <w:pPr>
              <w:jc w:val="center"/>
              <w:ind w:right="390"/>
              <w:spacing w:after="0"/>
              <w:rPr>
                <w:sz w:val="20"/>
                <w:szCs w:val="20"/>
                <w:color w:val="auto"/>
              </w:rPr>
            </w:pPr>
            <w:r>
              <w:rPr>
                <w:rFonts w:ascii="Arial" w:cs="Arial" w:eastAsia="Arial" w:hAnsi="Arial"/>
                <w:sz w:val="18"/>
                <w:szCs w:val="18"/>
                <w:color w:val="auto"/>
                <w:w w:val="89"/>
              </w:rPr>
              <w:t>PERSON</w:t>
            </w:r>
          </w:p>
        </w:tc>
        <w:tc>
          <w:tcPr>
            <w:tcW w:w="920" w:type="dxa"/>
            <w:vAlign w:val="bottom"/>
          </w:tcPr>
          <w:p>
            <w:pPr>
              <w:spacing w:after="0"/>
              <w:rPr>
                <w:sz w:val="18"/>
                <w:szCs w:val="18"/>
                <w:color w:val="auto"/>
              </w:rPr>
            </w:pPr>
          </w:p>
        </w:tc>
        <w:tc>
          <w:tcPr>
            <w:tcW w:w="806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82"/>
        </w:trPr>
        <w:tc>
          <w:tcPr>
            <w:tcW w:w="1760" w:type="dxa"/>
            <w:vAlign w:val="bottom"/>
            <w:vMerge w:val="restart"/>
          </w:tcPr>
          <w:p>
            <w:pPr>
              <w:jc w:val="center"/>
              <w:ind w:right="390"/>
              <w:spacing w:after="0" w:line="205" w:lineRule="exact"/>
              <w:rPr>
                <w:sz w:val="20"/>
                <w:szCs w:val="20"/>
                <w:color w:val="auto"/>
              </w:rPr>
            </w:pPr>
            <w:r>
              <w:rPr>
                <w:rFonts w:ascii="Arial" w:cs="Arial" w:eastAsia="Arial" w:hAnsi="Arial"/>
                <w:sz w:val="18"/>
                <w:szCs w:val="18"/>
                <w:color w:val="auto"/>
              </w:rPr>
              <w:t>WITH</w:t>
            </w:r>
          </w:p>
        </w:tc>
        <w:tc>
          <w:tcPr>
            <w:tcW w:w="920" w:type="dxa"/>
            <w:vAlign w:val="bottom"/>
          </w:tcPr>
          <w:p>
            <w:pPr>
              <w:spacing w:after="0"/>
              <w:rPr>
                <w:sz w:val="7"/>
                <w:szCs w:val="7"/>
                <w:color w:val="auto"/>
              </w:rPr>
            </w:pPr>
          </w:p>
        </w:tc>
        <w:tc>
          <w:tcPr>
            <w:tcW w:w="8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760" w:type="dxa"/>
            <w:vAlign w:val="bottom"/>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176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80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3460" w:hanging="698"/>
        <w:spacing w:after="0"/>
        <w:tabs>
          <w:tab w:leader="none" w:pos="3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05" w:lineRule="exact"/>
        <w:rPr>
          <w:rFonts w:ascii="Arial" w:cs="Arial" w:eastAsia="Arial" w:hAnsi="Arial"/>
          <w:sz w:val="18"/>
          <w:szCs w:val="18"/>
          <w:color w:val="auto"/>
        </w:rPr>
      </w:pPr>
    </w:p>
    <w:p>
      <w:pPr>
        <w:ind w:left="346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4" w:lineRule="exact"/>
        <w:rPr>
          <w:rFonts w:ascii="Arial" w:cs="Arial" w:eastAsia="Arial" w:hAnsi="Arial"/>
          <w:sz w:val="18"/>
          <w:szCs w:val="18"/>
          <w:color w:val="auto"/>
        </w:rPr>
      </w:pPr>
    </w:p>
    <w:p>
      <w:pPr>
        <w:ind w:left="1200" w:hanging="686"/>
        <w:spacing w:after="0"/>
        <w:tabs>
          <w:tab w:leader="none" w:pos="1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See Row 6 above</w:t>
      </w:r>
    </w:p>
    <w:p>
      <w:pPr>
        <w:spacing w:after="0" w:line="135" w:lineRule="exact"/>
        <w:rPr>
          <w:sz w:val="20"/>
          <w:szCs w:val="20"/>
          <w:color w:val="auto"/>
        </w:rPr>
      </w:pPr>
    </w:p>
    <w:p>
      <w:pPr>
        <w:ind w:left="1200" w:hanging="731"/>
        <w:spacing w:after="0"/>
        <w:tabs>
          <w:tab w:leader="none" w:pos="1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18" w:lineRule="exact"/>
        <w:rPr>
          <w:sz w:val="20"/>
          <w:szCs w:val="20"/>
          <w:color w:val="auto"/>
        </w:rPr>
      </w:pPr>
    </w:p>
    <w:p>
      <w:pPr>
        <w:jc w:val="right"/>
        <w:ind w:right="60"/>
        <w:spacing w:after="0" w:line="181" w:lineRule="exact"/>
        <w:rPr>
          <w:sz w:val="20"/>
          <w:szCs w:val="20"/>
          <w:color w:val="auto"/>
        </w:rPr>
      </w:pPr>
      <w:r>
        <w:rPr>
          <w:rFonts w:ascii="MS PGothic" w:cs="MS PGothic" w:eastAsia="MS PGothic" w:hAnsi="MS PGothic"/>
          <w:sz w:val="18"/>
          <w:szCs w:val="18"/>
          <w:color w:val="auto"/>
        </w:rPr>
        <w:t>☐</w:t>
      </w:r>
    </w:p>
    <w:p>
      <w:pPr>
        <w:spacing w:after="0" w:line="364" w:lineRule="exact"/>
        <w:rPr>
          <w:sz w:val="20"/>
          <w:szCs w:val="20"/>
          <w:color w:val="auto"/>
        </w:rPr>
      </w:pPr>
    </w:p>
    <w:p>
      <w:pPr>
        <w:ind w:left="1200" w:hanging="727"/>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5.7%</w:t>
      </w:r>
    </w:p>
    <w:p>
      <w:pPr>
        <w:spacing w:after="0" w:line="134" w:lineRule="exact"/>
        <w:rPr>
          <w:rFonts w:ascii="Arial" w:cs="Arial" w:eastAsia="Arial" w:hAnsi="Arial"/>
          <w:sz w:val="18"/>
          <w:szCs w:val="18"/>
          <w:color w:val="auto"/>
        </w:rPr>
      </w:pPr>
    </w:p>
    <w:p>
      <w:pPr>
        <w:ind w:left="1200" w:hanging="731"/>
        <w:spacing w:after="0"/>
        <w:tabs>
          <w:tab w:leader="none" w:pos="12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1"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8" w:name="page9"/>
    <w:bookmarkEnd w:id="8"/>
    <w:p>
      <w:pPr>
        <w:ind w:left="880"/>
        <w:spacing w:after="0"/>
        <w:tabs>
          <w:tab w:leader="none" w:pos="5460" w:val="left"/>
          <w:tab w:leader="none" w:pos="8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5128895</wp:posOffset>
            </wp:positionH>
            <wp:positionV relativeFrom="page">
              <wp:posOffset>586105</wp:posOffset>
            </wp:positionV>
            <wp:extent cx="2211705"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1170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19960"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19960" cy="222885"/>
                    </a:xfrm>
                    <a:prstGeom prst="rect">
                      <a:avLst/>
                    </a:prstGeom>
                    <a:noFill/>
                  </pic:spPr>
                </pic:pic>
              </a:graphicData>
            </a:graphic>
          </wp:anchor>
        </w:drawing>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9 of 13 Pages</w:t>
      </w:r>
    </w:p>
    <w:p>
      <w:pPr>
        <w:sectPr>
          <w:pgSz w:w="11900" w:h="16838" w:orient="portrait"/>
          <w:cols w:equalWidth="0" w:num="1">
            <w:col w:w="11200"/>
          </w:cols>
          <w:pgMar w:left="320" w:top="958" w:right="3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Vistagen Therapeutics,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343 Allerton Ave., South San Francisco, California 94080</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980"/>
        <w:spacing w:after="0" w:line="275" w:lineRule="auto"/>
        <w:rPr>
          <w:sz w:val="20"/>
          <w:szCs w:val="20"/>
          <w:color w:val="auto"/>
        </w:rPr>
      </w:pPr>
      <w:r>
        <w:rPr>
          <w:rFonts w:ascii="Arial" w:cs="Arial" w:eastAsia="Arial" w:hAnsi="Arial"/>
          <w:sz w:val="17"/>
          <w:szCs w:val="17"/>
          <w:color w:val="auto"/>
        </w:rPr>
        <w:t>This Schedule 13G is being jointly filed by Citadel Advisors LLC (“Citadel Advisors”), Citadel Advisors Holdings LP (“CAH”), Citadel GP LLC (“CGP”), Citadel Securities LLC (“Citadel Securities”), Citadel Securities Group LP (“CALC4”), Citadel Securities GP LLC (“CSGP”) and Mr. Kenneth Griffin (collectively with Citadel Advisors, CAH, CGP, Citadel Securities, CALC4 and CSGP, the “Reporting Persons”) with respect to the Shares of the above-named issuer owned by Citadel Multi-Strategy Equities Master Fund Ltd., a Cayman Islands company (“CM”), and Citadel Securities. Such owned Shares may include other instruments exercisable for or convertible into Shares.</w:t>
      </w:r>
    </w:p>
    <w:p>
      <w:pPr>
        <w:spacing w:after="0" w:line="176"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Citadel Advisors is the portfolio manager for CM. CAH is the sole member of Citadel Advisors. CGP is the general partner of CAH. CALC4 is the non-member manager of Citadel Securities. CSGP is the general partner of CALC4. Mr. Griffin is the President and Chief Executive Officer of CGP, and owns a controlling interest in CGP and CSGP.</w:t>
      </w:r>
    </w:p>
    <w:p>
      <w:pPr>
        <w:spacing w:after="0" w:line="184"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The filing of this statement shall not be construed as an admission that any of the Reporting Persons is the beneficial owner of any securities covered by the statement other than the securities actually owned by such person (if any).</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or Principal Business Office or, if none, Residence:</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address of each of the Reporting Persons is Southeast Financial Center, 200 S. Biscayne Blvd., Suite 3300, Miami, Florida 33131.</w:t>
      </w:r>
    </w:p>
    <w:p>
      <w:pPr>
        <w:spacing w:after="0" w:line="23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980" w:right="380"/>
        <w:spacing w:after="0" w:line="263" w:lineRule="auto"/>
        <w:rPr>
          <w:sz w:val="20"/>
          <w:szCs w:val="20"/>
          <w:color w:val="auto"/>
        </w:rPr>
      </w:pPr>
      <w:r>
        <w:rPr>
          <w:rFonts w:ascii="Arial" w:cs="Arial" w:eastAsia="Arial" w:hAnsi="Arial"/>
          <w:sz w:val="18"/>
          <w:szCs w:val="18"/>
          <w:color w:val="auto"/>
        </w:rPr>
        <w:t>Each of Citadel Advisors, CGP, Citadel Securities and CSGP is organized as a limited liability company under the laws of the State of Delaware. Each of CALC4 and CAH is organized as a limited partnership under the laws of the State of Delaware. Mr. Griffin is a U.S. citizen.</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$0.001 per share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92840H400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type w:val="continuous"/>
        </w:sectPr>
      </w:pPr>
    </w:p>
    <w:bookmarkStart w:id="9" w:name="page10"/>
    <w:bookmarkEnd w:id="9"/>
    <w:p>
      <w:pPr>
        <w:ind w:left="88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5128895</wp:posOffset>
            </wp:positionH>
            <wp:positionV relativeFrom="page">
              <wp:posOffset>586105</wp:posOffset>
            </wp:positionV>
            <wp:extent cx="2211705"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1170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19960" cy="2228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19960" cy="222885"/>
                    </a:xfrm>
                    <a:prstGeom prst="rect">
                      <a:avLst/>
                    </a:prstGeom>
                    <a:noFill/>
                  </pic:spPr>
                </pic:pic>
              </a:graphicData>
            </a:graphic>
          </wp:anchor>
        </w:drawing>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10 of 13 Pages</w:t>
      </w:r>
    </w:p>
    <w:p>
      <w:pPr>
        <w:sectPr>
          <w:pgSz w:w="11900" w:h="16838" w:orient="portrait"/>
          <w:cols w:equalWidth="0" w:num="1">
            <w:col w:w="11100"/>
          </w:cols>
          <w:pgMar w:left="320" w:top="958" w:right="47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184" w:lineRule="exact"/>
        <w:rPr>
          <w:sz w:val="20"/>
          <w:szCs w:val="20"/>
          <w:color w:val="auto"/>
        </w:rPr>
      </w:pPr>
    </w:p>
    <w:tbl>
      <w:tblPr>
        <w:tblLayout w:type="fixed"/>
        <w:tblInd w:w="1260" w:type="dxa"/>
        <w:tblCellMar>
          <w:top w:w="0" w:type="dxa"/>
          <w:left w:w="0" w:type="dxa"/>
          <w:bottom w:w="0" w:type="dxa"/>
          <w:right w:w="0" w:type="dxa"/>
        </w:tblCellMar>
      </w:tblPr>
      <w:tr>
        <w:trPr>
          <w:trHeight w:val="221"/>
        </w:trPr>
        <w:tc>
          <w:tcPr>
            <w:tcW w:w="500" w:type="dxa"/>
            <w:vAlign w:val="bottom"/>
          </w:tcPr>
          <w:p>
            <w:pPr>
              <w:spacing w:after="0"/>
              <w:rPr>
                <w:sz w:val="20"/>
                <w:szCs w:val="20"/>
                <w:color w:val="auto"/>
              </w:rPr>
            </w:pPr>
            <w:r>
              <w:rPr>
                <w:rFonts w:ascii="Arial" w:cs="Arial" w:eastAsia="Arial" w:hAnsi="Arial"/>
                <w:sz w:val="18"/>
                <w:szCs w:val="18"/>
                <w:color w:val="auto"/>
              </w:rPr>
              <w:t>(a)</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(b)</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(d)</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w w:val="90"/>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(e)</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(f)</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An employee benefit plan or endowment fund in accordance with § 240.13d-1(b)(1)(ii)(F);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(g)</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A parent holding company or control person in accordance with § 240.13d-1(b)(1)(ii)(G);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(h)</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w w:val="94"/>
              </w:rPr>
              <w:t>A savings association as defined in Section 3(b) of the Federal Deposit Insurance Act (12 U.S.C. 1813);</w:t>
            </w:r>
          </w:p>
        </w:tc>
        <w:tc>
          <w:tcPr>
            <w:tcW w:w="0" w:type="dxa"/>
            <w:vAlign w:val="bottom"/>
          </w:tcPr>
          <w:p>
            <w:pPr>
              <w:spacing w:after="0"/>
              <w:rPr>
                <w:sz w:val="1"/>
                <w:szCs w:val="1"/>
                <w:color w:val="auto"/>
              </w:rPr>
            </w:pPr>
          </w:p>
        </w:tc>
      </w:tr>
      <w:tr>
        <w:trPr>
          <w:trHeight w:val="256"/>
        </w:trPr>
        <w:tc>
          <w:tcPr>
            <w:tcW w:w="500" w:type="dxa"/>
            <w:vAlign w:val="bottom"/>
          </w:tcPr>
          <w:p>
            <w:pPr>
              <w:spacing w:after="0"/>
              <w:rPr>
                <w:sz w:val="20"/>
                <w:szCs w:val="20"/>
                <w:color w:val="auto"/>
              </w:rPr>
            </w:pPr>
            <w:r>
              <w:rPr>
                <w:rFonts w:ascii="Arial" w:cs="Arial" w:eastAsia="Arial" w:hAnsi="Arial"/>
                <w:sz w:val="18"/>
                <w:szCs w:val="18"/>
                <w:color w:val="auto"/>
              </w:rPr>
              <w:t>(i)</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w w:val="92"/>
              </w:rPr>
              <w:t>A church plan that is excluded from the definition of an investment company under Section 3(c)(14)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76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Investment Company Act (15 U.S.C. 80a-3);</w:t>
            </w:r>
          </w:p>
        </w:tc>
        <w:tc>
          <w:tcPr>
            <w:tcW w:w="0" w:type="dxa"/>
            <w:vAlign w:val="bottom"/>
          </w:tcPr>
          <w:p>
            <w:pPr>
              <w:spacing w:after="0"/>
              <w:rPr>
                <w:sz w:val="1"/>
                <w:szCs w:val="1"/>
                <w:color w:val="auto"/>
              </w:rPr>
            </w:pPr>
          </w:p>
        </w:tc>
      </w:tr>
      <w:tr>
        <w:trPr>
          <w:trHeight w:val="176"/>
        </w:trPr>
        <w:tc>
          <w:tcPr>
            <w:tcW w:w="500" w:type="dxa"/>
            <w:vAlign w:val="bottom"/>
          </w:tcPr>
          <w:p>
            <w:pPr>
              <w:spacing w:after="0" w:line="176" w:lineRule="exact"/>
              <w:rPr>
                <w:sz w:val="20"/>
                <w:szCs w:val="20"/>
                <w:color w:val="auto"/>
              </w:rPr>
            </w:pPr>
            <w:r>
              <w:rPr>
                <w:rFonts w:ascii="Arial" w:cs="Arial" w:eastAsia="Arial" w:hAnsi="Arial"/>
                <w:sz w:val="18"/>
                <w:szCs w:val="18"/>
                <w:color w:val="auto"/>
              </w:rPr>
              <w:t>(j)</w:t>
            </w:r>
          </w:p>
        </w:tc>
        <w:tc>
          <w:tcPr>
            <w:tcW w:w="760" w:type="dxa"/>
            <w:vAlign w:val="bottom"/>
            <w:vMerge w:val="continue"/>
          </w:tcPr>
          <w:p>
            <w:pPr>
              <w:spacing w:after="0"/>
              <w:rPr>
                <w:sz w:val="15"/>
                <w:szCs w:val="15"/>
                <w:color w:val="auto"/>
              </w:rPr>
            </w:pPr>
          </w:p>
        </w:tc>
        <w:tc>
          <w:tcPr>
            <w:tcW w:w="8080" w:type="dxa"/>
            <w:vAlign w:val="bottom"/>
          </w:tcPr>
          <w:p>
            <w:pPr>
              <w:ind w:left="300"/>
              <w:spacing w:after="0" w:line="176" w:lineRule="exact"/>
              <w:rPr>
                <w:sz w:val="20"/>
                <w:szCs w:val="20"/>
                <w:color w:val="auto"/>
              </w:rPr>
            </w:pPr>
            <w:r>
              <w:rPr>
                <w:rFonts w:ascii="Arial" w:cs="Arial" w:eastAsia="Arial" w:hAnsi="Arial"/>
                <w:sz w:val="18"/>
                <w:szCs w:val="18"/>
                <w:color w:val="auto"/>
              </w:rPr>
              <w:t>A non-U.S. institution in accordance with § 240.13d-1(b)(1)(ii)(J);</w:t>
            </w:r>
          </w:p>
        </w:tc>
        <w:tc>
          <w:tcPr>
            <w:tcW w:w="0" w:type="dxa"/>
            <w:vAlign w:val="bottom"/>
          </w:tcPr>
          <w:p>
            <w:pPr>
              <w:spacing w:after="0"/>
              <w:rPr>
                <w:sz w:val="1"/>
                <w:szCs w:val="1"/>
                <w:color w:val="auto"/>
              </w:rPr>
            </w:pPr>
          </w:p>
        </w:tc>
      </w:tr>
      <w:tr>
        <w:trPr>
          <w:trHeight w:val="303"/>
        </w:trPr>
        <w:tc>
          <w:tcPr>
            <w:tcW w:w="500" w:type="dxa"/>
            <w:vAlign w:val="bottom"/>
          </w:tcPr>
          <w:p>
            <w:pPr>
              <w:spacing w:after="0"/>
              <w:rPr>
                <w:sz w:val="20"/>
                <w:szCs w:val="20"/>
                <w:color w:val="auto"/>
              </w:rPr>
            </w:pPr>
            <w:r>
              <w:rPr>
                <w:rFonts w:ascii="Arial" w:cs="Arial" w:eastAsia="Arial" w:hAnsi="Arial"/>
                <w:sz w:val="18"/>
                <w:szCs w:val="18"/>
                <w:color w:val="auto"/>
              </w:rPr>
              <w:t>(k)</w:t>
            </w:r>
          </w:p>
        </w:tc>
        <w:tc>
          <w:tcPr>
            <w:tcW w:w="7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080" w:type="dxa"/>
            <w:vAlign w:val="bottom"/>
          </w:tcPr>
          <w:p>
            <w:pPr>
              <w:ind w:left="300"/>
              <w:spacing w:after="0"/>
              <w:rPr>
                <w:sz w:val="20"/>
                <w:szCs w:val="20"/>
                <w:color w:val="auto"/>
              </w:rPr>
            </w:pPr>
            <w:r>
              <w:rPr>
                <w:rFonts w:ascii="Arial" w:cs="Arial" w:eastAsia="Arial" w:hAnsi="Arial"/>
                <w:sz w:val="18"/>
                <w:szCs w:val="18"/>
                <w:color w:val="auto"/>
              </w:rPr>
              <w:t>Group, in accordance with § 240.13d-1(b)(1)(ii)(K).</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w:t>
      </w:r>
    </w:p>
    <w:p>
      <w:pPr>
        <w:spacing w:after="0" w:line="23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2040" w:hanging="790"/>
        <w:spacing w:after="0"/>
        <w:tabs>
          <w:tab w:leader="none" w:pos="2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Citadel Advisors LLC, Citadel Advisors Holdings LP and Citadel GP LLC</w:t>
      </w:r>
    </w:p>
    <w:p>
      <w:pPr>
        <w:spacing w:after="0" w:line="225" w:lineRule="exact"/>
        <w:rPr>
          <w:rFonts w:ascii="Arial" w:cs="Arial" w:eastAsia="Arial" w:hAnsi="Arial"/>
          <w:sz w:val="18"/>
          <w:szCs w:val="18"/>
          <w:color w:val="auto"/>
        </w:rPr>
      </w:pPr>
    </w:p>
    <w:p>
      <w:pPr>
        <w:ind w:left="2820" w:right="20" w:hanging="774"/>
        <w:spacing w:after="0" w:line="277" w:lineRule="auto"/>
        <w:tabs>
          <w:tab w:leader="none" w:pos="2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Each of Citadel Advisors LLC, Citadel Advisors Holdings LP and Citadel GP LLC may be deemed to beneficially own 1,565,829 Shares.</w:t>
      </w:r>
    </w:p>
    <w:p>
      <w:pPr>
        <w:spacing w:after="0" w:line="170" w:lineRule="exact"/>
        <w:rPr>
          <w:rFonts w:ascii="Arial" w:cs="Arial" w:eastAsia="Arial" w:hAnsi="Arial"/>
          <w:sz w:val="18"/>
          <w:szCs w:val="18"/>
          <w:color w:val="auto"/>
        </w:rPr>
      </w:pPr>
    </w:p>
    <w:p>
      <w:pPr>
        <w:ind w:left="2820" w:hanging="774"/>
        <w:spacing w:after="0" w:line="277" w:lineRule="auto"/>
        <w:tabs>
          <w:tab w:leader="none" w:pos="2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number of Shares that each of Citadel Advisors LLC, Citadel Advisors Holdings LP and Citadel GP LLC may be deemed to beneficially own constitutes 5.6% of the Shares outstanding.</w:t>
      </w:r>
    </w:p>
    <w:p>
      <w:pPr>
        <w:spacing w:after="0" w:line="170" w:lineRule="exact"/>
        <w:rPr>
          <w:rFonts w:ascii="Arial" w:cs="Arial" w:eastAsia="Arial" w:hAnsi="Arial"/>
          <w:sz w:val="18"/>
          <w:szCs w:val="18"/>
          <w:color w:val="auto"/>
        </w:rPr>
      </w:pPr>
    </w:p>
    <w:p>
      <w:pPr>
        <w:ind w:left="2820" w:hanging="774"/>
        <w:spacing w:after="0"/>
        <w:tabs>
          <w:tab w:leader="none" w:pos="28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3620" w:hanging="791"/>
        <w:spacing w:after="0"/>
        <w:tabs>
          <w:tab w:leader="none" w:pos="36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3620" w:hanging="791"/>
        <w:spacing w:after="0"/>
        <w:tabs>
          <w:tab w:leader="none" w:pos="36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vote or to direct the vote: 1,565,829</w:t>
      </w:r>
    </w:p>
    <w:p>
      <w:pPr>
        <w:spacing w:after="0" w:line="225" w:lineRule="exact"/>
        <w:rPr>
          <w:rFonts w:ascii="Arial" w:cs="Arial" w:eastAsia="Arial" w:hAnsi="Arial"/>
          <w:sz w:val="18"/>
          <w:szCs w:val="18"/>
          <w:color w:val="auto"/>
        </w:rPr>
      </w:pPr>
    </w:p>
    <w:p>
      <w:pPr>
        <w:ind w:left="3620" w:hanging="791"/>
        <w:spacing w:after="0"/>
        <w:tabs>
          <w:tab w:leader="none" w:pos="36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3620" w:hanging="791"/>
        <w:spacing w:after="0"/>
        <w:tabs>
          <w:tab w:leader="none" w:pos="3620" w:val="left"/>
        </w:tabs>
        <w:numPr>
          <w:ilvl w:val="2"/>
          <w:numId w:val="4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1,565,829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958" w:right="479" w:bottom="1440" w:gutter="0" w:footer="0" w:header="0"/>
          <w:type w:val="continuous"/>
        </w:sectPr>
      </w:pPr>
    </w:p>
    <w:bookmarkStart w:id="10" w:name="page11"/>
    <w:bookmarkEnd w:id="10"/>
    <w:p>
      <w:pPr>
        <w:spacing w:after="0"/>
        <w:tabs>
          <w:tab w:leader="none" w:pos="4580" w:val="left"/>
          <w:tab w:leader="none" w:pos="78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5128895</wp:posOffset>
            </wp:positionH>
            <wp:positionV relativeFrom="page">
              <wp:posOffset>586105</wp:posOffset>
            </wp:positionV>
            <wp:extent cx="2211705" cy="222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1170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19960" cy="2228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9960" cy="222885"/>
                    </a:xfrm>
                    <a:prstGeom prst="rect">
                      <a:avLst/>
                    </a:prstGeom>
                    <a:noFill/>
                  </pic:spPr>
                </pic:pic>
              </a:graphicData>
            </a:graphic>
          </wp:anchor>
        </w:drawing>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11 of 13 Pages</w:t>
      </w:r>
    </w:p>
    <w:p>
      <w:pPr>
        <w:sectPr>
          <w:pgSz w:w="11900" w:h="16838" w:orient="portrait"/>
          <w:cols w:equalWidth="0" w:num="1">
            <w:col w:w="10140"/>
          </w:cols>
          <w:pgMar w:left="1200" w:top="958" w:right="55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160" w:hanging="790"/>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LLC</w:t>
      </w:r>
    </w:p>
    <w:p>
      <w:pPr>
        <w:spacing w:after="0" w:line="225" w:lineRule="exact"/>
        <w:rPr>
          <w:rFonts w:ascii="Arial" w:cs="Arial" w:eastAsia="Arial" w:hAnsi="Arial"/>
          <w:sz w:val="18"/>
          <w:szCs w:val="18"/>
          <w:color w:val="auto"/>
        </w:rPr>
      </w:pPr>
    </w:p>
    <w:p>
      <w:pPr>
        <w:ind w:left="1940" w:hanging="774"/>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Citadel Securities LLC may be deemed to beneficially own 28,107 Shares.</w:t>
      </w:r>
    </w:p>
    <w:p>
      <w:pPr>
        <w:spacing w:after="0" w:line="225" w:lineRule="exact"/>
        <w:rPr>
          <w:rFonts w:ascii="Arial" w:cs="Arial" w:eastAsia="Arial" w:hAnsi="Arial"/>
          <w:sz w:val="18"/>
          <w:szCs w:val="18"/>
          <w:color w:val="auto"/>
        </w:rPr>
      </w:pPr>
    </w:p>
    <w:p>
      <w:pPr>
        <w:ind w:left="1940" w:right="280" w:hanging="774"/>
        <w:spacing w:after="0" w:line="277" w:lineRule="auto"/>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Citadel Securities LLC may be deemed to beneficially own constitutes 0.1% of the Shares outstanding.</w:t>
      </w:r>
    </w:p>
    <w:p>
      <w:pPr>
        <w:spacing w:after="0" w:line="170" w:lineRule="exact"/>
        <w:rPr>
          <w:rFonts w:ascii="Arial" w:cs="Arial" w:eastAsia="Arial" w:hAnsi="Arial"/>
          <w:sz w:val="18"/>
          <w:szCs w:val="18"/>
          <w:color w:val="auto"/>
        </w:rPr>
      </w:pPr>
    </w:p>
    <w:p>
      <w:pPr>
        <w:ind w:left="1940" w:hanging="774"/>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28,107</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28,107</w:t>
      </w:r>
    </w:p>
    <w:p>
      <w:pPr>
        <w:spacing w:after="0" w:line="225" w:lineRule="exact"/>
        <w:rPr>
          <w:rFonts w:ascii="Arial" w:cs="Arial" w:eastAsia="Arial" w:hAnsi="Arial"/>
          <w:sz w:val="18"/>
          <w:szCs w:val="18"/>
          <w:color w:val="auto"/>
        </w:rPr>
      </w:pPr>
    </w:p>
    <w:p>
      <w:pPr>
        <w:ind w:left="1160" w:hanging="790"/>
        <w:spacing w:after="0"/>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Citadel Securities Group LP and Citadel Securities GP LLC</w:t>
      </w:r>
    </w:p>
    <w:p>
      <w:pPr>
        <w:spacing w:after="0" w:line="225" w:lineRule="exact"/>
        <w:rPr>
          <w:rFonts w:ascii="Arial" w:cs="Arial" w:eastAsia="Arial" w:hAnsi="Arial"/>
          <w:sz w:val="18"/>
          <w:szCs w:val="18"/>
          <w:color w:val="auto"/>
        </w:rPr>
      </w:pPr>
    </w:p>
    <w:p>
      <w:pPr>
        <w:ind w:left="1940" w:right="120" w:hanging="774"/>
        <w:spacing w:after="0" w:line="277" w:lineRule="auto"/>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Each of Citadel Securities Group LP and Citadel Securities GP LLC may be deemed to beneficially own 28,107 Shares.</w:t>
      </w:r>
    </w:p>
    <w:p>
      <w:pPr>
        <w:spacing w:after="0" w:line="170" w:lineRule="exact"/>
        <w:rPr>
          <w:rFonts w:ascii="Arial" w:cs="Arial" w:eastAsia="Arial" w:hAnsi="Arial"/>
          <w:sz w:val="18"/>
          <w:szCs w:val="18"/>
          <w:color w:val="auto"/>
        </w:rPr>
      </w:pPr>
    </w:p>
    <w:p>
      <w:pPr>
        <w:ind w:left="1940" w:hanging="774"/>
        <w:spacing w:after="0" w:line="277" w:lineRule="auto"/>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number of Shares that each of Citadel Securities Group LP and Citadel Securities GP LLC may be deemed to beneficially own constitutes 0.1% of the Shares outstanding.</w:t>
      </w:r>
    </w:p>
    <w:p>
      <w:pPr>
        <w:spacing w:after="0" w:line="170" w:lineRule="exact"/>
        <w:rPr>
          <w:rFonts w:ascii="Arial" w:cs="Arial" w:eastAsia="Arial" w:hAnsi="Arial"/>
          <w:sz w:val="18"/>
          <w:szCs w:val="18"/>
          <w:color w:val="auto"/>
        </w:rPr>
      </w:pPr>
    </w:p>
    <w:p>
      <w:pPr>
        <w:ind w:left="1940" w:hanging="774"/>
        <w:spacing w:after="0"/>
        <w:tabs>
          <w:tab w:leader="none" w:pos="19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vote or to direct the vote: 28,107</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740" w:hanging="791"/>
        <w:spacing w:after="0"/>
        <w:tabs>
          <w:tab w:leader="none" w:pos="27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28,107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580390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40"/>
          </w:cols>
          <w:pgMar w:left="1200" w:top="958" w:right="559" w:bottom="1440" w:gutter="0" w:footer="0" w:header="0"/>
          <w:type w:val="continuous"/>
        </w:sectPr>
      </w:pPr>
    </w:p>
    <w:bookmarkStart w:id="11" w:name="page12"/>
    <w:bookmarkEnd w:id="11"/>
    <w:p>
      <w:pPr>
        <w:ind w:left="880"/>
        <w:spacing w:after="0"/>
        <w:tabs>
          <w:tab w:leader="none" w:pos="5460" w:val="left"/>
          <w:tab w:leader="none" w:pos="8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5128895</wp:posOffset>
            </wp:positionH>
            <wp:positionV relativeFrom="page">
              <wp:posOffset>586105</wp:posOffset>
            </wp:positionV>
            <wp:extent cx="2211705" cy="2228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1170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2219960" cy="222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19960" cy="222885"/>
                    </a:xfrm>
                    <a:prstGeom prst="rect">
                      <a:avLst/>
                    </a:prstGeom>
                    <a:noFill/>
                  </pic:spPr>
                </pic:pic>
              </a:graphicData>
            </a:graphic>
          </wp:anchor>
        </w:drawing>
        <w:t>CUSIP NO. 92840H400</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12 of 13 Pages</w:t>
      </w:r>
    </w:p>
    <w:p>
      <w:pPr>
        <w:sectPr>
          <w:pgSz w:w="11900" w:h="16838" w:orient="portrait"/>
          <w:cols w:equalWidth="0" w:num="1">
            <w:col w:w="11240"/>
          </w:cols>
          <w:pgMar w:left="320" w:top="958"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D.</w:t>
            </w:r>
          </w:p>
        </w:tc>
        <w:tc>
          <w:tcPr>
            <w:tcW w:w="1660" w:type="dxa"/>
            <w:vAlign w:val="bottom"/>
            <w:gridSpan w:val="2"/>
          </w:tcPr>
          <w:p>
            <w:pPr>
              <w:ind w:left="300"/>
              <w:spacing w:after="0"/>
              <w:rPr>
                <w:sz w:val="20"/>
                <w:szCs w:val="20"/>
                <w:color w:val="auto"/>
              </w:rPr>
            </w:pPr>
            <w:r>
              <w:rPr>
                <w:rFonts w:ascii="Arial" w:cs="Arial" w:eastAsia="Arial" w:hAnsi="Arial"/>
                <w:sz w:val="18"/>
                <w:szCs w:val="18"/>
                <w:color w:val="auto"/>
              </w:rPr>
              <w:t>Kenneth Griffin</w:t>
            </w:r>
          </w:p>
        </w:tc>
        <w:tc>
          <w:tcPr>
            <w:tcW w:w="78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(a)</w:t>
            </w: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Mr. Griffin may be deemed to beneficially own 1,593,936 Shares.</w:t>
            </w:r>
          </w:p>
        </w:tc>
      </w:tr>
      <w:tr>
        <w:trPr>
          <w:trHeight w:val="418"/>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(b)</w:t>
            </w: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The number of Shares that Mr. Griffin may be deemed to beneficially own constitutes 5.7% of the Shares</w:t>
            </w:r>
          </w:p>
        </w:tc>
      </w:tr>
      <w:tr>
        <w:trPr>
          <w:trHeight w:val="230"/>
        </w:trPr>
        <w:tc>
          <w:tcPr>
            <w:tcW w:w="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outstanding.</w:t>
            </w: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(c)</w:t>
            </w:r>
          </w:p>
        </w:tc>
        <w:tc>
          <w:tcPr>
            <w:tcW w:w="8640" w:type="dxa"/>
            <w:vAlign w:val="bottom"/>
            <w:gridSpan w:val="2"/>
          </w:tcPr>
          <w:p>
            <w:pPr>
              <w:ind w:left="220"/>
              <w:spacing w:after="0"/>
              <w:rPr>
                <w:sz w:val="20"/>
                <w:szCs w:val="20"/>
                <w:color w:val="auto"/>
              </w:rPr>
            </w:pPr>
            <w:r>
              <w:rPr>
                <w:rFonts w:ascii="Arial" w:cs="Arial" w:eastAsia="Arial" w:hAnsi="Arial"/>
                <w:sz w:val="18"/>
                <w:szCs w:val="18"/>
                <w:color w:val="auto"/>
              </w:rPr>
              <w:t>Number of Shares as to which such person has:</w:t>
            </w: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(i)</w:t>
            </w:r>
          </w:p>
        </w:tc>
        <w:tc>
          <w:tcPr>
            <w:tcW w:w="7840" w:type="dxa"/>
            <w:vAlign w:val="bottom"/>
          </w:tcPr>
          <w:p>
            <w:pPr>
              <w:ind w:left="220"/>
              <w:spacing w:after="0"/>
              <w:rPr>
                <w:sz w:val="20"/>
                <w:szCs w:val="20"/>
                <w:color w:val="auto"/>
              </w:rPr>
            </w:pPr>
            <w:r>
              <w:rPr>
                <w:rFonts w:ascii="Arial" w:cs="Arial" w:eastAsia="Arial" w:hAnsi="Arial"/>
                <w:sz w:val="18"/>
                <w:szCs w:val="18"/>
                <w:color w:val="auto"/>
              </w:rPr>
              <w:t>sole power to vote or to direct the vote: 0</w:t>
            </w: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(ii)</w:t>
            </w:r>
          </w:p>
        </w:tc>
        <w:tc>
          <w:tcPr>
            <w:tcW w:w="7840" w:type="dxa"/>
            <w:vAlign w:val="bottom"/>
          </w:tcPr>
          <w:p>
            <w:pPr>
              <w:ind w:left="220"/>
              <w:spacing w:after="0"/>
              <w:rPr>
                <w:sz w:val="20"/>
                <w:szCs w:val="20"/>
                <w:color w:val="auto"/>
              </w:rPr>
            </w:pPr>
            <w:r>
              <w:rPr>
                <w:rFonts w:ascii="Arial" w:cs="Arial" w:eastAsia="Arial" w:hAnsi="Arial"/>
                <w:sz w:val="18"/>
                <w:szCs w:val="18"/>
                <w:color w:val="auto"/>
              </w:rPr>
              <w:t>shared power to vote or to direct the vote: 1,593,936</w:t>
            </w: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(iii)</w:t>
            </w:r>
          </w:p>
        </w:tc>
        <w:tc>
          <w:tcPr>
            <w:tcW w:w="7840" w:type="dxa"/>
            <w:vAlign w:val="bottom"/>
          </w:tcPr>
          <w:p>
            <w:pPr>
              <w:ind w:left="220"/>
              <w:spacing w:after="0"/>
              <w:rPr>
                <w:sz w:val="20"/>
                <w:szCs w:val="20"/>
                <w:color w:val="auto"/>
              </w:rPr>
            </w:pPr>
            <w:r>
              <w:rPr>
                <w:rFonts w:ascii="Arial" w:cs="Arial" w:eastAsia="Arial" w:hAnsi="Arial"/>
                <w:sz w:val="18"/>
                <w:szCs w:val="18"/>
                <w:color w:val="auto"/>
              </w:rPr>
              <w:t>sole power to dispose or to direct the disposition of: 0</w:t>
            </w:r>
          </w:p>
        </w:tc>
      </w:tr>
      <w:tr>
        <w:trPr>
          <w:trHeight w:val="432"/>
        </w:trPr>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0" w:type="dxa"/>
            <w:vAlign w:val="bottom"/>
          </w:tcPr>
          <w:p>
            <w:pPr>
              <w:ind w:left="220"/>
              <w:spacing w:after="0"/>
              <w:rPr>
                <w:sz w:val="20"/>
                <w:szCs w:val="20"/>
                <w:color w:val="auto"/>
              </w:rPr>
            </w:pPr>
            <w:r>
              <w:rPr>
                <w:rFonts w:ascii="Arial" w:cs="Arial" w:eastAsia="Arial" w:hAnsi="Arial"/>
                <w:sz w:val="18"/>
                <w:szCs w:val="18"/>
                <w:color w:val="auto"/>
              </w:rPr>
              <w:t>(iv)</w:t>
            </w:r>
          </w:p>
        </w:tc>
        <w:tc>
          <w:tcPr>
            <w:tcW w:w="7840" w:type="dxa"/>
            <w:vAlign w:val="bottom"/>
          </w:tcPr>
          <w:p>
            <w:pPr>
              <w:ind w:left="220"/>
              <w:spacing w:after="0"/>
              <w:rPr>
                <w:sz w:val="20"/>
                <w:szCs w:val="20"/>
                <w:color w:val="auto"/>
              </w:rPr>
            </w:pPr>
            <w:r>
              <w:rPr>
                <w:rFonts w:ascii="Arial" w:cs="Arial" w:eastAsia="Arial" w:hAnsi="Arial"/>
                <w:sz w:val="18"/>
                <w:szCs w:val="18"/>
                <w:color w:val="auto"/>
              </w:rPr>
              <w:t>shared power to dispose or to direct the disposition of: 1,593,936</w:t>
            </w: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00" w:type="dxa"/>
            <w:vAlign w:val="bottom"/>
            <w:gridSpan w:val="4"/>
          </w:tcPr>
          <w:p>
            <w:pPr>
              <w:ind w:left="32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78"/>
        </w:trPr>
        <w:tc>
          <w:tcPr>
            <w:tcW w:w="940" w:type="dxa"/>
            <w:vAlign w:val="bottom"/>
          </w:tcPr>
          <w:p>
            <w:pPr>
              <w:spacing w:after="0"/>
              <w:rPr>
                <w:sz w:val="24"/>
                <w:szCs w:val="24"/>
                <w:color w:val="auto"/>
              </w:rPr>
            </w:pPr>
          </w:p>
        </w:tc>
        <w:tc>
          <w:tcPr>
            <w:tcW w:w="10300" w:type="dxa"/>
            <w:vAlign w:val="bottom"/>
            <w:gridSpan w:val="4"/>
          </w:tcPr>
          <w:p>
            <w:pPr>
              <w:ind w:left="320"/>
              <w:spacing w:after="0"/>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303"/>
        </w:trPr>
        <w:tc>
          <w:tcPr>
            <w:tcW w:w="940" w:type="dxa"/>
            <w:vAlign w:val="bottom"/>
          </w:tcPr>
          <w:p>
            <w:pPr>
              <w:spacing w:after="0"/>
              <w:rPr>
                <w:sz w:val="24"/>
                <w:szCs w:val="24"/>
                <w:color w:val="auto"/>
              </w:rPr>
            </w:pPr>
          </w:p>
        </w:tc>
        <w:tc>
          <w:tcPr>
            <w:tcW w:w="10300" w:type="dxa"/>
            <w:vAlign w:val="bottom"/>
            <w:gridSpan w:val="4"/>
          </w:tcPr>
          <w:p>
            <w:pPr>
              <w:ind w:left="320"/>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p>
        </w:tc>
      </w:tr>
      <w:tr>
        <w:trPr>
          <w:trHeight w:val="615"/>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00" w:type="dxa"/>
            <w:vAlign w:val="bottom"/>
            <w:gridSpan w:val="4"/>
          </w:tcPr>
          <w:p>
            <w:pPr>
              <w:ind w:left="3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94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14"/>
        </w:trPr>
        <w:tc>
          <w:tcPr>
            <w:tcW w:w="9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00" w:type="dxa"/>
            <w:vAlign w:val="bottom"/>
            <w:gridSpan w:val="4"/>
          </w:tcPr>
          <w:p>
            <w:pPr>
              <w:ind w:left="32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34"/>
        </w:trPr>
        <w:tc>
          <w:tcPr>
            <w:tcW w:w="940" w:type="dxa"/>
            <w:vAlign w:val="bottom"/>
          </w:tcPr>
          <w:p>
            <w:pPr>
              <w:spacing w:after="0"/>
              <w:rPr>
                <w:sz w:val="20"/>
                <w:szCs w:val="20"/>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b w:val="1"/>
                <w:bCs w:val="1"/>
                <w:color w:val="auto"/>
              </w:rPr>
              <w:t>Company:</w:t>
            </w:r>
          </w:p>
        </w:tc>
        <w:tc>
          <w:tcPr>
            <w:tcW w:w="80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00" w:type="dxa"/>
            <w:vAlign w:val="bottom"/>
            <w:gridSpan w:val="4"/>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94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00" w:type="dxa"/>
            <w:vAlign w:val="bottom"/>
            <w:gridSpan w:val="4"/>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940" w:type="dxa"/>
            <w:vAlign w:val="bottom"/>
          </w:tcPr>
          <w:p>
            <w:pPr>
              <w:spacing w:after="0"/>
              <w:rPr>
                <w:sz w:val="24"/>
                <w:szCs w:val="24"/>
                <w:color w:val="auto"/>
              </w:rPr>
            </w:pPr>
          </w:p>
        </w:tc>
        <w:tc>
          <w:tcPr>
            <w:tcW w:w="1660" w:type="dxa"/>
            <w:vAlign w:val="bottom"/>
            <w:gridSpan w:val="2"/>
          </w:tcPr>
          <w:p>
            <w:pPr>
              <w:ind w:left="320"/>
              <w:spacing w:after="0"/>
              <w:rPr>
                <w:sz w:val="20"/>
                <w:szCs w:val="20"/>
                <w:color w:val="auto"/>
              </w:rPr>
            </w:pPr>
            <w:r>
              <w:rPr>
                <w:rFonts w:ascii="Arial" w:cs="Arial" w:eastAsia="Arial" w:hAnsi="Arial"/>
                <w:sz w:val="18"/>
                <w:szCs w:val="18"/>
                <w:color w:val="auto"/>
              </w:rPr>
              <w:t>Not Applicable</w:t>
            </w: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660" w:type="dxa"/>
            <w:vAlign w:val="bottom"/>
            <w:gridSpan w:val="2"/>
          </w:tcPr>
          <w:p>
            <w:pPr>
              <w:ind w:left="320"/>
              <w:spacing w:after="0"/>
              <w:rPr>
                <w:sz w:val="20"/>
                <w:szCs w:val="20"/>
                <w:color w:val="auto"/>
              </w:rPr>
            </w:pPr>
            <w:r>
              <w:rPr>
                <w:rFonts w:ascii="Arial" w:cs="Arial" w:eastAsia="Arial" w:hAnsi="Arial"/>
                <w:sz w:val="18"/>
                <w:szCs w:val="18"/>
                <w:b w:val="1"/>
                <w:bCs w:val="1"/>
                <w:color w:val="auto"/>
              </w:rPr>
              <w:t>Certifications:</w:t>
            </w:r>
          </w:p>
        </w:tc>
        <w:tc>
          <w:tcPr>
            <w:tcW w:w="800" w:type="dxa"/>
            <w:vAlign w:val="bottom"/>
          </w:tcPr>
          <w:p>
            <w:pPr>
              <w:spacing w:after="0"/>
              <w:rPr>
                <w:sz w:val="24"/>
                <w:szCs w:val="24"/>
                <w:color w:val="auto"/>
              </w:rPr>
            </w:pPr>
          </w:p>
        </w:tc>
        <w:tc>
          <w:tcPr>
            <w:tcW w:w="784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300" w:type="dxa"/>
            <w:vAlign w:val="bottom"/>
            <w:gridSpan w:val="4"/>
          </w:tcPr>
          <w:p>
            <w:pPr>
              <w:ind w:left="32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w:t>
            </w:r>
          </w:p>
        </w:tc>
      </w:tr>
      <w:tr>
        <w:trPr>
          <w:trHeight w:val="216"/>
        </w:trPr>
        <w:tc>
          <w:tcPr>
            <w:tcW w:w="940" w:type="dxa"/>
            <w:vAlign w:val="bottom"/>
          </w:tcPr>
          <w:p>
            <w:pPr>
              <w:spacing w:after="0"/>
              <w:rPr>
                <w:sz w:val="18"/>
                <w:szCs w:val="18"/>
                <w:color w:val="auto"/>
              </w:rPr>
            </w:pPr>
          </w:p>
        </w:tc>
        <w:tc>
          <w:tcPr>
            <w:tcW w:w="10300" w:type="dxa"/>
            <w:vAlign w:val="bottom"/>
            <w:gridSpan w:val="4"/>
          </w:tcPr>
          <w:p>
            <w:pPr>
              <w:ind w:left="320"/>
              <w:spacing w:after="0"/>
              <w:rPr>
                <w:sz w:val="20"/>
                <w:szCs w:val="20"/>
                <w:color w:val="auto"/>
              </w:rPr>
            </w:pPr>
            <w:r>
              <w:rPr>
                <w:rFonts w:ascii="Arial" w:cs="Arial" w:eastAsia="Arial" w:hAnsi="Arial"/>
                <w:sz w:val="18"/>
                <w:szCs w:val="18"/>
                <w:color w:val="auto"/>
                <w:w w:val="91"/>
              </w:rPr>
              <w:t>for the purpose of or with the effect of changing or influencing the control of the issuer of the securities and were not acquired and are not</w:t>
            </w:r>
          </w:p>
        </w:tc>
      </w:tr>
      <w:tr>
        <w:trPr>
          <w:trHeight w:val="230"/>
        </w:trPr>
        <w:tc>
          <w:tcPr>
            <w:tcW w:w="940" w:type="dxa"/>
            <w:vAlign w:val="bottom"/>
          </w:tcPr>
          <w:p>
            <w:pPr>
              <w:spacing w:after="0"/>
              <w:rPr>
                <w:sz w:val="20"/>
                <w:szCs w:val="20"/>
                <w:color w:val="auto"/>
              </w:rPr>
            </w:pPr>
          </w:p>
        </w:tc>
        <w:tc>
          <w:tcPr>
            <w:tcW w:w="10300" w:type="dxa"/>
            <w:vAlign w:val="bottom"/>
            <w:gridSpan w:val="4"/>
          </w:tcPr>
          <w:p>
            <w:pPr>
              <w:ind w:left="320"/>
              <w:spacing w:after="0"/>
              <w:rPr>
                <w:sz w:val="20"/>
                <w:szCs w:val="20"/>
                <w:color w:val="auto"/>
              </w:rPr>
            </w:pPr>
            <w:r>
              <w:rPr>
                <w:rFonts w:ascii="Arial" w:cs="Arial" w:eastAsia="Arial" w:hAnsi="Arial"/>
                <w:sz w:val="18"/>
                <w:szCs w:val="18"/>
                <w:color w:val="auto"/>
              </w:rPr>
              <w:t>held in connection with or as a participant in any transaction having that purpose or effect.</w:t>
            </w:r>
          </w:p>
        </w:tc>
      </w:tr>
      <w:tr>
        <w:trPr>
          <w:trHeight w:val="675"/>
        </w:trPr>
        <w:tc>
          <w:tcPr>
            <w:tcW w:w="9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58" w:right="339" w:bottom="1440" w:gutter="0" w:footer="0" w:header="0"/>
          <w:type w:val="continuous"/>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520" w:type="dxa"/>
            <w:vAlign w:val="bottom"/>
            <w:tcBorders>
              <w:top w:val="single" w:sz="8" w:color="auto"/>
              <w:left w:val="single" w:sz="8" w:color="auto"/>
              <w:right w:val="single" w:sz="8" w:color="auto"/>
            </w:tcBorders>
          </w:tcPr>
          <w:p>
            <w:pPr>
              <w:ind w:left="880"/>
              <w:spacing w:after="0"/>
              <w:rPr>
                <w:sz w:val="20"/>
                <w:szCs w:val="20"/>
                <w:color w:val="auto"/>
              </w:rPr>
            </w:pPr>
            <w:r>
              <w:rPr>
                <w:rFonts w:ascii="Arial" w:cs="Arial" w:eastAsia="Arial" w:hAnsi="Arial"/>
                <w:sz w:val="18"/>
                <w:szCs w:val="18"/>
                <w:color w:val="auto"/>
              </w:rPr>
              <w:t>CUSIP NO. 92840H400</w:t>
            </w:r>
          </w:p>
        </w:tc>
        <w:tc>
          <w:tcPr>
            <w:tcW w:w="4260" w:type="dxa"/>
            <w:vAlign w:val="bottom"/>
            <w:tcBorders>
              <w:right w:val="single" w:sz="8" w:color="auto"/>
            </w:tcBorders>
          </w:tcPr>
          <w:p>
            <w:pPr>
              <w:ind w:left="1960"/>
              <w:spacing w:after="0"/>
              <w:rPr>
                <w:sz w:val="20"/>
                <w:szCs w:val="20"/>
                <w:color w:val="auto"/>
              </w:rPr>
            </w:pPr>
            <w:r>
              <w:rPr>
                <w:rFonts w:ascii="Arial" w:cs="Arial" w:eastAsia="Arial" w:hAnsi="Arial"/>
                <w:sz w:val="18"/>
                <w:szCs w:val="18"/>
                <w:b w:val="1"/>
                <w:bCs w:val="1"/>
                <w:color w:val="auto"/>
              </w:rPr>
              <w:t>13G</w:t>
            </w:r>
          </w:p>
        </w:tc>
        <w:tc>
          <w:tcPr>
            <w:tcW w:w="346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Page 13 of 13 Pages</w:t>
            </w:r>
          </w:p>
        </w:tc>
      </w:tr>
      <w:tr>
        <w:trPr>
          <w:trHeight w:val="54"/>
        </w:trPr>
        <w:tc>
          <w:tcPr>
            <w:tcW w:w="3520" w:type="dxa"/>
            <w:vAlign w:val="bottom"/>
            <w:tcBorders>
              <w:left w:val="single" w:sz="8" w:color="auto"/>
              <w:bottom w:val="single" w:sz="8" w:color="auto"/>
              <w:right w:val="single" w:sz="8" w:color="auto"/>
            </w:tcBorders>
          </w:tcPr>
          <w:p>
            <w:pPr>
              <w:spacing w:after="0"/>
              <w:rPr>
                <w:sz w:val="4"/>
                <w:szCs w:val="4"/>
                <w:color w:val="auto"/>
              </w:rPr>
            </w:pPr>
          </w:p>
        </w:tc>
        <w:tc>
          <w:tcPr>
            <w:tcW w:w="4260" w:type="dxa"/>
            <w:vAlign w:val="bottom"/>
            <w:tcBorders>
              <w:right w:val="single" w:sz="8" w:color="auto"/>
            </w:tcBorders>
          </w:tcPr>
          <w:p>
            <w:pPr>
              <w:spacing w:after="0"/>
              <w:rPr>
                <w:sz w:val="4"/>
                <w:szCs w:val="4"/>
                <w:color w:val="auto"/>
              </w:rPr>
            </w:pPr>
          </w:p>
        </w:tc>
        <w:tc>
          <w:tcPr>
            <w:tcW w:w="346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Seth Levy, Authorized Signatory</w:t>
            </w: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Seth Levy, Authorized Signatory</w:t>
            </w:r>
          </w:p>
        </w:tc>
      </w:tr>
      <w:tr>
        <w:trPr>
          <w:trHeight w:val="458"/>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5600" w:type="dxa"/>
            <w:vAlign w:val="bottom"/>
            <w:gridSpan w:val="2"/>
          </w:tcPr>
          <w:p>
            <w:pPr>
              <w:ind w:left="116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Miller</w:t>
            </w:r>
          </w:p>
        </w:tc>
        <w:tc>
          <w:tcPr>
            <w:tcW w:w="1720" w:type="dxa"/>
            <w:vAlign w:val="bottom"/>
          </w:tcPr>
          <w:p>
            <w:pPr>
              <w:ind w:left="116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Guy Miller, Authorized Signatory</w:t>
            </w:r>
          </w:p>
        </w:tc>
        <w:tc>
          <w:tcPr>
            <w:tcW w:w="17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Seth Levy, Authorized Signatory</w:t>
            </w:r>
          </w:p>
        </w:tc>
      </w:tr>
    </w:tbl>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566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14605</wp:posOffset>
            </wp:positionV>
            <wp:extent cx="24688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0"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Seth Levy, attorney-in-fact</w:t>
      </w:r>
      <w:r>
        <w:rPr>
          <w:rFonts w:ascii="Arial" w:cs="Arial" w:eastAsia="Arial" w:hAnsi="Arial"/>
          <w:sz w:val="29"/>
          <w:szCs w:val="29"/>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1" w:lineRule="exact"/>
        <w:rPr>
          <w:sz w:val="20"/>
          <w:szCs w:val="20"/>
          <w:color w:val="auto"/>
        </w:rPr>
      </w:pPr>
    </w:p>
    <w:p>
      <w:pPr>
        <w:ind w:left="260" w:right="120" w:hanging="252"/>
        <w:spacing w:after="0" w:line="209" w:lineRule="auto"/>
        <w:tabs>
          <w:tab w:leader="none" w:pos="260" w:val="left"/>
        </w:tabs>
        <w:numPr>
          <w:ilvl w:val="0"/>
          <w:numId w:val="48"/>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575310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JOINT FILING AGREEMENT</w:t>
      </w:r>
    </w:p>
    <w:p>
      <w:pPr>
        <w:spacing w:after="0" w:line="229"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undersigned hereby agree that the Statement on Schedule 13G filed herewith (and any amendments thereto), relating to the Shares of Vistagen Therapeutics, Inc., a Nevada corporation, is being filed jointly with the Securities and Exchange Commission pursuant to Rule 13d-1(c) under the Securities Exchange Act of 1934, as amended, on behalf of each of the undersigned.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Agreement may be executed in counterparts and each of such counterparts taken together shall constitute one and the same instrument.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16, 2023.</w:t>
      </w:r>
    </w:p>
    <w:p>
      <w:pPr>
        <w:spacing w:after="0" w:line="200" w:lineRule="exact"/>
        <w:rPr>
          <w:sz w:val="20"/>
          <w:szCs w:val="20"/>
          <w:color w:val="auto"/>
        </w:rPr>
      </w:pPr>
    </w:p>
    <w:p>
      <w:pPr>
        <w:spacing w:after="0" w:line="25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LLC</w:t>
            </w:r>
          </w:p>
        </w:tc>
        <w:tc>
          <w:tcPr>
            <w:tcW w:w="6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CITADEL ADVISORS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Guy Miller</w:t>
            </w:r>
          </w:p>
        </w:tc>
        <w:tc>
          <w:tcPr>
            <w:tcW w:w="1540" w:type="dxa"/>
            <w:vAlign w:val="bottom"/>
          </w:tcPr>
          <w:p>
            <w:pPr>
              <w:ind w:left="112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Seth Levy, Authorized Signatory</w:t>
            </w:r>
          </w:p>
        </w:tc>
      </w:tr>
      <w:tr>
        <w:trPr>
          <w:trHeight w:val="458"/>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GROUP LP</w:t>
            </w:r>
          </w:p>
        </w:tc>
        <w:tc>
          <w:tcPr>
            <w:tcW w:w="6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CITADEL ADVISORS HOLDINGS LP</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Guy Miller</w:t>
            </w:r>
          </w:p>
        </w:tc>
        <w:tc>
          <w:tcPr>
            <w:tcW w:w="1540" w:type="dxa"/>
            <w:vAlign w:val="bottom"/>
          </w:tcPr>
          <w:p>
            <w:pPr>
              <w:ind w:left="112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Seth Levy, Authorized Signatory</w:t>
            </w:r>
          </w:p>
        </w:tc>
      </w:tr>
      <w:tr>
        <w:trPr>
          <w:trHeight w:val="458"/>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CITADEL SECURITIES GP LLC</w:t>
            </w:r>
          </w:p>
        </w:tc>
        <w:tc>
          <w:tcPr>
            <w:tcW w:w="6140" w:type="dxa"/>
            <w:vAlign w:val="bottom"/>
            <w:gridSpan w:val="3"/>
          </w:tcPr>
          <w:p>
            <w:pPr>
              <w:ind w:left="1120"/>
              <w:spacing w:after="0"/>
              <w:rPr>
                <w:sz w:val="20"/>
                <w:szCs w:val="20"/>
                <w:color w:val="auto"/>
              </w:rPr>
            </w:pPr>
            <w:r>
              <w:rPr>
                <w:rFonts w:ascii="Arial" w:cs="Arial" w:eastAsia="Arial" w:hAnsi="Arial"/>
                <w:sz w:val="18"/>
                <w:szCs w:val="18"/>
                <w:b w:val="1"/>
                <w:bCs w:val="1"/>
                <w:color w:val="auto"/>
              </w:rPr>
              <w:t>CITADEL GP LLC</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80" w:type="dxa"/>
            <w:vAlign w:val="bottom"/>
          </w:tcPr>
          <w:p>
            <w:pPr>
              <w:spacing w:after="0"/>
              <w:rPr>
                <w:sz w:val="20"/>
                <w:szCs w:val="20"/>
                <w:color w:val="auto"/>
              </w:rPr>
            </w:pPr>
            <w:r>
              <w:rPr>
                <w:rFonts w:ascii="Arial" w:cs="Arial" w:eastAsia="Arial" w:hAnsi="Arial"/>
                <w:sz w:val="18"/>
                <w:szCs w:val="18"/>
                <w:color w:val="auto"/>
              </w:rPr>
              <w:t>/s/ Guy Miller</w:t>
            </w:r>
          </w:p>
        </w:tc>
        <w:tc>
          <w:tcPr>
            <w:tcW w:w="1540" w:type="dxa"/>
            <w:vAlign w:val="bottom"/>
          </w:tcPr>
          <w:p>
            <w:pPr>
              <w:ind w:left="1120"/>
              <w:spacing w:after="0"/>
              <w:rPr>
                <w:sz w:val="20"/>
                <w:szCs w:val="20"/>
                <w:color w:val="auto"/>
              </w:rPr>
            </w:pPr>
            <w:r>
              <w:rPr>
                <w:rFonts w:ascii="Arial" w:cs="Arial" w:eastAsia="Arial" w:hAnsi="Arial"/>
                <w:sz w:val="18"/>
                <w:szCs w:val="18"/>
                <w:color w:val="auto"/>
              </w:rPr>
              <w:t>By:</w:t>
            </w: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/s/ Seth Levy</w:t>
            </w:r>
          </w:p>
        </w:tc>
      </w:tr>
      <w:tr>
        <w:trPr>
          <w:trHeight w:val="224"/>
        </w:trPr>
        <w:tc>
          <w:tcPr>
            <w:tcW w:w="580" w:type="dxa"/>
            <w:vAlign w:val="bottom"/>
          </w:tcPr>
          <w:p>
            <w:pPr>
              <w:spacing w:after="0"/>
              <w:rPr>
                <w:sz w:val="19"/>
                <w:szCs w:val="19"/>
                <w:color w:val="auto"/>
              </w:rPr>
            </w:pPr>
          </w:p>
        </w:tc>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Guy Miller, Authorized Signatory</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Seth Levy, Authorized Signatory</w:t>
            </w:r>
          </w:p>
        </w:tc>
      </w:tr>
    </w:tbl>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KENNETH GRIFFIN</w:t>
      </w:r>
    </w:p>
    <w:p>
      <w:pPr>
        <w:spacing w:after="0" w:line="256" w:lineRule="exact"/>
        <w:rPr>
          <w:sz w:val="20"/>
          <w:szCs w:val="20"/>
          <w:color w:val="auto"/>
        </w:rPr>
      </w:pPr>
    </w:p>
    <w:p>
      <w:pPr>
        <w:ind w:left="620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Seth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14605</wp:posOffset>
            </wp:positionV>
            <wp:extent cx="28289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2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Seth Levy, attorney-in-fact</w:t>
      </w:r>
      <w:r>
        <w:rPr>
          <w:rFonts w:ascii="Arial" w:cs="Arial" w:eastAsia="Arial" w:hAnsi="Arial"/>
          <w:sz w:val="29"/>
          <w:szCs w:val="29"/>
          <w:u w:val="single" w:color="auto"/>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1783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64" w:lineRule="exact"/>
        <w:rPr>
          <w:sz w:val="20"/>
          <w:szCs w:val="20"/>
          <w:color w:val="auto"/>
        </w:rPr>
      </w:pPr>
    </w:p>
    <w:p>
      <w:pPr>
        <w:ind w:left="260" w:right="120" w:hanging="252"/>
        <w:spacing w:after="0" w:line="209" w:lineRule="auto"/>
        <w:tabs>
          <w:tab w:leader="none" w:pos="260" w:val="left"/>
        </w:tabs>
        <w:numPr>
          <w:ilvl w:val="0"/>
          <w:numId w:val="49"/>
        </w:numPr>
        <w:rPr>
          <w:rFonts w:ascii="Arial" w:cs="Arial" w:eastAsia="Arial" w:hAnsi="Arial"/>
          <w:sz w:val="30"/>
          <w:szCs w:val="30"/>
          <w:u w:val="single" w:color="auto"/>
          <w:color w:val="auto"/>
          <w:vertAlign w:val="superscript"/>
        </w:rPr>
      </w:pPr>
      <w:r>
        <w:rPr>
          <w:rFonts w:ascii="Arial" w:cs="Arial" w:eastAsia="Arial" w:hAnsi="Arial"/>
          <w:sz w:val="18"/>
          <w:szCs w:val="18"/>
          <w:color w:val="auto"/>
        </w:rPr>
        <w:t>Seth Levy is signing on behalf of Kenneth Griffin as attorney-in-fact pursuant to a power of attorney previously filed with the Securities and Exchange Commission, and hereby incorporated by reference herein. The power of attorney was filed as an attachment to a filing by Citadel Advisors LLC on Schedule 13G for Allakos Inc. on October 13,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decimal"/>
      <w:start w:val="3"/>
    </w:lvl>
    <w:lvl w:ilvl="1">
      <w:lvlJc w:val="left"/>
      <w:lvlText w:val="%2."/>
      <w:numFmt w:val="decimal"/>
      <w:start w:val="5"/>
    </w:lvl>
  </w:abstractNum>
  <w:abstractNum w:abstractNumId="4">
    <w:nsid w:val="54E49EB4"/>
    <w:multiLevelType w:val="hybridMultilevel"/>
    <w:lvl w:ilvl="0">
      <w:lvlJc w:val="left"/>
      <w:lvlText w:val="%1"/>
      <w:numFmt w:val="decimal"/>
      <w:start w:val="1"/>
    </w:lvl>
    <w:lvl w:ilvl="1">
      <w:lvlJc w:val="left"/>
      <w:lvlText w:val="%2."/>
      <w:numFmt w:val="decimal"/>
      <w:start w:val="8"/>
    </w:lvl>
  </w:abstractNum>
  <w:abstractNum w:abstractNumId="5">
    <w:nsid w:val="71F32454"/>
    <w:multiLevelType w:val="hybridMultilevel"/>
    <w:lvl w:ilvl="0">
      <w:lvlJc w:val="left"/>
      <w:lvlText w:val="%1."/>
      <w:numFmt w:val="decimal"/>
      <w:start w:val="9"/>
    </w:lvl>
    <w:lvl w:ilvl="1">
      <w:lvlJc w:val="left"/>
      <w:lvlText w:val="%2"/>
      <w:numFmt w:val="decimal"/>
      <w:start w:val="1"/>
    </w:lvl>
  </w:abstractNum>
  <w:abstractNum w:abstractNumId="6">
    <w:nsid w:val="2CA88611"/>
    <w:multiLevelType w:val="hybridMultilevel"/>
    <w:lvl w:ilvl="0">
      <w:lvlJc w:val="left"/>
      <w:lvlText w:val="%1."/>
      <w:numFmt w:val="decimal"/>
      <w:start w:val="10"/>
    </w:lvl>
  </w:abstractNum>
  <w:abstractNum w:abstractNumId="7">
    <w:nsid w:val="836C40E"/>
    <w:multiLevelType w:val="hybridMultilevel"/>
    <w:lvl w:ilvl="0">
      <w:lvlJc w:val="left"/>
      <w:lvlText w:val="%1."/>
      <w:numFmt w:val="decimal"/>
      <w:start w:val="11"/>
    </w:lvl>
  </w:abstractNum>
  <w:abstractNum w:abstractNumId="8">
    <w:nsid w:val="2901D82"/>
    <w:multiLevelType w:val="hybridMultilevel"/>
    <w:lvl w:ilvl="0">
      <w:lvlJc w:val="left"/>
      <w:lvlText w:val="1"/>
      <w:numFmt w:val="bullet"/>
      <w:start w:val="1"/>
    </w:lvl>
  </w:abstractNum>
  <w:abstractNum w:abstractNumId="9">
    <w:nsid w:val="3A95F874"/>
    <w:multiLevelType w:val="hybridMultilevel"/>
    <w:lvl w:ilvl="0">
      <w:lvlJc w:val="left"/>
      <w:lvlText w:val="%1."/>
      <w:numFmt w:val="decimal"/>
      <w:start w:val="1"/>
    </w:lvl>
  </w:abstractNum>
  <w:abstractNum w:abstractNumId="10">
    <w:nsid w:val="8138641"/>
    <w:multiLevelType w:val="hybridMultilevel"/>
    <w:lvl w:ilvl="0">
      <w:lvlJc w:val="left"/>
      <w:lvlText w:val="%1."/>
      <w:numFmt w:val="decimal"/>
      <w:start w:val="3"/>
    </w:lvl>
    <w:lvl w:ilvl="1">
      <w:lvlJc w:val="left"/>
      <w:lvlText w:val="%2."/>
      <w:numFmt w:val="decimal"/>
      <w:start w:val="5"/>
    </w:lvl>
  </w:abstractNum>
  <w:abstractNum w:abstractNumId="11">
    <w:nsid w:val="1E7FF521"/>
    <w:multiLevelType w:val="hybridMultilevel"/>
    <w:lvl w:ilvl="0">
      <w:lvlJc w:val="left"/>
      <w:lvlText w:val="%1"/>
      <w:numFmt w:val="decimal"/>
      <w:start w:val="1"/>
    </w:lvl>
    <w:lvl w:ilvl="1">
      <w:lvlJc w:val="left"/>
      <w:lvlText w:val="%2."/>
      <w:numFmt w:val="decimal"/>
      <w:start w:val="8"/>
    </w:lvl>
  </w:abstractNum>
  <w:abstractNum w:abstractNumId="12">
    <w:nsid w:val="7C3DBD3D"/>
    <w:multiLevelType w:val="hybridMultilevel"/>
    <w:lvl w:ilvl="0">
      <w:lvlJc w:val="left"/>
      <w:lvlText w:val="%1."/>
      <w:numFmt w:val="decimal"/>
      <w:start w:val="9"/>
    </w:lvl>
    <w:lvl w:ilvl="1">
      <w:lvlJc w:val="left"/>
      <w:lvlText w:val="%2"/>
      <w:numFmt w:val="decimal"/>
      <w:start w:val="1"/>
    </w:lvl>
  </w:abstractNum>
  <w:abstractNum w:abstractNumId="13">
    <w:nsid w:val="737B8DDC"/>
    <w:multiLevelType w:val="hybridMultilevel"/>
    <w:lvl w:ilvl="0">
      <w:lvlJc w:val="left"/>
      <w:lvlText w:val="%1."/>
      <w:numFmt w:val="decimal"/>
      <w:start w:val="10"/>
    </w:lvl>
  </w:abstractNum>
  <w:abstractNum w:abstractNumId="14">
    <w:nsid w:val="6CEAF087"/>
    <w:multiLevelType w:val="hybridMultilevel"/>
    <w:lvl w:ilvl="0">
      <w:lvlJc w:val="left"/>
      <w:lvlText w:val="%1."/>
      <w:numFmt w:val="decimal"/>
      <w:start w:val="11"/>
    </w:lvl>
  </w:abstractNum>
  <w:abstractNum w:abstractNumId="15">
    <w:nsid w:val="22221A70"/>
    <w:multiLevelType w:val="hybridMultilevel"/>
    <w:lvl w:ilvl="0">
      <w:lvlJc w:val="left"/>
      <w:lvlText w:val="%1."/>
      <w:numFmt w:val="decimal"/>
      <w:start w:val="1"/>
    </w:lvl>
  </w:abstractNum>
  <w:abstractNum w:abstractNumId="16">
    <w:nsid w:val="4516DDE9"/>
    <w:multiLevelType w:val="hybridMultilevel"/>
    <w:lvl w:ilvl="0">
      <w:lvlJc w:val="left"/>
      <w:lvlText w:val="%1."/>
      <w:numFmt w:val="decimal"/>
      <w:start w:val="3"/>
    </w:lvl>
    <w:lvl w:ilvl="1">
      <w:lvlJc w:val="left"/>
      <w:lvlText w:val="%2."/>
      <w:numFmt w:val="decimal"/>
      <w:start w:val="5"/>
    </w:lvl>
  </w:abstractNum>
  <w:abstractNum w:abstractNumId="17">
    <w:nsid w:val="3006C83E"/>
    <w:multiLevelType w:val="hybridMultilevel"/>
    <w:lvl w:ilvl="0">
      <w:lvlJc w:val="left"/>
      <w:lvlText w:val="%1"/>
      <w:numFmt w:val="decimal"/>
      <w:start w:val="1"/>
    </w:lvl>
    <w:lvl w:ilvl="1">
      <w:lvlJc w:val="left"/>
      <w:lvlText w:val="%2."/>
      <w:numFmt w:val="decimal"/>
      <w:start w:val="8"/>
    </w:lvl>
  </w:abstractNum>
  <w:abstractNum w:abstractNumId="18">
    <w:nsid w:val="614FD4A1"/>
    <w:multiLevelType w:val="hybridMultilevel"/>
    <w:lvl w:ilvl="0">
      <w:lvlJc w:val="left"/>
      <w:lvlText w:val="%1."/>
      <w:numFmt w:val="decimal"/>
      <w:start w:val="9"/>
    </w:lvl>
    <w:lvl w:ilvl="1">
      <w:lvlJc w:val="left"/>
      <w:lvlText w:val="%2"/>
      <w:numFmt w:val="decimal"/>
      <w:start w:val="1"/>
    </w:lvl>
  </w:abstractNum>
  <w:abstractNum w:abstractNumId="19">
    <w:nsid w:val="419AC241"/>
    <w:multiLevelType w:val="hybridMultilevel"/>
    <w:lvl w:ilvl="0">
      <w:lvlJc w:val="left"/>
      <w:lvlText w:val="%1."/>
      <w:numFmt w:val="decimal"/>
      <w:start w:val="10"/>
    </w:lvl>
  </w:abstractNum>
  <w:abstractNum w:abstractNumId="20">
    <w:nsid w:val="5577F8E1"/>
    <w:multiLevelType w:val="hybridMultilevel"/>
    <w:lvl w:ilvl="0">
      <w:lvlJc w:val="left"/>
      <w:lvlText w:val="%1."/>
      <w:numFmt w:val="decimal"/>
      <w:start w:val="11"/>
    </w:lvl>
  </w:abstractNum>
  <w:abstractNum w:abstractNumId="21">
    <w:nsid w:val="440BADFC"/>
    <w:multiLevelType w:val="hybridMultilevel"/>
    <w:lvl w:ilvl="0">
      <w:lvlJc w:val="left"/>
      <w:lvlText w:val="%1."/>
      <w:numFmt w:val="decimal"/>
      <w:start w:val="1"/>
    </w:lvl>
  </w:abstractNum>
  <w:abstractNum w:abstractNumId="22">
    <w:nsid w:val="5072367"/>
    <w:multiLevelType w:val="hybridMultilevel"/>
    <w:lvl w:ilvl="0">
      <w:lvlJc w:val="left"/>
      <w:lvlText w:val="%1."/>
      <w:numFmt w:val="decimal"/>
      <w:start w:val="3"/>
    </w:lvl>
    <w:lvl w:ilvl="1">
      <w:lvlJc w:val="left"/>
      <w:lvlText w:val="%2."/>
      <w:numFmt w:val="decimal"/>
      <w:start w:val="5"/>
    </w:lvl>
  </w:abstractNum>
  <w:abstractNum w:abstractNumId="23">
    <w:nsid w:val="3804823E"/>
    <w:multiLevelType w:val="hybridMultilevel"/>
    <w:lvl w:ilvl="0">
      <w:lvlJc w:val="left"/>
      <w:lvlText w:val="%1"/>
      <w:numFmt w:val="decimal"/>
      <w:start w:val="1"/>
    </w:lvl>
    <w:lvl w:ilvl="1">
      <w:lvlJc w:val="left"/>
      <w:lvlText w:val="%2."/>
      <w:numFmt w:val="decimal"/>
      <w:start w:val="8"/>
    </w:lvl>
  </w:abstractNum>
  <w:abstractNum w:abstractNumId="24">
    <w:nsid w:val="77465F01"/>
    <w:multiLevelType w:val="hybridMultilevel"/>
    <w:lvl w:ilvl="0">
      <w:lvlJc w:val="left"/>
      <w:lvlText w:val="%1."/>
      <w:numFmt w:val="decimal"/>
      <w:start w:val="9"/>
    </w:lvl>
    <w:lvl w:ilvl="1">
      <w:lvlJc w:val="left"/>
      <w:lvlText w:val="%2"/>
      <w:numFmt w:val="decimal"/>
      <w:start w:val="1"/>
    </w:lvl>
  </w:abstractNum>
  <w:abstractNum w:abstractNumId="25">
    <w:nsid w:val="7724C67E"/>
    <w:multiLevelType w:val="hybridMultilevel"/>
    <w:lvl w:ilvl="0">
      <w:lvlJc w:val="left"/>
      <w:lvlText w:val="%1."/>
      <w:numFmt w:val="decimal"/>
      <w:start w:val="10"/>
    </w:lvl>
  </w:abstractNum>
  <w:abstractNum w:abstractNumId="26">
    <w:nsid w:val="5C482A97"/>
    <w:multiLevelType w:val="hybridMultilevel"/>
    <w:lvl w:ilvl="0">
      <w:lvlJc w:val="left"/>
      <w:lvlText w:val="%1."/>
      <w:numFmt w:val="decimal"/>
      <w:start w:val="11"/>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decimal"/>
      <w:start w:val="3"/>
    </w:lvl>
    <w:lvl w:ilvl="1">
      <w:lvlJc w:val="left"/>
      <w:lvlText w:val="%2."/>
      <w:numFmt w:val="decimal"/>
      <w:start w:val="5"/>
    </w:lvl>
  </w:abstractNum>
  <w:abstractNum w:abstractNumId="29">
    <w:nsid w:val="51EAD36B"/>
    <w:multiLevelType w:val="hybridMultilevel"/>
    <w:lvl w:ilvl="0">
      <w:lvlJc w:val="left"/>
      <w:lvlText w:val="%1"/>
      <w:numFmt w:val="decimal"/>
      <w:start w:val="1"/>
    </w:lvl>
    <w:lvl w:ilvl="1">
      <w:lvlJc w:val="left"/>
      <w:lvlText w:val="%2."/>
      <w:numFmt w:val="decimal"/>
      <w:start w:val="8"/>
    </w:lvl>
  </w:abstractNum>
  <w:abstractNum w:abstractNumId="30">
    <w:nsid w:val="2D517796"/>
    <w:multiLevelType w:val="hybridMultilevel"/>
    <w:lvl w:ilvl="0">
      <w:lvlJc w:val="left"/>
      <w:lvlText w:val="%1."/>
      <w:numFmt w:val="decimal"/>
      <w:start w:val="9"/>
    </w:lvl>
    <w:lvl w:ilvl="1">
      <w:lvlJc w:val="left"/>
      <w:lvlText w:val="%2"/>
      <w:numFmt w:val="decimal"/>
      <w:start w:val="1"/>
    </w:lvl>
  </w:abstractNum>
  <w:abstractNum w:abstractNumId="31">
    <w:nsid w:val="580BD78F"/>
    <w:multiLevelType w:val="hybridMultilevel"/>
    <w:lvl w:ilvl="0">
      <w:lvlJc w:val="left"/>
      <w:lvlText w:val="%1."/>
      <w:numFmt w:val="decimal"/>
      <w:start w:val="10"/>
    </w:lvl>
  </w:abstractNum>
  <w:abstractNum w:abstractNumId="32">
    <w:nsid w:val="153EA438"/>
    <w:multiLevelType w:val="hybridMultilevel"/>
    <w:lvl w:ilvl="0">
      <w:lvlJc w:val="left"/>
      <w:lvlText w:val="%1."/>
      <w:numFmt w:val="decimal"/>
      <w:start w:val="11"/>
    </w:lvl>
  </w:abstractNum>
  <w:abstractNum w:abstractNumId="33">
    <w:nsid w:val="3855585C"/>
    <w:multiLevelType w:val="hybridMultilevel"/>
    <w:lvl w:ilvl="0">
      <w:lvlJc w:val="left"/>
      <w:lvlText w:val="%1."/>
      <w:numFmt w:val="decimal"/>
      <w:start w:val="1"/>
    </w:lvl>
  </w:abstractNum>
  <w:abstractNum w:abstractNumId="34">
    <w:nsid w:val="70A64E2A"/>
    <w:multiLevelType w:val="hybridMultilevel"/>
    <w:lvl w:ilvl="0">
      <w:lvlJc w:val="left"/>
      <w:lvlText w:val="%1."/>
      <w:numFmt w:val="decimal"/>
      <w:start w:val="3"/>
    </w:lvl>
    <w:lvl w:ilvl="1">
      <w:lvlJc w:val="left"/>
      <w:lvlText w:val="%2."/>
      <w:numFmt w:val="decimal"/>
      <w:start w:val="5"/>
    </w:lvl>
  </w:abstractNum>
  <w:abstractNum w:abstractNumId="35">
    <w:nsid w:val="6A2342EC"/>
    <w:multiLevelType w:val="hybridMultilevel"/>
    <w:lvl w:ilvl="0">
      <w:lvlJc w:val="left"/>
      <w:lvlText w:val="%1"/>
      <w:numFmt w:val="decimal"/>
      <w:start w:val="1"/>
    </w:lvl>
    <w:lvl w:ilvl="1">
      <w:lvlJc w:val="left"/>
      <w:lvlText w:val="%2."/>
      <w:numFmt w:val="decimal"/>
      <w:start w:val="8"/>
    </w:lvl>
  </w:abstractNum>
  <w:abstractNum w:abstractNumId="36">
    <w:nsid w:val="2A487CB0"/>
    <w:multiLevelType w:val="hybridMultilevel"/>
    <w:lvl w:ilvl="0">
      <w:lvlJc w:val="left"/>
      <w:lvlText w:val="%1."/>
      <w:numFmt w:val="decimal"/>
      <w:start w:val="9"/>
    </w:lvl>
    <w:lvl w:ilvl="1">
      <w:lvlJc w:val="left"/>
      <w:lvlText w:val="%2"/>
      <w:numFmt w:val="decimal"/>
      <w:start w:val="1"/>
    </w:lvl>
  </w:abstractNum>
  <w:abstractNum w:abstractNumId="37">
    <w:nsid w:val="1D4ED43B"/>
    <w:multiLevelType w:val="hybridMultilevel"/>
    <w:lvl w:ilvl="0">
      <w:lvlJc w:val="left"/>
      <w:lvlText w:val="%1."/>
      <w:numFmt w:val="decimal"/>
      <w:start w:val="10"/>
    </w:lvl>
  </w:abstractNum>
  <w:abstractNum w:abstractNumId="38">
    <w:nsid w:val="725A06FB"/>
    <w:multiLevelType w:val="hybridMultilevel"/>
    <w:lvl w:ilvl="0">
      <w:lvlJc w:val="left"/>
      <w:lvlText w:val="%1."/>
      <w:numFmt w:val="decimal"/>
      <w:start w:val="1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
    </w:lvl>
    <w:lvl w:ilvl="1">
      <w:lvlJc w:val="left"/>
      <w:lvlText w:val="%2."/>
      <w:numFmt w:val="decimal"/>
      <w:start w:val="5"/>
    </w:lvl>
  </w:abstractNum>
  <w:abstractNum w:abstractNumId="41">
    <w:nsid w:val="7A6D8D3C"/>
    <w:multiLevelType w:val="hybridMultilevel"/>
    <w:lvl w:ilvl="0">
      <w:lvlJc w:val="left"/>
      <w:lvlText w:val="%1"/>
      <w:numFmt w:val="decimal"/>
      <w:start w:val="1"/>
    </w:lvl>
    <w:lvl w:ilvl="1">
      <w:lvlJc w:val="left"/>
      <w:lvlText w:val="%2."/>
      <w:numFmt w:val="decimal"/>
      <w:start w:val="8"/>
    </w:lvl>
  </w:abstractNum>
  <w:abstractNum w:abstractNumId="42">
    <w:nsid w:val="4B588F54"/>
    <w:multiLevelType w:val="hybridMultilevel"/>
    <w:lvl w:ilvl="0">
      <w:lvlJc w:val="left"/>
      <w:lvlText w:val="%1."/>
      <w:numFmt w:val="decimal"/>
      <w:start w:val="9"/>
    </w:lvl>
    <w:lvl w:ilvl="1">
      <w:lvlJc w:val="left"/>
      <w:lvlText w:val="%2"/>
      <w:numFmt w:val="decimal"/>
      <w:start w:val="1"/>
    </w:lvl>
  </w:abstractNum>
  <w:abstractNum w:abstractNumId="43">
    <w:nsid w:val="542289EC"/>
    <w:multiLevelType w:val="hybridMultilevel"/>
    <w:lvl w:ilvl="0">
      <w:lvlJc w:val="left"/>
      <w:lvlText w:val="%1."/>
      <w:numFmt w:val="decimal"/>
      <w:start w:val="10"/>
    </w:lvl>
  </w:abstractNum>
  <w:abstractNum w:abstractNumId="44">
    <w:nsid w:val="6DE91B18"/>
    <w:multiLevelType w:val="hybridMultilevel"/>
    <w:lvl w:ilvl="0">
      <w:lvlJc w:val="left"/>
      <w:lvlText w:val="%1."/>
      <w:numFmt w:val="decimal"/>
      <w:start w:val="11"/>
    </w:lvl>
  </w:abstractNum>
  <w:abstractNum w:abstractNumId="45">
    <w:nsid w:val="38437FD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6">
    <w:nsid w:val="7644A45C"/>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7">
    <w:nsid w:val="32FFF902"/>
    <w:multiLevelType w:val="hybridMultilevel"/>
    <w:lvl w:ilvl="0">
      <w:lvlJc w:val="left"/>
      <w:lvlText w:val="*"/>
      <w:numFmt w:val="bullet"/>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2023-10-16T15:20:30Z</dcterms:created>
  <dcterms:modified xsi:type="dcterms:W3CDTF">2023-10-16T15:20:30Z</dcterms:modified>
</cp:coreProperties>
</file>