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2730500</wp:posOffset>
            </wp:positionH>
            <wp:positionV relativeFrom="page">
              <wp:posOffset>157480</wp:posOffset>
            </wp:positionV>
            <wp:extent cx="2101215" cy="1003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15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July 3, 2014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Jeffrey P. Riedler, Assistant Director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VistaGen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Amendment No. 1 to 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May 20, 2014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333-195901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Riedler: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thank you for your comment letter dated May 22, 2014 (the “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Comment Letter</w:t>
      </w:r>
      <w:r>
        <w:rPr>
          <w:rFonts w:ascii="Arial" w:cs="Arial" w:eastAsia="Arial" w:hAnsi="Arial"/>
          <w:sz w:val="18"/>
          <w:szCs w:val="18"/>
          <w:color w:val="auto"/>
        </w:rPr>
        <w:t>”) addressed to VistaGen Therapeutics, Inc. (the “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”). The following is in response to the Staff’s inquiry in the Comment Letter regarding Amendment No. 1 to the Registration Statement on Form S-1 (the “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”), filed by the Company on May 20, 2014. The Staff’s comment is included below in bold, and is immediately followed by the Company’s response.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Contemporaneously with the filing of this letter, the Company is filing a pre-effective amendment to the Registration Statement in response to the Staff’s comment (the “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Amendment</w:t>
      </w:r>
      <w:r>
        <w:rPr>
          <w:rFonts w:ascii="Arial" w:cs="Arial" w:eastAsia="Arial" w:hAnsi="Arial"/>
          <w:sz w:val="18"/>
          <w:szCs w:val="18"/>
          <w:color w:val="auto"/>
        </w:rPr>
        <w:t>”).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General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20" w:hanging="612"/>
        <w:spacing w:after="0"/>
        <w:tabs>
          <w:tab w:leader="none" w:pos="6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Please amend your filing to include updated financial statements meeting the requirements of Rule 8-08 of Regulation S-X.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Response.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 response to Staff’s comment, the Amendment contains the Company’s audited financial statements for the year ended March 31, 2014.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If you have any questions or would like to discuss our response, please contact the undersigned at (650) 577-3613.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/s/ Shawn K. Singh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Shawn K. Singh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Executive Officer and Director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VistaGen Therapeutics, Inc.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660" w:right="9120" w:hanging="652"/>
        <w:spacing w:after="0" w:line="312" w:lineRule="auto"/>
        <w:tabs>
          <w:tab w:leader="none" w:pos="633" w:val="left"/>
        </w:tabs>
        <w:numPr>
          <w:ilvl w:val="0"/>
          <w:numId w:val="2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Daniel W. Rumsey Managing Partner Disclosure Law Group</w:t>
      </w:r>
    </w:p>
    <w:sectPr>
      <w:pgSz w:w="11900" w:h="16838" w:orient="portrait"/>
      <w:cols w:equalWidth="0" w:num="1">
        <w:col w:w="11420"/>
      </w:cols>
      <w:pgMar w:left="240" w:top="144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2020-01-27T22:06:15Z</dcterms:created>
  <dcterms:modified xsi:type="dcterms:W3CDTF">2020-01-27T22:06:15Z</dcterms:modified>
</cp:coreProperties>
</file>