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693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5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Person's ability to exercise 75,000 of the options reported herein is conditioned upon stockholder approval of an amendment to the Issuer's 2008 Stock Incentive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4"/>
        <w:spacing w:after="0" w:line="25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306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2020-01-19T08:02:10Z</dcterms:created>
  <dcterms:modified xsi:type="dcterms:W3CDTF">2020-01-19T08:02:10Z</dcterms:modified>
</cp:coreProperties>
</file>