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qsep302013.htm"/>
      <w:bookmarkStart w:id="1" w:name="ksvsta10qsep302013"/>
      <w:bookmarkStart w:id="2" w:name="vsta10qsep302013.htm"/>
      <w:bookmarkStart w:id="3" w:name="ksvsta10qsep302013"/>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Form 10-Q</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702"/>
        <w:gridCol w:w="469"/>
        <w:gridCol w:w="9034"/>
      </w:tblGrid>
      <w:tr>
        <w:trPr/>
        <w:tc>
          <w:tcPr>
            <w:tcW w:w="702" w:type="dxa"/>
            <w:tcBorders/>
            <w:shd w:fill="auto" w:val="clear"/>
            <w:vAlign w:val="center"/>
          </w:tcPr>
          <w:p>
            <w:pPr>
              <w:pStyle w:val="TableContents"/>
              <w:spacing w:before="0" w:after="283"/>
              <w:jc w:val="left"/>
              <w:rPr/>
            </w:pPr>
            <w:r>
              <w:rPr/>
              <w:t xml:space="preserve">  </w:t>
            </w:r>
          </w:p>
        </w:tc>
        <w:tc>
          <w:tcPr>
            <w:tcW w:w="469" w:type="dxa"/>
            <w:tcBorders/>
            <w:shd w:fill="auto" w:val="clear"/>
            <w:vAlign w:val="center"/>
          </w:tcPr>
          <w:p>
            <w:pPr>
              <w:pStyle w:val="TableContents"/>
              <w:spacing w:before="0" w:after="283"/>
              <w:jc w:val="left"/>
              <w:rPr/>
            </w:pPr>
            <w:r>
              <w:rPr/>
              <w:t xml:space="preserve">  </w:t>
            </w:r>
          </w:p>
        </w:tc>
        <w:tc>
          <w:tcPr>
            <w:tcW w:w="9034" w:type="dxa"/>
            <w:tcBorders/>
            <w:shd w:fill="auto" w:val="clear"/>
            <w:vAlign w:val="center"/>
          </w:tcPr>
          <w:p>
            <w:pPr>
              <w:pStyle w:val="TableContents"/>
              <w:spacing w:before="0" w:after="283"/>
              <w:jc w:val="left"/>
              <w:rPr/>
            </w:pPr>
            <w:r>
              <w:rPr/>
              <w:t xml:space="preserve">  </w:t>
            </w:r>
          </w:p>
        </w:tc>
      </w:tr>
      <w:tr>
        <w:trPr/>
        <w:tc>
          <w:tcPr>
            <w:tcW w:w="702"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[X]</w:t>
            </w:r>
          </w:p>
        </w:tc>
        <w:tc>
          <w:tcPr>
            <w:tcW w:w="469" w:type="dxa"/>
            <w:tcBorders/>
            <w:shd w:fill="auto" w:val="clear"/>
          </w:tcPr>
          <w:p>
            <w:pPr>
              <w:pStyle w:val="TableContents"/>
              <w:spacing w:before="0" w:after="283"/>
              <w:jc w:val="left"/>
              <w:rPr/>
            </w:pPr>
            <w:r>
              <w:rPr/>
              <w:t xml:space="preserve">  </w:t>
            </w:r>
          </w:p>
        </w:tc>
        <w:tc>
          <w:tcPr>
            <w:tcW w:w="903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2013</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703"/>
        <w:gridCol w:w="469"/>
        <w:gridCol w:w="9033"/>
      </w:tblGrid>
      <w:tr>
        <w:trPr/>
        <w:tc>
          <w:tcPr>
            <w:tcW w:w="703" w:type="dxa"/>
            <w:tcBorders/>
            <w:shd w:fill="auto" w:val="clear"/>
            <w:vAlign w:val="center"/>
          </w:tcPr>
          <w:p>
            <w:pPr>
              <w:pStyle w:val="TableContents"/>
              <w:spacing w:before="0" w:after="283"/>
              <w:jc w:val="left"/>
              <w:rPr/>
            </w:pPr>
            <w:r>
              <w:rPr/>
              <w:t xml:space="preserve">  </w:t>
            </w:r>
          </w:p>
        </w:tc>
        <w:tc>
          <w:tcPr>
            <w:tcW w:w="469" w:type="dxa"/>
            <w:tcBorders/>
            <w:shd w:fill="auto" w:val="clear"/>
            <w:vAlign w:val="center"/>
          </w:tcPr>
          <w:p>
            <w:pPr>
              <w:pStyle w:val="TableContents"/>
              <w:spacing w:before="0" w:after="283"/>
              <w:jc w:val="left"/>
              <w:rPr/>
            </w:pPr>
            <w:r>
              <w:rPr/>
              <w:t xml:space="preserve">  </w:t>
            </w:r>
          </w:p>
        </w:tc>
        <w:tc>
          <w:tcPr>
            <w:tcW w:w="9033" w:type="dxa"/>
            <w:tcBorders/>
            <w:shd w:fill="auto" w:val="clear"/>
            <w:vAlign w:val="center"/>
          </w:tcPr>
          <w:p>
            <w:pPr>
              <w:pStyle w:val="TableContents"/>
              <w:spacing w:before="0" w:after="283"/>
              <w:jc w:val="left"/>
              <w:rPr/>
            </w:pPr>
            <w:r>
              <w:rPr/>
              <w:t xml:space="preserve">  </w:t>
            </w:r>
          </w:p>
        </w:tc>
      </w:tr>
      <w:tr>
        <w:trPr/>
        <w:tc>
          <w:tcPr>
            <w:tcW w:w="703"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  ]</w:t>
            </w:r>
          </w:p>
        </w:tc>
        <w:tc>
          <w:tcPr>
            <w:tcW w:w="469" w:type="dxa"/>
            <w:tcBorders/>
            <w:shd w:fill="auto" w:val="clear"/>
          </w:tcPr>
          <w:p>
            <w:pPr>
              <w:pStyle w:val="TableContents"/>
              <w:spacing w:before="0" w:after="283"/>
              <w:jc w:val="left"/>
              <w:rPr/>
            </w:pPr>
            <w:r>
              <w:rPr/>
              <w:t xml:space="preserve">  </w:t>
            </w:r>
          </w:p>
        </w:tc>
        <w:tc>
          <w:tcPr>
            <w:tcW w:w="9033"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620" w:right="0" w:hanging="0"/>
        <w:jc w:val="left"/>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204" w:type="dxa"/>
            <w:tcBorders/>
            <w:shd w:fill="auto" w:val="clear"/>
            <w:vAlign w:val="bottom"/>
          </w:tcPr>
          <w:p>
            <w:pPr>
              <w:pStyle w:val="TableContents"/>
              <w:spacing w:before="0" w:after="283"/>
              <w:jc w:val="left"/>
              <w:rPr/>
            </w:pPr>
            <w:r>
              <w:rPr/>
              <w:t xml:space="preserve">  </w:t>
            </w:r>
          </w:p>
        </w:tc>
        <w:tc>
          <w:tcPr>
            <w:tcW w:w="5001"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5000"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204" w:type="dxa"/>
            <w:tcBorders/>
            <w:shd w:fill="auto" w:val="clear"/>
            <w:vAlign w:val="bottom"/>
          </w:tcPr>
          <w:p>
            <w:pPr>
              <w:pStyle w:val="TableContents"/>
              <w:spacing w:before="0" w:after="283"/>
              <w:jc w:val="left"/>
              <w:rPr/>
            </w:pPr>
            <w:r>
              <w:rPr/>
              <w:t xml:space="preserve">  </w:t>
            </w:r>
          </w:p>
        </w:tc>
        <w:tc>
          <w:tcPr>
            <w:tcW w:w="5001"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343 Allerton Avenue</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(650) 577-3600</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2933"/>
        <w:gridCol w:w="3285"/>
        <w:gridCol w:w="3049"/>
        <w:gridCol w:w="938"/>
      </w:tblGrid>
      <w:tr>
        <w:trPr/>
        <w:tc>
          <w:tcPr>
            <w:tcW w:w="2933" w:type="dxa"/>
            <w:tcBorders/>
            <w:shd w:fill="auto" w:val="clear"/>
            <w:vAlign w:val="center"/>
          </w:tcPr>
          <w:p>
            <w:pPr>
              <w:pStyle w:val="TableContents"/>
              <w:spacing w:before="0" w:after="283"/>
              <w:rPr/>
            </w:pPr>
            <w:r>
              <w:rPr/>
              <w:t xml:space="preserve">  </w:t>
            </w:r>
          </w:p>
        </w:tc>
        <w:tc>
          <w:tcPr>
            <w:tcW w:w="7272" w:type="dxa"/>
            <w:gridSpan w:val="3"/>
            <w:tcBorders/>
            <w:shd w:fill="auto" w:val="clear"/>
          </w:tcPr>
          <w:p>
            <w:pPr>
              <w:pStyle w:val="TableContents"/>
              <w:spacing w:before="0" w:after="283"/>
              <w:rPr/>
            </w:pPr>
            <w:r>
              <w:rPr/>
              <w:t xml:space="preserve">  </w:t>
            </w:r>
          </w:p>
        </w:tc>
      </w:tr>
      <w:tr>
        <w:trPr/>
        <w:tc>
          <w:tcPr>
            <w:tcW w:w="293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Large 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r>
      <w:tr>
        <w:trPr/>
        <w:tc>
          <w:tcPr>
            <w:tcW w:w="2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[X]</w:t>
            </w:r>
          </w:p>
        </w:tc>
      </w:tr>
    </w:tbl>
    <w:p>
      <w:pPr>
        <w:pStyle w:val="TextBody"/>
        <w:spacing w:before="0" w:after="0"/>
        <w:ind w:left="0" w:right="180" w:hanging="0"/>
        <w:jc w:val="left"/>
        <w:rPr>
          <w:rFonts w:ascii="Times New Roman" w:hAnsi="Times New Roman"/>
          <w:sz w:val="20"/>
        </w:rPr>
      </w:pPr>
      <w:r>
        <w:rPr>
          <w:rFonts w:ascii="Times New Roman" w:hAnsi="Times New Roman"/>
          <w:sz w:val="20"/>
        </w:rPr>
        <w:t>(do not check if a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November 12, 2013, 22,181,877 shares of the registrant’s common stock, $0.001 par value, were issued and outstanding.</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 Ended September 30, 2013</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4" w:name="tocj"/>
      <w:bookmarkEnd w:id="4"/>
      <w:r>
        <w:rPr>
          <w:rFonts w:ascii="Times New Roman" w:hAnsi="Times New Roman"/>
          <w:b/>
          <w:sz w:val="20"/>
        </w:rPr>
        <w:t>TABLE OF CONTENTS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91"/>
        <w:gridCol w:w="714"/>
      </w:tblGrid>
      <w:tr>
        <w:trPr/>
        <w:tc>
          <w:tcPr>
            <w:tcW w:w="9491" w:type="dxa"/>
            <w:tcBorders/>
            <w:shd w:fill="auto" w:val="clear"/>
            <w:vAlign w:val="center"/>
          </w:tcPr>
          <w:p>
            <w:pPr>
              <w:pStyle w:val="TableContents"/>
              <w:spacing w:before="0" w:after="283"/>
              <w:jc w:val="left"/>
              <w:rPr/>
            </w:pPr>
            <w:r>
              <w:rPr/>
              <w:t xml:space="preserve">  </w:t>
            </w:r>
          </w:p>
        </w:tc>
        <w:tc>
          <w:tcPr>
            <w:tcW w:w="71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9491"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 FINANCIAL INFORMATION</w:t>
            </w:r>
          </w:p>
        </w:tc>
        <w:tc>
          <w:tcPr>
            <w:tcW w:w="714" w:type="dxa"/>
            <w:tcBorders/>
            <w:shd w:fill="auto" w:val="clear"/>
            <w:vAlign w:val="bottom"/>
          </w:tcPr>
          <w:p>
            <w:pPr>
              <w:pStyle w:val="TableContents"/>
              <w:spacing w:before="0" w:after="283"/>
              <w:rPr/>
            </w:pPr>
            <w:r>
              <w:rPr/>
              <w:t xml:space="preserve">  </w:t>
            </w:r>
          </w:p>
        </w:tc>
      </w:tr>
      <w:tr>
        <w:trPr/>
        <w:tc>
          <w:tcPr>
            <w:tcW w:w="9491" w:type="dxa"/>
            <w:tcBorders/>
            <w:shd w:fill="auto" w:val="clear"/>
            <w:vAlign w:val="bottom"/>
          </w:tcPr>
          <w:p>
            <w:pPr>
              <w:pStyle w:val="TableContents"/>
              <w:spacing w:before="0" w:after="283"/>
              <w:rPr/>
            </w:pPr>
            <w:r>
              <w:rPr/>
              <w:t xml:space="preserve">  </w:t>
            </w:r>
          </w:p>
        </w:tc>
        <w:tc>
          <w:tcPr>
            <w:tcW w:w="714" w:type="dxa"/>
            <w:tcBorders/>
            <w:shd w:fill="auto"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180" w:right="0" w:hanging="180"/>
              <w:jc w:val="left"/>
              <w:rPr/>
            </w:pPr>
            <w:hyperlink w:anchor="p1bsj">
              <w:r>
                <w:rPr>
                  <w:rStyle w:val="InternetLink"/>
                  <w:rFonts w:ascii="times new roman" w:hAnsi="times new roman"/>
                  <w:sz w:val="20"/>
                </w:rPr>
                <w:t>Item 1. Condensed Consolidated Financial Statements (Unaudited)</w:t>
              </w:r>
            </w:hyperlink>
          </w:p>
        </w:tc>
        <w:tc>
          <w:tcPr>
            <w:tcW w:w="71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w:t>
            </w:r>
          </w:p>
        </w:tc>
      </w:tr>
      <w:tr>
        <w:trPr/>
        <w:tc>
          <w:tcPr>
            <w:tcW w:w="9491" w:type="dxa"/>
            <w:tcBorders/>
            <w:shd w:fill="FFFFFF" w:val="clear"/>
            <w:vAlign w:val="bottom"/>
          </w:tcPr>
          <w:p>
            <w:pPr>
              <w:pStyle w:val="TableContents"/>
              <w:spacing w:before="0" w:after="0"/>
              <w:ind w:left="0" w:right="0" w:hanging="0"/>
              <w:jc w:val="left"/>
              <w:rPr/>
            </w:pPr>
            <w:hyperlink w:anchor="p1bsj">
              <w:r>
                <w:rPr>
                  <w:rStyle w:val="InternetLink"/>
                  <w:rFonts w:ascii="times new roman" w:hAnsi="times new roman"/>
                  <w:sz w:val="20"/>
                </w:rPr>
                <w:t>Condensed Consolidated Balance Sheets at September 30, 2013 and March 31, 2013</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r>
      <w:tr>
        <w:trPr/>
        <w:tc>
          <w:tcPr>
            <w:tcW w:w="9491" w:type="dxa"/>
            <w:tcBorders/>
            <w:shd w:fill="CCEEFF" w:val="clear"/>
            <w:vAlign w:val="bottom"/>
          </w:tcPr>
          <w:p>
            <w:pPr>
              <w:pStyle w:val="TableContents"/>
              <w:spacing w:before="0" w:after="0"/>
              <w:ind w:left="0" w:right="0" w:hanging="0"/>
              <w:jc w:val="left"/>
              <w:rPr/>
            </w:pPr>
            <w:hyperlink w:anchor="complossj">
              <w:r>
                <w:rPr>
                  <w:rStyle w:val="InternetLink"/>
                  <w:rFonts w:ascii="times new roman" w:hAnsi="times new roman"/>
                  <w:sz w:val="20"/>
                </w:rPr>
                <w:t>Condensed Consolidated Statements of Operations and Comprehensive Loss for the three and six months ended September 30, 2013 and 2012</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9491" w:type="dxa"/>
            <w:tcBorders/>
            <w:shd w:fill="FFFFFF" w:val="clear"/>
            <w:vAlign w:val="bottom"/>
          </w:tcPr>
          <w:p>
            <w:pPr>
              <w:pStyle w:val="TableContents"/>
              <w:spacing w:before="0" w:after="0"/>
              <w:ind w:left="0" w:right="0" w:hanging="0"/>
              <w:jc w:val="left"/>
              <w:rPr/>
            </w:pPr>
            <w:hyperlink w:anchor="cfj">
              <w:r>
                <w:rPr>
                  <w:rStyle w:val="InternetLink"/>
                  <w:rFonts w:ascii="times new roman" w:hAnsi="times new roman"/>
                  <w:sz w:val="20"/>
                </w:rPr>
                <w:t>Condensed Consolidated Statements of Cash Flows for the six months ended September 30, 2013 and 2012</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9491" w:type="dxa"/>
            <w:tcBorders/>
            <w:shd w:fill="CCEEFF" w:val="clear"/>
            <w:vAlign w:val="bottom"/>
          </w:tcPr>
          <w:p>
            <w:pPr>
              <w:pStyle w:val="TableContents"/>
              <w:spacing w:before="0" w:after="0"/>
              <w:ind w:left="0" w:right="0" w:hanging="0"/>
              <w:jc w:val="left"/>
              <w:rPr/>
            </w:pPr>
            <w:hyperlink w:anchor="notesj">
              <w:r>
                <w:rPr>
                  <w:rStyle w:val="InternetLink"/>
                  <w:rFonts w:ascii="times new roman" w:hAnsi="times new roman"/>
                  <w:sz w:val="20"/>
                </w:rPr>
                <w:t>Notes to the Condensed Consolidated Financial Statements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9491" w:type="dxa"/>
            <w:tcBorders/>
            <w:shd w:fill="FFFFFF" w:val="clear"/>
            <w:vAlign w:val="bottom"/>
          </w:tcPr>
          <w:p>
            <w:pPr>
              <w:pStyle w:val="TableContents"/>
              <w:spacing w:before="0" w:after="0"/>
              <w:ind w:left="180" w:right="0" w:hanging="180"/>
              <w:jc w:val="left"/>
              <w:rPr/>
            </w:pPr>
            <w:hyperlink w:anchor="mdaj">
              <w:r>
                <w:rPr>
                  <w:rStyle w:val="InternetLink"/>
                  <w:rFonts w:ascii="times new roman" w:hAnsi="times new roman"/>
                  <w:sz w:val="20"/>
                </w:rPr>
                <w:t>Item 2. Management’s Discussion and Analysis of Financial Condition and Results of Operations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w:t>
            </w:r>
          </w:p>
        </w:tc>
      </w:tr>
      <w:tr>
        <w:trPr/>
        <w:tc>
          <w:tcPr>
            <w:tcW w:w="9491" w:type="dxa"/>
            <w:tcBorders/>
            <w:shd w:fill="CCEEFF" w:val="clear"/>
            <w:vAlign w:val="bottom"/>
          </w:tcPr>
          <w:p>
            <w:pPr>
              <w:pStyle w:val="TableContents"/>
              <w:spacing w:before="0" w:after="0"/>
              <w:ind w:left="180" w:right="0" w:hanging="180"/>
              <w:jc w:val="left"/>
              <w:rPr/>
            </w:pPr>
            <w:hyperlink w:anchor="cpj">
              <w:r>
                <w:rPr>
                  <w:rStyle w:val="InternetLink"/>
                  <w:rFonts w:ascii="times new roman" w:hAnsi="times new roman"/>
                  <w:sz w:val="20"/>
                </w:rPr>
                <w:t>Item 4. Controls and Procedures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29</w:t>
            </w:r>
          </w:p>
        </w:tc>
      </w:tr>
      <w:tr>
        <w:trPr/>
        <w:tc>
          <w:tcPr>
            <w:tcW w:w="9491" w:type="dxa"/>
            <w:tcBorders/>
            <w:shd w:fill="FFFFFF" w:val="clear"/>
            <w:vAlign w:val="bottom"/>
          </w:tcPr>
          <w:p>
            <w:pPr>
              <w:pStyle w:val="TableContents"/>
              <w:spacing w:before="0" w:after="283"/>
              <w:rPr/>
            </w:pPr>
            <w:r>
              <w:rPr/>
              <w:t xml:space="preserve">  </w:t>
            </w:r>
          </w:p>
        </w:tc>
        <w:tc>
          <w:tcPr>
            <w:tcW w:w="714" w:type="dxa"/>
            <w:tcBorders/>
            <w:shd w:fill="FFFFFF"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II. OTHER INFORMATION</w:t>
            </w:r>
          </w:p>
        </w:tc>
        <w:tc>
          <w:tcPr>
            <w:tcW w:w="714" w:type="dxa"/>
            <w:tcBorders/>
            <w:shd w:fill="CCEEFF" w:val="clear"/>
            <w:vAlign w:val="bottom"/>
          </w:tcPr>
          <w:p>
            <w:pPr>
              <w:pStyle w:val="TableContents"/>
              <w:spacing w:before="0" w:after="283"/>
              <w:rPr/>
            </w:pPr>
            <w:r>
              <w:rPr/>
              <w:t xml:space="preserve">  </w:t>
            </w:r>
          </w:p>
        </w:tc>
      </w:tr>
      <w:tr>
        <w:trPr/>
        <w:tc>
          <w:tcPr>
            <w:tcW w:w="9491" w:type="dxa"/>
            <w:tcBorders/>
            <w:shd w:fill="FFFFFF" w:val="clear"/>
            <w:vAlign w:val="bottom"/>
          </w:tcPr>
          <w:p>
            <w:pPr>
              <w:pStyle w:val="TableContents"/>
              <w:spacing w:before="0" w:after="0"/>
              <w:ind w:left="0" w:right="0" w:hanging="0"/>
              <w:jc w:val="center"/>
              <w:rPr/>
            </w:pPr>
            <w:r>
              <w:rPr/>
              <w:t> </w:t>
            </w:r>
          </w:p>
        </w:tc>
        <w:tc>
          <w:tcPr>
            <w:tcW w:w="714" w:type="dxa"/>
            <w:tcBorders/>
            <w:shd w:fill="FFFFFF"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  Legal Proceedings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30</w:t>
            </w:r>
          </w:p>
        </w:tc>
      </w:tr>
      <w:tr>
        <w:trPr/>
        <w:tc>
          <w:tcPr>
            <w:tcW w:w="9491"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1A. Risk Factors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30</w:t>
            </w:r>
          </w:p>
        </w:tc>
      </w:tr>
      <w:tr>
        <w:trPr/>
        <w:tc>
          <w:tcPr>
            <w:tcW w:w="9491" w:type="dxa"/>
            <w:tcBorders/>
            <w:shd w:fill="CCEEFF" w:val="clear"/>
            <w:vAlign w:val="bottom"/>
          </w:tcPr>
          <w:p>
            <w:pPr>
              <w:pStyle w:val="TableContents"/>
              <w:spacing w:before="0" w:after="0"/>
              <w:ind w:left="0" w:right="0" w:hanging="0"/>
              <w:jc w:val="left"/>
              <w:rPr/>
            </w:pPr>
            <w:hyperlink w:anchor="p2it2j">
              <w:r>
                <w:rPr>
                  <w:rStyle w:val="InternetLink"/>
                  <w:rFonts w:ascii="times new roman" w:hAnsi="times new roman"/>
                  <w:sz w:val="20"/>
                </w:rPr>
                <w:t>Item 2.  Unregistered Sales of Equity Securities and Use of Proceeds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r>
      <w:tr>
        <w:trPr/>
        <w:tc>
          <w:tcPr>
            <w:tcW w:w="9491" w:type="dxa"/>
            <w:tcBorders/>
            <w:shd w:fill="FFFFFF" w:val="clear"/>
            <w:vAlign w:val="bottom"/>
          </w:tcPr>
          <w:p>
            <w:pPr>
              <w:pStyle w:val="TableContents"/>
              <w:spacing w:before="0" w:after="0"/>
              <w:ind w:left="0" w:right="0" w:hanging="0"/>
              <w:jc w:val="left"/>
              <w:rPr/>
            </w:pPr>
            <w:hyperlink w:anchor="p2it2j">
              <w:r>
                <w:rPr>
                  <w:rStyle w:val="InternetLink"/>
                  <w:rFonts w:ascii="times new roman" w:hAnsi="times new roman"/>
                  <w:sz w:val="20"/>
                </w:rPr>
                <w:t>Item 3.  Defaults Upon Senior Secured Securities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r>
      <w:tr>
        <w:trPr/>
        <w:tc>
          <w:tcPr>
            <w:tcW w:w="9491" w:type="dxa"/>
            <w:tcBorders/>
            <w:shd w:fill="CCEEFF" w:val="clear"/>
            <w:vAlign w:val="bottom"/>
          </w:tcPr>
          <w:p>
            <w:pPr>
              <w:pStyle w:val="TableContents"/>
              <w:spacing w:before="0" w:after="0"/>
              <w:ind w:left="0" w:right="0" w:hanging="0"/>
              <w:jc w:val="left"/>
              <w:rPr/>
            </w:pPr>
            <w:hyperlink w:anchor="exj">
              <w:r>
                <w:rPr>
                  <w:rStyle w:val="InternetLink"/>
                  <w:rFonts w:ascii="times new roman" w:hAnsi="times new roman"/>
                  <w:sz w:val="20"/>
                </w:rPr>
                <w:t>Item 6.  Exhibits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r>
      <w:tr>
        <w:trPr/>
        <w:tc>
          <w:tcPr>
            <w:tcW w:w="9491" w:type="dxa"/>
            <w:tcBorders/>
            <w:shd w:fill="FFFFFF" w:val="clear"/>
            <w:vAlign w:val="bottom"/>
          </w:tcPr>
          <w:p>
            <w:pPr>
              <w:pStyle w:val="TableContents"/>
              <w:spacing w:before="0" w:after="283"/>
              <w:rPr/>
            </w:pPr>
            <w:r>
              <w:rPr/>
              <w:t xml:space="preserve">  </w:t>
            </w:r>
          </w:p>
        </w:tc>
        <w:tc>
          <w:tcPr>
            <w:tcW w:w="714" w:type="dxa"/>
            <w:tcBorders/>
            <w:shd w:fill="FFFFFF"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180" w:right="0" w:hanging="180"/>
              <w:jc w:val="left"/>
              <w:rPr/>
            </w:pPr>
            <w:hyperlink w:anchor="sigj">
              <w:r>
                <w:rPr>
                  <w:rStyle w:val="InternetLink"/>
                  <w:rFonts w:ascii="times new roman" w:hAnsi="times new roman"/>
                  <w:sz w:val="20"/>
                </w:rPr>
                <w:t>SIGNATURES</w:t>
              </w:r>
            </w:hyperlink>
          </w:p>
        </w:tc>
        <w:tc>
          <w:tcPr>
            <w:tcW w:w="714" w:type="dxa"/>
            <w:tcBorders/>
            <w:shd w:fill="CCEEFF" w:val="clear"/>
            <w:vAlign w:val="bottom"/>
          </w:tcPr>
          <w:p>
            <w:pPr>
              <w:pStyle w:val="TableContents"/>
              <w:spacing w:before="0" w:after="0"/>
              <w:ind w:left="0" w:right="0" w:hanging="0"/>
              <w:jc w:val="center"/>
              <w:rPr/>
            </w:pPr>
            <w:r>
              <w:rPr/>
              <w:t>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7" w:name="FTR"/>
      <w:bookmarkEnd w:id="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 w:name="PN"/>
      <w:bookmarkEnd w:id="9"/>
      <w:r>
        <w:rPr>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 w:name="GLHDR"/>
        <w:bookmarkEnd w:id="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bookmarkStart w:id="13" w:name="p1bsj"/>
      <w:bookmarkEnd w:id="13"/>
      <w:r>
        <w:rPr>
          <w:rFonts w:ascii="Times New Roman" w:hAnsi="Times New Roman"/>
          <w:b/>
          <w:sz w:val="20"/>
        </w:rPr>
        <w:t>PART I.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 except share amounts)</w:t>
      </w:r>
    </w:p>
    <w:tbl>
      <w:tblPr>
        <w:tblW w:w="5000" w:type="pct"/>
        <w:jc w:val="left"/>
        <w:tblInd w:w="0" w:type="dxa"/>
        <w:tblCellMar>
          <w:top w:w="0" w:type="dxa"/>
          <w:left w:w="0" w:type="dxa"/>
          <w:bottom w:w="0" w:type="dxa"/>
          <w:right w:w="0" w:type="dxa"/>
        </w:tblCellMar>
      </w:tblPr>
      <w:tblGrid>
        <w:gridCol w:w="6778"/>
        <w:gridCol w:w="106"/>
        <w:gridCol w:w="125"/>
        <w:gridCol w:w="1366"/>
        <w:gridCol w:w="112"/>
        <w:gridCol w:w="106"/>
        <w:gridCol w:w="125"/>
        <w:gridCol w:w="1366"/>
        <w:gridCol w:w="121"/>
      </w:tblGrid>
      <w:tr>
        <w:trPr/>
        <w:tc>
          <w:tcPr>
            <w:tcW w:w="677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0"/>
              <w:ind w:left="0" w:right="0" w:hanging="0"/>
              <w:jc w:val="center"/>
              <w:rPr/>
            </w:pPr>
            <w:r>
              <w:rPr/>
              <w:t> </w:t>
            </w: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147,500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671,800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205,100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180,700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assets</w:t>
            </w:r>
          </w:p>
        </w:tc>
        <w:tc>
          <w:tcPr>
            <w:tcW w:w="10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406,000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center"/>
              <w:rPr/>
            </w:pPr>
            <w:r>
              <w:rPr/>
              <w:t> </w:t>
            </w:r>
            <w:r>
              <w:rPr>
                <w:rFonts w:ascii="times new roman" w:hAnsi="times new roman"/>
                <w:b/>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1,984,000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1,353,600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462,000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Advance from officer</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portion of notes payable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661,600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617,200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Current portion of notes payable to related parties 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Convertible promissory notes and accrued interest, net of discount of $200,600 at September 30, 2013</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3,253,400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2,414,300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Senior secured convertible promissory notes, net of discount of $2,170,500 at September 30, 2013 and $1,963,100 at March 31, 2013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1,648,100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Notes payable, net of discount of $1,004,300 at September 30, 2013 and $1,142,600 at March 31, 2013</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2,345,700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Notes payable to related parties, net of discount of $125,900 at September 30, 2013 and $147,200 at March 31, 2013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1,171,700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4,657,300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rent liability</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non-current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9,906,800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11,023,600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13,160,200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13,437,900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Preferred stock, $0.001 par value; 10,000,000 shares, including 500,000 Series A shares, authorized at September 30, 2013 and March 31, 2013; 500,000 Series A shares issued and outstanding at September 30, 2013 and March 31, 2013, respectively</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Common stock, $0.001 par value; 200,000,000 shares authorized at September 30, 2013 and March 31, 2013; 24,535,185 and 23,480,169 shares issued at September 30, 2013 and March 31, 2013,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60,336,000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59,266,000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Treasury stock, at cost, 2,713,308 shares of common stock held at September 30, 2013 and March 31, 2013</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receivable from sale of common stock</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(203,800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(68,943,300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stockholders’ deficit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(12,754,200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(12,556,400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406,000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GLFTR1"/>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 w:name="PN1"/>
      <w:bookmarkEnd w:id="1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 w:name="GLHDR1"/>
        <w:bookmarkEnd w:id="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3" w:name="complossj"/>
      <w:bookmarkEnd w:id="2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 AND COMPREHENSIVE LOSS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 except share amounts)</w:t>
      </w:r>
    </w:p>
    <w:tbl>
      <w:tblPr>
        <w:tblW w:w="5000" w:type="pct"/>
        <w:jc w:val="left"/>
        <w:tblInd w:w="0" w:type="dxa"/>
        <w:tblCellMar>
          <w:top w:w="0" w:type="dxa"/>
          <w:left w:w="0" w:type="dxa"/>
          <w:bottom w:w="0" w:type="dxa"/>
          <w:right w:w="0" w:type="dxa"/>
        </w:tblCellMar>
      </w:tblPr>
      <w:tblGrid>
        <w:gridCol w:w="3297"/>
        <w:gridCol w:w="95"/>
        <w:gridCol w:w="125"/>
        <w:gridCol w:w="1049"/>
        <w:gridCol w:w="104"/>
        <w:gridCol w:w="95"/>
        <w:gridCol w:w="125"/>
        <w:gridCol w:w="1049"/>
        <w:gridCol w:w="104"/>
        <w:gridCol w:w="95"/>
        <w:gridCol w:w="125"/>
        <w:gridCol w:w="1049"/>
        <w:gridCol w:w="103"/>
        <w:gridCol w:w="95"/>
        <w:gridCol w:w="125"/>
        <w:gridCol w:w="1049"/>
        <w:gridCol w:w="104"/>
        <w:gridCol w:w="95"/>
        <w:gridCol w:w="125"/>
        <w:gridCol w:w="1077"/>
        <w:gridCol w:w="120"/>
      </w:tblGrid>
      <w:tr>
        <w:trPr/>
        <w:tc>
          <w:tcPr>
            <w:tcW w:w="3297"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0" w:type="dxa"/>
            <w:tcBorders/>
            <w:shd w:fill="auto" w:val="clear"/>
            <w:vAlign w:val="bottom"/>
          </w:tcPr>
          <w:p>
            <w:pPr>
              <w:pStyle w:val="TableContents"/>
              <w:spacing w:before="0" w:after="283"/>
              <w:jc w:val="left"/>
              <w:rPr/>
            </w:pPr>
            <w:r>
              <w:rPr/>
              <w:t> </w:t>
            </w:r>
          </w:p>
        </w:tc>
      </w:tr>
      <w:tr>
        <w:trPr/>
        <w:tc>
          <w:tcPr>
            <w:tcW w:w="3297"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0" w:type="dxa"/>
            <w:tcBorders/>
            <w:shd w:fill="auto" w:val="clear"/>
            <w:vAlign w:val="bottom"/>
          </w:tcPr>
          <w:p>
            <w:pPr>
              <w:pStyle w:val="TableContents"/>
              <w:spacing w:before="0" w:after="283"/>
              <w:jc w:val="left"/>
              <w:rPr/>
            </w:pPr>
            <w:r>
              <w:rPr/>
              <w:t> </w:t>
            </w:r>
          </w:p>
        </w:tc>
      </w:tr>
      <w:tr>
        <w:trPr/>
        <w:tc>
          <w:tcPr>
            <w:tcW w:w="3297"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547" w:type="dxa"/>
            <w:gridSpan w:val="6"/>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546" w:type="dxa"/>
            <w:gridSpan w:val="6"/>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0" w:type="dxa"/>
            <w:tcBorders/>
            <w:shd w:fill="auto" w:val="clear"/>
            <w:vAlign w:val="bottom"/>
          </w:tcPr>
          <w:p>
            <w:pPr>
              <w:pStyle w:val="TableContents"/>
              <w:spacing w:before="0" w:after="283"/>
              <w:jc w:val="left"/>
              <w:rPr/>
            </w:pPr>
            <w:r>
              <w:rPr/>
              <w:t> </w:t>
            </w:r>
          </w:p>
        </w:tc>
      </w:tr>
      <w:tr>
        <w:trPr/>
        <w:tc>
          <w:tcPr>
            <w:tcW w:w="3297"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54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54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p>
            <w:pPr>
              <w:pStyle w:val="TableContents"/>
              <w:spacing w:before="0" w:after="0"/>
              <w:jc w:val="center"/>
              <w:rPr>
                <w:rFonts w:ascii="times new roman" w:hAnsi="times new roman"/>
                <w:b/>
                <w:sz w:val="20"/>
              </w:rPr>
            </w:pPr>
            <w:r>
              <w:rPr>
                <w:rFonts w:ascii="times new roman" w:hAnsi="times new roman"/>
                <w:b/>
                <w:sz w:val="20"/>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20" w:type="dxa"/>
            <w:tcBorders/>
            <w:shd w:fill="auto" w:val="clear"/>
            <w:vAlign w:val="bottom"/>
          </w:tcPr>
          <w:p>
            <w:pPr>
              <w:pStyle w:val="TableContents"/>
              <w:spacing w:before="0" w:after="283"/>
              <w:jc w:val="left"/>
              <w:rPr/>
            </w:pPr>
            <w:r>
              <w:rPr/>
              <w:t> </w:t>
            </w:r>
          </w:p>
        </w:tc>
      </w:tr>
      <w:tr>
        <w:trPr/>
        <w:tc>
          <w:tcPr>
            <w:tcW w:w="3297"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0" w:type="dxa"/>
            <w:tcBorders/>
            <w:shd w:fill="auto" w:val="clear"/>
            <w:vAlign w:val="bottom"/>
          </w:tcPr>
          <w:p>
            <w:pPr>
              <w:pStyle w:val="TableContents"/>
              <w:spacing w:before="0" w:after="283"/>
              <w:jc w:val="left"/>
              <w:rPr/>
            </w:pPr>
            <w:r>
              <w:rPr/>
              <w:t> </w:t>
            </w:r>
          </w:p>
        </w:tc>
      </w:tr>
      <w:tr>
        <w:trPr/>
        <w:tc>
          <w:tcPr>
            <w:tcW w:w="329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12,963,100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Collaboration revenue</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revenues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16,370,200</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669,300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1,106,300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1,364,800</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1,972,600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30,920,500</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545,900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575,900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1,150,500</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1,631,200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31,831,600</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1,215,200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1,682,200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2,515,300</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3,603,800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70,275,300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(1,215,200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(2,515,300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(3,403,400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(53,905,100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(323,200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(273,500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(639,600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(376,300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(11,001,800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9"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warrant and put and note extension</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 liabilities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1,883,500</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666,200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income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81,900</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(1,459,800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(1,271,400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(3,779,700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(68,920,100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(1,459,800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(1,274,100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(68,943,300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97"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share</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4566"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Basic and diluted net loss per common share</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21,630,587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17,094,833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21,225,315</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16,969,433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3297"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329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loss</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(1,459,800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(1,274,100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(68,943,300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 w:name="GLHDR2"/>
        <w:bookmarkEnd w:id="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33" w:name="cfj"/>
      <w:bookmarkEnd w:id="3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w:t>
      </w:r>
    </w:p>
    <w:tbl>
      <w:tblPr>
        <w:tblW w:w="5000" w:type="pct"/>
        <w:jc w:val="left"/>
        <w:tblInd w:w="0" w:type="dxa"/>
        <w:tblCellMar>
          <w:top w:w="0" w:type="dxa"/>
          <w:left w:w="0" w:type="dxa"/>
          <w:bottom w:w="0" w:type="dxa"/>
          <w:right w:w="0" w:type="dxa"/>
        </w:tblCellMar>
      </w:tblPr>
      <w:tblGrid>
        <w:gridCol w:w="5943"/>
        <w:gridCol w:w="105"/>
        <w:gridCol w:w="125"/>
        <w:gridCol w:w="1065"/>
        <w:gridCol w:w="111"/>
        <w:gridCol w:w="105"/>
        <w:gridCol w:w="125"/>
        <w:gridCol w:w="1065"/>
        <w:gridCol w:w="111"/>
        <w:gridCol w:w="105"/>
        <w:gridCol w:w="125"/>
        <w:gridCol w:w="1098"/>
        <w:gridCol w:w="122"/>
      </w:tblGrid>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596" w:type="dxa"/>
            <w:gridSpan w:val="6"/>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59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p>
            <w:pPr>
              <w:pStyle w:val="TableContents"/>
              <w:spacing w:before="0" w:after="0"/>
              <w:jc w:val="center"/>
              <w:rPr>
                <w:rFonts w:ascii="times new roman" w:hAnsi="times new roman"/>
                <w:b/>
                <w:sz w:val="20"/>
              </w:rPr>
            </w:pPr>
            <w:r>
              <w:rPr>
                <w:rFonts w:ascii="times new roman" w:hAnsi="times new roman"/>
                <w:b/>
                <w:sz w:val="20"/>
              </w:rPr>
              <w:t>September 30,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Through September </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30, 2013</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Cash flows from operating activities:</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(1,274,100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(68,943,300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64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803,300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imputed discount on non-interest bearing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7%, 7.5% and 10% notes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161,900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635,600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Platinum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3,602,200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August 2010 short-term notes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February 2012 12% convertible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(gain) on currency fluctuation</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(28,500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(62,300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settlements of accounts payable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warrant and put and note term extension option liabilities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(1,883,500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(666,300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424,300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148,300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6,019,900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Expense related to modification of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rent and relocation expense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40,800</w:t>
            </w:r>
          </w:p>
        </w:tc>
        <w:tc>
          <w:tcPr>
            <w:tcW w:w="122" w:type="dxa"/>
            <w:tcBorders/>
            <w:shd w:fill="FFFFFF" w:val="clear"/>
            <w:vAlign w:val="bottom"/>
          </w:tcPr>
          <w:p>
            <w:pPr>
              <w:pStyle w:val="TableContents"/>
              <w:spacing w:before="0" w:after="283"/>
              <w:jc w:val="left"/>
              <w:rPr/>
            </w:pPr>
            <w:r>
              <w:rPr/>
              <w:t> </w:t>
            </w:r>
          </w:p>
        </w:tc>
      </w:tr>
      <w:tr>
        <w:trPr/>
        <w:tc>
          <w:tcPr>
            <w:tcW w:w="6048" w:type="dxa"/>
            <w:gridSpan w:val="2"/>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Fair value of Series C preferred stock, common stock, and warrants granted for services</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925,400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prior to the Merger</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following the Merger</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warrants granted for services and interest following the Merger</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48,500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794,900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180" w:right="0" w:hanging="180"/>
              <w:jc w:val="left"/>
              <w:rPr/>
            </w:pPr>
            <w:r>
              <w:rPr/>
              <w:t xml:space="preserve">   </w:t>
            </w:r>
            <w:r>
              <w:rPr>
                <w:rFonts w:ascii="times new roman" w:hAnsi="times new roman"/>
                <w:sz w:val="20"/>
              </w:rPr>
              <w:t>Fair value of additional warrants granted pursuant to exercises of modified warrants (fiscal year 2013) and under Discounted Warrant Exercise Program (fiscal year 2012)</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283"/>
              <w:jc w:val="left"/>
              <w:rPr/>
            </w:pPr>
            <w:r>
              <w:rPr/>
              <w:t xml:space="preserve">   </w:t>
            </w:r>
            <w:r>
              <w:rPr>
                <w:rFonts w:ascii="times new roman" w:hAnsi="times new roman"/>
                <w:sz w:val="20"/>
              </w:rPr>
              <w:t>Fair value of common stock issued for note term modification</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 on note receivable for stock purchase</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Consulting services by related parties settled by issuing promissory notes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Gain on sale of assets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Unbilled contract payments receivable</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1,159,000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1,195,100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17,130,500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revenues</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operating activities</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(1,316,400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(22,288,100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investing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equipment, net</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(849,900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investing activities</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(849,900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financing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common stock and warrants, including units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267,300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4,252,400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preferred stock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4,198,600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exercise of modified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264,200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1,692,600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notes under line of credit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7% note payable to founding stockholder</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of advance from officer</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7% convertible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10% convertible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Platinum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7,172,100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2008/2010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2006/2007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7% notes payable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August 2010 short-term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February 2012 12% convertible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capital lease obligations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Repayment of notes</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(1,919,400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cash provided by financing activities</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718,500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1,463,000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23,144,500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(decrease) increase in cash and cash equivalents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(631,600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0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 w:name="GLFTR3"/>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 w:name="PN3"/>
      <w:bookmarkEnd w:id="3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3"/>
      <w:bookmarkStart w:id="41" w:name="HD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2" w:name="GLHDR3"/>
        <w:bookmarkEnd w:id="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43" w:name="notesj"/>
      <w:bookmarkEnd w:id="4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History and Organization</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VistaGen Therapeutics, Inc., a Nevada corporation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w:t>
      </w:r>
      <w:r>
        <w:rPr>
          <w:rFonts w:ascii="Times New Roman" w:hAnsi="Times New Roman"/>
          <w:sz w:val="20"/>
        </w:rPr>
        <w:t>y”), is a biotechnology company with expertise in human pluripotent stem cell technology (“</w:t>
      </w:r>
      <w:r>
        <w:rPr>
          <w:rFonts w:ascii="Times New Roman" w:hAnsi="Times New Roman"/>
          <w:i/>
          <w:sz w:val="20"/>
        </w:rPr>
        <w:t>hPSC technology</w:t>
      </w:r>
      <w:r>
        <w:rPr>
          <w:rFonts w:ascii="Times New Roman" w:hAnsi="Times New Roman"/>
          <w:sz w:val="20"/>
        </w:rPr>
        <w:t xml:space="preserve">”).  The Company is currently applying its hPSC technology for drug rescue, including predictive toxicology and drug metabolism screening. The Company’s primary goal is to use its hPSC technology platform, </w:t>
      </w:r>
      <w:r>
        <w:rPr>
          <w:rFonts w:ascii="Times New Roman" w:hAnsi="Times New Roman"/>
          <w:i/>
          <w:sz w:val="20"/>
        </w:rPr>
        <w:t>Human Clinical Trials in a Test Tube</w:t>
      </w:r>
      <w:r>
        <w:rPr>
          <w:rFonts w:ascii="Times New Roman" w:hAnsi="Times New Roman"/>
          <w:sz w:val="20"/>
        </w:rPr>
        <w:t>™, and its network of strategic relationships, to generate novel, proprietary, safer variants (Drug Rescue Variants) of once-promising small molecule drug candidates discovered, developed and ultimately discontinued by biotechnology or pharmaceutical companies prior to market approval due to unexpected heart or liver safety concerns.  The Company’s drug rescue strategy focuses on leveraging both substantial prior third-party investment in discovery and development of drug candidates now suitable for drug rescue and its hPSC technology to make in vitro predictions of how humans will respond to Drug Rescue Variants, early in the drug development cost curve, before they are tested in animals or humans.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AV-101 is VistaGen's orally-available, small molecule prodrug candidate.  AV-101 has successfully completed Phase 1 clinical development in the Unites States for treatment of neuropathic pain. Neuropathic pain, a serious and chronic condition causing pain after an injury or disease of the peripheral or central nervous system, affects millions of people worldwide. The NIH awarded VistaGen approximately $8.8 million for preclinical and Phase 1 clinical development of AV-101.  VistaGen is currently exploring potential strategic alternatives for further development of AV-101 for neuropathic pain and depression.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is in the development stage and, since inception, has devoted substantially all of its time and efforts to hPSC technology research and development, including, among other things, bioassay system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California corporation incorporated on May 26, 1998 (“</w:t>
      </w:r>
      <w:r>
        <w:rPr>
          <w:rFonts w:ascii="Times New Roman" w:hAnsi="Times New Roman"/>
          <w:i/>
          <w:sz w:val="20"/>
        </w:rPr>
        <w:t>VistaGen California</w:t>
      </w:r>
      <w:r>
        <w:rPr>
          <w:rFonts w:ascii="Times New Roman" w:hAnsi="Times New Roman"/>
          <w:sz w:val="20"/>
        </w:rPr>
        <w:t>”), is a wholly-owned subsidiary of the Company.  As described more completely in the Company’s Annual Report on Form 10-K for the fiscal year ended March 31, 2013, pursuant to a strategic merger transaction on May 11, 2011, the Company acquired all outstanding shares of VistaGen California in exchange for 6,836,452 shares of the Company’s common stock (the “</w:t>
      </w:r>
      <w:r>
        <w:rPr>
          <w:rFonts w:ascii="Times New Roman" w:hAnsi="Times New Roman"/>
          <w:i/>
          <w:sz w:val="20"/>
        </w:rPr>
        <w:t>Merger</w:t>
      </w:r>
      <w:r>
        <w:rPr>
          <w:rFonts w:ascii="Times New Roman" w:hAnsi="Times New Roman"/>
          <w:sz w:val="20"/>
        </w:rPr>
        <w:t>”), and assumed all of VistaGen California’s pre-Merger obligations. The Condensed Consolidated Financial Statements of the Company included in this report also include the accounts of VistaGen California’s two wholly-owned subsidiaries, Artemis Neuroscience, Inc., a Maryland corporation, and VistaStem Canada, Inc., a corporation organized under the laws of Ontario, Canada.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Basis of Presentation and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w:t>
      </w:r>
      <w:r>
        <w:rPr>
          <w:rFonts w:ascii="Times New Roman" w:hAnsi="Times New Roman"/>
          <w:i/>
          <w:sz w:val="20"/>
        </w:rPr>
        <w:t>U.S. GAAP</w:t>
      </w:r>
      <w:r>
        <w:rPr>
          <w:rFonts w:ascii="Times New Roman" w:hAnsi="Times New Roman"/>
          <w:sz w:val="20"/>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2013 has been derived from the Company's audited consolidated financial statements at that date but does not include all disclosures required by U.S. GAAP.  The operating results for the quarter and six months ended September 30, 2013 are not necessarily indicative of the operating results to be expected for the Company's fiscal year ending March 31, 2014 or for any other interim period or any other future period.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for the fiscal year ended March 31, 2013 contained in its Annual Report on Form 10-K, as filed with the United States Securities and Exchange Commission (“</w:t>
      </w:r>
      <w:r>
        <w:rPr>
          <w:rFonts w:ascii="Times New Roman" w:hAnsi="Times New Roman"/>
          <w:i/>
          <w:sz w:val="20"/>
        </w:rPr>
        <w:t>SEC</w:t>
      </w:r>
      <w:r>
        <w:rPr>
          <w:rFonts w:ascii="Times New Roman" w:hAnsi="Times New Roman"/>
          <w:sz w:val="20"/>
        </w:rPr>
        <w: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 w:name="PGBRK4"/>
      <w:bookmarkStart w:id="45" w:name="PGBRK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FTR4"/>
      <w:bookmarkStart w:id="47" w:name="FT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 w:name="GLFTR4"/>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 w:name="PN4"/>
      <w:bookmarkEnd w:id="4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HDR4"/>
      <w:bookmarkStart w:id="51" w:name="HDR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2" w:name="GLHDR4"/>
        <w:bookmarkEnd w:id="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September 30, 2013, the Company has a deficit accumulated during its development stage of $68.9 million.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programs and, potentially, regenerative cell therapy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its inception in May 1998, the Company has financed its operations and technology acquisitions primarily through the issuance and sale of equity and debt securities, including convertible promissory notes and short-term promissory notes, for cash proceeds of approximately $25.2 million, as well as from an aggregate of approximately $16.4 million of government research grant awards, strategic collaboration payments and other revenues.  Additionally, the Company has issued equity securities with an approximate value at issuance of $12.6 million in non-cash settlements of certain liabilities, including liabilities for professional services rendered to the Company or as compensation for such services. At September 30, 2013, the Company had approximately $6,500 in cash and cash equivalents. Such cash and cash equivalents are not sufficient to enable the Company to fund its planned operations, including expected cash expenditures of approximately $5 million through the next twelve months. However, on April 8, 2013, the Company entered into a Securities Purchase Agreement (as amended, the “</w:t>
      </w:r>
      <w:r>
        <w:rPr>
          <w:rFonts w:ascii="Times New Roman" w:hAnsi="Times New Roman"/>
          <w:i/>
          <w:sz w:val="20"/>
        </w:rPr>
        <w:t>Securities 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Under the terms of the Securities Purchase Agreement, Autilion is contractually obligated to purchase an aggregate of 72.0 million restricted shares of the Company’s common stock at a purchase price of $0.50 per share for aggregate cash consideration of $36.0 million, in a series of tranches scheduled to have closed on or before September 30, 2013 (“</w:t>
      </w:r>
      <w:r>
        <w:rPr>
          <w:rFonts w:ascii="Times New Roman" w:hAnsi="Times New Roman"/>
          <w:i/>
          <w:sz w:val="20"/>
        </w:rPr>
        <w:t>Autilion Financing</w:t>
      </w:r>
      <w:r>
        <w:rPr>
          <w:rFonts w:ascii="Times New Roman" w:hAnsi="Times New Roman"/>
          <w:sz w:val="20"/>
        </w:rPr>
        <w:t xml:space="preserve">”). At September 30, 2013, the Company had completed a nominal initial closing of $25,000 and issued 50,000 restricted shares of its common stock under the Autilion Financing.  Autilion has informed the Company that the delayed closing of the Autilion Financing is due to administrative matters and financial transactions involving Autilion, its international affiliates, investment partners and counterparties, including financial transactions intended to increase substantially the aggregate amount of investment capital available to Autilion and its affiliates.  Although Autilion remains in default under the Securities Purchase Agreement, subsequent to September 30, 2013, Autilion has informed the Company that the Company will receive the full $36 million of proceeds contemplated by the Securities Purchase Agreement. As a result of the delay in closing the Autilion Financing prior to the date of this report, however, the Company, cannot give any assurances as to whether it will receive any additional funding from Autilion in connection with the Autilion Financing in a timely manner, or at all.  To provide working capital for operations prior to the anticipated closing of the Autilion Financing, from September 30, 2013 through the date of this report, the Company completed private placements of its securities resulting in aggregate cash proceeds of $175,000, as described in Note 11,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To the extent necessary, the Company may also seek to meet its cash needs and fund its working capital requirements through a combination of additional private placements of its securities, which may include both debt and equity securities issued to Platinum Long Term Growth Fund VII (“</w:t>
      </w:r>
      <w:r>
        <w:rPr>
          <w:rFonts w:ascii="Times New Roman" w:hAnsi="Times New Roman"/>
          <w:i/>
          <w:sz w:val="20"/>
        </w:rPr>
        <w:t>Platinum</w:t>
      </w:r>
      <w:r>
        <w:rPr>
          <w:rFonts w:ascii="Times New Roman" w:hAnsi="Times New Roman"/>
          <w:sz w:val="20"/>
        </w:rPr>
        <w:t>”), currently its largest institutional investor, and/or other investors, stem cell technology-based research and development collaborations, stem cell technology and drug candidate license fees and government grant awards. Additionally, the Company expects that its participation in strategic collaborations, including licensing transactions, may provide additional cash in support of its future working capital requirements.  If the Company is unable to complete the Autilion Financing under the Securities Purchase Agreement or obtain sufficient financing from other sources, if required, it may be required to reduce, defer, or discontinue certain of its research and development activities or it may not be able to continue as a going concern.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5"/>
      <w:bookmarkEnd w:id="5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1" w:name="GLHDR5"/>
        <w:bookmarkEnd w:id="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62" w:name="hangingindent"/>
      <w:bookmarkStart w:id="63" w:name="hangingindent"/>
      <w:bookmarkEnd w:id="63"/>
    </w:p>
    <w:tbl>
      <w:tblPr>
        <w:tblW w:w="5000" w:type="pct"/>
        <w:jc w:val="center"/>
        <w:tblInd w:w="0" w:type="dxa"/>
        <w:tblCellMar>
          <w:top w:w="0" w:type="dxa"/>
          <w:left w:w="0" w:type="dxa"/>
          <w:bottom w:w="0" w:type="dxa"/>
          <w:right w:w="0" w:type="dxa"/>
        </w:tblCellMar>
      </w:tblPr>
      <w:tblGrid>
        <w:gridCol w:w="174"/>
        <w:gridCol w:w="10031"/>
      </w:tblGrid>
      <w:tr>
        <w:trPr/>
        <w:tc>
          <w:tcPr>
            <w:tcW w:w="174" w:type="dxa"/>
            <w:tcBorders/>
            <w:shd w:fill="auto" w:val="clear"/>
          </w:tcPr>
          <w:p>
            <w:pPr>
              <w:pStyle w:val="TableContents"/>
              <w:spacing w:before="0" w:after="0"/>
              <w:ind w:left="0" w:right="0" w:hanging="0"/>
              <w:jc w:val="center"/>
              <w:rPr/>
            </w:pPr>
            <w:r>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
      <w:bookmarkStart w:id="65" w:name="hangingindent1"/>
      <w:bookmarkEnd w:id="65"/>
    </w:p>
    <w:tbl>
      <w:tblPr>
        <w:tblW w:w="5000" w:type="pct"/>
        <w:jc w:val="center"/>
        <w:tblInd w:w="0" w:type="dxa"/>
        <w:tblCellMar>
          <w:top w:w="0" w:type="dxa"/>
          <w:left w:w="0" w:type="dxa"/>
          <w:bottom w:w="0" w:type="dxa"/>
          <w:right w:w="0" w:type="dxa"/>
        </w:tblCellMar>
      </w:tblPr>
      <w:tblGrid>
        <w:gridCol w:w="174"/>
        <w:gridCol w:w="10031"/>
      </w:tblGrid>
      <w:tr>
        <w:trPr/>
        <w:tc>
          <w:tcPr>
            <w:tcW w:w="174" w:type="dxa"/>
            <w:tcBorders/>
            <w:shd w:fill="auto" w:val="clear"/>
          </w:tcPr>
          <w:p>
            <w:pPr>
              <w:pStyle w:val="TableContents"/>
              <w:spacing w:before="0" w:after="0"/>
              <w:ind w:left="0" w:right="0" w:hanging="0"/>
              <w:jc w:val="center"/>
              <w:rPr/>
            </w:pPr>
            <w:r>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2"/>
      <w:bookmarkStart w:id="67" w:name="hangingindent2"/>
      <w:bookmarkEnd w:id="67"/>
    </w:p>
    <w:tbl>
      <w:tblPr>
        <w:tblW w:w="5000" w:type="pct"/>
        <w:jc w:val="center"/>
        <w:tblInd w:w="0" w:type="dxa"/>
        <w:tblCellMar>
          <w:top w:w="0" w:type="dxa"/>
          <w:left w:w="0" w:type="dxa"/>
          <w:bottom w:w="0" w:type="dxa"/>
          <w:right w:w="0" w:type="dxa"/>
        </w:tblCellMar>
      </w:tblPr>
      <w:tblGrid>
        <w:gridCol w:w="174"/>
        <w:gridCol w:w="10031"/>
      </w:tblGrid>
      <w:tr>
        <w:trPr/>
        <w:tc>
          <w:tcPr>
            <w:tcW w:w="174" w:type="dxa"/>
            <w:tcBorders/>
            <w:shd w:fill="auto" w:val="clear"/>
          </w:tcPr>
          <w:p>
            <w:pPr>
              <w:pStyle w:val="TableContents"/>
              <w:spacing w:before="0" w:after="0"/>
              <w:ind w:left="0" w:right="0" w:hanging="0"/>
              <w:jc w:val="center"/>
              <w:rPr/>
            </w:pPr>
            <w:r>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Research and development expenses are composed of both internal and external costs.  Internal costs include salaries and employment related expenses of scientific personnel and direct project costs.  External research and development expenses consist primarily of sponsored stem cell research and development costs, costs associated with clinical and non-clinical development of AV-101, the Company’s small molecule prodrug candidate for neuropathic pain, depression and potentially other neurological conditions, and costs related to the application and prosecution of patents related to the Company’s hPSC technology platform,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Share-Based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6"/>
      <w:bookmarkStart w:id="69" w:name="PGBRK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FTR6"/>
      <w:bookmarkStart w:id="71" w:name="FTR6"/>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 w:name="GLFTR6"/>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 w:name="PN6"/>
      <w:bookmarkEnd w:id="7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HDR6"/>
      <w:bookmarkStart w:id="75" w:name="HDR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6" w:name="GLHDR6"/>
        <w:bookmarkEnd w:id="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77" w:name="TAB2"/>
      <w:bookmarkEnd w:id="77"/>
      <w:r>
        <w:rPr>
          <w:spacing w:val="180"/>
        </w:rPr>
        <w:t>   </w:t>
      </w:r>
      <w:r>
        <w:rPr/>
        <w:t xml:space="preserve">    </w:t>
      </w:r>
      <w:r>
        <w:rPr>
          <w:rFonts w:ascii="Times New Roman" w:hAnsi="Times New Roman"/>
          <w:sz w:val="20"/>
        </w:rPr>
        <w:t>The Company recorded share-based compensation costs of $125,900 and $223,700 related to option grants for the three and six month periods ended September 30, 2013, respectively, and $77,300 and $148,300 for the three and six month periods ended September 30, 2012, respectively.  The Company recorded additional share-based compensation costs of $100,300 and $200,600 for the three and six month periods ended September 30, 2013 related to warrants granted to certain of its officers and to its independent directors in March 2013. During the six months ended September 30, 2013, the Company granted options to purchase an aggregate of 80,000 shares at exercise prices from $0.80 per share to $0.82 per share (the quoted market price on the grant date) to two employees and a consultant. During the six months ended September 30, 2012, the Company granted options to purchase an aggregate of 155,000 shares at an exercise price of $0.51 per share (the quoted market price on the grant date) to certain employees (excluding senior management) and certain scientific consultants. At September 30, 2013, there were options outstanding to purchase 4,788,110 shares of the Company’s common stock at a weighted average exercise price of $1.31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Warrant Liability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Company has issued certain warrants to Platinum and, subject to Platinum’s exercise of its rights to exchange shares of the Company’s Series A Preferred stock that it holds, is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Times New Roman" w:hAnsi="Times New Roman"/>
          <w:i/>
          <w:sz w:val="20"/>
        </w:rPr>
        <w:t xml:space="preserve">Fair Value Measurements; </w:t>
      </w:r>
      <w:r>
        <w:rPr>
          <w:rFonts w:ascii="Times New Roman" w:hAnsi="Times New Roman"/>
          <w:sz w:val="20"/>
        </w:rPr>
        <w:t xml:space="preserve">Note 7, </w:t>
      </w:r>
      <w:r>
        <w:rPr>
          <w:rFonts w:ascii="Times New Roman" w:hAnsi="Times New Roman"/>
          <w:i/>
          <w:sz w:val="20"/>
        </w:rPr>
        <w:t>Convertible Promissory Notes and Other Notes Payable</w:t>
      </w:r>
      <w:r>
        <w:rPr>
          <w:rFonts w:ascii="Times New Roman" w:hAnsi="Times New Roman"/>
          <w:sz w:val="20"/>
        </w:rPr>
        <w:t>, and Note 9</w:t>
      </w:r>
      <w:r>
        <w:rPr>
          <w:rFonts w:ascii="Times New Roman" w:hAnsi="Times New Roman"/>
          <w:i/>
          <w:sz w:val="20"/>
        </w:rPr>
        <w:t>, Capital Stock</w:t>
      </w:r>
      <w:r>
        <w:rPr>
          <w:rFonts w:ascii="Times New Roman" w:hAnsi="Times New Roman"/>
          <w:sz w:val="20"/>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loss is therefore also subject to significant fluctuation and will continue to be so until all of the warrants are issued and exercised, amended or expire. Assuming all other fair value inputs remain generally constant, the Company will record non-cash expense when its stock price increases and non-cash income when its stock price decreases.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Comprehensive Loss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no components of other comprehensive loss other than net loss, and accordingly the Company’s comprehensive loss is equivalent to its net loss for the periods presented.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Potentially dilutive securities excluded in determining diluted net loss per common share are as follows: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662"/>
        <w:gridCol w:w="102"/>
        <w:gridCol w:w="102"/>
        <w:gridCol w:w="961"/>
        <w:gridCol w:w="102"/>
        <w:gridCol w:w="102"/>
        <w:gridCol w:w="102"/>
        <w:gridCol w:w="961"/>
        <w:gridCol w:w="111"/>
      </w:tblGrid>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 issued and outstanding (1)</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shares issuable to Platinum upon exercise of common stock warrants by Platinum upon exchange of Series A preferred stock under the terms of the October 11, 2012 Note Purchase and Exchange Agreement</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the 2008 and 1999 Stock Incentive Plans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4,788,110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4,920,771</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14,674,728</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5,127,434</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2012 12% convertible promissory notes and accrued interest</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357,900</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Exchange Note and Investment Notes issued to Platinum in October 2012, February 2013 and March 2013, including accrued interest through September 30, 2013 (2)</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7,127,926</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 issued to Platinum on July 26, 2013, including accrued interest through September 30, 2013</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509,214</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notes issued as a component of Unit Offering, including accrued interest through September 30, 2013</w:t>
            </w:r>
          </w:p>
        </w:tc>
        <w:tc>
          <w:tcPr>
            <w:tcW w:w="102" w:type="dxa"/>
            <w:tcBorders/>
            <w:shd w:fill="FFFFFF" w:val="clear"/>
            <w:vAlign w:val="bottom"/>
          </w:tcPr>
          <w:p>
            <w:pPr>
              <w:pStyle w:val="TableContents"/>
              <w:spacing w:before="0" w:after="283"/>
              <w:jc w:val="right"/>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416,111</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50,016,089</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15,406,105</w:t>
            </w:r>
          </w:p>
        </w:tc>
        <w:tc>
          <w:tcPr>
            <w:tcW w:w="111" w:type="dxa"/>
            <w:tcBorders/>
            <w:shd w:fill="CCEEFF" w:val="clear"/>
            <w:vAlign w:val="bottom"/>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at September 30, 2013, assumes exchange under the terms of the October 11, 2012  Note Exchange and Purchase Agreement with Platinum</w:t>
            </w:r>
          </w:p>
        </w:tc>
      </w:tr>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assumes conversion under the terms of the October 11, 2012  Note Exchange and Purchase Agreement with Platinum and the terms of the individual notes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8" w:name="PGBRK7"/>
      <w:bookmarkStart w:id="79" w:name="PGBRK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0" w:name="FTR7"/>
      <w:bookmarkStart w:id="81" w:name="FTR7"/>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2" w:name="GLFTR7"/>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7"/>
      <w:bookmarkEnd w:id="8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4" w:name="HDR7"/>
      <w:bookmarkStart w:id="85" w:name="HDR7"/>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86" w:name="GLHDR7"/>
        <w:bookmarkEnd w:id="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have been no recent accounting pronouncements or changes in accounting pronouncements during the six months ended September 30, 2013, as compared to the recent accounting pronouncements described in the Company’s Form 10-K for the fiscal year ended March 31, 2013, that are of significance or potential significance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Fair Value Measurements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87" w:name="hangingindent3"/>
      <w:bookmarkStart w:id="88" w:name="hangingindent3"/>
      <w:bookmarkEnd w:id="88"/>
    </w:p>
    <w:tbl>
      <w:tblPr>
        <w:tblW w:w="5000" w:type="pct"/>
        <w:jc w:val="center"/>
        <w:tblInd w:w="0" w:type="dxa"/>
        <w:tblCellMar>
          <w:top w:w="0" w:type="dxa"/>
          <w:left w:w="0" w:type="dxa"/>
          <w:bottom w:w="0" w:type="dxa"/>
          <w:right w:w="0" w:type="dxa"/>
        </w:tblCellMar>
      </w:tblPr>
      <w:tblGrid>
        <w:gridCol w:w="176"/>
        <w:gridCol w:w="10029"/>
      </w:tblGrid>
      <w:tr>
        <w:trPr/>
        <w:tc>
          <w:tcPr>
            <w:tcW w:w="176" w:type="dxa"/>
            <w:tcBorders/>
            <w:shd w:fill="auto" w:val="clear"/>
          </w:tcPr>
          <w:p>
            <w:pPr>
              <w:pStyle w:val="TableContents"/>
              <w:spacing w:before="0" w:after="0"/>
              <w:jc w:val="center"/>
              <w:rPr/>
            </w:pPr>
            <w:r>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p>
      <w:pPr>
        <w:pStyle w:val="Normal"/>
        <w:spacing w:before="0" w:after="0"/>
        <w:rPr>
          <w:sz w:val="4"/>
          <w:szCs w:val="4"/>
        </w:rPr>
      </w:pPr>
      <w:r>
        <w:rPr>
          <w:sz w:val="4"/>
          <w:szCs w:val="4"/>
        </w:rPr>
      </w:r>
      <w:bookmarkStart w:id="89" w:name="hangingindent4"/>
      <w:bookmarkStart w:id="90" w:name="hangingindent4"/>
      <w:bookmarkEnd w:id="90"/>
    </w:p>
    <w:tbl>
      <w:tblPr>
        <w:tblW w:w="5000" w:type="pct"/>
        <w:jc w:val="center"/>
        <w:tblInd w:w="0" w:type="dxa"/>
        <w:tblCellMar>
          <w:top w:w="0" w:type="dxa"/>
          <w:left w:w="0" w:type="dxa"/>
          <w:bottom w:w="0" w:type="dxa"/>
          <w:right w:w="0" w:type="dxa"/>
        </w:tblCellMar>
      </w:tblPr>
      <w:tblGrid>
        <w:gridCol w:w="176"/>
        <w:gridCol w:w="10029"/>
      </w:tblGrid>
      <w:tr>
        <w:trPr/>
        <w:tc>
          <w:tcPr>
            <w:tcW w:w="176" w:type="dxa"/>
            <w:tcBorders/>
            <w:shd w:fill="auto" w:val="clear"/>
          </w:tcPr>
          <w:p>
            <w:pPr>
              <w:pStyle w:val="TableContents"/>
              <w:spacing w:before="0" w:after="0"/>
              <w:jc w:val="center"/>
              <w:rPr/>
            </w:pPr>
            <w:r>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91" w:name="hangingindent5"/>
      <w:bookmarkStart w:id="92" w:name="hangingindent5"/>
      <w:bookmarkEnd w:id="92"/>
    </w:p>
    <w:tbl>
      <w:tblPr>
        <w:tblW w:w="5000" w:type="pct"/>
        <w:jc w:val="center"/>
        <w:tblInd w:w="0" w:type="dxa"/>
        <w:tblCellMar>
          <w:top w:w="0" w:type="dxa"/>
          <w:left w:w="0" w:type="dxa"/>
          <w:bottom w:w="0" w:type="dxa"/>
          <w:right w:w="0" w:type="dxa"/>
        </w:tblCellMar>
      </w:tblPr>
      <w:tblGrid>
        <w:gridCol w:w="176"/>
        <w:gridCol w:w="10029"/>
      </w:tblGrid>
      <w:tr>
        <w:trPr/>
        <w:tc>
          <w:tcPr>
            <w:tcW w:w="176" w:type="dxa"/>
            <w:tcBorders/>
            <w:shd w:fill="auto" w:val="clear"/>
          </w:tcPr>
          <w:p>
            <w:pPr>
              <w:pStyle w:val="TableContents"/>
              <w:spacing w:before="0" w:after="0"/>
              <w:jc w:val="center"/>
              <w:rPr/>
            </w:pPr>
            <w:r>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Times New Roman" w:hAnsi="Times New Roman"/>
          <w:i/>
          <w:sz w:val="20"/>
        </w:rPr>
        <w:t>Capital Stock</w:t>
      </w:r>
      <w:r>
        <w:rPr>
          <w:rFonts w:ascii="Times New Roman" w:hAnsi="Times New Roman"/>
          <w:sz w:val="20"/>
        </w:rPr>
        <w:t xml:space="preserve">), all pursuant to the Note Exchange and Purchase Agreement of October 2012 between the Company and Platinum (see Note 7, </w:t>
      </w:r>
      <w:r>
        <w:rPr>
          <w:rFonts w:ascii="Times New Roman" w:hAnsi="Times New Roman"/>
          <w:i/>
          <w:sz w:val="20"/>
        </w:rPr>
        <w:t>Convertible Promissory Notes and Other Notes Payable</w:t>
      </w:r>
      <w:r>
        <w:rPr>
          <w:rFonts w:ascii="Times New Roman" w:hAnsi="Times New Roman"/>
          <w:sz w:val="20"/>
        </w:rPr>
        <w:t>), and the issuance of the warrant related to the Senior Secured Convertible Promissory Note issued to Platinum in July 2013, the Company determined that the warrants included certain exercise price adjustment features requiring the warrants to be treated as liabilities, which were recorded at their estimated fair value. The Company determined the initial fair value of the warrant liability using a Monte Carlo simulation model with Level 3 inputs or the Black-Scholes Option Pricing model.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since March 31, 2013 have been recognized as non-cash component of other expense, net in the Condensed Consolidated Statements of Operations and Comprehensive Loss for the quarter and six months ended September 30, 2013.</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8"/>
      <w:bookmarkStart w:id="94" w:name="PGBRK8"/>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FTR8"/>
      <w:bookmarkStart w:id="96" w:name="FTR8"/>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GLFTR8"/>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 w:name="PN8"/>
      <w:bookmarkEnd w:id="9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HDR8"/>
      <w:bookmarkStart w:id="100" w:name="HDR8"/>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1" w:name="GLHDR8"/>
        <w:bookmarkEnd w:id="1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102" w:name="TAB21"/>
      <w:bookmarkEnd w:id="102"/>
      <w:r>
        <w:rPr>
          <w:spacing w:val="180"/>
        </w:rPr>
        <w:t>   </w:t>
      </w:r>
      <w:r>
        <w:rPr/>
        <w:t> </w:t>
      </w:r>
      <w:r>
        <w:rPr>
          <w:rFonts w:ascii="Times New Roman" w:hAnsi="Times New Roman"/>
          <w:sz w:val="20"/>
        </w:rPr>
        <w:t>The fair value hierarchy for the warrant liability measured at fair value on a recurring basis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159"/>
        <w:gridCol w:w="108"/>
        <w:gridCol w:w="168"/>
        <w:gridCol w:w="1362"/>
        <w:gridCol w:w="108"/>
        <w:gridCol w:w="108"/>
        <w:gridCol w:w="533"/>
        <w:gridCol w:w="813"/>
        <w:gridCol w:w="108"/>
        <w:gridCol w:w="108"/>
        <w:gridCol w:w="609"/>
        <w:gridCol w:w="943"/>
        <w:gridCol w:w="108"/>
        <w:gridCol w:w="108"/>
        <w:gridCol w:w="356"/>
        <w:gridCol w:w="1376"/>
        <w:gridCol w:w="130"/>
      </w:tblGrid>
      <w:tr>
        <w:trPr/>
        <w:tc>
          <w:tcPr>
            <w:tcW w:w="3159"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530"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506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 Date Using</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0" w:type="dxa"/>
            <w:tcBorders/>
            <w:shd w:fill="auto" w:val="clear"/>
            <w:vAlign w:val="bottom"/>
          </w:tcPr>
          <w:p>
            <w:pPr>
              <w:pStyle w:val="TableContents"/>
              <w:spacing w:before="0" w:after="283"/>
              <w:jc w:val="left"/>
              <w:rPr/>
            </w:pPr>
            <w:r>
              <w:rPr/>
              <w:t> </w:t>
            </w:r>
          </w:p>
        </w:tc>
      </w:tr>
      <w:tr>
        <w:trPr/>
        <w:tc>
          <w:tcPr>
            <w:tcW w:w="315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30, 2013:</w:t>
            </w:r>
          </w:p>
        </w:tc>
        <w:tc>
          <w:tcPr>
            <w:tcW w:w="108"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552"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r>
      <w:tr>
        <w:trPr/>
        <w:tc>
          <w:tcPr>
            <w:tcW w:w="31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4,657,300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0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4,657,300</w:t>
            </w:r>
          </w:p>
        </w:tc>
        <w:tc>
          <w:tcPr>
            <w:tcW w:w="130" w:type="dxa"/>
            <w:tcBorders/>
            <w:shd w:fill="CCEEFF" w:val="clear"/>
            <w:vAlign w:val="bottom"/>
          </w:tcPr>
          <w:p>
            <w:pPr>
              <w:pStyle w:val="TableContents"/>
              <w:spacing w:before="0" w:after="283"/>
              <w:jc w:val="left"/>
              <w:rPr/>
            </w:pPr>
            <w:r>
              <w:rPr/>
              <w:t> </w:t>
            </w:r>
          </w:p>
        </w:tc>
      </w:tr>
      <w:tr>
        <w:trPr/>
        <w:tc>
          <w:tcPr>
            <w:tcW w:w="31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2013:</w:t>
            </w:r>
          </w:p>
        </w:tc>
        <w:tc>
          <w:tcPr>
            <w:tcW w:w="108" w:type="dxa"/>
            <w:tcBorders/>
            <w:shd w:fill="FFFFFF" w:val="clear"/>
            <w:vAlign w:val="bottom"/>
          </w:tcPr>
          <w:p>
            <w:pPr>
              <w:pStyle w:val="TableContents"/>
              <w:spacing w:before="0" w:after="283"/>
              <w:jc w:val="left"/>
              <w:rPr/>
            </w:pPr>
            <w:r>
              <w:rPr/>
              <w:t> </w:t>
            </w:r>
          </w:p>
        </w:tc>
        <w:tc>
          <w:tcPr>
            <w:tcW w:w="168" w:type="dxa"/>
            <w:tcBorders/>
            <w:shd w:fill="FFFFFF" w:val="clear"/>
            <w:vAlign w:val="bottom"/>
          </w:tcPr>
          <w:p>
            <w:pPr>
              <w:pStyle w:val="TableContents"/>
              <w:spacing w:before="0" w:after="283"/>
              <w:jc w:val="left"/>
              <w:rPr/>
            </w:pPr>
            <w:r>
              <w:rPr/>
              <w:t> </w:t>
            </w:r>
          </w:p>
        </w:tc>
        <w:tc>
          <w:tcPr>
            <w:tcW w:w="1362"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533" w:type="dxa"/>
            <w:tcBorders/>
            <w:shd w:fill="FFFFFF" w:val="clear"/>
            <w:vAlign w:val="bottom"/>
          </w:tcPr>
          <w:p>
            <w:pPr>
              <w:pStyle w:val="TableContents"/>
              <w:spacing w:before="0" w:after="283"/>
              <w:jc w:val="left"/>
              <w:rPr/>
            </w:pPr>
            <w:r>
              <w:rPr/>
              <w:t> </w:t>
            </w:r>
          </w:p>
        </w:tc>
        <w:tc>
          <w:tcPr>
            <w:tcW w:w="81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609" w:type="dxa"/>
            <w:tcBorders/>
            <w:shd w:fill="FFFFFF" w:val="clear"/>
            <w:vAlign w:val="bottom"/>
          </w:tcPr>
          <w:p>
            <w:pPr>
              <w:pStyle w:val="TableContents"/>
              <w:spacing w:before="0" w:after="283"/>
              <w:jc w:val="left"/>
              <w:rPr/>
            </w:pPr>
            <w:r>
              <w:rPr/>
              <w:t> </w:t>
            </w:r>
          </w:p>
        </w:tc>
        <w:tc>
          <w:tcPr>
            <w:tcW w:w="94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356" w:type="dxa"/>
            <w:tcBorders/>
            <w:shd w:fill="FFFFFF" w:val="clear"/>
            <w:vAlign w:val="bottom"/>
          </w:tcPr>
          <w:p>
            <w:pPr>
              <w:pStyle w:val="TableContents"/>
              <w:spacing w:before="0" w:after="283"/>
              <w:jc w:val="left"/>
              <w:rPr/>
            </w:pPr>
            <w:r>
              <w:rPr/>
              <w:t> </w:t>
            </w:r>
          </w:p>
        </w:tc>
        <w:tc>
          <w:tcPr>
            <w:tcW w:w="1376"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r>
      <w:tr>
        <w:trPr/>
        <w:tc>
          <w:tcPr>
            <w:tcW w:w="31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0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3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bookmarkStart w:id="103" w:name="TAB22"/>
      <w:bookmarkEnd w:id="103"/>
      <w:r>
        <w:rPr>
          <w:spacing w:val="180"/>
        </w:rPr>
        <w:t>   </w:t>
      </w:r>
      <w:r>
        <w:rPr/>
        <w:t> </w:t>
      </w:r>
      <w:r>
        <w:rPr>
          <w:rFonts w:ascii="Times New Roman" w:hAnsi="Times New Roman"/>
          <w:sz w:val="20"/>
        </w:rPr>
        <w:t xml:space="preserve">During the six month period ended September 30, 2013, there was no significant change to the valuation models used for purposes of determining the fair value of the Level 3 warrant liability.  The decline in the market price of the Company’s common stock since March 31, 2013 and the reduction in the exercise price of the warrants as described in Note 9, </w:t>
      </w:r>
      <w:r>
        <w:rPr>
          <w:rFonts w:ascii="Times New Roman" w:hAnsi="Times New Roman"/>
          <w:i/>
          <w:sz w:val="20"/>
        </w:rPr>
        <w:t>Capital Stock</w:t>
      </w:r>
      <w:r>
        <w:rPr>
          <w:rFonts w:ascii="Times New Roman" w:hAnsi="Times New Roman"/>
          <w:sz w:val="20"/>
        </w:rPr>
        <w:t>, are the primary factors resulting in the reduction in the warrant liability.</w:t>
      </w:r>
    </w:p>
    <w:p>
      <w:pPr>
        <w:pStyle w:val="TextBody"/>
        <w:spacing w:before="0" w:after="0"/>
        <w:ind w:left="0" w:right="0" w:hanging="0"/>
        <w:rPr/>
      </w:pPr>
      <w:r>
        <w:rPr/>
      </w:r>
    </w:p>
    <w:p>
      <w:pPr>
        <w:pStyle w:val="TextBody"/>
        <w:spacing w:before="0" w:after="0"/>
        <w:ind w:left="0" w:right="0" w:hanging="0"/>
        <w:jc w:val="left"/>
        <w:rPr/>
      </w:pPr>
      <w:bookmarkStart w:id="104" w:name="TAB23"/>
      <w:bookmarkEnd w:id="104"/>
      <w:r>
        <w:rPr>
          <w:spacing w:val="180"/>
        </w:rPr>
        <w:t>   </w:t>
      </w:r>
      <w:r>
        <w:rPr/>
        <w:t> </w:t>
      </w:r>
      <w:r>
        <w:rPr>
          <w:rFonts w:ascii="Times New Roman" w:hAnsi="Times New Roman"/>
          <w:sz w:val="20"/>
        </w:rPr>
        <w:t>The changes in Level 3 liabilities measured at fair value on a recurring basis are as follows:</w:t>
      </w:r>
    </w:p>
    <w:tbl>
      <w:tblPr>
        <w:tblW w:w="5000" w:type="pct"/>
        <w:jc w:val="left"/>
        <w:tblInd w:w="0" w:type="dxa"/>
        <w:tblCellMar>
          <w:top w:w="0" w:type="dxa"/>
          <w:left w:w="0" w:type="dxa"/>
          <w:bottom w:w="0" w:type="dxa"/>
          <w:right w:w="0" w:type="dxa"/>
        </w:tblCellMar>
      </w:tblPr>
      <w:tblGrid>
        <w:gridCol w:w="8028"/>
        <w:gridCol w:w="112"/>
        <w:gridCol w:w="151"/>
        <w:gridCol w:w="1783"/>
        <w:gridCol w:w="131"/>
      </w:tblGrid>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w:t>
            </w:r>
          </w:p>
        </w:tc>
        <w:tc>
          <w:tcPr>
            <w:tcW w:w="131" w:type="dxa"/>
            <w:tcBorders/>
            <w:shd w:fill="auto" w:val="clear"/>
            <w:vAlign w:val="bottom"/>
          </w:tcPr>
          <w:p>
            <w:pPr>
              <w:pStyle w:val="TableContents"/>
              <w:spacing w:before="0" w:after="283"/>
              <w:jc w:val="left"/>
              <w:rPr/>
            </w:pPr>
            <w:r>
              <w:rPr/>
              <w:t> </w:t>
            </w:r>
          </w:p>
        </w:tc>
      </w:tr>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Using Significant</w:t>
            </w:r>
          </w:p>
        </w:tc>
        <w:tc>
          <w:tcPr>
            <w:tcW w:w="131" w:type="dxa"/>
            <w:tcBorders/>
            <w:shd w:fill="auto" w:val="clear"/>
            <w:vAlign w:val="bottom"/>
          </w:tcPr>
          <w:p>
            <w:pPr>
              <w:pStyle w:val="TableContents"/>
              <w:spacing w:before="0" w:after="283"/>
              <w:jc w:val="left"/>
              <w:rPr/>
            </w:pPr>
            <w:r>
              <w:rPr/>
              <w:t> </w:t>
            </w:r>
          </w:p>
        </w:tc>
      </w:tr>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w:t>
            </w:r>
          </w:p>
        </w:tc>
        <w:tc>
          <w:tcPr>
            <w:tcW w:w="131" w:type="dxa"/>
            <w:tcBorders/>
            <w:shd w:fill="auto" w:val="clear"/>
            <w:vAlign w:val="bottom"/>
          </w:tcPr>
          <w:p>
            <w:pPr>
              <w:pStyle w:val="TableContents"/>
              <w:spacing w:before="0" w:after="283"/>
              <w:jc w:val="left"/>
              <w:rPr/>
            </w:pPr>
            <w:r>
              <w:rPr/>
              <w:t> </w:t>
            </w:r>
          </w:p>
        </w:tc>
      </w:tr>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1" w:type="dxa"/>
            <w:tcBorders/>
            <w:shd w:fill="auto" w:val="clear"/>
            <w:vAlign w:val="bottom"/>
          </w:tcPr>
          <w:p>
            <w:pPr>
              <w:pStyle w:val="TableContents"/>
              <w:spacing w:before="0" w:after="283"/>
              <w:jc w:val="left"/>
              <w:rPr/>
            </w:pPr>
            <w:r>
              <w:rPr/>
              <w:t> </w:t>
            </w:r>
          </w:p>
        </w:tc>
      </w:tr>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 Liability</w:t>
            </w:r>
          </w:p>
        </w:tc>
        <w:tc>
          <w:tcPr>
            <w:tcW w:w="131" w:type="dxa"/>
            <w:tcBorders/>
            <w:shd w:fill="auto" w:val="clear"/>
            <w:vAlign w:val="bottom"/>
          </w:tcPr>
          <w:p>
            <w:pPr>
              <w:pStyle w:val="TableContents"/>
              <w:spacing w:before="0" w:after="283"/>
              <w:jc w:val="left"/>
              <w:rPr/>
            </w:pPr>
            <w:r>
              <w:rPr/>
              <w:t> </w:t>
            </w:r>
          </w:p>
        </w:tc>
      </w:tr>
      <w:tr>
        <w:trPr/>
        <w:tc>
          <w:tcPr>
            <w:tcW w:w="802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934"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80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2013</w:t>
            </w:r>
          </w:p>
        </w:tc>
        <w:tc>
          <w:tcPr>
            <w:tcW w:w="112"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31" w:type="dxa"/>
            <w:tcBorders/>
            <w:shd w:fill="CCEEFF" w:val="clear"/>
            <w:vAlign w:val="bottom"/>
          </w:tcPr>
          <w:p>
            <w:pPr>
              <w:pStyle w:val="TableContents"/>
              <w:spacing w:before="0" w:after="283"/>
              <w:jc w:val="left"/>
              <w:rPr/>
            </w:pPr>
            <w:r>
              <w:rPr/>
              <w:t> </w:t>
            </w:r>
          </w:p>
        </w:tc>
      </w:tr>
      <w:tr>
        <w:trPr/>
        <w:tc>
          <w:tcPr>
            <w:tcW w:w="8028"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1783"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80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Recognition of warrant liability upon issuance of Senior Secured Convertible Promissory Note to Platinum on July 26, 2013</w:t>
            </w:r>
          </w:p>
        </w:tc>
        <w:tc>
          <w:tcPr>
            <w:tcW w:w="112"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17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146,800</w:t>
            </w:r>
          </w:p>
        </w:tc>
        <w:tc>
          <w:tcPr>
            <w:tcW w:w="131" w:type="dxa"/>
            <w:tcBorders/>
            <w:shd w:fill="CCEEFF" w:val="clear"/>
            <w:vAlign w:val="bottom"/>
          </w:tcPr>
          <w:p>
            <w:pPr>
              <w:pStyle w:val="TableContents"/>
              <w:spacing w:before="0" w:after="283"/>
              <w:jc w:val="left"/>
              <w:rPr/>
            </w:pPr>
            <w:r>
              <w:rPr/>
              <w:t> </w:t>
            </w:r>
          </w:p>
        </w:tc>
      </w:tr>
      <w:tr>
        <w:trPr/>
        <w:tc>
          <w:tcPr>
            <w:tcW w:w="80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to market gain included in net loss</w:t>
            </w:r>
          </w:p>
        </w:tc>
        <w:tc>
          <w:tcPr>
            <w:tcW w:w="112" w:type="dxa"/>
            <w:tcBorders/>
            <w:shd w:fill="FFFFFF" w:val="clear"/>
            <w:vAlign w:val="bottom"/>
          </w:tcPr>
          <w:p>
            <w:pPr>
              <w:pStyle w:val="TableContents"/>
              <w:spacing w:before="0" w:after="283"/>
              <w:jc w:val="right"/>
              <w:rPr/>
            </w:pPr>
            <w:r>
              <w:rPr/>
              <w:t> </w:t>
            </w:r>
          </w:p>
        </w:tc>
        <w:tc>
          <w:tcPr>
            <w:tcW w:w="1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78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(1,883,500</w:t>
            </w:r>
          </w:p>
        </w:tc>
        <w:tc>
          <w:tcPr>
            <w:tcW w:w="1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0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September 30, 2013</w:t>
            </w:r>
          </w:p>
        </w:tc>
        <w:tc>
          <w:tcPr>
            <w:tcW w:w="112" w:type="dxa"/>
            <w:tcBorders/>
            <w:shd w:fill="CCEEFF" w:val="clear"/>
            <w:vAlign w:val="bottom"/>
          </w:tcPr>
          <w:p>
            <w:pPr>
              <w:pStyle w:val="TableContents"/>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8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4,657,300</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spacing w:val="180"/>
        </w:rPr>
      </w:pPr>
      <w:bookmarkStart w:id="105" w:name="TAB24"/>
      <w:bookmarkEnd w:id="105"/>
      <w:r>
        <w:rPr>
          <w:spacing w:val="180"/>
        </w:rPr>
        <w:t>   </w:t>
      </w:r>
    </w:p>
    <w:p>
      <w:pPr>
        <w:pStyle w:val="TextBody"/>
        <w:spacing w:before="0" w:after="0"/>
        <w:ind w:left="0" w:right="0" w:hanging="0"/>
        <w:rPr/>
      </w:pPr>
      <w:bookmarkStart w:id="106" w:name="TAB25"/>
      <w:bookmarkEnd w:id="106"/>
      <w:r>
        <w:rPr>
          <w:spacing w:val="180"/>
        </w:rPr>
        <w:t>   </w:t>
      </w:r>
      <w:r>
        <w:rPr/>
        <w:t xml:space="preserve">     </w:t>
      </w:r>
      <w:r>
        <w:rPr>
          <w:rFonts w:ascii="Times New Roman" w:hAnsi="Times New Roman"/>
          <w:sz w:val="20"/>
        </w:rPr>
        <w:t>No assets or other liabilities were carried at fair value at September 30, 2013 or March 31, 2013.</w:t>
      </w:r>
    </w:p>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5.  Prepaid Expenses and Other Current Assets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Prepaid expenses and other current assets is composed of the following at September 30, 2013 and March 31, 2013:</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853"/>
        <w:gridCol w:w="111"/>
        <w:gridCol w:w="133"/>
        <w:gridCol w:w="1341"/>
        <w:gridCol w:w="111"/>
        <w:gridCol w:w="111"/>
        <w:gridCol w:w="130"/>
        <w:gridCol w:w="1296"/>
        <w:gridCol w:w="119"/>
      </w:tblGrid>
      <w:tr>
        <w:trPr/>
        <w:tc>
          <w:tcPr>
            <w:tcW w:w="685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9" w:type="dxa"/>
            <w:tcBorders/>
            <w:shd w:fill="auto" w:val="clear"/>
            <w:vAlign w:val="bottom"/>
          </w:tcPr>
          <w:p>
            <w:pPr>
              <w:pStyle w:val="TableContents"/>
              <w:spacing w:before="0" w:after="283"/>
              <w:jc w:val="left"/>
              <w:rPr/>
            </w:pPr>
            <w:r>
              <w:rPr/>
              <w:t> </w:t>
            </w:r>
          </w:p>
        </w:tc>
      </w:tr>
      <w:tr>
        <w:trPr/>
        <w:tc>
          <w:tcPr>
            <w:tcW w:w="685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9" w:type="dxa"/>
            <w:tcBorders/>
            <w:shd w:fill="auto" w:val="clear"/>
            <w:vAlign w:val="bottom"/>
          </w:tcPr>
          <w:p>
            <w:pPr>
              <w:pStyle w:val="TableContents"/>
              <w:spacing w:before="0" w:after="283"/>
              <w:jc w:val="left"/>
              <w:rPr/>
            </w:pPr>
            <w:r>
              <w:rPr/>
              <w:t> </w:t>
            </w:r>
          </w:p>
        </w:tc>
      </w:tr>
      <w:tr>
        <w:trPr/>
        <w:tc>
          <w:tcPr>
            <w:tcW w:w="685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7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85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Insurance</w:t>
            </w:r>
          </w:p>
        </w:tc>
        <w:tc>
          <w:tcPr>
            <w:tcW w:w="111"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19,700</w:t>
            </w:r>
          </w:p>
        </w:tc>
        <w:tc>
          <w:tcPr>
            <w:tcW w:w="119" w:type="dxa"/>
            <w:tcBorders/>
            <w:shd w:fill="CCEEFF" w:val="clear"/>
            <w:vAlign w:val="bottom"/>
          </w:tcPr>
          <w:p>
            <w:pPr>
              <w:pStyle w:val="TableContents"/>
              <w:spacing w:before="0" w:after="283"/>
              <w:jc w:val="left"/>
              <w:rPr/>
            </w:pPr>
            <w:r>
              <w:rPr/>
              <w:t> </w:t>
            </w:r>
          </w:p>
        </w:tc>
      </w:tr>
      <w:tr>
        <w:trPr/>
        <w:tc>
          <w:tcPr>
            <w:tcW w:w="685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Rent</w:t>
            </w:r>
          </w:p>
        </w:tc>
        <w:tc>
          <w:tcPr>
            <w:tcW w:w="111"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3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20,200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c>
          <w:tcPr>
            <w:tcW w:w="12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685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Legal fees</w:t>
            </w:r>
          </w:p>
        </w:tc>
        <w:tc>
          <w:tcPr>
            <w:tcW w:w="111"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c>
          <w:tcPr>
            <w:tcW w:w="13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2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119" w:type="dxa"/>
            <w:tcBorders/>
            <w:shd w:fill="CCEEFF" w:val="clear"/>
            <w:vAlign w:val="bottom"/>
          </w:tcPr>
          <w:p>
            <w:pPr>
              <w:pStyle w:val="TableContents"/>
              <w:spacing w:before="0" w:after="283"/>
              <w:jc w:val="left"/>
              <w:rPr/>
            </w:pPr>
            <w:r>
              <w:rPr/>
              <w:t> </w:t>
            </w:r>
          </w:p>
        </w:tc>
      </w:tr>
      <w:tr>
        <w:trPr/>
        <w:tc>
          <w:tcPr>
            <w:tcW w:w="685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receivable on note receivable from sale of common stock</w:t>
            </w:r>
          </w:p>
        </w:tc>
        <w:tc>
          <w:tcPr>
            <w:tcW w:w="111"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3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c>
          <w:tcPr>
            <w:tcW w:w="12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9" w:type="dxa"/>
            <w:tcBorders/>
            <w:shd w:fill="FFFFFF" w:val="clear"/>
            <w:vAlign w:val="bottom"/>
          </w:tcPr>
          <w:p>
            <w:pPr>
              <w:pStyle w:val="TableContents"/>
              <w:spacing w:before="0" w:after="283"/>
              <w:jc w:val="left"/>
              <w:rPr/>
            </w:pPr>
            <w:r>
              <w:rPr/>
              <w:t> </w:t>
            </w:r>
          </w:p>
        </w:tc>
      </w:tr>
      <w:tr>
        <w:trPr/>
        <w:tc>
          <w:tcPr>
            <w:tcW w:w="685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Receivable from landlord</w:t>
            </w:r>
          </w:p>
        </w:tc>
        <w:tc>
          <w:tcPr>
            <w:tcW w:w="111"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c>
          <w:tcPr>
            <w:tcW w:w="13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12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685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Technology license fees and all other</w:t>
            </w:r>
          </w:p>
        </w:tc>
        <w:tc>
          <w:tcPr>
            <w:tcW w:w="111"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19" w:type="dxa"/>
            <w:tcBorders/>
            <w:shd w:fill="FFFFFF" w:val="clear"/>
            <w:vAlign w:val="bottom"/>
          </w:tcPr>
          <w:p>
            <w:pPr>
              <w:pStyle w:val="TableContents"/>
              <w:spacing w:before="0" w:after="283"/>
              <w:jc w:val="left"/>
              <w:rPr/>
            </w:pPr>
            <w:r>
              <w:rPr/>
              <w:t> </w:t>
            </w:r>
          </w:p>
        </w:tc>
      </w:tr>
      <w:tr>
        <w:trPr/>
        <w:tc>
          <w:tcPr>
            <w:tcW w:w="6853"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right"/>
              <w:rPr/>
            </w:pPr>
            <w:r>
              <w:rPr/>
              <w:t>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147,500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Accrued Expenses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Accrued expenses is composed of the following at September 30, 2013 and March 31, 2013:</w:t>
      </w:r>
    </w:p>
    <w:tbl>
      <w:tblPr>
        <w:tblW w:w="5000" w:type="pct"/>
        <w:jc w:val="left"/>
        <w:tblInd w:w="0" w:type="dxa"/>
        <w:tblCellMar>
          <w:top w:w="0" w:type="dxa"/>
          <w:left w:w="0" w:type="dxa"/>
          <w:bottom w:w="0" w:type="dxa"/>
          <w:right w:w="0" w:type="dxa"/>
        </w:tblCellMar>
      </w:tblPr>
      <w:tblGrid>
        <w:gridCol w:w="6818"/>
        <w:gridCol w:w="110"/>
        <w:gridCol w:w="134"/>
        <w:gridCol w:w="1343"/>
        <w:gridCol w:w="110"/>
        <w:gridCol w:w="110"/>
        <w:gridCol w:w="131"/>
        <w:gridCol w:w="1328"/>
        <w:gridCol w:w="121"/>
      </w:tblGrid>
      <w:tr>
        <w:trPr/>
        <w:tc>
          <w:tcPr>
            <w:tcW w:w="681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1" w:type="dxa"/>
            <w:tcBorders/>
            <w:shd w:fill="auto" w:val="clear"/>
            <w:vAlign w:val="bottom"/>
          </w:tcPr>
          <w:p>
            <w:pPr>
              <w:pStyle w:val="TableContents"/>
              <w:spacing w:before="0" w:after="283"/>
              <w:jc w:val="left"/>
              <w:rPr/>
            </w:pPr>
            <w:r>
              <w:rPr/>
              <w:t> </w:t>
            </w:r>
          </w:p>
        </w:tc>
      </w:tr>
      <w:tr>
        <w:trPr/>
        <w:tc>
          <w:tcPr>
            <w:tcW w:w="681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21" w:type="dxa"/>
            <w:tcBorders/>
            <w:shd w:fill="auto" w:val="clear"/>
            <w:vAlign w:val="bottom"/>
          </w:tcPr>
          <w:p>
            <w:pPr>
              <w:pStyle w:val="TableContents"/>
              <w:spacing w:before="0" w:after="283"/>
              <w:jc w:val="left"/>
              <w:rPr/>
            </w:pPr>
            <w:r>
              <w:rPr/>
              <w:t> </w:t>
            </w:r>
          </w:p>
        </w:tc>
      </w:tr>
      <w:tr>
        <w:trPr/>
        <w:tc>
          <w:tcPr>
            <w:tcW w:w="681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7"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professional services</w:t>
            </w:r>
          </w:p>
        </w:tc>
        <w:tc>
          <w:tcPr>
            <w:tcW w:w="11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98,300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67,800</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vacation pay and other compensation</w:t>
            </w:r>
          </w:p>
        </w:tc>
        <w:tc>
          <w:tcPr>
            <w:tcW w:w="11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271,600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219,300</w:t>
            </w:r>
          </w:p>
        </w:tc>
        <w:tc>
          <w:tcPr>
            <w:tcW w:w="121"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royalties and license fees</w:t>
            </w:r>
          </w:p>
        </w:tc>
        <w:tc>
          <w:tcPr>
            <w:tcW w:w="11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w:t>
            </w:r>
          </w:p>
        </w:tc>
        <w:tc>
          <w:tcPr>
            <w:tcW w:w="11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30,800</w:t>
            </w:r>
          </w:p>
        </w:tc>
        <w:tc>
          <w:tcPr>
            <w:tcW w:w="121"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462,000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21"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07" w:name="PGBRK9"/>
      <w:bookmarkStart w:id="108" w:name="PGBRK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9" w:name="FTR9"/>
      <w:bookmarkStart w:id="110" w:name="FTR9"/>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1" w:name="GLFTR9"/>
      <w:bookmarkEnd w:id="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i w:val="false"/>
          <w:caps w:val="false"/>
          <w:smallCaps w:val="false"/>
          <w:color w:val="000000"/>
          <w:sz w:val="20"/>
        </w:rPr>
      </w:pPr>
      <w:bookmarkStart w:id="112" w:name="PN9"/>
      <w:bookmarkEnd w:id="112"/>
      <w:r>
        <w:rPr>
          <w:rFonts w:ascii="times new roman" w:hAnsi="times new roman"/>
          <w:b w:val="false"/>
          <w:i w:val="false"/>
          <w:caps w:val="false"/>
          <w:smallCaps w:val="false"/>
          <w:color w:val="000000"/>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3" w:name="HDR9"/>
      <w:bookmarkStart w:id="114" w:name="HDR9"/>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15" w:name="GLHDR9"/>
        <w:bookmarkEnd w:id="115"/>
        <w:r>
          <w:rPr>
            <w:rStyle w:val="InternetLink"/>
            <w:rFonts w:ascii="Times New Roman" w:hAnsi="Times New Roman"/>
            <w:b/>
            <w:i/>
            <w:color w:val="FF0000"/>
            <w:sz w:val="16"/>
            <w:u w:val="single"/>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7.  Convertible Promissory Notes and Other Notes Payable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the Company’s secured and unsecured promissory notes and other notes payable at September 30, 2013 and March 31, 2013.</w:t>
      </w:r>
    </w:p>
    <w:tbl>
      <w:tblPr>
        <w:tblW w:w="5000" w:type="pct"/>
        <w:jc w:val="left"/>
        <w:tblInd w:w="0" w:type="dxa"/>
        <w:tblCellMar>
          <w:top w:w="0" w:type="dxa"/>
          <w:left w:w="0" w:type="dxa"/>
          <w:bottom w:w="0" w:type="dxa"/>
          <w:right w:w="0" w:type="dxa"/>
        </w:tblCellMar>
      </w:tblPr>
      <w:tblGrid>
        <w:gridCol w:w="2429"/>
        <w:gridCol w:w="91"/>
        <w:gridCol w:w="125"/>
        <w:gridCol w:w="1013"/>
        <w:gridCol w:w="101"/>
        <w:gridCol w:w="91"/>
        <w:gridCol w:w="125"/>
        <w:gridCol w:w="903"/>
        <w:gridCol w:w="101"/>
        <w:gridCol w:w="91"/>
        <w:gridCol w:w="125"/>
        <w:gridCol w:w="1013"/>
        <w:gridCol w:w="100"/>
        <w:gridCol w:w="91"/>
        <w:gridCol w:w="125"/>
        <w:gridCol w:w="1013"/>
        <w:gridCol w:w="101"/>
        <w:gridCol w:w="91"/>
        <w:gridCol w:w="125"/>
        <w:gridCol w:w="903"/>
        <w:gridCol w:w="101"/>
        <w:gridCol w:w="91"/>
        <w:gridCol w:w="125"/>
        <w:gridCol w:w="1012"/>
        <w:gridCol w:w="119"/>
      </w:tblGrid>
      <w:tr>
        <w:trPr/>
        <w:tc>
          <w:tcPr>
            <w:tcW w:w="2429" w:type="dxa"/>
            <w:tcBorders/>
            <w:shd w:fill="auto" w:val="clear"/>
            <w:vAlign w:val="bottom"/>
          </w:tcPr>
          <w:p>
            <w:pPr>
              <w:pStyle w:val="TableContents"/>
              <w:spacing w:before="0" w:after="0"/>
              <w:ind w:left="0" w:right="0" w:hanging="0"/>
              <w:jc w:val="left"/>
              <w:rPr/>
            </w:pPr>
            <w:r>
              <w:rPr/>
              <w:t> </w:t>
            </w:r>
          </w:p>
        </w:tc>
        <w:tc>
          <w:tcPr>
            <w:tcW w:w="91" w:type="dxa"/>
            <w:tcBorders/>
            <w:shd w:fill="auto" w:val="clear"/>
            <w:vAlign w:val="bottom"/>
          </w:tcPr>
          <w:p>
            <w:pPr>
              <w:pStyle w:val="TableContents"/>
              <w:spacing w:before="0" w:after="283"/>
              <w:rPr/>
            </w:pPr>
            <w:r>
              <w:rPr/>
              <w:t> </w:t>
            </w:r>
          </w:p>
        </w:tc>
        <w:tc>
          <w:tcPr>
            <w:tcW w:w="3688"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 2013</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235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2013</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0"/>
              <w:ind w:left="0" w:right="0" w:hanging="0"/>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9" w:type="dxa"/>
            <w:tcBorders/>
            <w:shd w:fill="auto" w:val="clear"/>
            <w:vAlign w:val="bottom"/>
          </w:tcPr>
          <w:p>
            <w:pPr>
              <w:pStyle w:val="TableContents"/>
              <w:spacing w:before="0" w:after="283"/>
              <w:jc w:val="left"/>
              <w:rPr/>
            </w:pPr>
            <w:r>
              <w:rPr/>
              <w:t> </w:t>
            </w:r>
          </w:p>
        </w:tc>
      </w:tr>
      <w:tr>
        <w:trPr/>
        <w:tc>
          <w:tcPr>
            <w:tcW w:w="3658" w:type="dxa"/>
            <w:gridSpan w:val="4"/>
            <w:tcBorders/>
            <w:shd w:fill="auto"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 xml:space="preserve">Senior Secured 10% Convertible Promissory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0"/>
              <w:ind w:left="0" w:right="0" w:hanging="0"/>
              <w:jc w:val="left"/>
              <w:rPr/>
            </w:pPr>
            <w:r>
              <w:rPr/>
              <w:t>    </w:t>
            </w:r>
            <w:r>
              <w:rPr>
                <w:rFonts w:ascii="times new roman" w:hAnsi="times new roman"/>
                <w:b/>
                <w:i/>
                <w:sz w:val="20"/>
              </w:rPr>
              <w:t>Notes issued to Platinum:</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Note issued on October 11, 2012</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1,403,500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1,334,300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11, 2012</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551,500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524,200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19, 2012</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550,200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523,000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February 22, 2013</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265,700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252,600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March 12, 2013</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793,100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754,700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3,564,000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3,388,800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promissory note issued on July 26, 2013</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254,600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senior notes</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3,522,600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3,818,600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3,388,800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Aggregate note discount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(2,170,500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(2,170,500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Senior notes (non-current)</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1,352,100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1,648,100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1,309,500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19" w:type="dxa"/>
            <w:tcBorders/>
            <w:shd w:fill="FFFFFF" w:val="clear"/>
            <w:vAlign w:val="bottom"/>
          </w:tcPr>
          <w:p>
            <w:pPr>
              <w:pStyle w:val="TableContents"/>
              <w:spacing w:before="0" w:after="283"/>
              <w:jc w:val="left"/>
              <w:rPr/>
            </w:pPr>
            <w:r>
              <w:rPr/>
              <w:t> </w:t>
            </w:r>
          </w:p>
        </w:tc>
      </w:tr>
      <w:tr>
        <w:trPr/>
        <w:tc>
          <w:tcPr>
            <w:tcW w:w="2429"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10% Convertible Promissory Notes (2013 Unit Notes)</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208,000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(200,600</w:t>
            </w:r>
          </w:p>
        </w:tc>
        <w:tc>
          <w:tcPr>
            <w:tcW w:w="1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(200,600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convertible notes (all current)</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2429"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unrelated parties:</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3658"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7.5% notes payable to service providers for</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658"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converted to notes payable:</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Burr, Pilger, Mayer</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93,800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Desjardins</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191,600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199,600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194,900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McCarthy Tetrault</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387,300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399,500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403,100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404,800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360" w:right="0" w:hanging="360"/>
              <w:jc w:val="left"/>
              <w:rPr/>
            </w:pPr>
            <w:r>
              <w:rPr/>
              <w:t>     </w:t>
            </w:r>
            <w:r>
              <w:rPr>
                <w:rFonts w:ascii="times new roman" w:hAnsi="times new roman"/>
                <w:sz w:val="20"/>
              </w:rPr>
              <w:t>August 2012 Morrison &amp; Foerster Note A</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957,300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360" w:right="0" w:hanging="360"/>
              <w:jc w:val="left"/>
              <w:rPr/>
            </w:pPr>
            <w:r>
              <w:rPr/>
              <w:t>     </w:t>
            </w:r>
            <w:r>
              <w:rPr>
                <w:rFonts w:ascii="times new roman" w:hAnsi="times new roman"/>
                <w:sz w:val="20"/>
              </w:rPr>
              <w:t>August 2012 Morrison &amp; Foerster Note B (1)</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126,400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1,505,800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1,439,500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University Health Network  (1)</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589,600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568,900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3,516,400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3,745,600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3,553,900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3,635,900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(1,004,300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(1,004,300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2,512,100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2,741,300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2,411,300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2,493,300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(385,400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(62,700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(448,100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(450,300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(452,800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2,126,700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2,293,200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1,961,000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2,040,500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658"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5.75% and 10.25% notes payable to insurance</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premium financing company (current)</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658"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notes payable to vendors for accounts</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 converted to notes payable</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148,100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(119,400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(28,700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(148,100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 payable (August 2012)</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58,800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60,500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7.0% notes payable - non-current portion</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Total notes payable to unrelated parties</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3,752,000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259,600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4,011,600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3,746,300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3,851,600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(568,500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(661,600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(591,400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(617,200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3,183,500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3,350,000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3,154,900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3,234,400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discount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(1,004,300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(1,004,300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2,179,200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2,345,700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2,012,300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19" w:type="dxa"/>
            <w:tcBorders/>
            <w:shd w:fill="FFFFFF" w:val="clear"/>
            <w:vAlign w:val="bottom"/>
          </w:tcPr>
          <w:p>
            <w:pPr>
              <w:pStyle w:val="TableContents"/>
              <w:spacing w:before="0" w:after="283"/>
              <w:jc w:val="left"/>
              <w:rPr/>
            </w:pPr>
            <w:r>
              <w:rPr/>
              <w:t> </w:t>
            </w:r>
          </w:p>
        </w:tc>
      </w:tr>
      <w:tr>
        <w:trPr/>
        <w:tc>
          <w:tcPr>
            <w:tcW w:w="2429"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related parties:</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October 2012 7.5% note to Cato Holding Co.</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312,500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301,000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October 2012 7.5% note to Cato Research Ltd. (1)</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76,100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1,085,100</w:t>
            </w:r>
          </w:p>
        </w:tc>
        <w:tc>
          <w:tcPr>
            <w:tcW w:w="100"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1,045,200</w:t>
            </w:r>
          </w:p>
        </w:tc>
        <w:tc>
          <w:tcPr>
            <w:tcW w:w="119"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95,000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1,397,600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1,346,200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(125,900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(125,900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360" w:right="0" w:hanging="360"/>
              <w:jc w:val="left"/>
              <w:rPr/>
            </w:pPr>
            <w:r>
              <w:rPr/>
              <w:t>     </w:t>
            </w:r>
            <w:r>
              <w:rPr>
                <w:rFonts w:ascii="times new roman" w:hAnsi="times new roman"/>
                <w:sz w:val="20"/>
              </w:rPr>
              <w:t>Total notes payable to related parties</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1,176,700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95,000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1,271,700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1,155,400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1,199,000</w:t>
            </w:r>
          </w:p>
        </w:tc>
        <w:tc>
          <w:tcPr>
            <w:tcW w:w="119"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(85,600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non-current portion and discount</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1,095,600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76,100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1,171,700</w:t>
            </w:r>
          </w:p>
        </w:tc>
        <w:tc>
          <w:tcPr>
            <w:tcW w:w="100"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1,069,800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Note and interest payable solely in restricted shares of the Company's common stock.</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16" w:name="PGBRK10"/>
      <w:bookmarkStart w:id="117" w:name="PGBRK10"/>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8" w:name="FTR10"/>
      <w:bookmarkStart w:id="119" w:name="FTR10"/>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0" w:name="GLFTR10"/>
      <w:bookmarkEnd w:id="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i w:val="false"/>
          <w:caps w:val="false"/>
          <w:smallCaps w:val="false"/>
          <w:color w:val="000000"/>
          <w:sz w:val="20"/>
        </w:rPr>
      </w:pPr>
      <w:bookmarkStart w:id="121" w:name="PN10"/>
      <w:bookmarkEnd w:id="121"/>
      <w:r>
        <w:rPr>
          <w:rFonts w:ascii="times new roman" w:hAnsi="times new roman"/>
          <w:b w:val="false"/>
          <w:i w:val="false"/>
          <w:caps w:val="false"/>
          <w:smallCaps w:val="false"/>
          <w:color w:val="000000"/>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2" w:name="HDR10"/>
      <w:bookmarkStart w:id="123" w:name="HDR10"/>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4" w:name="GLHDR10"/>
        <w:bookmarkEnd w:id="124"/>
        <w:r>
          <w:rPr>
            <w:rStyle w:val="InternetLink"/>
            <w:rFonts w:ascii="Times New Roman" w:hAnsi="Times New Roman"/>
            <w:b/>
            <w:i/>
            <w:color w:val="FF0000"/>
            <w:sz w:val="16"/>
            <w:u w:val="single"/>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Senior Secured Convertible Promissory Notes Issued to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 2012 and on August 31, 2012, the Company issued to Platinum senior secured convertible promissory notes in the principal amount of $500,000 (the “</w:t>
      </w:r>
      <w:r>
        <w:rPr>
          <w:rFonts w:ascii="Times New Roman" w:hAnsi="Times New Roman"/>
          <w:i/>
          <w:sz w:val="20"/>
        </w:rPr>
        <w:t>July 2012 Platinum Note</w:t>
      </w:r>
      <w:r>
        <w:rPr>
          <w:rFonts w:ascii="Times New Roman" w:hAnsi="Times New Roman"/>
          <w:sz w:val="20"/>
        </w:rPr>
        <w:t xml:space="preserve">”) and </w:t>
      </w:r>
      <w:r>
        <w:rPr>
          <w:rFonts w:ascii="Times New Roman" w:hAnsi="Times New Roman"/>
          <w:sz w:val="20"/>
          <w:highlight w:val="white"/>
        </w:rPr>
        <w:t>$750,000 (the "</w:t>
      </w:r>
      <w:r>
        <w:rPr>
          <w:rFonts w:ascii="Times New Roman" w:hAnsi="Times New Roman"/>
          <w:i/>
          <w:sz w:val="20"/>
          <w:highlight w:val="white"/>
        </w:rPr>
        <w:t>August 2012 Platinum Note</w:t>
      </w:r>
      <w:r>
        <w:rPr>
          <w:rFonts w:ascii="Times New Roman" w:hAnsi="Times New Roman"/>
          <w:sz w:val="20"/>
          <w:highlight w:val="white"/>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11, 2012, the Company and Platinum entered into a Note Exchange and Purchase Agreement (the “</w:t>
      </w:r>
      <w:r>
        <w:rPr>
          <w:rFonts w:ascii="Times New Roman" w:hAnsi="Times New Roman"/>
          <w:i/>
          <w:sz w:val="20"/>
        </w:rPr>
        <w:t>October 2012 Agreement</w:t>
      </w:r>
      <w:r>
        <w:rPr>
          <w:rFonts w:ascii="Times New Roman" w:hAnsi="Times New Roman"/>
          <w:sz w:val="20"/>
        </w:rPr>
        <w:t xml:space="preserve">”) in which </w:t>
      </w:r>
      <w:r>
        <w:rPr>
          <w:rFonts w:ascii="Times New Roman" w:hAnsi="Times New Roman"/>
          <w:sz w:val="20"/>
          <w:highlight w:val="white"/>
        </w:rPr>
        <w:t xml:space="preserve">the July 2012 Platinum Note and the August 2012 Platinum Note </w:t>
      </w:r>
      <w:r>
        <w:rPr>
          <w:rFonts w:ascii="Times New Roman" w:hAnsi="Times New Roman"/>
          <w:sz w:val="20"/>
        </w:rPr>
        <w:t>(together, the “</w:t>
      </w:r>
      <w:r>
        <w:rPr>
          <w:rFonts w:ascii="Times New Roman" w:hAnsi="Times New Roman"/>
          <w:i/>
          <w:sz w:val="20"/>
        </w:rPr>
        <w:t>Existing Notes</w:t>
      </w:r>
      <w:r>
        <w:rPr>
          <w:rFonts w:ascii="Times New Roman" w:hAnsi="Times New Roman"/>
          <w:sz w:val="20"/>
        </w:rPr>
        <w:t>”)</w:t>
      </w:r>
      <w:r>
        <w:rPr>
          <w:rFonts w:ascii="Times New Roman" w:hAnsi="Times New Roman"/>
          <w:sz w:val="20"/>
          <w:highlight w:val="white"/>
        </w:rPr>
        <w:t>, as well as the related accrued interest, were consolidated into and exchanged for a single senior secured convertible note in the amount of $1,272,600 (the “</w:t>
      </w:r>
      <w:r>
        <w:rPr>
          <w:rFonts w:ascii="Times New Roman" w:hAnsi="Times New Roman"/>
          <w:i/>
          <w:sz w:val="20"/>
          <w:highlight w:val="white"/>
        </w:rPr>
        <w:t>Exchange Note</w:t>
      </w:r>
      <w:r>
        <w:rPr>
          <w:rFonts w:ascii="Times New Roman" w:hAnsi="Times New Roman"/>
          <w:sz w:val="20"/>
          <w:highlight w:val="white"/>
        </w:rPr>
        <w:t xml:space="preserve">”) and </w:t>
      </w:r>
      <w:r>
        <w:rPr>
          <w:rFonts w:ascii="Times New Roman" w:hAnsi="Times New Roman"/>
          <w:sz w:val="20"/>
        </w:rPr>
        <w:t>Platinum agreed to purchase four additional 10% senior secured convertible promissory notes in the aggregate principal amount of $2.0 million (the “</w:t>
      </w:r>
      <w:r>
        <w:rPr>
          <w:rFonts w:ascii="Times New Roman" w:hAnsi="Times New Roman"/>
          <w:i/>
          <w:sz w:val="20"/>
        </w:rPr>
        <w:t>Investment Notes</w:t>
      </w:r>
      <w:r>
        <w:rPr>
          <w:rFonts w:ascii="Times New Roman" w:hAnsi="Times New Roman"/>
          <w:sz w:val="20"/>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14, 2012 and January 31, 2013, the Company and Platinum entered into amendments to the October 2012 Agreement (the “</w:t>
      </w:r>
      <w:r>
        <w:rPr>
          <w:rFonts w:ascii="Times New Roman" w:hAnsi="Times New Roman"/>
          <w:i/>
          <w:sz w:val="20"/>
        </w:rPr>
        <w:t>NEPA Amendments</w:t>
      </w:r>
      <w:r>
        <w:rPr>
          <w:rFonts w:ascii="Times New Roman" w:hAnsi="Times New Roman"/>
          <w:sz w:val="20"/>
        </w:rPr>
        <w:t>”), pursuant to which the final two $500,000 tranches contemplated by the October 2012 Agreement were combined into a single Investment Note in the aggregate principal amount of $1.0 million (the “</w:t>
      </w:r>
      <w:r>
        <w:rPr>
          <w:rFonts w:ascii="Times New Roman" w:hAnsi="Times New Roman"/>
          <w:i/>
          <w:sz w:val="20"/>
        </w:rPr>
        <w:t>$1.0 Million Note</w:t>
      </w:r>
      <w:r>
        <w:rPr>
          <w:rFonts w:ascii="Times New Roman" w:hAnsi="Times New Roman"/>
          <w:sz w:val="20"/>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hAnsi="Times New Roman"/>
          <w:i/>
          <w:sz w:val="20"/>
        </w:rPr>
        <w:t>Additional Financing Requirement</w:t>
      </w:r>
      <w:r>
        <w:rPr>
          <w:rFonts w:ascii="Times New Roman" w:hAnsi="Times New Roman"/>
          <w:sz w:val="20"/>
        </w:rPr>
        <w:t>”).  The Company satisfied the Additional Financing Requirement on February 12, 2013.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Exchange Note and each Investment Note (together, the “</w:t>
      </w:r>
      <w:r>
        <w:rPr>
          <w:rFonts w:ascii="Times New Roman" w:hAnsi="Times New Roman"/>
          <w:i/>
          <w:sz w:val="20"/>
        </w:rPr>
        <w:t>Notes</w:t>
      </w:r>
      <w:r>
        <w:rPr>
          <w:rFonts w:ascii="Times New Roman" w:hAnsi="Times New Roman"/>
          <w:sz w:val="20"/>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respective Investment Notes. At maturity, all principal and accrued interest under the Notes will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hAnsi="Times New Roman"/>
          <w:i/>
          <w:sz w:val="20"/>
        </w:rPr>
        <w:t>Investment Warrant</w:t>
      </w:r>
      <w:r>
        <w:rPr>
          <w:rFonts w:ascii="Times New Roman" w:hAnsi="Times New Roman"/>
          <w:sz w:val="20"/>
        </w:rPr>
        <w:t>”).  In addition, the Company issued Platinum a warrant to purchase 1,272,577 shares of the Company’s common stock in connection with the issuance of the Exchange Note (the “</w:t>
      </w:r>
      <w:r>
        <w:rPr>
          <w:rFonts w:ascii="Times New Roman" w:hAnsi="Times New Roman"/>
          <w:i/>
          <w:sz w:val="20"/>
        </w:rPr>
        <w:t>Exchange Warrant</w:t>
      </w:r>
      <w:r>
        <w:rPr>
          <w:rFonts w:ascii="Times New Roman" w:hAnsi="Times New Roman"/>
          <w:sz w:val="20"/>
        </w:rPr>
        <w:t>”). At issuance, the Platinum Exchange Warrant and each Investment Warrant had a term of 5 years and an exercise price of $1.50 per share, subject to certain adjustments.</w:t>
      </w:r>
      <w:r>
        <w:rPr>
          <w:rFonts w:ascii="Times New Roman" w:hAnsi="Times New Roman"/>
          <w:sz w:val="20"/>
          <w:highlight w:val="white"/>
        </w:rPr>
        <w:t xml:space="preserve"> See Note 9, </w:t>
      </w:r>
      <w:r>
        <w:rPr>
          <w:rFonts w:ascii="Times New Roman" w:hAnsi="Times New Roman"/>
          <w:i/>
          <w:sz w:val="20"/>
          <w:highlight w:val="white"/>
        </w:rPr>
        <w:t xml:space="preserve">Capital Stock, </w:t>
      </w:r>
      <w:r>
        <w:rPr>
          <w:rFonts w:ascii="Times New Roman" w:hAnsi="Times New Roman"/>
          <w:sz w:val="20"/>
          <w:highlight w:val="white"/>
        </w:rPr>
        <w:t>regarding a modification of the exercise price of the Exchange Warrant and the Investment Warrants made in May 2013.  In connection with the October 2012 Agreement, the Company and Platinum also executed and subsequently amended a security agreement to secure repayment of all obligations due and payable under the terms of the Exchange Note and all of the Investment Notes.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11"/>
      <w:bookmarkStart w:id="126" w:name="PGBRK11"/>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FTR11"/>
      <w:bookmarkStart w:id="128" w:name="FTR11"/>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 w:name="GLFTR11"/>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 w:name="PN11"/>
      <w:bookmarkEnd w:id="130"/>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HDR11"/>
      <w:bookmarkStart w:id="132" w:name="HDR11"/>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3" w:name="GLHDR11"/>
        <w:bookmarkEnd w:id="1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pPr>
      <w:bookmarkStart w:id="134" w:name="TAB26"/>
      <w:bookmarkEnd w:id="134"/>
      <w:r>
        <w:rPr>
          <w:spacing w:val="180"/>
        </w:rPr>
        <w:t>   </w:t>
      </w:r>
      <w:r>
        <w:rPr/>
        <w:t> </w:t>
      </w:r>
      <w:r>
        <w:rPr>
          <w:rFonts w:ascii="Times New Roman" w:hAnsi="Times New Roman"/>
          <w:sz w:val="20"/>
        </w:rPr>
        <w:t>On July 26, 2013, the Company issued an additional senior secured convertible promissory note in the principal amount of $250,000 to Platinum (the “</w:t>
      </w:r>
      <w:r>
        <w:rPr>
          <w:rFonts w:ascii="Times New Roman" w:hAnsi="Times New Roman"/>
          <w:i/>
          <w:sz w:val="20"/>
        </w:rPr>
        <w:t>July 2013 Note</w:t>
      </w:r>
      <w:r>
        <w:rPr>
          <w:rFonts w:ascii="Times New Roman" w:hAnsi="Times New Roman"/>
          <w:sz w:val="20"/>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earlier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Times New Roman" w:hAnsi="Times New Roman"/>
          <w:i/>
          <w:sz w:val="20"/>
        </w:rPr>
        <w:t>July 2013 Warrant</w:t>
      </w:r>
      <w:r>
        <w:rPr>
          <w:rFonts w:ascii="Times New Roman" w:hAnsi="Times New Roman"/>
          <w:sz w:val="20"/>
        </w:rPr>
        <w:t xml:space="preserve">”). In addition, the Company granted Platinum the right to exchange all amounts due under the terms of the July 2013 Note into the 2013 Unit Private Placement securities (see Note 9, </w:t>
      </w:r>
      <w:r>
        <w:rPr>
          <w:rFonts w:ascii="Times New Roman" w:hAnsi="Times New Roman"/>
          <w:i/>
          <w:sz w:val="20"/>
        </w:rPr>
        <w:t>Capital Stock</w:t>
      </w:r>
      <w:r>
        <w:rPr>
          <w:rFonts w:ascii="Times New Roman" w:hAnsi="Times New Roman"/>
          <w:sz w:val="20"/>
        </w:rPr>
        <w:t>) offered by the Company to third party investors to finance its short-term working capital needs (the “</w:t>
      </w:r>
      <w:r>
        <w:rPr>
          <w:rFonts w:ascii="Times New Roman" w:hAnsi="Times New Roman"/>
          <w:i/>
          <w:sz w:val="20"/>
        </w:rPr>
        <w:t>Exchange Securities</w:t>
      </w:r>
      <w:r>
        <w:rPr>
          <w:rFonts w:ascii="Times New Roman" w:hAnsi="Times New Roman"/>
          <w:sz w:val="20"/>
        </w:rPr>
        <w:t>”). Upon the Company’s receipt of gross proceeds of at least $10.0 million from the Autilion Financing, the July 2013 Note will automatically convert into the Exchange Securities</w:t>
      </w:r>
    </w:p>
    <w:p>
      <w:pPr>
        <w:pStyle w:val="TextBody"/>
        <w:spacing w:before="0" w:after="0"/>
        <w:ind w:left="0" w:right="0" w:hanging="0"/>
        <w:jc w:val="both"/>
        <w:rPr/>
      </w:pPr>
      <w:r>
        <w:rPr/>
      </w:r>
    </w:p>
    <w:p>
      <w:pPr>
        <w:pStyle w:val="TextBody"/>
        <w:spacing w:before="0" w:after="0"/>
        <w:ind w:left="0" w:right="0" w:hanging="0"/>
        <w:jc w:val="both"/>
        <w:rPr/>
      </w:pPr>
      <w:bookmarkStart w:id="135" w:name="TAB27"/>
      <w:bookmarkEnd w:id="135"/>
      <w:r>
        <w:rPr>
          <w:spacing w:val="180"/>
        </w:rPr>
        <w:t>   </w:t>
      </w:r>
      <w:r>
        <w:rPr/>
        <w:t> </w:t>
      </w:r>
      <w:r>
        <w:rPr>
          <w:rFonts w:ascii="Times New Roman" w:hAnsi="Times New Roman"/>
          <w:sz w:val="20"/>
        </w:rPr>
        <w:t xml:space="preserve">Subject to limited exceptions,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exercise price (subsequently modified to $0.50 per share exercise price as described in Note 9, </w:t>
      </w:r>
      <w:r>
        <w:rPr>
          <w:rFonts w:ascii="Times New Roman" w:hAnsi="Times New Roman"/>
          <w:i/>
          <w:sz w:val="20"/>
        </w:rPr>
        <w:t>Capital Stock</w:t>
      </w:r>
      <w:r>
        <w:rPr>
          <w:rFonts w:ascii="Times New Roman" w:hAnsi="Times New Roman"/>
          <w:sz w:val="20"/>
        </w:rPr>
        <w:t xml:space="preserve">) , or $0.50 per share exercise price in the case of the July 2013 Warrant. As a result of these provisions, the Exchange Warrant, the Investment Warrants and the July 2013 Warrant do not meet the criteria set forth in ASC 815, </w:t>
      </w:r>
      <w:r>
        <w:rPr>
          <w:rFonts w:ascii="Times New Roman" w:hAnsi="Times New Roman"/>
          <w:i/>
          <w:sz w:val="20"/>
        </w:rPr>
        <w:t>Derivatives and Hedging</w:t>
      </w:r>
      <w:r>
        <w:rPr>
          <w:rFonts w:ascii="Times New Roman" w:hAnsi="Times New Roman"/>
          <w:sz w:val="20"/>
        </w:rPr>
        <w:t>, to be considered indexed to the Company’s own stock and treated as equity instruments. Consequently, the Company recorded the Exchange Warrant, each of the Investment Warrants and the July 2013 Warrant as liabilities at their fair value, which was estimated at the issuance date using a Monte Carlo simulation model or the Black-Scholes Option Pricing model.  The fair value of the Exchange Warrant at the date of issuance was recorded as a liability and as a corresponding charge to loss on early extinguishment of debt in the Statement of Operations and Comprehensive Income in the third quarter of the fiscal year ended March 31, 2013.  The fair value of each Investment Warrant at the date of issuance was recorded as a liability and as a corresponding discount to the respective Investment Note.  Subject to limitations of the absolute amount of discount attributable to each Investment Note and the July 2013 Note, the Company treated the issuance-date intrinsic value of the beneficial conversion feature embedded in each note as an additional component of the discount attributable to each note and recorded a discount attributable to the beneficial conversion feature for each note.</w:t>
      </w:r>
    </w:p>
    <w:p>
      <w:pPr>
        <w:pStyle w:val="TextBody"/>
        <w:spacing w:before="0" w:after="0"/>
        <w:ind w:left="0" w:right="0" w:hanging="0"/>
        <w:jc w:val="both"/>
        <w:rPr/>
      </w:pPr>
      <w:r>
        <w:rPr/>
      </w:r>
    </w:p>
    <w:p>
      <w:pPr>
        <w:pStyle w:val="TextBody"/>
        <w:spacing w:before="0" w:after="0"/>
        <w:ind w:left="0" w:right="0" w:hanging="0"/>
        <w:jc w:val="both"/>
        <w:rPr/>
      </w:pPr>
      <w:bookmarkStart w:id="136" w:name="TAB28"/>
      <w:bookmarkEnd w:id="136"/>
      <w:r>
        <w:rPr>
          <w:spacing w:val="180"/>
        </w:rPr>
        <w:t>   </w:t>
      </w:r>
      <w:r>
        <w:rPr/>
        <w:t> </w:t>
      </w:r>
      <w:r>
        <w:rPr>
          <w:rFonts w:ascii="Times New Roman" w:hAnsi="Times New Roman"/>
          <w:sz w:val="20"/>
        </w:rPr>
        <w:t>The fair value of the July 2013 Warrant at inception was determined to be $146,800 using the Black-Scholes Option Pricing Model and the following assumptions:  market price per share: $0.75; exercise price per share: $0.50; risk-free interest rate: 1.36%; contractual term: 5.0 years; volatility: 96.9%; expected dividend rate: 0%. The fair value was recorded as a liability and as a corresponding discount to the July 2013 Note.  The table below summarizes the components of the discount and the effective interest rate at inception for the July 2013 Note.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191"/>
        <w:gridCol w:w="124"/>
        <w:gridCol w:w="163"/>
        <w:gridCol w:w="1516"/>
        <w:gridCol w:w="211"/>
      </w:tblGrid>
      <w:tr>
        <w:trPr/>
        <w:tc>
          <w:tcPr>
            <w:tcW w:w="819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Face value</w:t>
            </w:r>
          </w:p>
        </w:tc>
        <w:tc>
          <w:tcPr>
            <w:tcW w:w="12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211" w:type="dxa"/>
            <w:tcBorders/>
            <w:shd w:fill="CCEEFF" w:val="clear"/>
            <w:vAlign w:val="bottom"/>
          </w:tcPr>
          <w:p>
            <w:pPr>
              <w:pStyle w:val="TableContents"/>
              <w:spacing w:before="0" w:after="283"/>
              <w:jc w:val="left"/>
              <w:rPr/>
            </w:pPr>
            <w:r>
              <w:rPr/>
              <w:t> </w:t>
            </w:r>
          </w:p>
        </w:tc>
      </w:tr>
      <w:tr>
        <w:trPr/>
        <w:tc>
          <w:tcPr>
            <w:tcW w:w="9994"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Discount attributable to:</w:t>
            </w:r>
          </w:p>
        </w:tc>
        <w:tc>
          <w:tcPr>
            <w:tcW w:w="211" w:type="dxa"/>
            <w:tcBorders/>
            <w:shd w:fill="FFFFFF" w:val="clear"/>
            <w:vAlign w:val="bottom"/>
          </w:tcPr>
          <w:p>
            <w:pPr>
              <w:pStyle w:val="TableContents"/>
              <w:spacing w:before="0" w:after="283"/>
              <w:jc w:val="left"/>
              <w:rPr/>
            </w:pPr>
            <w:r>
              <w:rPr/>
              <w:t> </w:t>
            </w:r>
          </w:p>
        </w:tc>
      </w:tr>
      <w:tr>
        <w:trPr/>
        <w:tc>
          <w:tcPr>
            <w:tcW w:w="819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warrant</w:t>
            </w:r>
          </w:p>
        </w:tc>
        <w:tc>
          <w:tcPr>
            <w:tcW w:w="12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(146,800</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19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Beneficial conversion feature</w:t>
            </w:r>
          </w:p>
        </w:tc>
        <w:tc>
          <w:tcPr>
            <w:tcW w:w="124" w:type="dxa"/>
            <w:tcBorders/>
            <w:shd w:fill="FFFFFF" w:val="clear"/>
            <w:vAlign w:val="bottom"/>
          </w:tcPr>
          <w:p>
            <w:pPr>
              <w:pStyle w:val="TableContents"/>
              <w:spacing w:before="0" w:after="283"/>
              <w:jc w:val="right"/>
              <w:rPr/>
            </w:pPr>
            <w:r>
              <w:rPr/>
              <w:t> </w:t>
            </w:r>
          </w:p>
        </w:tc>
        <w:tc>
          <w:tcPr>
            <w:tcW w:w="16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5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(100,700</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19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Inception date carrying value</w:t>
            </w:r>
          </w:p>
        </w:tc>
        <w:tc>
          <w:tcPr>
            <w:tcW w:w="124" w:type="dxa"/>
            <w:tcBorders/>
            <w:shd w:fill="CCEEFF" w:val="clear"/>
            <w:vAlign w:val="bottom"/>
          </w:tcPr>
          <w:p>
            <w:pPr>
              <w:pStyle w:val="TableContents"/>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1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211" w:type="dxa"/>
            <w:tcBorders/>
            <w:shd w:fill="CCEEFF" w:val="clear"/>
            <w:vAlign w:val="bottom"/>
          </w:tcPr>
          <w:p>
            <w:pPr>
              <w:pStyle w:val="TableContents"/>
              <w:spacing w:before="0" w:after="283"/>
              <w:jc w:val="left"/>
              <w:rPr/>
            </w:pPr>
            <w:r>
              <w:rPr/>
              <w:t> </w:t>
            </w:r>
          </w:p>
        </w:tc>
      </w:tr>
      <w:tr>
        <w:trPr/>
        <w:tc>
          <w:tcPr>
            <w:tcW w:w="8191"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516"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819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Effective Interest Rate</w:t>
            </w:r>
          </w:p>
        </w:tc>
        <w:tc>
          <w:tcPr>
            <w:tcW w:w="12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159.05</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t> </w:t>
      </w:r>
    </w:p>
    <w:p>
      <w:pPr>
        <w:pStyle w:val="TextBody"/>
        <w:spacing w:before="0" w:after="0"/>
        <w:ind w:left="0" w:right="0" w:hanging="0"/>
        <w:jc w:val="both"/>
        <w:rPr/>
      </w:pPr>
      <w:bookmarkStart w:id="137" w:name="TAB29"/>
      <w:bookmarkEnd w:id="137"/>
      <w:r>
        <w:rPr>
          <w:spacing w:val="180"/>
        </w:rPr>
        <w:t>   </w:t>
      </w:r>
      <w:r>
        <w:rPr/>
        <w:t> </w:t>
      </w:r>
      <w:r>
        <w:rPr>
          <w:rFonts w:ascii="Times New Roman" w:hAnsi="Times New Roman"/>
          <w:sz w:val="20"/>
        </w:rPr>
        <w:t>The Company amortizes the aggregate discount attributable to each of the Investment Notes and the July 2013 Note using the interest method over the respective term of each note.  The effective interest rate attributable to the July 2013 Note is 159.05%</w:t>
      </w:r>
    </w:p>
    <w:p>
      <w:pPr>
        <w:pStyle w:val="TextBody"/>
        <w:spacing w:before="0" w:after="0"/>
        <w:ind w:left="0" w:right="0" w:hanging="0"/>
        <w:jc w:val="both"/>
        <w:rPr/>
      </w:pPr>
      <w:r>
        <w:rPr/>
      </w:r>
    </w:p>
    <w:p>
      <w:pPr>
        <w:pStyle w:val="TextBody"/>
        <w:spacing w:before="0" w:after="0"/>
        <w:ind w:left="0" w:right="0" w:hanging="0"/>
        <w:jc w:val="both"/>
        <w:rPr/>
      </w:pPr>
      <w:bookmarkStart w:id="138" w:name="TAB210"/>
      <w:bookmarkEnd w:id="138"/>
      <w:r>
        <w:rPr>
          <w:spacing w:val="180"/>
        </w:rPr>
        <w:t>   </w:t>
      </w:r>
      <w:r>
        <w:rPr/>
        <w:t> </w:t>
      </w:r>
      <w:r>
        <w:rPr>
          <w:rFonts w:ascii="Times New Roman" w:hAnsi="Times New Roman"/>
          <w:sz w:val="20"/>
        </w:rPr>
        <w:t>The fair value of the Exchange Warrant, Investment Warrants and the July 2013 Warrant was re-measured as of September 30, 2013 at an aggregate fair value of $1,401,300.  The accompanying Condensed Consolidated Statement of Operations and Comprehensive Loss reflects the $84,200 and $733,500 decrease in fair value of these warrants for the quarter and six months ended September 30, 2013, respectively.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12"/>
      <w:bookmarkStart w:id="140" w:name="PGBRK12"/>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12"/>
      <w:bookmarkStart w:id="142" w:name="FTR12"/>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3" w:name="GLFTR12"/>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 w:name="PN12"/>
      <w:bookmarkEnd w:id="144"/>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12"/>
      <w:bookmarkStart w:id="146" w:name="HDR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7" w:name="GLHDR12"/>
        <w:bookmarkEnd w:id="1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10% Convertible Notes Issued in Connection with 2013 Unit Private Placement</w:t>
      </w:r>
    </w:p>
    <w:p>
      <w:pPr>
        <w:pStyle w:val="TextBody"/>
        <w:spacing w:before="0" w:after="0"/>
        <w:ind w:left="0" w:right="0" w:hanging="0"/>
        <w:rPr/>
      </w:pPr>
      <w:r>
        <w:rPr/>
        <w:t> </w:t>
      </w:r>
    </w:p>
    <w:p>
      <w:pPr>
        <w:pStyle w:val="TextBody"/>
        <w:spacing w:before="0" w:after="0"/>
        <w:ind w:left="0" w:right="0" w:hanging="0"/>
        <w:jc w:val="both"/>
        <w:rPr/>
      </w:pPr>
      <w:bookmarkStart w:id="148" w:name="TAB211"/>
      <w:bookmarkEnd w:id="148"/>
      <w:r>
        <w:rPr>
          <w:spacing w:val="180"/>
        </w:rPr>
        <w:t>   </w:t>
      </w:r>
      <w:r>
        <w:rPr/>
        <w:t> </w:t>
      </w:r>
      <w:r>
        <w:rPr>
          <w:rFonts w:ascii="Times New Roman" w:hAnsi="Times New Roman"/>
          <w:sz w:val="20"/>
        </w:rPr>
        <w:t xml:space="preserve">As described more completely in the section entitled 2013 Unit Private Placement in Note 9, </w:t>
      </w:r>
      <w:r>
        <w:rPr>
          <w:rFonts w:ascii="Times New Roman" w:hAnsi="Times New Roman"/>
          <w:i/>
          <w:sz w:val="20"/>
        </w:rPr>
        <w:t xml:space="preserve">Capital Stock, </w:t>
      </w:r>
      <w:r>
        <w:rPr>
          <w:rFonts w:ascii="Times New Roman" w:hAnsi="Times New Roman"/>
          <w:sz w:val="20"/>
        </w:rPr>
        <w:t>in August and September 2013, the Company issued to accredited investors 10% convertible notes (the “</w:t>
      </w:r>
      <w:r>
        <w:rPr>
          <w:rFonts w:ascii="Times New Roman" w:hAnsi="Times New Roman"/>
          <w:i/>
          <w:sz w:val="20"/>
        </w:rPr>
        <w:t>Unit Notes</w:t>
      </w:r>
      <w:r>
        <w:rPr>
          <w:rFonts w:ascii="Times New Roman" w:hAnsi="Times New Roman"/>
          <w:sz w:val="20"/>
        </w:rPr>
        <w:t>”) in an aggregate face amount of $205,000 in connection with its private placement offering of Units. The Unit Notes mature on July 30, 2014 and each Unit Note and related accrued interest is convertible into shares of the Company’s common stock at a fixed conversion price of $0.50 per share at or prior to maturity at the option of the investor.  The Company has the right to prepay the Unit Notes and accrued interest in cash prior to maturity without penalty.</w:t>
      </w:r>
    </w:p>
    <w:p>
      <w:pPr>
        <w:pStyle w:val="TextBody"/>
        <w:spacing w:before="0" w:after="0"/>
        <w:ind w:left="0" w:right="0" w:hanging="0"/>
        <w:rPr/>
      </w:pPr>
      <w:r>
        <w:rPr/>
        <w:t> </w:t>
      </w:r>
    </w:p>
    <w:p>
      <w:pPr>
        <w:pStyle w:val="TextBody"/>
        <w:spacing w:before="0" w:after="0"/>
        <w:ind w:left="0" w:right="0" w:hanging="0"/>
        <w:jc w:val="both"/>
        <w:rPr/>
      </w:pPr>
      <w:bookmarkStart w:id="149" w:name="TAB212"/>
      <w:bookmarkEnd w:id="149"/>
      <w:r>
        <w:rPr>
          <w:spacing w:val="180"/>
        </w:rPr>
        <w:t>   </w:t>
      </w:r>
      <w:r>
        <w:rPr/>
        <w:t> </w:t>
      </w:r>
      <w:r>
        <w:rPr>
          <w:rFonts w:ascii="Times New Roman" w:hAnsi="Times New Roman"/>
          <w:sz w:val="20"/>
        </w:rPr>
        <w:t>The Company allocated the proceeds from the sale of the Units to the Unit Notes, the common stock and the warrants comprising the Units based on the relative fair values of the individual securities on the dates of the Unit sales. Based on the short-duration of the Unit Notes and their other terms, the Company determined that the fair value of the Unit Notes at the date of issuance was equal to their face value. Accordingly, the Company recorded an initial discount attributable to each Unit Note for an amount representing the difference between the face value of the Unit note and its relative value. Additionally, each of the Unit Notes contains an embedded beneficial conversion feature having intrinsic value at the issuance date, which value the Company treated as an additional discount attributable to each Unit Note, subject to limitations on the absolute amount of discount attributable to each Unit Note. The Company recorded a corresponding credit to additional paid-in capital, an equity account in the Condensed Consolidated Balance Sheet, attributable to the beneficial conversion feature.  The Company amortizes the aggregate discount attributable to each of the Unit Notes using the interest method over the respective term of each Unit Note.  The effective interest rates attributable to the Unit Notes range from 561.3% to 701.9%</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Notes Payable to Morrison &amp; Foerster</w:t>
      </w:r>
    </w:p>
    <w:p>
      <w:pPr>
        <w:pStyle w:val="TextBody"/>
        <w:spacing w:before="0" w:after="0"/>
        <w:ind w:left="0" w:right="0" w:hanging="0"/>
        <w:jc w:val="both"/>
        <w:rPr/>
      </w:pPr>
      <w:r>
        <w:rPr/>
      </w:r>
    </w:p>
    <w:p>
      <w:pPr>
        <w:pStyle w:val="TextBody"/>
        <w:spacing w:before="0" w:after="0"/>
        <w:ind w:left="0" w:right="0" w:hanging="0"/>
        <w:jc w:val="both"/>
        <w:rPr/>
      </w:pPr>
      <w:bookmarkStart w:id="150" w:name="TAB213"/>
      <w:bookmarkEnd w:id="150"/>
      <w:r>
        <w:rPr>
          <w:spacing w:val="180"/>
        </w:rPr>
        <w:t>   </w:t>
      </w:r>
      <w:r>
        <w:rPr/>
        <w:t> </w:t>
      </w:r>
      <w:r>
        <w:rPr>
          <w:rFonts w:ascii="Times New Roman" w:hAnsi="Times New Roman"/>
          <w:sz w:val="20"/>
        </w:rPr>
        <w:t>On May 5, 2011, the Company and Morrison &amp; Foerster LLP (“</w:t>
      </w:r>
      <w:r>
        <w:rPr>
          <w:rFonts w:ascii="Times New Roman" w:hAnsi="Times New Roman"/>
          <w:i/>
          <w:sz w:val="20"/>
        </w:rPr>
        <w:t>Morrison &amp; Foerster</w:t>
      </w:r>
      <w:r>
        <w:rPr>
          <w:rFonts w:ascii="Times New Roman" w:hAnsi="Times New Roman"/>
          <w:sz w:val="20"/>
        </w:rPr>
        <w:t>”), the Company’s legal and intellectual property counsel, amended a previously outstanding note (the “</w:t>
      </w:r>
      <w:r>
        <w:rPr>
          <w:rFonts w:ascii="Times New Roman" w:hAnsi="Times New Roman"/>
          <w:i/>
          <w:sz w:val="20"/>
        </w:rPr>
        <w:t>Original Note</w:t>
      </w:r>
      <w:r>
        <w:rPr>
          <w:rFonts w:ascii="Times New Roman" w:hAnsi="Times New Roman"/>
          <w:sz w:val="20"/>
        </w:rPr>
        <w:t>”) issued by the Company in payment of legal services (the “</w:t>
      </w:r>
      <w:r>
        <w:rPr>
          <w:rFonts w:ascii="Times New Roman" w:hAnsi="Times New Roman"/>
          <w:i/>
          <w:sz w:val="20"/>
        </w:rPr>
        <w:t>Amended Note</w:t>
      </w:r>
      <w:r>
        <w:rPr>
          <w:rFonts w:ascii="Times New Roman" w:hAnsi="Times New Roman"/>
          <w:sz w:val="20"/>
        </w:rPr>
        <w:t xml:space="preserve">”).  Under the Amended Note, the principal balance of the Original Note was increased to $2,200,000, </w:t>
      </w:r>
      <w:r>
        <w:rPr>
          <w:rFonts w:ascii="Times New Roman" w:hAnsi="Times New Roman"/>
          <w:sz w:val="20"/>
          <w:highlight w:val="white"/>
        </w:rPr>
        <w:t xml:space="preserve">interest accrued at the rate of 7.5% per annum, and the Company was required to make </w:t>
      </w:r>
      <w:r>
        <w:rPr>
          <w:rFonts w:ascii="Times New Roman" w:hAnsi="Times New Roman"/>
          <w:sz w:val="20"/>
        </w:rPr>
        <w:t>an additional payment of $100,000 within three business days of the date of the Amended Note, which the Company made in a timely manner.</w:t>
      </w:r>
    </w:p>
    <w:p>
      <w:pPr>
        <w:pStyle w:val="TextBody"/>
        <w:spacing w:before="0" w:after="0"/>
        <w:ind w:left="0" w:right="0" w:hanging="0"/>
        <w:jc w:val="both"/>
        <w:rPr/>
      </w:pPr>
      <w:r>
        <w:rPr/>
      </w:r>
    </w:p>
    <w:p>
      <w:pPr>
        <w:pStyle w:val="TextBody"/>
        <w:spacing w:before="0" w:after="0"/>
        <w:ind w:left="0" w:right="0" w:hanging="0"/>
        <w:jc w:val="both"/>
        <w:rPr/>
      </w:pPr>
      <w:bookmarkStart w:id="151" w:name="TAB214"/>
      <w:bookmarkEnd w:id="151"/>
      <w:r>
        <w:rPr>
          <w:spacing w:val="180"/>
          <w:highlight w:val="white"/>
        </w:rPr>
        <w:t>   </w:t>
      </w:r>
      <w:r>
        <w:rPr>
          <w:highlight w:val="white"/>
        </w:rPr>
        <w:t> </w:t>
      </w:r>
      <w:r>
        <w:rPr>
          <w:rFonts w:ascii="Times New Roman" w:hAnsi="Times New Roman"/>
          <w:sz w:val="20"/>
          <w:highlight w:val="white"/>
        </w:rPr>
        <w:t>On August 31, 2012, the Company restructured the Amended Note (the “</w:t>
      </w:r>
      <w:r>
        <w:rPr>
          <w:rFonts w:ascii="Times New Roman" w:hAnsi="Times New Roman"/>
          <w:i/>
          <w:sz w:val="20"/>
          <w:highlight w:val="white"/>
        </w:rPr>
        <w:t>Restructuring Agreement</w:t>
      </w:r>
      <w:r>
        <w:rPr>
          <w:rFonts w:ascii="Times New Roman" w:hAnsi="Times New Roman"/>
          <w:sz w:val="20"/>
          <w:highlight w:val="white"/>
        </w:rPr>
        <w:t>”).  Pursuant to the Restructuring Agreement, the Company issued to Morrison &amp; Foerster two new unsecured promissory notes to replace the Amended Note, one in the principal amount of $1,000,000 ("</w:t>
      </w:r>
      <w:r>
        <w:rPr>
          <w:rFonts w:ascii="Times New Roman" w:hAnsi="Times New Roman"/>
          <w:i/>
          <w:sz w:val="20"/>
          <w:highlight w:val="white"/>
        </w:rPr>
        <w:t>Replacement Note A</w:t>
      </w:r>
      <w:r>
        <w:rPr>
          <w:rFonts w:ascii="Times New Roman" w:hAnsi="Times New Roman"/>
          <w:sz w:val="20"/>
          <w:highlight w:val="white"/>
        </w:rPr>
        <w:t>") and the other in the principal amount of $1,379,400 ("</w:t>
      </w:r>
      <w:r>
        <w:rPr>
          <w:rFonts w:ascii="Times New Roman" w:hAnsi="Times New Roman"/>
          <w:i/>
          <w:sz w:val="20"/>
          <w:highlight w:val="white"/>
        </w:rPr>
        <w:t>Replacement Note B</w:t>
      </w:r>
      <w:r>
        <w:rPr>
          <w:rFonts w:ascii="Times New Roman" w:hAnsi="Times New Roman"/>
          <w:sz w:val="20"/>
          <w:highlight w:val="white"/>
        </w:rPr>
        <w:t>") (together, the "</w:t>
      </w:r>
      <w:r>
        <w:rPr>
          <w:rFonts w:ascii="Times New Roman" w:hAnsi="Times New Roman"/>
          <w:i/>
          <w:sz w:val="20"/>
          <w:highlight w:val="white"/>
        </w:rPr>
        <w:t>Replacement Notes</w:t>
      </w:r>
      <w:r>
        <w:rPr>
          <w:rFonts w:ascii="Times New Roman" w:hAnsi="Times New Roman"/>
          <w:sz w:val="20"/>
          <w:highlight w:val="white"/>
        </w:rPr>
        <w:t>"); amended an outstanding warrant to purchase 425,000 restricted shares of the Company’s common stock (the “</w:t>
      </w:r>
      <w:r>
        <w:rPr>
          <w:rFonts w:ascii="Times New Roman" w:hAnsi="Times New Roman"/>
          <w:i/>
          <w:sz w:val="20"/>
          <w:highlight w:val="white"/>
        </w:rPr>
        <w:t>Amended M&amp;F Warrant”)</w:t>
      </w:r>
      <w:r>
        <w:rPr>
          <w:rFonts w:ascii="Times New Roman" w:hAnsi="Times New Roman"/>
          <w:sz w:val="20"/>
          <w:highlight w:val="white"/>
        </w:rPr>
        <w:t>; and issued a new warrant to purchase 1,379,376 restricted shares of the Company’s common stock (the “</w:t>
      </w:r>
      <w:r>
        <w:rPr>
          <w:rFonts w:ascii="Times New Roman" w:hAnsi="Times New Roman"/>
          <w:i/>
          <w:sz w:val="20"/>
          <w:highlight w:val="white"/>
        </w:rPr>
        <w:t>New M&amp;F Warrant”).  </w:t>
      </w:r>
      <w:r>
        <w:rPr>
          <w:rFonts w:ascii="Times New Roman" w:hAnsi="Times New Roman"/>
          <w:sz w:val="20"/>
          <w:highlight w:val="white"/>
        </w:rPr>
        <w:t xml:space="preserve">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w:t>
      </w:r>
      <w:r>
        <w:rPr>
          <w:rFonts w:ascii="Times New Roman" w:hAnsi="Times New Roman"/>
          <w:sz w:val="20"/>
        </w:rPr>
        <w:t xml:space="preserve">monthly payments of $15,000 per month through March 31, 2013, and $25,000 per month thereafter until maturity. </w:t>
      </w:r>
      <w:r>
        <w:rPr>
          <w:rFonts w:ascii="Times New Roman" w:hAnsi="Times New Roman"/>
          <w:sz w:val="20"/>
          <w:highlight w:val="white"/>
        </w:rPr>
        <w:t>For strategic purposes, the Company has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w:t>
      </w:r>
    </w:p>
    <w:p>
      <w:pPr>
        <w:pStyle w:val="TextBody"/>
        <w:spacing w:before="0" w:after="0"/>
        <w:ind w:left="0" w:right="0" w:hanging="0"/>
        <w:jc w:val="both"/>
        <w:rPr/>
      </w:pPr>
      <w:r>
        <w:rPr/>
      </w:r>
    </w:p>
    <w:p>
      <w:pPr>
        <w:pStyle w:val="TextBody"/>
        <w:spacing w:before="0" w:after="0"/>
        <w:ind w:left="0" w:right="0" w:hanging="0"/>
        <w:jc w:val="both"/>
        <w:rPr/>
      </w:pPr>
      <w:bookmarkStart w:id="152" w:name="TAB215"/>
      <w:bookmarkEnd w:id="152"/>
      <w:r>
        <w:rPr>
          <w:spacing w:val="180"/>
        </w:rPr>
        <w:t>   </w:t>
      </w:r>
      <w:r>
        <w:rPr/>
        <w:t> </w:t>
      </w:r>
      <w:r>
        <w:rPr>
          <w:rFonts w:ascii="Times New Roman" w:hAnsi="Times New Roman"/>
          <w:sz w:val="20"/>
        </w:rPr>
        <w:t>The Company treated the aggregate of the incremental value of the Amended M&amp;F Warrant and the fair value of the New M&amp;F Warrant as a discount to the Replacement Notes.  Through September 30, 2013, the Company has adjusted the New M&amp;F Warrant to increase the number of restricted shares available for purchase by 126,411 shares, based on interest accrued on Replacement Note B through that date. The Company has recorded the fair value of the additional warrant shares as a charge to interest expense and a corresponding credit to additional paid-in capital.</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3"/>
      <w:bookmarkStart w:id="154" w:name="PGBRK13"/>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3"/>
      <w:bookmarkStart w:id="156" w:name="FTR13"/>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GLFTR13"/>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3"/>
      <w:bookmarkEnd w:id="15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3"/>
      <w:bookmarkStart w:id="160" w:name="HDR13"/>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61" w:name="GLHDR13"/>
        <w:bookmarkEnd w:id="1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Payable to University Health Network (“</w:t>
      </w:r>
      <w:r>
        <w:rPr>
          <w:rFonts w:ascii="Times New Roman" w:hAnsi="Times New Roman"/>
          <w:b/>
          <w:i/>
          <w:sz w:val="20"/>
        </w:rPr>
        <w:t>UHN</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Sponsored Research Collaboration Agreement (“</w:t>
      </w:r>
      <w:r>
        <w:rPr>
          <w:rFonts w:ascii="Times New Roman" w:hAnsi="Times New Roman"/>
          <w:i/>
          <w:sz w:val="20"/>
        </w:rPr>
        <w:t>SRCA</w:t>
      </w:r>
      <w:r>
        <w:rPr>
          <w:rFonts w:ascii="Times New Roman" w:hAnsi="Times New Roman"/>
          <w:sz w:val="20"/>
        </w:rPr>
        <w:t xml:space="preserve">”, described in Note 8, </w:t>
      </w:r>
      <w:r>
        <w:rPr>
          <w:rFonts w:ascii="Times New Roman" w:hAnsi="Times New Roman"/>
          <w:i/>
          <w:sz w:val="20"/>
        </w:rPr>
        <w:t>Licensing and Collaborative Agreements</w:t>
      </w:r>
      <w:r>
        <w:rPr>
          <w:rFonts w:ascii="Times New Roman" w:hAnsi="Times New Roman"/>
          <w:sz w:val="20"/>
        </w:rPr>
        <w:t>) through September 30, 2012 (the “</w:t>
      </w:r>
      <w:r>
        <w:rPr>
          <w:rFonts w:ascii="Times New Roman" w:hAnsi="Times New Roman"/>
          <w:i/>
          <w:sz w:val="20"/>
        </w:rPr>
        <w:t>UHN Note</w:t>
      </w:r>
      <w:r>
        <w:rPr>
          <w:rFonts w:ascii="Times New Roman" w:hAnsi="Times New Roman"/>
          <w:sz w:val="20"/>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difference between the face value of the UHN Note and its issuance-date fair value has been treated as a discount to the note and is being amortized over the term of the note using the interest method.  Through September 30, 2013, the Company has adjusted the UHN Warrant to increase the number of shares available for purchase by 40,083 shares, based on interest accrued on the UHN Note through that date. The Company has recorded the fair value of the additional warrant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Notes Payable for Cancellation of Amounts Payable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25, 2011, the Company issued to Burr, Pilger, and Mayer, LLC (“</w:t>
      </w:r>
      <w:r>
        <w:rPr>
          <w:rFonts w:ascii="Times New Roman" w:hAnsi="Times New Roman"/>
          <w:i/>
          <w:sz w:val="20"/>
        </w:rPr>
        <w:t>BPM</w:t>
      </w:r>
      <w:r>
        <w:rPr>
          <w:rFonts w:ascii="Times New Roman" w:hAnsi="Times New Roman"/>
          <w:sz w:val="20"/>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29, 2011, the Company issued to Desjardins Securities, Inc. (“</w:t>
      </w:r>
      <w:r>
        <w:rPr>
          <w:rFonts w:ascii="Times New Roman" w:hAnsi="Times New Roman"/>
          <w:i/>
          <w:sz w:val="20"/>
        </w:rPr>
        <w:t>Desjardins</w:t>
      </w:r>
      <w:r>
        <w:rPr>
          <w:rFonts w:ascii="Times New Roman" w:hAnsi="Times New Roman"/>
          <w:sz w:val="20"/>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issued to McCarthy Tetrault LLP (“</w:t>
      </w:r>
      <w:r>
        <w:rPr>
          <w:rFonts w:ascii="Times New Roman" w:hAnsi="Times New Roman"/>
          <w:i/>
          <w:sz w:val="20"/>
        </w:rPr>
        <w:t>McCarthy</w:t>
      </w:r>
      <w:r>
        <w:rPr>
          <w:rFonts w:ascii="Times New Roman" w:hAnsi="Times New Roman"/>
          <w:sz w:val="20"/>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 during the second quarter of the fiscal year ended March 31, 2013.</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4"/>
      <w:bookmarkStart w:id="163" w:name="PGBRK14"/>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4"/>
      <w:bookmarkStart w:id="165" w:name="FTR14"/>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6" w:name="GLFTR14"/>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4"/>
      <w:bookmarkEnd w:id="16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4"/>
      <w:bookmarkStart w:id="169" w:name="HDR14"/>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0" w:name="GLHDR14"/>
        <w:bookmarkEnd w:id="1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Payable to Cato Holding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all amounts owed by the Company to Cato Holding Company ("</w:t>
      </w:r>
      <w:r>
        <w:rPr>
          <w:rFonts w:ascii="Times New Roman" w:hAnsi="Times New Roman"/>
          <w:i/>
          <w:sz w:val="20"/>
        </w:rPr>
        <w:t>CHC</w:t>
      </w:r>
      <w:r>
        <w:rPr>
          <w:rFonts w:ascii="Times New Roman" w:hAnsi="Times New Roman"/>
          <w:sz w:val="20"/>
        </w:rPr>
        <w:t>"), a related party, and its affiliates, were consolidated into a single note, in the principal amount of $352,300 (the “</w:t>
      </w:r>
      <w:r>
        <w:rPr>
          <w:rFonts w:ascii="Times New Roman" w:hAnsi="Times New Roman"/>
          <w:i/>
          <w:sz w:val="20"/>
        </w:rPr>
        <w:t>2011 CHC Note</w:t>
      </w:r>
      <w:r>
        <w:rPr>
          <w:rFonts w:ascii="Times New Roman" w:hAnsi="Times New Roman"/>
          <w:sz w:val="20"/>
        </w:rPr>
        <w:t>”).  Concurrently, CHC released all of its security interests in certain of the Company’s personal property.  The 2011 CHC note was to bear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and CHC restructured the 2011 CHC Note by cancelling the 2011 CHC Note and exchanging it for a new unsecured promissory note in the principal amount of $310,400 (the “</w:t>
      </w:r>
      <w:r>
        <w:rPr>
          <w:rFonts w:ascii="Times New Roman" w:hAnsi="Times New Roman"/>
          <w:i/>
          <w:sz w:val="20"/>
        </w:rPr>
        <w:t>2012 CHC Note</w:t>
      </w:r>
      <w:r>
        <w:rPr>
          <w:rFonts w:ascii="Times New Roman" w:hAnsi="Times New Roman"/>
          <w:sz w:val="20"/>
        </w:rPr>
        <w:t>”) and a five-year warrant to purchase 250,000 shares of the Company’s common stock at a price of $1.50 per share (the “</w:t>
      </w:r>
      <w:r>
        <w:rPr>
          <w:rFonts w:ascii="Times New Roman" w:hAnsi="Times New Roman"/>
          <w:i/>
          <w:sz w:val="20"/>
        </w:rPr>
        <w:t>CHC Warrant</w:t>
      </w:r>
      <w:r>
        <w:rPr>
          <w:rFonts w:ascii="Times New Roman" w:hAnsi="Times New Roman"/>
          <w:sz w:val="20"/>
        </w:rPr>
        <w:t>”).  The 2012 CHC Note accrues interest at a rate of 7.5% per annum and is due and payable in monthly installments of $10,000, beginning November 1, 2012 and continuing until the outstanding balance is paid in full.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The Company recognized the difference between the sum of the fair values of the 2012 CHC Note and the CHC Warrant less the carrying value of the 2011 CHC Note, $119,100, as a non-cash loss on early extinguishment of debt in the Consolidated Statements of Operations and Comprehensive Income for the third quarter of the fiscal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Payable to 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Cato Research Ltd. (“</w:t>
      </w:r>
      <w:r>
        <w:rPr>
          <w:rFonts w:ascii="Times New Roman" w:hAnsi="Times New Roman"/>
          <w:i/>
          <w:sz w:val="20"/>
        </w:rPr>
        <w:t>CRL</w:t>
      </w:r>
      <w:r>
        <w:rPr>
          <w:rFonts w:ascii="Times New Roman" w:hAnsi="Times New Roman"/>
          <w:sz w:val="20"/>
        </w:rPr>
        <w:t>”),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i/>
          <w:sz w:val="20"/>
        </w:rPr>
        <w:t>CRL Warrant</w:t>
      </w:r>
      <w:r>
        <w:rPr>
          <w:rFonts w:ascii="Times New Roman" w:hAnsi="Times New Roman"/>
          <w:sz w:val="20"/>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$486,200. The Company recognized the difference between the sum of the fair values of the CRL Note and the CRL Warrant less the accounts payable balance due to CRL, $335,100, as a non-cash loss on early extinguishment of debt in the Consolidated Statements of Operations and Comprehensive Income for the third quarter of the fiscal year ended March 31, 2013.  The fair value of the warrant, $486,200,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Through September 30, 2013, the Company has adjusted the CRL Warrant to increase the number of restricted shares available for purchase by 76,111 shares, based on interest accrued on the CRL Note through that date. The Company has recorded the fair value of the additional warrant shares as a charge to interest expense and a corresponding credit to additional paid-in capital.</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5"/>
      <w:bookmarkStart w:id="172" w:name="PGBRK15"/>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5"/>
      <w:bookmarkStart w:id="174" w:name="FTR15"/>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5" w:name="GLFTR15"/>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5"/>
      <w:bookmarkEnd w:id="17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5"/>
      <w:bookmarkStart w:id="178" w:name="HDR15"/>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9" w:name="GLHDR15"/>
        <w:bookmarkEnd w:id="1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University Health Network</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80" w:name="TAB1"/>
      <w:bookmarkEnd w:id="180"/>
      <w:r>
        <w:rPr>
          <w:rFonts w:ascii="Times New Roman" w:hAnsi="Times New Roman"/>
          <w:sz w:val="20"/>
        </w:rPr>
        <w:t>On September 17, 2007, the Company and UHN entered into a Sponsored Research Collaboration Agreement (“</w:t>
      </w:r>
      <w:r>
        <w:rPr>
          <w:rFonts w:ascii="Times New Roman" w:hAnsi="Times New Roman"/>
          <w:i/>
          <w:sz w:val="20"/>
        </w:rPr>
        <w:t>SRCA</w:t>
      </w:r>
      <w:r>
        <w:rPr>
          <w:rFonts w:ascii="Times New Roman" w:hAnsi="Times New Roman"/>
          <w:sz w:val="20"/>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Times New Roman" w:hAnsi="Times New Roman"/>
          <w:i/>
          <w:sz w:val="20"/>
        </w:rPr>
        <w:t>Convertible Notes and Other Notes Payable</w:t>
      </w:r>
      <w:r>
        <w:rPr>
          <w:rFonts w:ascii="Times New Roman" w:hAnsi="Times New Roman"/>
          <w:sz w:val="20"/>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 National Institutes of Health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years 2006 through 2008, the U.S. National Institutes of Health ("</w:t>
      </w:r>
      <w:r>
        <w:rPr>
          <w:rFonts w:ascii="Times New Roman" w:hAnsi="Times New Roman"/>
          <w:i/>
          <w:sz w:val="20"/>
        </w:rPr>
        <w:t>NIH</w:t>
      </w:r>
      <w:r>
        <w:rPr>
          <w:rFonts w:ascii="Times New Roman" w:hAnsi="Times New Roman"/>
          <w:sz w:val="20"/>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 and has not been extended or renewed.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built a strategic development relationship with Cato Research Ltd. (“</w:t>
      </w:r>
      <w:r>
        <w:rPr>
          <w:rFonts w:ascii="Times New Roman" w:hAnsi="Times New Roman"/>
          <w:i/>
          <w:sz w:val="20"/>
        </w:rPr>
        <w:t>CRL</w:t>
      </w:r>
      <w:r>
        <w:rPr>
          <w:rFonts w:ascii="Times New Roman" w:hAnsi="Times New Roman"/>
          <w:sz w:val="20"/>
        </w:rPr>
        <w:t xml:space="preserve">”), a global contract research and development organization, or CRO, and an affiliate of one of the Company’s largest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$30,000 and $222,600 in the three month periods ended June 30, 2013 and 2012, respectively. As described in Note 7, </w:t>
      </w:r>
      <w:r>
        <w:rPr>
          <w:rFonts w:ascii="Times New Roman" w:hAnsi="Times New Roman"/>
          <w:i/>
          <w:sz w:val="20"/>
        </w:rPr>
        <w:t>Convertible Promissory</w:t>
      </w:r>
      <w:r>
        <w:rPr>
          <w:rFonts w:ascii="Times New Roman" w:hAnsi="Times New Roman"/>
          <w:sz w:val="20"/>
        </w:rPr>
        <w:t xml:space="preserve"> </w:t>
      </w:r>
      <w:r>
        <w:rPr>
          <w:rFonts w:ascii="Times New Roman" w:hAnsi="Times New Roman"/>
          <w:i/>
          <w:sz w:val="20"/>
        </w:rPr>
        <w:t>Notes and Other Notes Payable</w:t>
      </w:r>
      <w:r>
        <w:rPr>
          <w:rFonts w:ascii="Times New Roman" w:hAnsi="Times New Roman"/>
          <w:sz w:val="20"/>
        </w:rPr>
        <w:t>, in October 2012, the Company issued an unsecured promissory note in the principal amount of $1,009,000, and a warrant exercisable for 1,009,000 shares of the Company’s common stock, as payment in full of all amounts owed to CRL for CRO services rendered to the Company through December 31, 2012.</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16"/>
      <w:bookmarkStart w:id="182" w:name="PGBRK16"/>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16"/>
      <w:bookmarkStart w:id="184" w:name="FTR16"/>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5" w:name="GLFTR16"/>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 w:name="PN16"/>
      <w:bookmarkEnd w:id="18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16"/>
      <w:bookmarkStart w:id="188" w:name="HDR16"/>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9" w:name="GLHDR16"/>
        <w:bookmarkEnd w:id="18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9.  Capital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Autilion AG Securities Purchase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8, 2013, the Company entered into a Securities Purchase Agreement (as amended, the “</w:t>
      </w:r>
      <w:r>
        <w:rPr>
          <w:rFonts w:ascii="Times New Roman" w:hAnsi="Times New Roman"/>
          <w:i/>
          <w:sz w:val="20"/>
        </w:rPr>
        <w:t>Securities 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On April 12, 2013, Autilion assigned the Purchase Agreement to its affiliate, Bergamo Acquisition Corp. PTE LTD, a corporation organized and existing under the laws of Singapore (“</w:t>
      </w:r>
      <w:r>
        <w:rPr>
          <w:rFonts w:ascii="Times New Roman" w:hAnsi="Times New Roman"/>
          <w:i/>
          <w:sz w:val="20"/>
        </w:rPr>
        <w:t>Bergamo Singapore</w:t>
      </w:r>
      <w:r>
        <w:rPr>
          <w:rFonts w:ascii="Times New Roman" w:hAnsi="Times New Roman"/>
          <w:sz w:val="20"/>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on or before September 30, 2013 (“</w:t>
      </w:r>
      <w:r>
        <w:rPr>
          <w:rFonts w:ascii="Times New Roman" w:hAnsi="Times New Roman"/>
          <w:i/>
          <w:sz w:val="20"/>
        </w:rPr>
        <w:t>Autilion Financing</w:t>
      </w:r>
      <w:r>
        <w:rPr>
          <w:rFonts w:ascii="Times New Roman" w:hAnsi="Times New Roman"/>
          <w:sz w:val="20"/>
        </w:rPr>
        <w:t>”). At September 30, 2013, the Company had completed a nominal initial closing of the Autilion Financing in the amount of $25,000 and issued 50,000 restricted shares of common stock.  Autilion has informed the Company that the delayed closing of the Autilion Financing in full is due to administrative matters and financial transactions involving Autilion, its international affiliates, investment partners and counterparties, including financial transactions intended to increase substantially the aggregate amount of investment capital available to Autilion and its affiliates.  Although Autilion remains in default under the Securities Purchase Agreement, subsequent to September 30, 2013, Autilion has informed the Company that the Company will receive the full $36 million of proceeds contemplated by the Securities Purchase Agreement. As a result of the delay in closing the Autilion Financing prior to the date of this report, however, the Company cannot give any assurances as to whether it will receive any additional funding from Autilion in connection with the Autilion Financing in a timely manner, or at all. The Securities Purchase Agreement also provides for the election to the Company’s Board of Directors of a designee of Autilion upon completion of the Autilion Financing.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hAnsi="Times New Roman"/>
          <w:i/>
          <w:sz w:val="20"/>
        </w:rPr>
        <w:t>Approved Transaction</w:t>
      </w:r>
      <w:r>
        <w:rPr>
          <w:rFonts w:ascii="Times New Roman" w:hAnsi="Times New Roman"/>
          <w:sz w:val="20"/>
        </w:rPr>
        <w:t>”), Autilion is required to vote all shares of capital stock of the Company held by it for such Approved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2013 Unit Private Placement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August and September 2013, the Company entered into securities purchase agreements with accredited investors pursuant to which it sold to such investors 41 Units, each Unit consisting of (i) a 10% convertible note in the face amount of $5,000 maturing on July 30, 2014 (“</w:t>
      </w:r>
      <w:r>
        <w:rPr>
          <w:rFonts w:ascii="Times New Roman" w:hAnsi="Times New Roman"/>
          <w:i/>
          <w:sz w:val="20"/>
        </w:rPr>
        <w:t>Unit Note</w:t>
      </w:r>
      <w:r>
        <w:rPr>
          <w:rFonts w:ascii="Times New Roman" w:hAnsi="Times New Roman"/>
          <w:sz w:val="20"/>
        </w:rPr>
        <w:t>”); (ii) 10,000 shares of the Company’s restricted common stock (“</w:t>
      </w:r>
      <w:r>
        <w:rPr>
          <w:rFonts w:ascii="Times New Roman" w:hAnsi="Times New Roman"/>
          <w:i/>
          <w:sz w:val="20"/>
        </w:rPr>
        <w:t>Unit Stock</w:t>
      </w:r>
      <w:r>
        <w:rPr>
          <w:rFonts w:ascii="Times New Roman" w:hAnsi="Times New Roman"/>
          <w:sz w:val="20"/>
        </w:rPr>
        <w:t>”); and (iii) a three-year warrant to purchase 10,000 restricted shares of the Company’s common stock at an exercise price of $1.00 per share (“</w:t>
      </w:r>
      <w:r>
        <w:rPr>
          <w:rFonts w:ascii="Times New Roman" w:hAnsi="Times New Roman"/>
          <w:i/>
          <w:sz w:val="20"/>
        </w:rPr>
        <w:t>Unit Warrant</w:t>
      </w:r>
      <w:r>
        <w:rPr>
          <w:rFonts w:ascii="Times New Roman" w:hAnsi="Times New Roman"/>
          <w:sz w:val="20"/>
        </w:rPr>
        <w:t>”).  Accordingly, the Company issued Unit Notes in the aggregate face amount of $205,000; an aggregate of 410,000 shares of Unit Stock, and warrants to purchase an aggregate of 410,000 shares of the Company’s restricted common stock pursuant to the Unit Warrants, and received cash proceeds of $205,000. The Unit Note and related accrued interest is convertible into shares of the Company’s common stock at a conversion price of $0.50 per share at or prior to maturity at the option of the investor. The Units represent the Exchange Securities into which Platinum may convert the July 2013 Note.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allocated the proceeds from the sale of the Units to the various securities based on their relative fair values on the dates of the sales. The Company determined the fair value of the Unit Stock based on the quoted market price of its stock on the date of the Unit sale.  The Company calculated the fair value of the Unit Warrants using the Black Scholes Option Pricing Model and the assumptions indicated in the table below. The table below also presents the allocation of the Unit sales proceeds based on the relative fair values of the Unit Stock, Unit Warrant and Unit Note at the Unit sale date.</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90" w:name="PGBRK17"/>
      <w:bookmarkStart w:id="191" w:name="PGBRK17"/>
      <w:bookmarkEnd w:id="191"/>
    </w:p>
    <w:tbl>
      <w:tblPr>
        <w:tblW w:w="10785" w:type="dxa"/>
        <w:jc w:val="left"/>
        <w:tblInd w:w="0" w:type="dxa"/>
        <w:tblCellMar>
          <w:top w:w="0" w:type="dxa"/>
          <w:left w:w="0" w:type="dxa"/>
          <w:bottom w:w="28" w:type="dxa"/>
          <w:right w:w="0" w:type="dxa"/>
        </w:tblCellMar>
      </w:tblPr>
      <w:tblGrid>
        <w:gridCol w:w="455"/>
        <w:gridCol w:w="60"/>
        <w:gridCol w:w="60"/>
        <w:gridCol w:w="695"/>
        <w:gridCol w:w="60"/>
        <w:gridCol w:w="149"/>
        <w:gridCol w:w="456"/>
        <w:gridCol w:w="60"/>
        <w:gridCol w:w="175"/>
        <w:gridCol w:w="535"/>
        <w:gridCol w:w="60"/>
        <w:gridCol w:w="530"/>
        <w:gridCol w:w="60"/>
        <w:gridCol w:w="416"/>
        <w:gridCol w:w="204"/>
        <w:gridCol w:w="60"/>
        <w:gridCol w:w="815"/>
        <w:gridCol w:w="185"/>
        <w:gridCol w:w="140"/>
        <w:gridCol w:w="645"/>
        <w:gridCol w:w="185"/>
        <w:gridCol w:w="60"/>
        <w:gridCol w:w="164"/>
        <w:gridCol w:w="501"/>
        <w:gridCol w:w="60"/>
        <w:gridCol w:w="125"/>
        <w:gridCol w:w="590"/>
        <w:gridCol w:w="60"/>
        <w:gridCol w:w="125"/>
        <w:gridCol w:w="695"/>
        <w:gridCol w:w="60"/>
        <w:gridCol w:w="125"/>
        <w:gridCol w:w="590"/>
        <w:gridCol w:w="60"/>
        <w:gridCol w:w="125"/>
        <w:gridCol w:w="590"/>
        <w:gridCol w:w="60"/>
        <w:gridCol w:w="125"/>
        <w:gridCol w:w="590"/>
        <w:gridCol w:w="75"/>
      </w:tblGrid>
      <w:tr>
        <w:trPr/>
        <w:tc>
          <w:tcPr>
            <w:tcW w:w="455" w:type="dxa"/>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Unit Sale</w:t>
            </w:r>
          </w:p>
          <w:p>
            <w:pPr>
              <w:pStyle w:val="TableContents"/>
              <w:spacing w:before="0" w:after="0"/>
              <w:jc w:val="center"/>
              <w:rPr>
                <w:rFonts w:ascii="times new roman" w:hAnsi="times new roman"/>
                <w:sz w:val="20"/>
              </w:rPr>
            </w:pPr>
            <w:r>
              <w:rPr>
                <w:rFonts w:ascii="times new roman" w:hAnsi="times new roman"/>
                <w:sz w:val="20"/>
              </w:rPr>
              <w:t>Date</w:t>
            </w:r>
          </w:p>
        </w:tc>
        <w:tc>
          <w:tcPr>
            <w:tcW w:w="60" w:type="dxa"/>
            <w:tcBorders/>
            <w:shd w:fill="auto" w:val="clear"/>
            <w:tcMar>
              <w:bottom w:w="0" w:type="dxa"/>
            </w:tcMar>
            <w:vAlign w:val="bottom"/>
          </w:tcPr>
          <w:p>
            <w:pPr>
              <w:pStyle w:val="TableContents"/>
              <w:spacing w:before="0" w:after="283"/>
              <w:rPr/>
            </w:pPr>
            <w:r>
              <w:rPr/>
              <w:t> </w:t>
            </w:r>
          </w:p>
        </w:tc>
        <w:tc>
          <w:tcPr>
            <w:tcW w:w="755" w:type="dxa"/>
            <w:gridSpan w:val="2"/>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Warrant</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rFonts w:ascii="times new roman" w:hAnsi="times new roman"/>
                <w:sz w:val="20"/>
              </w:rPr>
            </w:pPr>
            <w:r>
              <w:rPr>
                <w:rFonts w:ascii="times new roman" w:hAnsi="times new roman"/>
                <w:sz w:val="20"/>
              </w:rPr>
              <w:t>Issued</w:t>
            </w:r>
          </w:p>
        </w:tc>
        <w:tc>
          <w:tcPr>
            <w:tcW w:w="60" w:type="dxa"/>
            <w:tcBorders/>
            <w:shd w:fill="auto" w:val="clear"/>
            <w:tcMar>
              <w:bottom w:w="0" w:type="dxa"/>
            </w:tcMar>
            <w:vAlign w:val="bottom"/>
          </w:tcPr>
          <w:p>
            <w:pPr>
              <w:pStyle w:val="TableContents"/>
              <w:spacing w:before="0" w:after="283"/>
              <w:jc w:val="left"/>
              <w:rPr/>
            </w:pPr>
            <w:r>
              <w:rPr/>
              <w:t> </w:t>
            </w:r>
          </w:p>
        </w:tc>
        <w:tc>
          <w:tcPr>
            <w:tcW w:w="4490" w:type="dxa"/>
            <w:gridSpan w:val="15"/>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Issuance Date Valuation Assumptions</w:t>
            </w:r>
          </w:p>
        </w:tc>
        <w:tc>
          <w:tcPr>
            <w:tcW w:w="18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65" w:type="dxa"/>
            <w:gridSpan w:val="2"/>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 Share</w:t>
            </w:r>
          </w:p>
          <w:p>
            <w:pPr>
              <w:pStyle w:val="TableContents"/>
              <w:spacing w:before="0" w:after="0"/>
              <w:jc w:val="center"/>
              <w:rPr>
                <w:rFonts w:ascii="times new roman" w:hAnsi="times new roman"/>
                <w:sz w:val="20"/>
              </w:rPr>
            </w:pPr>
            <w:r>
              <w:rPr>
                <w:rFonts w:ascii="times new roman" w:hAnsi="times new roman"/>
                <w:sz w:val="20"/>
              </w:rPr>
              <w:t>Fair</w:t>
            </w:r>
          </w:p>
          <w:p>
            <w:pPr>
              <w:pStyle w:val="TableContents"/>
              <w:spacing w:before="0" w:after="0"/>
              <w:jc w:val="center"/>
              <w:rPr>
                <w:rFonts w:ascii="times new roman" w:hAnsi="times new roman"/>
                <w:sz w:val="20"/>
              </w:rPr>
            </w:pPr>
            <w:r>
              <w:rPr>
                <w:rFonts w:ascii="times new roman" w:hAnsi="times new roman"/>
                <w:sz w:val="20"/>
              </w:rPr>
              <w:t>Value of</w:t>
            </w:r>
          </w:p>
          <w:p>
            <w:pPr>
              <w:pStyle w:val="TableContents"/>
              <w:spacing w:before="0" w:after="0"/>
              <w:jc w:val="center"/>
              <w:rPr>
                <w:rFonts w:ascii="times new roman" w:hAnsi="times new roman"/>
                <w:sz w:val="20"/>
              </w:rPr>
            </w:pPr>
            <w:r>
              <w:rPr>
                <w:rFonts w:ascii="times new roman" w:hAnsi="times new roman"/>
                <w:sz w:val="20"/>
              </w:rPr>
              <w:t>Warrant</w:t>
            </w:r>
          </w:p>
        </w:tc>
        <w:tc>
          <w:tcPr>
            <w:tcW w:w="60" w:type="dxa"/>
            <w:tcBorders/>
            <w:shd w:fill="auto" w:val="clear"/>
            <w:tcMar>
              <w:bottom w:w="0" w:type="dxa"/>
            </w:tcMar>
            <w:vAlign w:val="bottom"/>
          </w:tcPr>
          <w:p>
            <w:pPr>
              <w:pStyle w:val="TableContents"/>
              <w:spacing w:before="0" w:after="283"/>
              <w:jc w:val="left"/>
              <w:rPr/>
            </w:pPr>
            <w:r>
              <w:rPr/>
              <w:t> </w:t>
            </w:r>
          </w:p>
        </w:tc>
        <w:tc>
          <w:tcPr>
            <w:tcW w:w="715" w:type="dxa"/>
            <w:gridSpan w:val="2"/>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Fair </w:t>
            </w:r>
          </w:p>
          <w:p>
            <w:pPr>
              <w:pStyle w:val="TableContents"/>
              <w:spacing w:before="0" w:after="0"/>
              <w:jc w:val="center"/>
              <w:rPr>
                <w:rFonts w:ascii="times new roman" w:hAnsi="times new roman"/>
                <w:sz w:val="20"/>
              </w:rPr>
            </w:pPr>
            <w:r>
              <w:rPr>
                <w:rFonts w:ascii="times new roman" w:hAnsi="times new roman"/>
                <w:sz w:val="20"/>
              </w:rPr>
              <w:t>Value of Unit</w:t>
            </w:r>
          </w:p>
          <w:p>
            <w:pPr>
              <w:pStyle w:val="TableContents"/>
              <w:spacing w:before="0" w:after="0"/>
              <w:jc w:val="center"/>
              <w:rPr>
                <w:rFonts w:ascii="times new roman" w:hAnsi="times new roman"/>
                <w:sz w:val="20"/>
              </w:rPr>
            </w:pPr>
            <w:r>
              <w:rPr>
                <w:rFonts w:ascii="times new roman" w:hAnsi="times new roman"/>
                <w:sz w:val="20"/>
              </w:rPr>
              <w:t>Warrant</w:t>
            </w:r>
          </w:p>
        </w:tc>
        <w:tc>
          <w:tcPr>
            <w:tcW w:w="60" w:type="dxa"/>
            <w:tcBorders/>
            <w:shd w:fill="auto" w:val="clear"/>
            <w:tcMar>
              <w:bottom w:w="0" w:type="dxa"/>
            </w:tcMar>
            <w:vAlign w:val="bottom"/>
          </w:tcPr>
          <w:p>
            <w:pPr>
              <w:pStyle w:val="TableContents"/>
              <w:spacing w:before="0" w:after="283"/>
              <w:jc w:val="left"/>
              <w:rPr/>
            </w:pPr>
            <w:r>
              <w:rPr/>
              <w:t> </w:t>
            </w:r>
          </w:p>
        </w:tc>
        <w:tc>
          <w:tcPr>
            <w:tcW w:w="820" w:type="dxa"/>
            <w:gridSpan w:val="2"/>
            <w:vMerge w:val="restart"/>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Proceeds</w:t>
            </w:r>
          </w:p>
          <w:p>
            <w:pPr>
              <w:pStyle w:val="TableContents"/>
              <w:spacing w:before="0" w:after="0"/>
              <w:jc w:val="center"/>
              <w:rPr>
                <w:rFonts w:ascii="times new roman" w:hAnsi="times new roman"/>
                <w:sz w:val="20"/>
              </w:rPr>
            </w:pPr>
            <w:r>
              <w:rPr>
                <w:rFonts w:ascii="times new roman" w:hAnsi="times new roman"/>
                <w:sz w:val="20"/>
              </w:rPr>
              <w:t>of Unit</w:t>
            </w:r>
          </w:p>
          <w:p>
            <w:pPr>
              <w:pStyle w:val="TableContents"/>
              <w:spacing w:before="0" w:after="0"/>
              <w:jc w:val="center"/>
              <w:rPr>
                <w:rFonts w:ascii="times new roman" w:hAnsi="times new roman"/>
                <w:sz w:val="20"/>
              </w:rPr>
            </w:pPr>
            <w:r>
              <w:rPr>
                <w:rFonts w:ascii="times new roman" w:hAnsi="times new roman"/>
                <w:sz w:val="20"/>
              </w:rPr>
              <w:t>Sales</w:t>
            </w:r>
          </w:p>
        </w:tc>
        <w:tc>
          <w:tcPr>
            <w:tcW w:w="60" w:type="dxa"/>
            <w:tcBorders/>
            <w:shd w:fill="auto" w:val="clear"/>
            <w:tcMar>
              <w:bottom w:w="0" w:type="dxa"/>
            </w:tcMar>
            <w:vAlign w:val="bottom"/>
          </w:tcPr>
          <w:p>
            <w:pPr>
              <w:pStyle w:val="TableContents"/>
              <w:spacing w:before="0" w:after="283"/>
              <w:rPr/>
            </w:pPr>
            <w:r>
              <w:rPr/>
              <w:t> </w:t>
            </w:r>
          </w:p>
        </w:tc>
        <w:tc>
          <w:tcPr>
            <w:tcW w:w="2265" w:type="dxa"/>
            <w:gridSpan w:val="8"/>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Allocation of Proceeds Based on</w:t>
            </w:r>
          </w:p>
          <w:p>
            <w:pPr>
              <w:pStyle w:val="TableContents"/>
              <w:spacing w:before="0" w:after="0"/>
              <w:jc w:val="center"/>
              <w:rPr>
                <w:rFonts w:ascii="times new roman" w:hAnsi="times new roman"/>
                <w:sz w:val="20"/>
              </w:rPr>
            </w:pPr>
            <w:r>
              <w:rPr>
                <w:rFonts w:ascii="times new roman" w:hAnsi="times new roman"/>
                <w:sz w:val="20"/>
              </w:rPr>
              <w:t>Relative Fair Value of:</w:t>
            </w:r>
          </w:p>
        </w:tc>
        <w:tc>
          <w:tcPr>
            <w:tcW w:w="75" w:type="dxa"/>
            <w:tcBorders/>
            <w:shd w:fill="auto" w:val="clear"/>
            <w:tcMar>
              <w:bottom w:w="0" w:type="dxa"/>
            </w:tcMar>
            <w:vAlign w:val="bottom"/>
          </w:tcPr>
          <w:p>
            <w:pPr>
              <w:pStyle w:val="TableContents"/>
              <w:spacing w:before="0" w:after="283"/>
              <w:jc w:val="left"/>
              <w:rPr/>
            </w:pPr>
            <w:r>
              <w:rPr/>
              <w:t> </w:t>
            </w:r>
          </w:p>
        </w:tc>
      </w:tr>
      <w:tr>
        <w:trPr/>
        <w:tc>
          <w:tcPr>
            <w:tcW w:w="455" w:type="dxa"/>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rPr/>
            </w:pPr>
            <w:r>
              <w:rPr/>
              <w:t> </w:t>
            </w:r>
          </w:p>
        </w:tc>
        <w:tc>
          <w:tcPr>
            <w:tcW w:w="755" w:type="dxa"/>
            <w:gridSpan w:val="2"/>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jc w:val="left"/>
              <w:rPr/>
            </w:pPr>
            <w:r>
              <w:rPr/>
              <w:t> </w:t>
            </w:r>
          </w:p>
        </w:tc>
        <w:tc>
          <w:tcPr>
            <w:tcW w:w="60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Market</w:t>
            </w:r>
          </w:p>
          <w:p>
            <w:pPr>
              <w:pStyle w:val="TableContents"/>
              <w:spacing w:before="0" w:after="0"/>
              <w:jc w:val="center"/>
              <w:rPr>
                <w:rFonts w:ascii="times new roman" w:hAnsi="times new roman"/>
                <w:sz w:val="20"/>
              </w:rPr>
            </w:pPr>
            <w:r>
              <w:rPr>
                <w:rFonts w:ascii="times new roman" w:hAnsi="times new roman"/>
                <w:sz w:val="20"/>
              </w:rPr>
              <w:t>Price</w:t>
            </w:r>
          </w:p>
        </w:tc>
        <w:tc>
          <w:tcPr>
            <w:tcW w:w="60" w:type="dxa"/>
            <w:tcBorders/>
            <w:shd w:fill="auto" w:val="clear"/>
            <w:tcMar>
              <w:bottom w:w="0" w:type="dxa"/>
            </w:tcMar>
            <w:vAlign w:val="bottom"/>
          </w:tcPr>
          <w:p>
            <w:pPr>
              <w:pStyle w:val="TableContents"/>
              <w:spacing w:before="0" w:after="283"/>
              <w:rPr/>
            </w:pPr>
            <w:r>
              <w:rPr/>
              <w:t> </w:t>
            </w:r>
          </w:p>
        </w:tc>
        <w:tc>
          <w:tcPr>
            <w:tcW w:w="71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p>
            <w:pPr>
              <w:pStyle w:val="TableContents"/>
              <w:spacing w:before="0" w:after="0"/>
              <w:jc w:val="center"/>
              <w:rPr>
                <w:rFonts w:ascii="times new roman" w:hAnsi="times new roman"/>
                <w:sz w:val="20"/>
              </w:rPr>
            </w:pPr>
            <w:r>
              <w:rPr>
                <w:rFonts w:ascii="times new roman" w:hAnsi="times new roman"/>
                <w:sz w:val="20"/>
              </w:rPr>
              <w:t>Price</w:t>
            </w:r>
          </w:p>
        </w:tc>
        <w:tc>
          <w:tcPr>
            <w:tcW w:w="60" w:type="dxa"/>
            <w:tcBorders/>
            <w:shd w:fill="auto" w:val="clear"/>
            <w:tcMar>
              <w:bottom w:w="0" w:type="dxa"/>
            </w:tcMar>
            <w:vAlign w:val="bottom"/>
          </w:tcPr>
          <w:p>
            <w:pPr>
              <w:pStyle w:val="TableContents"/>
              <w:spacing w:before="0" w:after="283"/>
              <w:jc w:val="left"/>
              <w:rPr/>
            </w:pPr>
            <w:r>
              <w:rPr/>
              <w:t> </w:t>
            </w:r>
          </w:p>
        </w:tc>
        <w:tc>
          <w:tcPr>
            <w:tcW w:w="53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Term</w:t>
            </w:r>
          </w:p>
          <w:p>
            <w:pPr>
              <w:pStyle w:val="TableContents"/>
              <w:spacing w:before="0" w:after="0"/>
              <w:jc w:val="center"/>
              <w:rPr>
                <w:rFonts w:ascii="times new roman" w:hAnsi="times new roman"/>
                <w:sz w:val="20"/>
              </w:rPr>
            </w:pPr>
            <w:r>
              <w:rPr>
                <w:rFonts w:ascii="times new roman" w:hAnsi="times new roman"/>
                <w:sz w:val="20"/>
              </w:rPr>
              <w:t>(Years)</w:t>
            </w:r>
          </w:p>
        </w:tc>
        <w:tc>
          <w:tcPr>
            <w:tcW w:w="60" w:type="dxa"/>
            <w:tcBorders/>
            <w:shd w:fill="auto" w:val="clear"/>
            <w:tcMar>
              <w:bottom w:w="0" w:type="dxa"/>
            </w:tcMar>
            <w:vAlign w:val="bottom"/>
          </w:tcPr>
          <w:p>
            <w:pPr>
              <w:pStyle w:val="TableContents"/>
              <w:spacing w:before="0" w:after="283"/>
              <w:rPr/>
            </w:pPr>
            <w:r>
              <w:rPr/>
              <w:t> </w:t>
            </w:r>
          </w:p>
        </w:tc>
        <w:tc>
          <w:tcPr>
            <w:tcW w:w="6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w:t>
            </w:r>
          </w:p>
          <w:p>
            <w:pPr>
              <w:pStyle w:val="TableContents"/>
              <w:spacing w:before="0" w:after="0"/>
              <w:jc w:val="center"/>
              <w:rPr>
                <w:rFonts w:ascii="times new roman" w:hAnsi="times new roman"/>
                <w:sz w:val="20"/>
              </w:rPr>
            </w:pPr>
            <w:r>
              <w:rPr>
                <w:rFonts w:ascii="times new roman" w:hAnsi="times new roman"/>
                <w:sz w:val="20"/>
              </w:rPr>
              <w:t>Interest</w:t>
            </w:r>
          </w:p>
          <w:p>
            <w:pPr>
              <w:pStyle w:val="TableContents"/>
              <w:spacing w:before="0" w:after="0"/>
              <w:jc w:val="center"/>
              <w:rPr>
                <w:rFonts w:ascii="times new roman" w:hAnsi="times new roman"/>
                <w:sz w:val="20"/>
              </w:rPr>
            </w:pPr>
            <w:r>
              <w:rPr>
                <w:rFonts w:ascii="times new roman" w:hAnsi="times new roman"/>
                <w:sz w:val="20"/>
              </w:rPr>
              <w:t>Rate</w:t>
            </w:r>
          </w:p>
        </w:tc>
        <w:tc>
          <w:tcPr>
            <w:tcW w:w="60" w:type="dxa"/>
            <w:tcBorders/>
            <w:shd w:fill="auto" w:val="clear"/>
            <w:tcMar>
              <w:bottom w:w="0" w:type="dxa"/>
            </w:tcMar>
            <w:vAlign w:val="bottom"/>
          </w:tcPr>
          <w:p>
            <w:pPr>
              <w:pStyle w:val="TableContents"/>
              <w:spacing w:before="0" w:after="283"/>
              <w:rPr/>
            </w:pPr>
            <w:r>
              <w:rPr/>
              <w:t> </w:t>
            </w:r>
          </w:p>
        </w:tc>
        <w:tc>
          <w:tcPr>
            <w:tcW w:w="81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185" w:type="dxa"/>
            <w:tcBorders/>
            <w:shd w:fill="auto" w:val="clear"/>
            <w:tcMar>
              <w:bottom w:w="0" w:type="dxa"/>
            </w:tcMar>
            <w:vAlign w:val="bottom"/>
          </w:tcPr>
          <w:p>
            <w:pPr>
              <w:pStyle w:val="TableContents"/>
              <w:spacing w:before="0" w:after="283"/>
              <w:jc w:val="left"/>
              <w:rPr/>
            </w:pPr>
            <w:r>
              <w:rPr/>
              <w:t> </w:t>
            </w:r>
          </w:p>
        </w:tc>
        <w:tc>
          <w:tcPr>
            <w:tcW w:w="78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w:t>
            </w:r>
          </w:p>
          <w:p>
            <w:pPr>
              <w:pStyle w:val="TableContents"/>
              <w:spacing w:before="0" w:after="0"/>
              <w:jc w:val="center"/>
              <w:rPr>
                <w:rFonts w:ascii="times new roman" w:hAnsi="times new roman"/>
                <w:sz w:val="20"/>
              </w:rPr>
            </w:pPr>
            <w:r>
              <w:rPr>
                <w:rFonts w:ascii="times new roman" w:hAnsi="times new roman"/>
                <w:sz w:val="20"/>
              </w:rPr>
              <w:t>Rate</w:t>
            </w:r>
          </w:p>
        </w:tc>
        <w:tc>
          <w:tcPr>
            <w:tcW w:w="18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65" w:type="dxa"/>
            <w:gridSpan w:val="2"/>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jc w:val="left"/>
              <w:rPr/>
            </w:pPr>
            <w:r>
              <w:rPr/>
              <w:t> </w:t>
            </w:r>
          </w:p>
        </w:tc>
        <w:tc>
          <w:tcPr>
            <w:tcW w:w="715" w:type="dxa"/>
            <w:gridSpan w:val="2"/>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jc w:val="left"/>
              <w:rPr/>
            </w:pPr>
            <w:r>
              <w:rPr/>
              <w:t> </w:t>
            </w:r>
          </w:p>
        </w:tc>
        <w:tc>
          <w:tcPr>
            <w:tcW w:w="820" w:type="dxa"/>
            <w:gridSpan w:val="2"/>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Unit Stock</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Unit</w:t>
            </w:r>
          </w:p>
          <w:p>
            <w:pPr>
              <w:pStyle w:val="TableContents"/>
              <w:spacing w:before="0" w:after="0"/>
              <w:jc w:val="center"/>
              <w:rPr>
                <w:rFonts w:ascii="times new roman" w:hAnsi="times new roman"/>
                <w:sz w:val="20"/>
              </w:rPr>
            </w:pPr>
            <w:r>
              <w:rPr>
                <w:rFonts w:ascii="times new roman" w:hAnsi="times new roman"/>
                <w:sz w:val="20"/>
              </w:rPr>
              <w:t>Warrant</w:t>
            </w:r>
          </w:p>
        </w:tc>
        <w:tc>
          <w:tcPr>
            <w:tcW w:w="60" w:type="dxa"/>
            <w:tcBorders/>
            <w:shd w:fill="auto" w:val="clear"/>
            <w:tcMar>
              <w:bottom w:w="0" w:type="dxa"/>
            </w:tcMar>
            <w:vAlign w:val="bottom"/>
          </w:tcPr>
          <w:p>
            <w:pPr>
              <w:pStyle w:val="TableContents"/>
              <w:spacing w:before="0" w:after="283"/>
              <w:jc w:val="left"/>
              <w:rPr/>
            </w:pPr>
            <w:r>
              <w:rPr/>
              <w:t> </w:t>
            </w:r>
          </w:p>
        </w:tc>
        <w:tc>
          <w:tcPr>
            <w:tcW w:w="71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Unit Note</w:t>
            </w:r>
          </w:p>
        </w:tc>
        <w:tc>
          <w:tcPr>
            <w:tcW w:w="75" w:type="dxa"/>
            <w:tcBorders/>
            <w:shd w:fill="auto" w:val="clear"/>
            <w:tcMar>
              <w:bottom w:w="0" w:type="dxa"/>
            </w:tcMar>
            <w:vAlign w:val="bottom"/>
          </w:tcPr>
          <w:p>
            <w:pPr>
              <w:pStyle w:val="TableContents"/>
              <w:spacing w:before="0" w:after="283"/>
              <w:jc w:val="left"/>
              <w:rPr/>
            </w:pPr>
            <w:r>
              <w:rPr/>
              <w:t> </w:t>
            </w:r>
          </w:p>
        </w:tc>
      </w:tr>
      <w:tr>
        <w:trPr/>
        <w:tc>
          <w:tcPr>
            <w:tcW w:w="455" w:type="dxa"/>
            <w:tcBorders/>
            <w:shd w:fill="auto" w:val="clear"/>
            <w:tcMar>
              <w:bottom w:w="0" w:type="dxa"/>
            </w:tcMar>
            <w:vAlign w:val="bottom"/>
          </w:tcPr>
          <w:p>
            <w:pPr>
              <w:pStyle w:val="TableContents"/>
              <w:spacing w:before="0" w:after="283"/>
              <w:rPr/>
            </w:pPr>
            <w:r>
              <w:rPr/>
              <w:t xml:space="preserve">  </w:t>
            </w:r>
          </w:p>
        </w:tc>
        <w:tc>
          <w:tcPr>
            <w:tcW w:w="60" w:type="dxa"/>
            <w:tcBorders/>
            <w:shd w:fill="auto" w:val="clear"/>
            <w:tcMar>
              <w:bottom w:w="0" w:type="dxa"/>
            </w:tcMar>
            <w:vAlign w:val="bottom"/>
          </w:tcPr>
          <w:p>
            <w:pPr>
              <w:pStyle w:val="TableContents"/>
              <w:spacing w:before="0" w:after="283"/>
              <w:rPr/>
            </w:pPr>
            <w:r>
              <w:rPr/>
              <w:t> </w:t>
            </w:r>
          </w:p>
        </w:tc>
        <w:tc>
          <w:tcPr>
            <w:tcW w:w="7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1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5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416" w:type="dxa"/>
            <w:tcBorders/>
            <w:shd w:fill="auto" w:val="clear"/>
            <w:tcMar>
              <w:bottom w:w="0" w:type="dxa"/>
            </w:tcMar>
            <w:vAlign w:val="bottom"/>
          </w:tcPr>
          <w:p>
            <w:pPr>
              <w:pStyle w:val="TableContents"/>
              <w:spacing w:before="0" w:after="283"/>
              <w:rPr/>
            </w:pPr>
            <w:r>
              <w:rPr/>
              <w:t> </w:t>
            </w:r>
          </w:p>
        </w:tc>
        <w:tc>
          <w:tcPr>
            <w:tcW w:w="204"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15" w:type="dxa"/>
            <w:tcBorders/>
            <w:shd w:fill="auto" w:val="clear"/>
            <w:tcMar>
              <w:bottom w:w="0" w:type="dxa"/>
            </w:tcMar>
            <w:vAlign w:val="bottom"/>
          </w:tcPr>
          <w:p>
            <w:pPr>
              <w:pStyle w:val="TableContents"/>
              <w:spacing w:before="0" w:after="283"/>
              <w:rPr/>
            </w:pPr>
            <w:r>
              <w:rPr/>
              <w:t> </w:t>
            </w:r>
          </w:p>
        </w:tc>
        <w:tc>
          <w:tcPr>
            <w:tcW w:w="185" w:type="dxa"/>
            <w:tcBorders/>
            <w:shd w:fill="auto" w:val="clear"/>
            <w:tcMar>
              <w:bottom w:w="0" w:type="dxa"/>
            </w:tcMar>
            <w:vAlign w:val="bottom"/>
          </w:tcPr>
          <w:p>
            <w:pPr>
              <w:pStyle w:val="TableContents"/>
              <w:spacing w:before="0" w:after="283"/>
              <w:jc w:val="left"/>
              <w:rPr/>
            </w:pPr>
            <w:r>
              <w:rPr/>
              <w:t> </w:t>
            </w:r>
          </w:p>
        </w:tc>
        <w:tc>
          <w:tcPr>
            <w:tcW w:w="785" w:type="dxa"/>
            <w:gridSpan w:val="2"/>
            <w:tcBorders/>
            <w:shd w:fill="auto" w:val="clear"/>
            <w:tcMar>
              <w:bottom w:w="0" w:type="dxa"/>
            </w:tcMar>
            <w:vAlign w:val="bottom"/>
          </w:tcPr>
          <w:p>
            <w:pPr>
              <w:pStyle w:val="TableContents"/>
              <w:spacing w:before="0" w:after="283"/>
              <w:rPr/>
            </w:pPr>
            <w:r>
              <w:rPr/>
              <w:t> </w:t>
            </w:r>
          </w:p>
        </w:tc>
        <w:tc>
          <w:tcPr>
            <w:tcW w:w="18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6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71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715" w:type="dxa"/>
            <w:gridSpan w:val="2"/>
            <w:tcBorders/>
            <w:shd w:fill="auto" w:val="clear"/>
            <w:tcMar>
              <w:bottom w:w="0" w:type="dxa"/>
            </w:tcMar>
            <w:vAlign w:val="bottom"/>
          </w:tcPr>
          <w:p>
            <w:pPr>
              <w:pStyle w:val="TableContents"/>
              <w:spacing w:before="0" w:after="283"/>
              <w:rPr/>
            </w:pPr>
            <w:r>
              <w:rPr/>
              <w:t> </w:t>
            </w:r>
          </w:p>
        </w:tc>
        <w:tc>
          <w:tcPr>
            <w:tcW w:w="75" w:type="dxa"/>
            <w:tcBorders/>
            <w:shd w:fill="auto" w:val="clear"/>
            <w:tcMar>
              <w:bottom w:w="0" w:type="dxa"/>
            </w:tcMar>
            <w:vAlign w:val="bottom"/>
          </w:tcPr>
          <w:p>
            <w:pPr>
              <w:pStyle w:val="TableContents"/>
              <w:spacing w:before="0" w:after="283"/>
              <w:jc w:val="left"/>
              <w:rPr/>
            </w:pPr>
            <w:r>
              <w:rPr/>
              <w:t> </w:t>
            </w:r>
          </w:p>
        </w:tc>
      </w:tr>
      <w:tr>
        <w:trPr/>
        <w:tc>
          <w:tcPr>
            <w:tcW w:w="45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8/6/2013</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60" w:type="dxa"/>
            <w:tcBorders/>
            <w:shd w:fill="CCEEFF" w:val="clear"/>
            <w:tcMar>
              <w:bottom w:w="0" w:type="dxa"/>
            </w:tcMar>
            <w:vAlign w:val="bottom"/>
          </w:tcPr>
          <w:p>
            <w:pPr>
              <w:pStyle w:val="TableContents"/>
              <w:spacing w:before="0" w:after="283"/>
              <w:jc w:val="left"/>
              <w:rPr/>
            </w:pPr>
            <w:r>
              <w:rPr/>
              <w:t> </w:t>
            </w:r>
          </w:p>
        </w:tc>
        <w:tc>
          <w:tcPr>
            <w:tcW w:w="14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0.62</w:t>
            </w:r>
          </w:p>
        </w:tc>
        <w:tc>
          <w:tcPr>
            <w:tcW w:w="60" w:type="dxa"/>
            <w:tcBorders/>
            <w:shd w:fill="CCEEFF" w:val="clear"/>
            <w:tcMar>
              <w:bottom w:w="0" w:type="dxa"/>
            </w:tcMar>
            <w:vAlign w:val="bottom"/>
          </w:tcPr>
          <w:p>
            <w:pPr>
              <w:pStyle w:val="TableContents"/>
              <w:spacing w:before="0" w:after="283"/>
              <w:jc w:val="right"/>
              <w:rPr/>
            </w:pPr>
            <w:r>
              <w:rPr/>
              <w:t> </w:t>
            </w:r>
          </w:p>
        </w:tc>
        <w:tc>
          <w:tcPr>
            <w:tcW w:w="17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3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tcMar>
              <w:bottom w:w="0" w:type="dxa"/>
            </w:tcMar>
            <w:vAlign w:val="bottom"/>
          </w:tcPr>
          <w:p>
            <w:pPr>
              <w:pStyle w:val="TableContents"/>
              <w:spacing w:before="0" w:after="283"/>
              <w:jc w:val="left"/>
              <w:rPr/>
            </w:pPr>
            <w:r>
              <w:rPr/>
              <w:t> </w:t>
            </w:r>
          </w:p>
        </w:tc>
        <w:tc>
          <w:tcPr>
            <w:tcW w:w="5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60" w:type="dxa"/>
            <w:tcBorders/>
            <w:shd w:fill="CCEEFF" w:val="clear"/>
            <w:tcMar>
              <w:bottom w:w="0" w:type="dxa"/>
            </w:tcMar>
            <w:vAlign w:val="bottom"/>
          </w:tcPr>
          <w:p>
            <w:pPr>
              <w:pStyle w:val="TableContents"/>
              <w:spacing w:before="0" w:after="283"/>
              <w:jc w:val="right"/>
              <w:rPr/>
            </w:pPr>
            <w:r>
              <w:rPr/>
              <w:t> </w:t>
            </w:r>
          </w:p>
        </w:tc>
        <w:tc>
          <w:tcPr>
            <w:tcW w:w="4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20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spacing w:before="0" w:after="283"/>
              <w:jc w:val="right"/>
              <w:rPr/>
            </w:pPr>
            <w:r>
              <w:rPr/>
              <w:t> </w:t>
            </w:r>
          </w:p>
        </w:tc>
        <w:tc>
          <w:tcPr>
            <w:tcW w:w="8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75.50</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 w:type="dxa"/>
            <w:tcBorders/>
            <w:shd w:fill="CCEEFF" w:val="clear"/>
            <w:tcMar>
              <w:bottom w:w="0" w:type="dxa"/>
            </w:tcMar>
            <w:vAlign w:val="bottom"/>
          </w:tcPr>
          <w:p>
            <w:pPr>
              <w:pStyle w:val="TableContents"/>
              <w:spacing w:before="0" w:after="283"/>
              <w:jc w:val="left"/>
              <w:rPr/>
            </w:pPr>
            <w:r>
              <w:rPr/>
              <w:t> </w:t>
            </w:r>
          </w:p>
        </w:tc>
        <w:tc>
          <w:tcPr>
            <w:tcW w:w="6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spacing w:before="0" w:after="283"/>
              <w:jc w:val="right"/>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91,300</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60"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92,000</w:t>
            </w:r>
          </w:p>
        </w:tc>
        <w:tc>
          <w:tcPr>
            <w:tcW w:w="60"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33,800</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74,200</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45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9/30/2013</w:t>
            </w:r>
          </w:p>
        </w:tc>
        <w:tc>
          <w:tcPr>
            <w:tcW w:w="60" w:type="dxa"/>
            <w:tcBorders/>
            <w:shd w:fill="FFFFFF" w:val="clear"/>
            <w:tcMar>
              <w:bottom w:w="0" w:type="dxa"/>
            </w:tcMar>
            <w:vAlign w:val="bottom"/>
          </w:tcPr>
          <w:p>
            <w:pPr>
              <w:pStyle w:val="TableContents"/>
              <w:spacing w:before="0" w:after="283"/>
              <w:jc w:val="right"/>
              <w:rPr/>
            </w:pPr>
            <w:r>
              <w:rPr/>
              <w:t> </w:t>
            </w:r>
          </w:p>
        </w:tc>
        <w:tc>
          <w:tcPr>
            <w:tcW w:w="60" w:type="dxa"/>
            <w:tcBorders>
              <w:bottom w:val="single" w:sz="12" w:space="0" w:color="000000"/>
            </w:tcBorders>
            <w:shd w:fill="FFFFFF" w:val="clear"/>
            <w:vAlign w:val="bottom"/>
          </w:tcPr>
          <w:p>
            <w:pPr>
              <w:pStyle w:val="TableContents"/>
              <w:spacing w:before="0" w:after="283"/>
              <w:jc w:val="left"/>
              <w:rPr/>
            </w:pPr>
            <w:r>
              <w:rPr/>
              <w:t> </w:t>
            </w:r>
          </w:p>
        </w:tc>
        <w:tc>
          <w:tcPr>
            <w:tcW w:w="6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60" w:type="dxa"/>
            <w:tcBorders/>
            <w:shd w:fill="FFFFFF" w:val="clear"/>
            <w:tcMar>
              <w:bottom w:w="0" w:type="dxa"/>
            </w:tcMar>
            <w:vAlign w:val="bottom"/>
          </w:tcPr>
          <w:p>
            <w:pPr>
              <w:pStyle w:val="TableContents"/>
              <w:spacing w:before="0" w:after="283"/>
              <w:jc w:val="left"/>
              <w:rPr/>
            </w:pPr>
            <w:r>
              <w:rPr/>
              <w:t> </w:t>
            </w:r>
          </w:p>
        </w:tc>
        <w:tc>
          <w:tcPr>
            <w:tcW w:w="14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60" w:type="dxa"/>
            <w:tcBorders/>
            <w:shd w:fill="FFFFFF" w:val="clear"/>
            <w:tcMar>
              <w:bottom w:w="0" w:type="dxa"/>
            </w:tcMar>
            <w:vAlign w:val="bottom"/>
          </w:tcPr>
          <w:p>
            <w:pPr>
              <w:pStyle w:val="TableContents"/>
              <w:spacing w:before="0" w:after="283"/>
              <w:jc w:val="right"/>
              <w:rPr/>
            </w:pPr>
            <w:r>
              <w:rPr/>
              <w:t> </w:t>
            </w:r>
          </w:p>
        </w:tc>
        <w:tc>
          <w:tcPr>
            <w:tcW w:w="17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3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tcMar>
              <w:bottom w:w="0" w:type="dxa"/>
            </w:tcMar>
            <w:vAlign w:val="bottom"/>
          </w:tcPr>
          <w:p>
            <w:pPr>
              <w:pStyle w:val="TableContents"/>
              <w:spacing w:before="0" w:after="283"/>
              <w:jc w:val="left"/>
              <w:rPr/>
            </w:pPr>
            <w:r>
              <w:rPr/>
              <w:t> </w:t>
            </w:r>
          </w:p>
        </w:tc>
        <w:tc>
          <w:tcPr>
            <w:tcW w:w="5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60" w:type="dxa"/>
            <w:tcBorders/>
            <w:shd w:fill="FFFFFF" w:val="clear"/>
            <w:tcMar>
              <w:bottom w:w="0" w:type="dxa"/>
            </w:tcMar>
            <w:vAlign w:val="bottom"/>
          </w:tcPr>
          <w:p>
            <w:pPr>
              <w:pStyle w:val="TableContents"/>
              <w:spacing w:before="0" w:after="283"/>
              <w:jc w:val="right"/>
              <w:rPr/>
            </w:pPr>
            <w:r>
              <w:rPr/>
              <w:t> </w:t>
            </w:r>
          </w:p>
        </w:tc>
        <w:tc>
          <w:tcPr>
            <w:tcW w:w="4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0.58</w:t>
            </w:r>
          </w:p>
        </w:tc>
        <w:tc>
          <w:tcPr>
            <w:tcW w:w="20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bottom"/>
          </w:tcPr>
          <w:p>
            <w:pPr>
              <w:pStyle w:val="TableContents"/>
              <w:spacing w:before="0" w:after="283"/>
              <w:jc w:val="right"/>
              <w:rPr/>
            </w:pPr>
            <w:r>
              <w:rPr/>
              <w:t> </w:t>
            </w:r>
          </w:p>
        </w:tc>
        <w:tc>
          <w:tcPr>
            <w:tcW w:w="8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77.37</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 w:type="dxa"/>
            <w:tcBorders/>
            <w:shd w:fill="FFFFFF" w:val="clear"/>
            <w:tcMar>
              <w:bottom w:w="0" w:type="dxa"/>
            </w:tcMar>
            <w:vAlign w:val="bottom"/>
          </w:tcPr>
          <w:p>
            <w:pPr>
              <w:pStyle w:val="TableContents"/>
              <w:spacing w:before="0" w:after="283"/>
              <w:jc w:val="left"/>
              <w:rPr/>
            </w:pPr>
            <w:r>
              <w:rPr/>
              <w:t> </w:t>
            </w:r>
          </w:p>
        </w:tc>
        <w:tc>
          <w:tcPr>
            <w:tcW w:w="6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bottom"/>
          </w:tcPr>
          <w:p>
            <w:pPr>
              <w:pStyle w:val="TableContents"/>
              <w:spacing w:before="0" w:after="283"/>
              <w:jc w:val="right"/>
              <w:rPr/>
            </w:pPr>
            <w:r>
              <w:rPr/>
              <w:t> </w:t>
            </w:r>
          </w:p>
        </w:tc>
        <w:tc>
          <w:tcPr>
            <w:tcW w:w="16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60"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5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60"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6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60"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5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2,300</w:t>
            </w:r>
          </w:p>
        </w:tc>
        <w:tc>
          <w:tcPr>
            <w:tcW w:w="60"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5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60"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5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75" w:type="dxa"/>
            <w:tcBorders/>
            <w:shd w:fill="FFFFFF" w:val="clear"/>
            <w:tcMar>
              <w:bottom w:w="0" w:type="dxa"/>
            </w:tcMar>
            <w:vAlign w:val="bottom"/>
          </w:tcPr>
          <w:p>
            <w:pPr>
              <w:pStyle w:val="TableContents"/>
              <w:spacing w:before="0" w:after="283"/>
              <w:jc w:val="left"/>
              <w:rPr/>
            </w:pPr>
            <w:r>
              <w:rPr/>
              <w:t> </w:t>
            </w:r>
          </w:p>
        </w:tc>
      </w:tr>
      <w:tr>
        <w:trPr/>
        <w:tc>
          <w:tcPr>
            <w:tcW w:w="455" w:type="dxa"/>
            <w:tcBorders/>
            <w:shd w:fill="CCEEFF" w:val="clear"/>
            <w:tcMar>
              <w:bottom w:w="0" w:type="dxa"/>
            </w:tcMar>
            <w:vAlign w:val="bottom"/>
          </w:tcPr>
          <w:p>
            <w:pPr>
              <w:pStyle w:val="TableContents"/>
              <w:spacing w:before="0" w:after="283"/>
              <w:rPr/>
            </w:pPr>
            <w:r>
              <w:rPr/>
              <w:t xml:space="preserve">  </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bottom w:val="double" w:sz="8" w:space="0" w:color="000000"/>
            </w:tcBorders>
            <w:shd w:fill="CCEEFF" w:val="clear"/>
            <w:vAlign w:val="bottom"/>
          </w:tcPr>
          <w:p>
            <w:pPr>
              <w:pStyle w:val="TableContents"/>
              <w:spacing w:before="0" w:after="283"/>
              <w:jc w:val="left"/>
              <w:rPr/>
            </w:pPr>
            <w:r>
              <w:rPr/>
              <w:t> </w:t>
            </w:r>
          </w:p>
        </w:tc>
        <w:tc>
          <w:tcPr>
            <w:tcW w:w="69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410,000</w:t>
            </w:r>
          </w:p>
        </w:tc>
        <w:tc>
          <w:tcPr>
            <w:tcW w:w="60" w:type="dxa"/>
            <w:tcBorders/>
            <w:shd w:fill="CCEEFF" w:val="clear"/>
            <w:tcMar>
              <w:bottom w:w="0" w:type="dxa"/>
            </w:tcMar>
            <w:vAlign w:val="bottom"/>
          </w:tcPr>
          <w:p>
            <w:pPr>
              <w:pStyle w:val="TableContents"/>
              <w:spacing w:before="0" w:after="283"/>
              <w:jc w:val="left"/>
              <w:rPr/>
            </w:pPr>
            <w:r>
              <w:rPr/>
              <w:t> </w:t>
            </w:r>
          </w:p>
        </w:tc>
        <w:tc>
          <w:tcPr>
            <w:tcW w:w="149" w:type="dxa"/>
            <w:tcBorders/>
            <w:shd w:fill="CCEEFF" w:val="clear"/>
            <w:tcMar>
              <w:bottom w:w="0" w:type="dxa"/>
            </w:tcMar>
            <w:vAlign w:val="bottom"/>
          </w:tcPr>
          <w:p>
            <w:pPr>
              <w:pStyle w:val="TableContents"/>
              <w:spacing w:before="0" w:after="283"/>
              <w:jc w:val="left"/>
              <w:rPr/>
            </w:pPr>
            <w:r>
              <w:rPr/>
              <w:t> </w:t>
            </w:r>
          </w:p>
        </w:tc>
        <w:tc>
          <w:tcPr>
            <w:tcW w:w="456"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75" w:type="dxa"/>
            <w:tcBorders/>
            <w:shd w:fill="CCEEFF" w:val="clear"/>
            <w:tcMar>
              <w:bottom w:w="0" w:type="dxa"/>
            </w:tcMar>
            <w:vAlign w:val="bottom"/>
          </w:tcPr>
          <w:p>
            <w:pPr>
              <w:pStyle w:val="TableContents"/>
              <w:spacing w:before="0" w:after="283"/>
              <w:jc w:val="left"/>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53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416" w:type="dxa"/>
            <w:tcBorders/>
            <w:shd w:fill="CCEEFF" w:val="clear"/>
            <w:tcMar>
              <w:bottom w:w="0" w:type="dxa"/>
            </w:tcMar>
            <w:vAlign w:val="bottom"/>
          </w:tcPr>
          <w:p>
            <w:pPr>
              <w:pStyle w:val="TableContents"/>
              <w:spacing w:before="0" w:after="283"/>
              <w:jc w:val="right"/>
              <w:rPr/>
            </w:pPr>
            <w:r>
              <w:rPr/>
              <w:t> </w:t>
            </w:r>
          </w:p>
        </w:tc>
        <w:tc>
          <w:tcPr>
            <w:tcW w:w="204"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815"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45"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501"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93,500</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205,000</w:t>
            </w:r>
          </w:p>
        </w:tc>
        <w:tc>
          <w:tcPr>
            <w:tcW w:w="60"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94,300</w:t>
            </w:r>
          </w:p>
        </w:tc>
        <w:tc>
          <w:tcPr>
            <w:tcW w:w="60"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34,600</w:t>
            </w:r>
          </w:p>
        </w:tc>
        <w:tc>
          <w:tcPr>
            <w:tcW w:w="60"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76,100</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i w:val="false"/>
          <w:caps w:val="false"/>
          <w:smallCaps w:val="false"/>
          <w:color w:val="000000"/>
          <w:sz w:val="20"/>
        </w:rPr>
      </w:pPr>
      <w:bookmarkStart w:id="192" w:name="PN17"/>
      <w:bookmarkEnd w:id="192"/>
      <w:r>
        <w:rPr>
          <w:rFonts w:ascii="times new roman" w:hAnsi="times new roman"/>
          <w:b w:val="false"/>
          <w:i w:val="false"/>
          <w:caps w:val="false"/>
          <w:smallCaps w:val="false"/>
          <w:color w:val="000000"/>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HDR17"/>
      <w:bookmarkStart w:id="194" w:name="HDR17"/>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95" w:name="GLHDR17"/>
        <w:bookmarkEnd w:id="195"/>
        <w:r>
          <w:rPr>
            <w:rStyle w:val="InternetLink"/>
            <w:rFonts w:ascii="Times New Roman" w:hAnsi="Times New Roman"/>
            <w:b/>
            <w:i/>
            <w:color w:val="FF0000"/>
            <w:sz w:val="16"/>
            <w:u w:val="single"/>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Modification of Warrants held by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on May 24, 2013, the Company and Platinum entered into an Amendment and Waiver pursuant to which the Company agreed to reduce the exercise price of the Exchange Warrant and the Investment Warrants issued to Platinum in October 2012 and February 2013 and March 2013 (collectively, the “</w:t>
      </w:r>
      <w:r>
        <w:rPr>
          <w:rFonts w:ascii="Times New Roman" w:hAnsi="Times New Roman"/>
          <w:i/>
          <w:sz w:val="20"/>
        </w:rPr>
        <w:t>Warrants</w:t>
      </w:r>
      <w:r>
        <w:rPr>
          <w:rFonts w:ascii="Times New Roman" w:hAnsi="Times New Roman"/>
          <w:sz w:val="20"/>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“Warrant Modifications and Exercises” below.)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described in Note 4, </w:t>
      </w:r>
      <w:r>
        <w:rPr>
          <w:rFonts w:ascii="Times New Roman" w:hAnsi="Times New Roman"/>
          <w:i/>
          <w:sz w:val="20"/>
        </w:rPr>
        <w:t>Fair Value Measurements</w:t>
      </w:r>
      <w:r>
        <w:rPr>
          <w:rFonts w:ascii="Times New Roman" w:hAnsi="Times New Roman"/>
          <w:sz w:val="20"/>
        </w:rPr>
        <w:t xml:space="preserve"> and in Note 7, </w:t>
      </w:r>
      <w:r>
        <w:rPr>
          <w:rFonts w:ascii="Times New Roman" w:hAnsi="Times New Roman"/>
          <w:i/>
          <w:sz w:val="20"/>
        </w:rPr>
        <w:t>Convertible Promissory Notes and Other Notes Payable</w:t>
      </w:r>
      <w:r>
        <w:rPr>
          <w:rFonts w:ascii="Times New Roman" w:hAnsi="Times New Roman"/>
          <w:sz w:val="20"/>
        </w:rPr>
        <w:t>, the Company re-measures the fair value of the Exchange Warrant and the Investment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At September 30, 2013, the Company determined the fair values of the Exchange Warrant, the Investment Warrants and the July 2013 Warrant to be a weighted average of $0.40 per share, or an aggregate of $1,401,300, recorded as a component of Warrant Liability in the accompanying Condensed Consolidated Balance Sheets at September 30, 2013, using the Black Scholes Option Pricing Model and the following assumptions: market price per share: $0.61; exercise price per share: $0.50; risk-free interest rate: 1.02% to 1.32%; remaining contractual term: 4.03 years to 4.82 years; volatility: 80.5% to 92.3%; and expected dividend rate: 0%. At September 30, 2013, the Company also re-measured the fair value of the Series A Exchange Warrant which is contingently issuable to Platinum upon the exchange of its shares of the Company’s Series A Preferred Stock into shares of the Company’s restricted common stock.  The Company determined the fair value of the Series A Exchange Warrant, also recorded as a component of Warrant Liability in the accompanying Condensed Consolidated Balance Sheets at September 30, 2013, to be $0.46 per share, or $3,256,000, using the Black Scholes Option Pricing Model and the following assumptions: market price per share: $0.61; exercise price per share: $0.50; risk-free interest rate: 1.39%; contractual term: 5.00 years; volatility: 95.0%; expected dividend rate: 0%; and assumed probability of issuance of 95%.</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 and Exercises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shares of the Company’s restricted common stock in lieu of payment by the Company in satisfaction of amounts due for professional services in the aggregate amount of $8,300.</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 w:name="PGBRK18"/>
      <w:bookmarkStart w:id="197" w:name="PGBRK18"/>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 w:name="FTR17"/>
      <w:bookmarkStart w:id="199" w:name="FTR1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0" w:name="GLFTR17"/>
      <w:bookmarkEnd w:id="2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1" w:name="PN18"/>
      <w:bookmarkEnd w:id="201"/>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HDR18"/>
      <w:bookmarkStart w:id="203" w:name="HDR18"/>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4" w:name="GLHDR18"/>
        <w:bookmarkEnd w:id="2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calculated the fair value of the warrants exercised immediately before and after the modifications and determined that the fair value of the warrants exercised decreased by $32,900,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523"/>
        <w:gridCol w:w="116"/>
        <w:gridCol w:w="365"/>
        <w:gridCol w:w="1711"/>
        <w:gridCol w:w="116"/>
        <w:gridCol w:w="116"/>
        <w:gridCol w:w="377"/>
        <w:gridCol w:w="1748"/>
        <w:gridCol w:w="133"/>
      </w:tblGrid>
      <w:tr>
        <w:trPr/>
        <w:tc>
          <w:tcPr>
            <w:tcW w:w="5523"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07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12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3" w:type="dxa"/>
            <w:tcBorders/>
            <w:shd w:fill="auto" w:val="clear"/>
            <w:tcMar>
              <w:bottom w:w="0" w:type="dxa"/>
            </w:tcMar>
            <w:vAlign w:val="bottom"/>
          </w:tcPr>
          <w:p>
            <w:pPr>
              <w:pStyle w:val="TableContents"/>
              <w:spacing w:before="0" w:after="283"/>
              <w:jc w:val="left"/>
              <w:rPr/>
            </w:pPr>
            <w:r>
              <w:rPr/>
              <w:t xml:space="preserve">  </w:t>
            </w:r>
          </w:p>
        </w:tc>
      </w:tr>
      <w:tr>
        <w:trPr/>
        <w:tc>
          <w:tcPr>
            <w:tcW w:w="552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0.74</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0.74</w:t>
            </w:r>
          </w:p>
        </w:tc>
        <w:tc>
          <w:tcPr>
            <w:tcW w:w="133" w:type="dxa"/>
            <w:tcBorders/>
            <w:shd w:fill="CCEEFF" w:val="clear"/>
            <w:tcMar>
              <w:bottom w:w="0" w:type="dxa"/>
            </w:tcMar>
            <w:vAlign w:val="bottom"/>
          </w:tcPr>
          <w:p>
            <w:pPr>
              <w:pStyle w:val="TableContents"/>
              <w:spacing w:before="0" w:after="283"/>
              <w:rPr/>
            </w:pPr>
            <w:r>
              <w:rPr/>
              <w:t xml:space="preserve">  </w:t>
            </w:r>
          </w:p>
        </w:tc>
      </w:tr>
      <w:tr>
        <w:trPr/>
        <w:tc>
          <w:tcPr>
            <w:tcW w:w="5523"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7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33" w:type="dxa"/>
            <w:tcBorders/>
            <w:shd w:fill="FFFFFF" w:val="clear"/>
            <w:tcMar>
              <w:bottom w:w="0" w:type="dxa"/>
            </w:tcMar>
            <w:vAlign w:val="bottom"/>
          </w:tcPr>
          <w:p>
            <w:pPr>
              <w:pStyle w:val="TableContents"/>
              <w:spacing w:before="0" w:after="283"/>
              <w:rPr/>
            </w:pPr>
            <w:r>
              <w:rPr/>
              <w:t xml:space="preserve">  </w:t>
            </w:r>
          </w:p>
        </w:tc>
      </w:tr>
      <w:tr>
        <w:trPr/>
        <w:tc>
          <w:tcPr>
            <w:tcW w:w="552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7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0.82%</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7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133" w:type="dxa"/>
            <w:tcBorders/>
            <w:shd w:fill="CCEEFF" w:val="clear"/>
            <w:tcMar>
              <w:bottom w:w="0" w:type="dxa"/>
            </w:tcMar>
            <w:vAlign w:val="bottom"/>
          </w:tcPr>
          <w:p>
            <w:pPr>
              <w:pStyle w:val="TableContents"/>
              <w:spacing w:before="0" w:after="283"/>
              <w:rPr/>
            </w:pPr>
            <w:r>
              <w:rPr/>
              <w:t xml:space="preserve">  </w:t>
            </w:r>
          </w:p>
        </w:tc>
      </w:tr>
      <w:tr>
        <w:trPr/>
        <w:tc>
          <w:tcPr>
            <w:tcW w:w="5523"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7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3.47</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7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0.06</w:t>
            </w:r>
          </w:p>
        </w:tc>
        <w:tc>
          <w:tcPr>
            <w:tcW w:w="133" w:type="dxa"/>
            <w:tcBorders/>
            <w:shd w:fill="FFFFFF" w:val="clear"/>
            <w:tcMar>
              <w:bottom w:w="0" w:type="dxa"/>
            </w:tcMar>
            <w:vAlign w:val="bottom"/>
          </w:tcPr>
          <w:p>
            <w:pPr>
              <w:pStyle w:val="TableContents"/>
              <w:spacing w:before="0" w:after="283"/>
              <w:rPr/>
            </w:pPr>
            <w:r>
              <w:rPr/>
              <w:t xml:space="preserve">  </w:t>
            </w:r>
          </w:p>
        </w:tc>
      </w:tr>
      <w:tr>
        <w:trPr/>
        <w:tc>
          <w:tcPr>
            <w:tcW w:w="552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7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84.6%</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7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73.3%</w:t>
            </w:r>
          </w:p>
        </w:tc>
        <w:tc>
          <w:tcPr>
            <w:tcW w:w="133" w:type="dxa"/>
            <w:tcBorders/>
            <w:shd w:fill="CCEEFF" w:val="clear"/>
            <w:tcMar>
              <w:bottom w:w="0" w:type="dxa"/>
            </w:tcMar>
            <w:vAlign w:val="bottom"/>
          </w:tcPr>
          <w:p>
            <w:pPr>
              <w:pStyle w:val="TableContents"/>
              <w:spacing w:before="0" w:after="283"/>
              <w:rPr/>
            </w:pPr>
            <w:r>
              <w:rPr/>
              <w:t xml:space="preserve">  </w:t>
            </w:r>
          </w:p>
        </w:tc>
      </w:tr>
      <w:tr>
        <w:trPr/>
        <w:tc>
          <w:tcPr>
            <w:tcW w:w="5523"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7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7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3" w:type="dxa"/>
            <w:tcBorders/>
            <w:shd w:fill="FFFFFF" w:val="clear"/>
            <w:tcMar>
              <w:bottom w:w="0" w:type="dxa"/>
            </w:tcMar>
            <w:vAlign w:val="bottom"/>
          </w:tcPr>
          <w:p>
            <w:pPr>
              <w:pStyle w:val="TableContents"/>
              <w:spacing w:before="0" w:after="283"/>
              <w:rPr/>
            </w:pPr>
            <w:r>
              <w:rPr/>
              <w:t xml:space="preserve">  </w:t>
            </w:r>
          </w:p>
        </w:tc>
      </w:tr>
      <w:tr>
        <w:trPr/>
        <w:tc>
          <w:tcPr>
            <w:tcW w:w="5523"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711"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748" w:type="dxa"/>
            <w:tcBorders/>
            <w:shd w:fill="CCEEFF" w:val="clear"/>
            <w:tcMar>
              <w:bottom w:w="0" w:type="dxa"/>
            </w:tcMar>
            <w:vAlign w:val="bottom"/>
          </w:tcPr>
          <w:p>
            <w:pPr>
              <w:pStyle w:val="TableContents"/>
              <w:spacing w:before="0" w:after="283"/>
              <w:rPr/>
            </w:pPr>
            <w:r>
              <w:rPr/>
              <w:t xml:space="preserve">  </w:t>
            </w:r>
          </w:p>
        </w:tc>
        <w:tc>
          <w:tcPr>
            <w:tcW w:w="133" w:type="dxa"/>
            <w:tcBorders/>
            <w:shd w:fill="CCEEFF" w:val="clear"/>
            <w:tcMar>
              <w:bottom w:w="0" w:type="dxa"/>
            </w:tcMar>
            <w:vAlign w:val="bottom"/>
          </w:tcPr>
          <w:p>
            <w:pPr>
              <w:pStyle w:val="TableContents"/>
              <w:spacing w:before="0" w:after="283"/>
              <w:rPr/>
            </w:pPr>
            <w:r>
              <w:rPr/>
              <w:t xml:space="preserve">  </w:t>
            </w:r>
          </w:p>
        </w:tc>
      </w:tr>
      <w:tr>
        <w:trPr/>
        <w:tc>
          <w:tcPr>
            <w:tcW w:w="5523"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71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0.30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748"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0.24</w:t>
            </w:r>
          </w:p>
        </w:tc>
        <w:tc>
          <w:tcPr>
            <w:tcW w:w="133"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per share is based on the quoted market price of the Company’s common stock on the Over-the-Counter Bulletin Board on the date of the modification.  Because of its short history as a public company, the Company has estimated volatility based on the historical volatilities of a peer group of public companies over the expected term of the option.  The expected term of the modified warrant is determined based on the offer and exercise date and July 30, 2013, the expiration date for the modification offer.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27, 2013, the Company’s Chief Executive Officer exercised an outstanding warrant to purchase 50,000 restricted shares of the Company’s common stock at an exercise price of $0.64 per share and the Company received cash proceeds of $32,000 from his exercise.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Following the warrant issuances, modifications and exercises described above, at September 30, 2013, the Company had outstanding warrants to purchase shares of its restricted common stock at a weighted average exercise price of $1.00 per share as follows:</w:t>
      </w:r>
    </w:p>
    <w:p>
      <w:pPr>
        <w:pStyle w:val="TextBody"/>
        <w:spacing w:before="0" w:after="0"/>
        <w:ind w:left="0" w:right="0" w:firstLine="720"/>
        <w:jc w:val="both"/>
        <w:rPr/>
      </w:pPr>
      <w:r>
        <w:rPr/>
        <w:t> </w:t>
      </w:r>
    </w:p>
    <w:tbl>
      <w:tblPr>
        <w:tblW w:w="3500" w:type="pct"/>
        <w:jc w:val="center"/>
        <w:tblInd w:w="0" w:type="dxa"/>
        <w:tblCellMar>
          <w:top w:w="0" w:type="dxa"/>
          <w:left w:w="0" w:type="dxa"/>
          <w:bottom w:w="0" w:type="dxa"/>
          <w:right w:w="0" w:type="dxa"/>
        </w:tblCellMar>
      </w:tblPr>
      <w:tblGrid>
        <w:gridCol w:w="171"/>
        <w:gridCol w:w="1234"/>
        <w:gridCol w:w="93"/>
        <w:gridCol w:w="3667"/>
        <w:gridCol w:w="93"/>
        <w:gridCol w:w="93"/>
        <w:gridCol w:w="1685"/>
        <w:gridCol w:w="107"/>
      </w:tblGrid>
      <w:tr>
        <w:trPr/>
        <w:tc>
          <w:tcPr>
            <w:tcW w:w="1405" w:type="dxa"/>
            <w:gridSpan w:val="2"/>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366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7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Subject to</w:t>
            </w:r>
          </w:p>
        </w:tc>
        <w:tc>
          <w:tcPr>
            <w:tcW w:w="107" w:type="dxa"/>
            <w:tcBorders/>
            <w:shd w:fill="auto" w:val="clear"/>
            <w:vAlign w:val="bottom"/>
          </w:tcPr>
          <w:p>
            <w:pPr>
              <w:pStyle w:val="TableContents"/>
              <w:spacing w:before="0" w:after="283"/>
              <w:jc w:val="left"/>
              <w:rPr/>
            </w:pPr>
            <w:r>
              <w:rPr/>
              <w:t> </w:t>
            </w:r>
          </w:p>
        </w:tc>
      </w:tr>
      <w:tr>
        <w:trPr/>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tc>
        <w:tc>
          <w:tcPr>
            <w:tcW w:w="93" w:type="dxa"/>
            <w:tcBorders/>
            <w:shd w:fill="auto" w:val="clear"/>
            <w:vAlign w:val="bottom"/>
          </w:tcPr>
          <w:p>
            <w:pPr>
              <w:pStyle w:val="TableContents"/>
              <w:spacing w:before="0" w:after="283"/>
              <w:jc w:val="left"/>
              <w:rPr/>
            </w:pPr>
            <w:r>
              <w:rPr/>
              <w:t> </w:t>
            </w:r>
          </w:p>
        </w:tc>
        <w:tc>
          <w:tcPr>
            <w:tcW w:w="366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7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Purchase at</w:t>
            </w:r>
          </w:p>
        </w:tc>
        <w:tc>
          <w:tcPr>
            <w:tcW w:w="107" w:type="dxa"/>
            <w:tcBorders/>
            <w:shd w:fill="auto" w:val="clear"/>
            <w:vAlign w:val="bottom"/>
          </w:tcPr>
          <w:p>
            <w:pPr>
              <w:pStyle w:val="TableContents"/>
              <w:spacing w:before="0" w:after="283"/>
              <w:jc w:val="left"/>
              <w:rPr/>
            </w:pPr>
            <w:r>
              <w:rPr/>
              <w:t> </w:t>
            </w:r>
          </w:p>
        </w:tc>
      </w:tr>
      <w:tr>
        <w:trPr/>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93" w:type="dxa"/>
            <w:tcBorders/>
            <w:shd w:fill="auto" w:val="clear"/>
            <w:vAlign w:val="bottom"/>
          </w:tcPr>
          <w:p>
            <w:pPr>
              <w:pStyle w:val="TableContents"/>
              <w:spacing w:before="0" w:after="283"/>
              <w:jc w:val="left"/>
              <w:rPr/>
            </w:pPr>
            <w:r>
              <w:rPr/>
              <w:t> </w:t>
            </w:r>
          </w:p>
        </w:tc>
        <w:tc>
          <w:tcPr>
            <w:tcW w:w="3667"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93" w:type="dxa"/>
            <w:tcBorders/>
            <w:shd w:fill="auto" w:val="clear"/>
            <w:vAlign w:val="bottom"/>
          </w:tcPr>
          <w:p>
            <w:pPr>
              <w:pStyle w:val="TableContents"/>
              <w:spacing w:before="0" w:after="283"/>
              <w:rPr/>
            </w:pPr>
            <w:r>
              <w:rPr/>
              <w:t> </w:t>
            </w:r>
          </w:p>
        </w:tc>
        <w:tc>
          <w:tcPr>
            <w:tcW w:w="17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7" w:type="dxa"/>
            <w:tcBorders/>
            <w:shd w:fill="auto" w:val="clear"/>
            <w:vAlign w:val="bottom"/>
          </w:tcPr>
          <w:p>
            <w:pPr>
              <w:pStyle w:val="TableContents"/>
              <w:spacing w:before="0" w:after="283"/>
              <w:jc w:val="left"/>
              <w:rPr/>
            </w:pPr>
            <w:r>
              <w:rPr/>
              <w:t> </w:t>
            </w:r>
          </w:p>
        </w:tc>
      </w:tr>
      <w:tr>
        <w:trPr/>
        <w:tc>
          <w:tcPr>
            <w:tcW w:w="14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 Share</w:t>
            </w:r>
          </w:p>
        </w:tc>
        <w:tc>
          <w:tcPr>
            <w:tcW w:w="93" w:type="dxa"/>
            <w:tcBorders/>
            <w:shd w:fill="auto" w:val="clear"/>
            <w:vAlign w:val="bottom"/>
          </w:tcPr>
          <w:p>
            <w:pPr>
              <w:pStyle w:val="TableContents"/>
              <w:spacing w:before="0" w:after="283"/>
              <w:jc w:val="left"/>
              <w:rPr/>
            </w:pPr>
            <w:r>
              <w:rPr/>
              <w:t> </w:t>
            </w:r>
          </w:p>
        </w:tc>
        <w:tc>
          <w:tcPr>
            <w:tcW w:w="366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93" w:type="dxa"/>
            <w:tcBorders/>
            <w:shd w:fill="auto" w:val="clear"/>
            <w:vAlign w:val="bottom"/>
          </w:tcPr>
          <w:p>
            <w:pPr>
              <w:pStyle w:val="TableContents"/>
              <w:spacing w:before="0" w:after="283"/>
              <w:rPr/>
            </w:pPr>
            <w:r>
              <w:rPr/>
              <w:t> </w:t>
            </w:r>
          </w:p>
        </w:tc>
        <w:tc>
          <w:tcPr>
            <w:tcW w:w="17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7" w:type="dxa"/>
            <w:tcBorders/>
            <w:shd w:fill="auto" w:val="clear"/>
            <w:vAlign w:val="bottom"/>
          </w:tcPr>
          <w:p>
            <w:pPr>
              <w:pStyle w:val="TableContents"/>
              <w:spacing w:before="0" w:after="283"/>
              <w:jc w:val="left"/>
              <w:rPr/>
            </w:pPr>
            <w:r>
              <w:rPr/>
              <w:t> </w:t>
            </w:r>
          </w:p>
        </w:tc>
      </w:tr>
      <w:tr>
        <w:trPr/>
        <w:tc>
          <w:tcPr>
            <w:tcW w:w="1405" w:type="dxa"/>
            <w:gridSpan w:val="2"/>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3667"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778"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10/11/2017 to 7/26/2018</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3,522,577</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3/3/2023</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2,950,000</w:t>
            </w:r>
          </w:p>
        </w:tc>
        <w:tc>
          <w:tcPr>
            <w:tcW w:w="107"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15,428</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 to 9/30/2017</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3,590,482</w:t>
            </w:r>
          </w:p>
        </w:tc>
        <w:tc>
          <w:tcPr>
            <w:tcW w:w="107"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 to 3/14/2018</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3,465,723</w:t>
            </w:r>
          </w:p>
        </w:tc>
        <w:tc>
          <w:tcPr>
            <w:tcW w:w="107"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349,235</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07"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42,443</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68,560</w:t>
            </w:r>
          </w:p>
        </w:tc>
        <w:tc>
          <w:tcPr>
            <w:tcW w:w="107"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3" w:type="dxa"/>
            <w:tcBorders/>
            <w:shd w:fill="CCEEFF" w:val="clear"/>
            <w:vAlign w:val="bottom"/>
          </w:tcPr>
          <w:p>
            <w:pPr>
              <w:pStyle w:val="TableContents"/>
              <w:spacing w:before="0" w:after="283"/>
              <w:jc w:val="left"/>
              <w:rPr/>
            </w:pPr>
            <w:r>
              <w:rPr/>
              <w:t> </w:t>
            </w:r>
          </w:p>
        </w:tc>
        <w:tc>
          <w:tcPr>
            <w:tcW w:w="366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2/13/2016</w:t>
            </w:r>
          </w:p>
        </w:tc>
        <w:tc>
          <w:tcPr>
            <w:tcW w:w="93" w:type="dxa"/>
            <w:tcBorders/>
            <w:shd w:fill="CCEEFF" w:val="clear"/>
            <w:vAlign w:val="bottom"/>
          </w:tcPr>
          <w:p>
            <w:pPr>
              <w:pStyle w:val="TableContents"/>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07"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3667" w:type="dxa"/>
            <w:tcBorders/>
            <w:shd w:fill="FFFFFF" w:val="clear"/>
            <w:vAlign w:val="bottom"/>
          </w:tcPr>
          <w:p>
            <w:pPr>
              <w:pStyle w:val="TableContents"/>
              <w:spacing w:before="0" w:after="283"/>
              <w:rPr/>
            </w:pPr>
            <w:r>
              <w:rPr/>
              <w:t xml:space="preserve">  </w:t>
            </w:r>
          </w:p>
        </w:tc>
        <w:tc>
          <w:tcPr>
            <w:tcW w:w="93" w:type="dxa"/>
            <w:tcBorders/>
            <w:shd w:fill="FFFFFF" w:val="clear"/>
            <w:vAlign w:val="bottom"/>
          </w:tcPr>
          <w:p>
            <w:pPr>
              <w:pStyle w:val="TableContents"/>
              <w:spacing w:before="0" w:after="283"/>
              <w:jc w:val="right"/>
              <w:rPr/>
            </w:pPr>
            <w:r>
              <w:rPr/>
              <w:t> </w:t>
            </w:r>
          </w:p>
        </w:tc>
        <w:tc>
          <w:tcPr>
            <w:tcW w:w="9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68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14,674,728</w:t>
            </w:r>
          </w:p>
        </w:tc>
        <w:tc>
          <w:tcPr>
            <w:tcW w:w="107"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10.  Related Party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27, 2013, one of the Company’s executive officers provided a short-term cash advance of $30,000 to meet the Company’s short-term working capital requirements.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Cato Holding Company, doing business as Cato BioVentures ("</w:t>
      </w:r>
      <w:r>
        <w:rPr>
          <w:rFonts w:ascii="Times New Roman" w:hAnsi="Times New Roman"/>
          <w:i/>
          <w:sz w:val="20"/>
        </w:rPr>
        <w:t>CBV</w:t>
      </w:r>
      <w:r>
        <w:rPr>
          <w:rFonts w:ascii="Times New Roman" w:hAnsi="Times New Roman"/>
          <w:sz w:val="20"/>
        </w:rPr>
        <w:t xml:space="preserve">"), the parent of CRL, is one of the Company’s largest institutional stockholders at September 30, 2013.  As described in Note 7, </w:t>
      </w:r>
      <w:r>
        <w:rPr>
          <w:rFonts w:ascii="Times New Roman" w:hAnsi="Times New Roman"/>
          <w:i/>
          <w:sz w:val="20"/>
        </w:rPr>
        <w:t>Convertible Promissory Notes and Other Notes Payable,</w:t>
      </w:r>
      <w:r>
        <w:rPr>
          <w:rFonts w:ascii="Times New Roman" w:hAnsi="Times New Roman"/>
          <w:sz w:val="20"/>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including amortization of note discount, on notes payable to CHC was $8,000 and $8,300 in the three month periods ended September 30, 2013 and 2012, respectively, and $16,100 and $16,600 in the six month periods ended September 30, 2013 and 2012, respectively.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 w:name="PGBRK19"/>
      <w:bookmarkStart w:id="206" w:name="PGBRK19"/>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FTR18"/>
      <w:bookmarkStart w:id="208" w:name="FTR1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 w:name="GLFTR18"/>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 w:name="PN19"/>
      <w:bookmarkEnd w:id="210"/>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HDR19"/>
      <w:bookmarkStart w:id="212" w:name="HDR19"/>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3" w:name="GLHDR19"/>
        <w:bookmarkEnd w:id="21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 2007, the Company entered into a contract research organization arrangement with CRL related to the development of its lead drug candidate, AV-101, and subsequent other projects under which the Company incurred expenses of $7,500 and $291,800 in the three month periods ended September 30, 2013 and 2012, respectively, and $37,500 and $514,400 in the six month periods ended September 30, 2013 and 2012,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described in Note 7, </w:t>
      </w:r>
      <w:r>
        <w:rPr>
          <w:rFonts w:ascii="Times New Roman" w:hAnsi="Times New Roman"/>
          <w:i/>
          <w:sz w:val="20"/>
        </w:rPr>
        <w:t>Convertible Promissory Notes and Other Notes Payable</w:t>
      </w:r>
      <w:r>
        <w:rPr>
          <w:rFonts w:ascii="Times New Roman" w:hAnsi="Times New Roman"/>
          <w:sz w:val="20"/>
        </w:rPr>
        <w:t>, in October 2012, the Company issued to CRL (i) the CRL Note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and six month periods ended September 30, 2013 was $35,600 and $71,500,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Continuation of 2013 Unit Private Placement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Through October 31, 2013, the Company entered into additional securities purchase agreements with accredited investors pursuant to which it sold to such investors aggregate Units consisting of (i) one-year 10% convertible Unit Notes in the aggregate face amount of $175,000; (ii) an aggregate of 350,000 shares of the Company’s restricted common stock; and (iii) three-year warrants to purchase an aggregate of 350,000 restricted shares of the Company’s common stock at an exercise price of $1.00 per share.  The Company received cash proceeds of $175,000 from the sales of the Units.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03"/>
        <w:gridCol w:w="116"/>
        <w:gridCol w:w="9386"/>
      </w:tblGrid>
      <w:tr>
        <w:trPr/>
        <w:tc>
          <w:tcPr>
            <w:tcW w:w="703" w:type="dxa"/>
            <w:tcBorders/>
            <w:shd w:fill="auto" w:val="clear"/>
          </w:tcPr>
          <w:p>
            <w:pPr>
              <w:pStyle w:val="TableContents"/>
              <w:spacing w:before="0" w:after="0"/>
              <w:ind w:left="0" w:right="16" w:hanging="0"/>
              <w:jc w:val="left"/>
              <w:rPr>
                <w:rFonts w:ascii="times new roman" w:hAnsi="times new roman"/>
                <w:b/>
                <w:sz w:val="20"/>
              </w:rPr>
            </w:pPr>
            <w:bookmarkStart w:id="214" w:name="mdaj"/>
            <w:bookmarkEnd w:id="214"/>
            <w:r>
              <w:rPr>
                <w:rFonts w:ascii="times new roman" w:hAnsi="times new roman"/>
                <w:b/>
                <w:sz w:val="20"/>
              </w:rPr>
              <w:t>Item 2.</w:t>
            </w:r>
          </w:p>
        </w:tc>
        <w:tc>
          <w:tcPr>
            <w:tcW w:w="116" w:type="dxa"/>
            <w:tcBorders/>
            <w:shd w:fill="auto" w:val="clear"/>
          </w:tcPr>
          <w:p>
            <w:pPr>
              <w:pStyle w:val="TableContents"/>
              <w:spacing w:before="0" w:after="283"/>
              <w:jc w:val="left"/>
              <w:rPr/>
            </w:pPr>
            <w:r>
              <w:rPr/>
              <w:t xml:space="preserve">  </w:t>
            </w:r>
          </w:p>
        </w:tc>
        <w:tc>
          <w:tcPr>
            <w:tcW w:w="938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contains forward-looking statements that are based on the current beliefs of our management, as well as current assumptions made by, and information currently available to, our management. All statements contained in the discussion below, other than statements that are purely historical, are forward-looking statements. These forward-looking statements are subject to risks and uncertainties that could cause our future actual results, performance or achievements to differ materially from those expressed in, or implied by, any such forward-looking statements as a result of certain factors, including, but not limited to, those risks and uncertainties discussed in this section, as well as elsewhere in our other filings with the Securities and Exchange Commission (“SEC”).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2013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 w:name="PGBRK20"/>
      <w:bookmarkStart w:id="216" w:name="PGBRK20"/>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FTR19"/>
      <w:bookmarkStart w:id="218" w:name="FTR1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9" w:name="GLFTR19"/>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0" w:name="PN20"/>
      <w:bookmarkEnd w:id="220"/>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HDR20"/>
      <w:bookmarkStart w:id="222" w:name="HDR20"/>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3" w:name="GLHDR20"/>
        <w:bookmarkEnd w:id="2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Investors are cautioned not to place undue reliance on the forward-looking statements contained herein. Additionally,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Business 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biotechnology company with expertise applying human pluripotent stem cell technology (“</w:t>
      </w:r>
      <w:r>
        <w:rPr>
          <w:rFonts w:ascii="Times New Roman" w:hAnsi="Times New Roman"/>
          <w:i/>
          <w:sz w:val="20"/>
        </w:rPr>
        <w:t>hPSC technology</w:t>
      </w:r>
      <w:r>
        <w:rPr>
          <w:rFonts w:ascii="Times New Roman" w:hAnsi="Times New Roman"/>
          <w:sz w:val="20"/>
        </w:rPr>
        <w:t>”) for drug rescue, including predictive toxicology and drug metabolism screening. Drug rescue involves the combination of hPSC technology with medicinal chemistry to generate new chemical variants (“</w:t>
      </w:r>
      <w:r>
        <w:rPr>
          <w:rFonts w:ascii="Times New Roman" w:hAnsi="Times New Roman"/>
          <w:i/>
          <w:sz w:val="20"/>
        </w:rPr>
        <w:t>Drug Rescue Variants</w:t>
      </w:r>
      <w:r>
        <w:rPr>
          <w:rFonts w:ascii="Times New Roman" w:hAnsi="Times New Roman"/>
          <w:sz w:val="20"/>
        </w:rPr>
        <w:t xml:space="preserve">”) of once-promising small molecule drug candidates that pharmaceutical or biotechnology companies have discovered, developed and discontinued due to unexpected heart or liver safety concerns prior to market approval. We anticipate that our hPSC technology platform, </w:t>
      </w:r>
      <w:r>
        <w:rPr>
          <w:rFonts w:ascii="Times New Roman" w:hAnsi="Times New Roman"/>
          <w:i/>
          <w:sz w:val="20"/>
        </w:rPr>
        <w:t>Human Clinical Trials in a Test Tube</w:t>
      </w:r>
      <w:r>
        <w:rPr>
          <w:rFonts w:ascii="Times New Roman" w:hAnsi="Times New Roman"/>
          <w:smallCaps/>
          <w:sz w:val="20"/>
        </w:rPr>
        <w:t>tm</w:t>
      </w:r>
      <w:r>
        <w:rPr>
          <w:rFonts w:ascii="Times New Roman" w:hAnsi="Times New Roman"/>
          <w:sz w:val="20"/>
        </w:rPr>
        <w:t xml:space="preserve">, will allow us to assess the heart and liver safety profile of new drug candidates with greater speed and precision than nonclinical testing and technologies currently used in drug development.  Our drug rescue model is designed to leverage substantial prior third-party investment in discovery and development of once-promising drug candidates, our hPSC technology expertise and the predictive and other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 is based on a combination of proprietary and exclusively licensed hPSC technologies, including technologies developed over the last 20 years by VistaGen California’s co-founder and renown Canadian scientist, Dr. Gordon Keller, and Dr. Ralph Snodgrass, VistaGen California’s co-founder, President and Chief Scientific Officer. Dr. Keller, named a “Top 25 Transformational Canadian” for his stem cell research,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human pluripotent stem cells, including heart cells and liver cells that can be used in our biological assay systems for drug rescue. Dr. Snodgrass has over 20 years of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animals and humans. Our core goal is to apply </w:t>
      </w:r>
      <w:r>
        <w:rPr>
          <w:rFonts w:ascii="Times New Roman" w:hAnsi="Times New Roman"/>
          <w:i/>
          <w:sz w:val="20"/>
        </w:rPr>
        <w:t>CardioSafe 3D</w:t>
      </w:r>
      <w:r>
        <w:rPr>
          <w:rFonts w:ascii="Times New Roman" w:hAnsi="Times New Roman"/>
          <w:sz w:val="20"/>
        </w:rPr>
        <w:t xml:space="preserve">™, together with medicinal chemistry, to generate a pipeline of Drug Rescue Variants and license or sell them to biotechnology and pharmaceutical companies for further development and commercialization.. We are expanding our drug rescue capabilities by developing </w:t>
      </w:r>
      <w:r>
        <w:rPr>
          <w:rFonts w:ascii="Times New Roman" w:hAnsi="Times New Roman"/>
          <w:i/>
          <w:sz w:val="20"/>
        </w:rPr>
        <w:t>LiverSafe 3D</w:t>
      </w:r>
      <w:r>
        <w:rPr>
          <w:rFonts w:ascii="Times New Roman" w:hAnsi="Times New Roman"/>
          <w:sz w:val="20"/>
        </w:rPr>
        <w:t>™, a human liver cell-based bioassay system for assessing potential liver toxicity and adverse drug-drug interactions early in development, before animal and human testing. Our immediate plan is to utilize the vast amount of information available in the public domain with respect to potential small molecule drug candidates for inclusion in our drug rescue programs.  We may also seek to acquire rights to drug rescue candidates that third-parties, including academic research institutions and biotechnology, medicinal chemistry and pharmaceutical companies have discontinued due to unexpected safety concerns involving the heart and/or liver.  In connection with our drug rescue programs, we plan to collaborate with contract medicinal chemistry and other third parties to generate Drug Rescue Variants and assess the therapeutics and commercial potential of each Drug Rescue Variant we generate. We plan to have economic participation rights in each lead Drug Rescue Variant we generate in connection with our projected drug rescue programs.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parallel with our drug rescue activities, we plan to explore pilot nonclinical development opportunities relating to regenerative cell therapy focused on blood, cartilage, heart, liver and pancreas cells. Each of these regenerative cell therapy programs would be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grant funding from the U.S. National Institutes of Health (“NIH”), we have successfully completed Phase 1 development of AV-101.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and depression. We were awarded over $8.8 million of grant funding from the NIH to support our nonclinical and Phase I clinical development of AV-101 for neuropathic pain.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 w:name="PGBRK21"/>
      <w:bookmarkStart w:id="225" w:name="PGBRK21"/>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 w:name="FTR20"/>
      <w:bookmarkStart w:id="227" w:name="FTR20"/>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8" w:name="GLFTR20"/>
      <w:bookmarkEnd w:id="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9" w:name="PN21"/>
      <w:bookmarkEnd w:id="229"/>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HDR21"/>
      <w:bookmarkStart w:id="231" w:name="HDR21"/>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32" w:name="GLHDR21"/>
        <w:bookmarkEnd w:id="2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 and Results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critical accounting policies and estimates and recent accounting pronouncements are disclosed in our Form 10-K for the fiscal year ended March 31, 2013, as filed with the United States Securities and Exchange Commission, and in Note 3 to the accompanying unaudited Condensed Consolidated Financial Statements included in Part 1, Item 1 of this Quarterly Report on 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Summary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the six months ended September 30, 2013, our scientific personnel have continued to expand the capabilities of </w:t>
      </w:r>
      <w:r>
        <w:rPr>
          <w:rFonts w:ascii="Times New Roman" w:hAnsi="Times New Roman"/>
          <w:i/>
          <w:sz w:val="20"/>
        </w:rPr>
        <w:t xml:space="preserve">CardioSafe </w:t>
      </w:r>
      <w:r>
        <w:rPr>
          <w:rFonts w:ascii="Times New Roman" w:hAnsi="Times New Roman"/>
          <w:sz w:val="20"/>
        </w:rPr>
        <w:t xml:space="preserve">3D™ and further develop </w:t>
      </w:r>
      <w:r>
        <w:rPr>
          <w:rFonts w:ascii="Times New Roman" w:hAnsi="Times New Roman"/>
          <w:i/>
          <w:sz w:val="20"/>
        </w:rPr>
        <w:t xml:space="preserve">LiverSafe </w:t>
      </w:r>
      <w:r>
        <w:rPr>
          <w:rFonts w:ascii="Times New Roman" w:hAnsi="Times New Roman"/>
          <w:sz w:val="20"/>
        </w:rPr>
        <w:t>3D™.  Scientific operations were curtailed somewhat during the quarter ended September 30, 2013 as we decommissioned our former lab space in preparation for our move to expanded lab and office facilities at the end of July 2013 and completed the corresponding relocation, recalibration and recertification of our laboratories and equipment following the move. Nevertheless, we have continued to advance the capabilities of our heart and liver cells and pursue our internal evaluation of prospective drug rescue candidates. We successfully completed Phase 1 clinical development of AV-101 during our fiscal year ended March 31, 2013 and directed effort during our first fiscal quarter to finalizing AV-101 Phase 1b clinical study reports, as required under the terms of our NIH grant awards and to facilitate further collaborative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Throughout this fiscal year,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the “</w:t>
      </w:r>
      <w:r>
        <w:rPr>
          <w:rFonts w:ascii="Times New Roman" w:hAnsi="Times New Roman"/>
          <w:i/>
          <w:sz w:val="20"/>
        </w:rPr>
        <w:t>Securities 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Under the terms of the Securities Purchase Agreement, Autilion is contractually obligated to purchase an aggregate of 72.0 million restricted shares of our common stock at a purchase price of $0.50 per share for aggregate cash proceeds to us of $36.0 million, on or before September 30, 2013 (“</w:t>
      </w:r>
      <w:r>
        <w:rPr>
          <w:rFonts w:ascii="Times New Roman" w:hAnsi="Times New Roman"/>
          <w:i/>
          <w:sz w:val="20"/>
        </w:rPr>
        <w:t>Autilion Financing</w:t>
      </w:r>
      <w:r>
        <w:rPr>
          <w:rFonts w:ascii="Times New Roman" w:hAnsi="Times New Roman"/>
          <w:sz w:val="20"/>
        </w:rPr>
        <w:t xml:space="preserve">”). At September 30, 2013, we had completed a nominal initial closing of the Autilion Financing. Autilion has informed us that the delayed closing of the Autilion Financing in full is due to administrative matters and financial transactions involving Autilion, its international affiliates, investment partners and counterparties, including financial transactions intended to increase substantially the aggregate amount of investment capital available to Autilion and its affiliates. Although Autilion remains in default under the Securities Purchase Agreement, subsequent to September 30, 2013, we have been informed by Autilion that (i) Autilion will cure its default under the Securities Purchase Agreement and (ii) we will receive the full $36 million of proceeds contemplated by the Securities Purchase Agreement. As a result of prior delay in closing the Autilion Financing, however, we cannot give any assurances as to whether we will receive additional funding from Autilion in connection with the Autilion Financing in a timely manner, or at all.  The Securities Purchase Agreement also provides for the election to our Board of Directors of a designee of Autilion upon completion of the Autilion Financing.  This transaction is described in greater detail in Note 9, </w:t>
      </w:r>
      <w:r>
        <w:rPr>
          <w:rFonts w:ascii="Times New Roman" w:hAnsi="Times New Roman"/>
          <w:i/>
          <w:sz w:val="20"/>
        </w:rPr>
        <w:t>Capital Stock,</w:t>
      </w:r>
      <w:r>
        <w:rPr>
          <w:rFonts w:ascii="Times New Roman" w:hAnsi="Times New Roman"/>
          <w:sz w:val="20"/>
        </w:rPr>
        <w:t xml:space="preserve"> in the Condensed Consolidated Financial Statements included in Item 1 of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strategic purposes and to meet our working capital needs prior to the closing of the Autilion Financing, during June and July 2013, we offered certain warrant holders the opportunity to exercise outstanding warrants having an exercise price of $1.50 per share to purchase shares of our restricted common stock at a reduced exercise price of $0.50 per share.  Through July 2013, warrant holders exercised modified warrants to purchase an aggregate of 528,370 restricted shares of our common stock and we received cash proceeds of $264,200.  In addition, certain long-term warrant holders exercised modified warrants to purchase 16,646 shares of our restricted common stock in lieu of payment by us in satisfaction of amounts due for professional services in the aggregate amount of $8,300. Additionally, in July 2013, we issued to Platinum a senior secured convertible note in the face amount of $250,000 (the “</w:t>
      </w:r>
      <w:r>
        <w:rPr>
          <w:rFonts w:ascii="Times New Roman" w:hAnsi="Times New Roman"/>
          <w:i/>
          <w:sz w:val="20"/>
        </w:rPr>
        <w:t>July 2013 Note</w:t>
      </w:r>
      <w:r>
        <w:rPr>
          <w:rFonts w:ascii="Times New Roman" w:hAnsi="Times New Roman"/>
          <w:sz w:val="20"/>
        </w:rPr>
        <w:t>”) and a five-year warrant to purchase 250,000 shares of our restricted common stock at an exercise price of $0.50 per share. Between August and October 2013, we entered into strategic securities purchase agreements with accredited investors pursuant to which we sold to such investors Units of our securities consisting, in aggregate, of: (i) one-year 10% convertible notes in the aggregate face amount of $380,000; (ii) an aggregate of 760,000 shares of our restricted common stock; and (iii) three-year warrants to purchase an aggregate of 760,000 restricted shares of our common stock at an exercise price of $1.00 per share.  We received cash proceeds of $380,000 from the sale of the Units.  Additionally, at the end of September 30, 2013, one of our executive officers provided us a short-term cash advance of $30,000 to meet immediate working capital requirements.  Under certain circumstances, the July 2013 Note issued to Platinum is convertible into Units.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3" w:name="PGBRK22"/>
      <w:bookmarkStart w:id="234" w:name="PGBRK22"/>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FTR21"/>
      <w:bookmarkStart w:id="236" w:name="FTR21"/>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7" w:name="GLFTR21"/>
      <w:bookmarkEnd w:id="2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8" w:name="PN22"/>
      <w:bookmarkEnd w:id="238"/>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HDR22"/>
      <w:bookmarkStart w:id="240" w:name="HDR22"/>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41" w:name="GLHDR22"/>
        <w:bookmarkEnd w:id="2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Three Months Ended September 30, 2013 and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three months ended September 30, 2013 and 2012 (amounts in $000).</w:t>
      </w:r>
    </w:p>
    <w:tbl>
      <w:tblPr>
        <w:tblW w:w="5000" w:type="pct"/>
        <w:jc w:val="left"/>
        <w:tblInd w:w="0" w:type="dxa"/>
        <w:tblCellMar>
          <w:top w:w="0" w:type="dxa"/>
          <w:left w:w="0" w:type="dxa"/>
          <w:bottom w:w="0" w:type="dxa"/>
          <w:right w:w="0" w:type="dxa"/>
        </w:tblCellMar>
      </w:tblPr>
      <w:tblGrid>
        <w:gridCol w:w="6932"/>
        <w:gridCol w:w="110"/>
        <w:gridCol w:w="127"/>
        <w:gridCol w:w="1279"/>
        <w:gridCol w:w="115"/>
        <w:gridCol w:w="110"/>
        <w:gridCol w:w="127"/>
        <w:gridCol w:w="1279"/>
        <w:gridCol w:w="126"/>
      </w:tblGrid>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3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September 30,</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 Revenue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(1,215</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other expenses (net)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warrant liabilities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(1,459</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(1,459</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Revenue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reported no grant or subcontract revenue for the quarter ended September 30, 2013 or 2012. We have successfully completed our Phase I development of AV-101, our prodrug candidate for the treatment of neuropathic pain and, potentially, depression and other neurological conditions. Our NIH grant related to AV-101 expired in its normal course on June 30, 2012 and has not been extended or renewed.  We had drawn the maximum amount available under the grant prior to its expiration.  Revenue associated with our earlier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$669,000 for the quarter ended September 30, 2013, a decrease of 39% compared to $1,106,000 for the quarter ended September 30, 2012.  The following table indicates the primary components of research and development for each of the periods (in $000):</w:t>
      </w:r>
    </w:p>
    <w:tbl>
      <w:tblPr>
        <w:tblW w:w="5000" w:type="pct"/>
        <w:jc w:val="left"/>
        <w:tblInd w:w="0" w:type="dxa"/>
        <w:tblCellMar>
          <w:top w:w="0" w:type="dxa"/>
          <w:left w:w="0" w:type="dxa"/>
          <w:bottom w:w="0" w:type="dxa"/>
          <w:right w:w="0" w:type="dxa"/>
        </w:tblCellMar>
      </w:tblPr>
      <w:tblGrid>
        <w:gridCol w:w="7010"/>
        <w:gridCol w:w="110"/>
        <w:gridCol w:w="125"/>
        <w:gridCol w:w="1232"/>
        <w:gridCol w:w="110"/>
        <w:gridCol w:w="110"/>
        <w:gridCol w:w="125"/>
        <w:gridCol w:w="1267"/>
        <w:gridCol w:w="116"/>
      </w:tblGrid>
      <w:tr>
        <w:trPr/>
        <w:tc>
          <w:tcPr>
            <w:tcW w:w="70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6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September 30,</w:t>
            </w:r>
          </w:p>
        </w:tc>
        <w:tc>
          <w:tcPr>
            <w:tcW w:w="116" w:type="dxa"/>
            <w:tcBorders/>
            <w:shd w:fill="auto" w:val="clear"/>
            <w:vAlign w:val="bottom"/>
          </w:tcPr>
          <w:p>
            <w:pPr>
              <w:pStyle w:val="TableContents"/>
              <w:spacing w:before="0" w:after="283"/>
              <w:jc w:val="left"/>
              <w:rPr/>
            </w:pPr>
            <w:r>
              <w:rPr/>
              <w:t> </w:t>
            </w:r>
          </w:p>
        </w:tc>
      </w:tr>
      <w:tr>
        <w:trPr/>
        <w:tc>
          <w:tcPr>
            <w:tcW w:w="70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6" w:type="dxa"/>
            <w:tcBorders/>
            <w:shd w:fill="auto" w:val="clear"/>
            <w:vAlign w:val="bottom"/>
          </w:tcPr>
          <w:p>
            <w:pPr>
              <w:pStyle w:val="TableContents"/>
              <w:spacing w:before="0" w:after="283"/>
              <w:jc w:val="left"/>
              <w:rPr/>
            </w:pPr>
            <w:r>
              <w:rPr/>
              <w:t> </w:t>
            </w:r>
          </w:p>
        </w:tc>
      </w:tr>
      <w:tr>
        <w:trPr/>
        <w:tc>
          <w:tcPr>
            <w:tcW w:w="70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57"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2"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r>
      <w:tr>
        <w:trPr/>
        <w:tc>
          <w:tcPr>
            <w:tcW w:w="7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16" w:type="dxa"/>
            <w:tcBorders/>
            <w:shd w:fill="FFFFFF" w:val="clear"/>
            <w:vAlign w:val="bottom"/>
          </w:tcPr>
          <w:p>
            <w:pPr>
              <w:pStyle w:val="TableContents"/>
              <w:spacing w:before="0" w:after="283"/>
              <w:jc w:val="left"/>
              <w:rPr/>
            </w:pPr>
            <w:r>
              <w:rPr/>
              <w:t> </w:t>
            </w:r>
          </w:p>
        </w:tc>
      </w:tr>
      <w:tr>
        <w:trPr/>
        <w:tc>
          <w:tcPr>
            <w:tcW w:w="7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16" w:type="dxa"/>
            <w:tcBorders/>
            <w:shd w:fill="FFFFFF" w:val="clear"/>
            <w:vAlign w:val="bottom"/>
          </w:tcPr>
          <w:p>
            <w:pPr>
              <w:pStyle w:val="TableContents"/>
              <w:spacing w:before="0" w:after="283"/>
              <w:jc w:val="left"/>
              <w:rPr/>
            </w:pPr>
            <w:r>
              <w:rPr/>
              <w:t> </w:t>
            </w:r>
          </w:p>
        </w:tc>
      </w:tr>
      <w:tr>
        <w:trPr/>
        <w:tc>
          <w:tcPr>
            <w:tcW w:w="10089"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116" w:type="dxa"/>
            <w:tcBorders/>
            <w:shd w:fill="FFFFFF" w:val="clear"/>
            <w:vAlign w:val="bottom"/>
          </w:tcPr>
          <w:p>
            <w:pPr>
              <w:pStyle w:val="TableContents"/>
              <w:spacing w:before="0" w:after="283"/>
              <w:jc w:val="left"/>
              <w:rPr/>
            </w:pPr>
            <w:r>
              <w:rPr/>
              <w:t> </w:t>
            </w:r>
          </w:p>
        </w:tc>
      </w:tr>
      <w:tr>
        <w:trPr/>
        <w:tc>
          <w:tcPr>
            <w:tcW w:w="7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16" w:type="dxa"/>
            <w:tcBorders/>
            <w:shd w:fill="FFFFFF" w:val="clear"/>
            <w:vAlign w:val="bottom"/>
          </w:tcPr>
          <w:p>
            <w:pPr>
              <w:pStyle w:val="TableContents"/>
              <w:spacing w:before="0" w:after="283"/>
              <w:jc w:val="left"/>
              <w:rPr/>
            </w:pPr>
            <w:r>
              <w:rPr/>
              <w:t> </w:t>
            </w:r>
          </w:p>
        </w:tc>
      </w:tr>
      <w:tr>
        <w:trPr/>
        <w:tc>
          <w:tcPr>
            <w:tcW w:w="7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6" w:type="dxa"/>
            <w:tcBorders/>
            <w:shd w:fill="FFFFFF" w:val="clear"/>
            <w:vAlign w:val="bottom"/>
          </w:tcPr>
          <w:p>
            <w:pPr>
              <w:pStyle w:val="TableContents"/>
              <w:spacing w:before="0" w:after="283"/>
              <w:jc w:val="left"/>
              <w:rPr/>
            </w:pPr>
            <w:r>
              <w:rPr/>
              <w:t> </w:t>
            </w:r>
          </w:p>
        </w:tc>
      </w:tr>
      <w:tr>
        <w:trPr/>
        <w:tc>
          <w:tcPr>
            <w:tcW w:w="7010"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2"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r>
      <w:tr>
        <w:trPr/>
        <w:tc>
          <w:tcPr>
            <w:tcW w:w="7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1,106</w:t>
            </w:r>
          </w:p>
        </w:tc>
        <w:tc>
          <w:tcPr>
            <w:tcW w:w="116"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42" w:name="PGBRK23"/>
      <w:bookmarkStart w:id="243" w:name="PGBRK23"/>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4" w:name="FTR22"/>
      <w:bookmarkStart w:id="245" w:name="FTR22"/>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6" w:name="GLFTR22"/>
      <w:bookmarkEnd w:id="2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i w:val="false"/>
          <w:caps w:val="false"/>
          <w:smallCaps w:val="false"/>
          <w:color w:val="000000"/>
          <w:sz w:val="20"/>
        </w:rPr>
      </w:pPr>
      <w:bookmarkStart w:id="247" w:name="PN23"/>
      <w:bookmarkEnd w:id="247"/>
      <w:r>
        <w:rPr>
          <w:rFonts w:ascii="times new roman" w:hAnsi="times new roman"/>
          <w:b w:val="false"/>
          <w:i w:val="false"/>
          <w:caps w:val="false"/>
          <w:smallCaps w:val="false"/>
          <w:color w:val="000000"/>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8" w:name="HDR23"/>
      <w:bookmarkStart w:id="249" w:name="HDR23"/>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50" w:name="GLHDR23"/>
        <w:bookmarkEnd w:id="250"/>
        <w:r>
          <w:rPr>
            <w:rStyle w:val="InternetLink"/>
            <w:rFonts w:ascii="Times New Roman" w:hAnsi="Times New Roman"/>
            <w:b/>
            <w:i/>
            <w:color w:val="FF0000"/>
            <w:sz w:val="16"/>
            <w:u w:val="single"/>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R&amp;D salaries and benefits expense reflects the impact of the addition of a research technician in April 2013, the partial restoration in April 2013 of an earlier voluntary salary reduction to below his contractual pay rate taken by our President and Chief Scientific Officer, and general increases in employee benefits costs. Stock-based compensation increased in 2013 compared to 2012 as a result of recognizing the expense resulting from (i) the March 2013 grant of a warrant to our President and Chief Scientific Officer that vests over three years, subject to certain vesting acceleration events, and (ii) the October 2012 cancellation of certain unvested option grants having exercise prices between $1.13 per share and $2.58 per share made to certain scientific employees and consultants in prior years and the granting to those same employees and consultants new options having an exercise price of $0.75 per share and vesting over two years.  Sponsored research at UHN in both 2013 and 2012 reflects our long-term stem cell research collaboration with Dr. Gordon Keller’s laboratory in accordance with modifications to our collaboration agreement with UHN made in the third and fourth quarters of our fiscal year ended March 31, 2012 and in a further modification effective beginning in October 2012. Technology license expense increased in 2013 reflecting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and completed them by mid-year 2012. AV-101 expenses in the current quarter of 2013 reflect the costs associated with monitoring for and responding to potential feedback related to our final clinical trial and other reports required under the terms of the prior NIH grant, primarily through our contract research collaborator, 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$546,000 for the quarter ended September 30, 2013, a reduction of 5% compared with $576,000 for the quarter ended September 30, 2012.  The following table indicates the primary components of general and administrative expenses for each of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034"/>
        <w:gridCol w:w="110"/>
        <w:gridCol w:w="126"/>
        <w:gridCol w:w="1235"/>
        <w:gridCol w:w="110"/>
        <w:gridCol w:w="110"/>
        <w:gridCol w:w="126"/>
        <w:gridCol w:w="1235"/>
        <w:gridCol w:w="119"/>
      </w:tblGrid>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4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September 30,</w:t>
            </w:r>
          </w:p>
        </w:tc>
        <w:tc>
          <w:tcPr>
            <w:tcW w:w="119" w:type="dxa"/>
            <w:tcBorders/>
            <w:shd w:fill="auto" w:val="clear"/>
            <w:vAlign w:val="bottom"/>
          </w:tcPr>
          <w:p>
            <w:pPr>
              <w:pStyle w:val="TableContents"/>
              <w:spacing w:before="0" w:after="283"/>
              <w:jc w:val="left"/>
              <w:rPr/>
            </w:pPr>
            <w:r>
              <w:rPr/>
              <w:t> </w:t>
            </w:r>
          </w:p>
        </w:tc>
      </w:tr>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9" w:type="dxa"/>
            <w:tcBorders/>
            <w:shd w:fill="auto" w:val="clear"/>
            <w:vAlign w:val="bottom"/>
          </w:tcPr>
          <w:p>
            <w:pPr>
              <w:pStyle w:val="TableContents"/>
              <w:spacing w:before="0" w:after="283"/>
              <w:jc w:val="left"/>
              <w:rPr/>
            </w:pPr>
            <w:r>
              <w:rPr/>
              <w:t> </w:t>
            </w:r>
          </w:p>
        </w:tc>
      </w:tr>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full-time employee status, and (iv) general annual increases in employee benefits costs. Stock-based compensation increased in 2013 compared to 2012 as a result of recognizing the expense resulting from (i) the March 2013 grant of warrants vesting over three years, subject to certain vesting acceleration events, to certain members of our senior management and to the independent members of our Board of Directors, and (ii) the October 2012 cancellation of certain unvested option grants having exercise prices between $1.13 per share and $2.58 per share made to certain administrative employees and consultants in prior years and the granting to those same employees and consultants new options having an exercise price of $0.75 per share and vesting over two years.  The reduction in legal, accounting and other professional fees is primarily the result of the September 2012 conversion of our Chief Financial Officer from part-time consultant to full-time employee status, as noted above. During 2012, we had engaged third parties to provide us with investor relations services and to conduct market awareness initiatives; for strategic purposes, we have scaled back those initiatives during 2013.  The 2013 increase in rent and utilities reflects increased costs related to our relocation to expanded facilities in late-July 2013; other expenses include one-time costs associated with the relocation.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24"/>
      <w:bookmarkStart w:id="252" w:name="PGBRK24"/>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23"/>
      <w:bookmarkStart w:id="254" w:name="FTR23"/>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5" w:name="GLFTR23"/>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6" w:name="PN24"/>
      <w:bookmarkEnd w:id="25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24"/>
      <w:bookmarkStart w:id="258" w:name="HDR24"/>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59" w:name="GLHDR24"/>
        <w:bookmarkEnd w:id="2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net totaled $323,000 for the three months ended September 30, 2013, an 18% increase compared to the $274,000 reported for the three months ended September 30, 2012.  The following table summarizes the primary components of interest expense for each of the periods (in $000):</w:t>
      </w:r>
    </w:p>
    <w:tbl>
      <w:tblPr>
        <w:tblW w:w="5000" w:type="pct"/>
        <w:jc w:val="left"/>
        <w:tblInd w:w="0" w:type="dxa"/>
        <w:tblCellMar>
          <w:top w:w="0" w:type="dxa"/>
          <w:left w:w="0" w:type="dxa"/>
          <w:bottom w:w="0" w:type="dxa"/>
          <w:right w:w="0" w:type="dxa"/>
        </w:tblCellMar>
      </w:tblPr>
      <w:tblGrid>
        <w:gridCol w:w="7026"/>
        <w:gridCol w:w="110"/>
        <w:gridCol w:w="125"/>
        <w:gridCol w:w="1239"/>
        <w:gridCol w:w="114"/>
        <w:gridCol w:w="110"/>
        <w:gridCol w:w="125"/>
        <w:gridCol w:w="1239"/>
        <w:gridCol w:w="117"/>
      </w:tblGrid>
      <w:tr>
        <w:trPr/>
        <w:tc>
          <w:tcPr>
            <w:tcW w:w="702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5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17" w:type="dxa"/>
            <w:tcBorders/>
            <w:shd w:fill="auto" w:val="clear"/>
            <w:vAlign w:val="bottom"/>
          </w:tcPr>
          <w:p>
            <w:pPr>
              <w:pStyle w:val="TableContents"/>
              <w:spacing w:before="0" w:after="283"/>
              <w:jc w:val="left"/>
              <w:rPr/>
            </w:pPr>
            <w:r>
              <w:rPr/>
              <w:t> </w:t>
            </w:r>
          </w:p>
        </w:tc>
      </w:tr>
      <w:tr>
        <w:trPr/>
        <w:tc>
          <w:tcPr>
            <w:tcW w:w="702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5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7" w:type="dxa"/>
            <w:tcBorders/>
            <w:shd w:fill="auto" w:val="clear"/>
            <w:vAlign w:val="bottom"/>
          </w:tcPr>
          <w:p>
            <w:pPr>
              <w:pStyle w:val="TableContents"/>
              <w:spacing w:before="0" w:after="283"/>
              <w:jc w:val="left"/>
              <w:rPr/>
            </w:pPr>
            <w:r>
              <w:rPr/>
              <w:t> </w:t>
            </w:r>
          </w:p>
        </w:tc>
      </w:tr>
      <w:tr>
        <w:trPr/>
        <w:tc>
          <w:tcPr>
            <w:tcW w:w="702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4"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7" w:type="dxa"/>
            <w:tcBorders/>
            <w:shd w:fill="auto" w:val="clear"/>
            <w:vAlign w:val="bottom"/>
          </w:tcPr>
          <w:p>
            <w:pPr>
              <w:pStyle w:val="TableContents"/>
              <w:spacing w:before="0" w:after="283"/>
              <w:jc w:val="left"/>
              <w:rPr/>
            </w:pPr>
            <w:r>
              <w:rPr/>
              <w:t> </w:t>
            </w:r>
          </w:p>
        </w:tc>
      </w:tr>
      <w:tr>
        <w:trPr/>
        <w:tc>
          <w:tcPr>
            <w:tcW w:w="702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4"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14"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17"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fair value of replacement warrants issued in connection with exercise of modified warrants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7"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losses on accounts payable settled by issuance of common stock or notes payable</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7"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registration rights for February 2012 12% convertible notes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7"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4"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7"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14"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17"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17"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w:t>
            </w:r>
          </w:p>
        </w:tc>
        <w:tc>
          <w:tcPr>
            <w:tcW w:w="114"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promissory note and related warrant issued to Platinum in July 2013, (as described more completely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 and the contingent issuance of the Series A Exchange Warrant to Platinum,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quarter ended September 30, 2013, we recognized non-cash income of $79,000 related to the net decrease in the estimated fair value of these liabilities since June 30, 2013, or issuance, in the case of the warrant issued in July 2013, which resulted primarily from the decrease in the market price of our common stock in relation to the anticipated exercise price of the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Six Months Ended September 30, 2013 and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six months ended September 30, 2013 and 2012 (amounts in $000).</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932"/>
        <w:gridCol w:w="110"/>
        <w:gridCol w:w="127"/>
        <w:gridCol w:w="1279"/>
        <w:gridCol w:w="115"/>
        <w:gridCol w:w="110"/>
        <w:gridCol w:w="127"/>
        <w:gridCol w:w="1279"/>
        <w:gridCol w:w="126"/>
      </w:tblGrid>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3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 September 30,</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10" w:type="dxa"/>
            <w:tcBorders/>
            <w:shd w:fill="auto" w:val="clear"/>
            <w:vAlign w:val="bottom"/>
          </w:tcPr>
          <w:p>
            <w:pPr>
              <w:pStyle w:val="TableContents"/>
              <w:spacing w:before="0" w:after="283"/>
              <w:jc w:val="left"/>
              <w:rPr/>
            </w:pPr>
            <w:r>
              <w:rPr/>
              <w:t> </w:t>
            </w:r>
          </w:p>
        </w:tc>
        <w:tc>
          <w:tcPr>
            <w:tcW w:w="1406"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1406" w:type="dxa"/>
            <w:gridSpan w:val="2"/>
            <w:tcBorders/>
            <w:shd w:fill="auto" w:val="clear"/>
            <w:vAlign w:val="bottom"/>
          </w:tcPr>
          <w:p>
            <w:pPr>
              <w:pStyle w:val="TableContents"/>
              <w:spacing w:before="0" w:after="0"/>
              <w:ind w:left="0" w:right="0" w:hanging="0"/>
              <w:jc w:val="left"/>
              <w:rPr/>
            </w:pPr>
            <w:r>
              <w:rPr/>
              <w:t> </w:t>
            </w:r>
          </w:p>
        </w:tc>
        <w:tc>
          <w:tcPr>
            <w:tcW w:w="126" w:type="dxa"/>
            <w:tcBorders/>
            <w:shd w:fill="auto"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1,973</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2,515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3,604</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(2,515</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(3,404</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warrant liabilities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1,884</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(1,271</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(3,780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(1,274</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(3,782</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60" w:name="PGBRK25"/>
      <w:bookmarkStart w:id="261" w:name="PGBRK25"/>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2" w:name="FTR24"/>
      <w:bookmarkStart w:id="263" w:name="FTR24"/>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64" w:name="GLFTR24"/>
      <w:bookmarkEnd w:id="2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25"/>
      <w:bookmarkEnd w:id="265"/>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6" w:name="HDR25"/>
      <w:bookmarkStart w:id="267" w:name="HDR25"/>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68" w:name="GLHDR25"/>
        <w:bookmarkEnd w:id="2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716"/>
        <w:gridCol w:w="131"/>
        <w:gridCol w:w="355"/>
        <w:gridCol w:w="1086"/>
        <w:gridCol w:w="135"/>
        <w:gridCol w:w="135"/>
        <w:gridCol w:w="192"/>
        <w:gridCol w:w="1308"/>
        <w:gridCol w:w="147"/>
      </w:tblGrid>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321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 September 30,</w:t>
            </w:r>
          </w:p>
        </w:tc>
        <w:tc>
          <w:tcPr>
            <w:tcW w:w="147" w:type="dxa"/>
            <w:tcBorders/>
            <w:shd w:fill="auto" w:val="clear"/>
            <w:vAlign w:val="bottom"/>
          </w:tcPr>
          <w:p>
            <w:pPr>
              <w:pStyle w:val="TableContents"/>
              <w:spacing w:before="0" w:after="283"/>
              <w:jc w:val="left"/>
              <w:rPr/>
            </w:pPr>
            <w:r>
              <w:rPr/>
              <w:t> </w:t>
            </w:r>
          </w:p>
        </w:tc>
      </w:tr>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35"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47" w:type="dxa"/>
            <w:tcBorders/>
            <w:shd w:fill="auto" w:val="clear"/>
            <w:vAlign w:val="bottom"/>
          </w:tcPr>
          <w:p>
            <w:pPr>
              <w:pStyle w:val="TableContents"/>
              <w:spacing w:before="0" w:after="283"/>
              <w:jc w:val="left"/>
              <w:rPr/>
            </w:pPr>
            <w:r>
              <w:rPr/>
              <w:t> </w:t>
            </w:r>
          </w:p>
        </w:tc>
      </w:tr>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500" w:type="dxa"/>
            <w:gridSpan w:val="2"/>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r>
      <w:tr>
        <w:trPr/>
        <w:tc>
          <w:tcPr>
            <w:tcW w:w="67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31"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c>
          <w:tcPr>
            <w:tcW w:w="135"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47" w:type="dxa"/>
            <w:tcBorders/>
            <w:shd w:fill="CCEEFF" w:val="clear"/>
            <w:vAlign w:val="bottom"/>
          </w:tcPr>
          <w:p>
            <w:pPr>
              <w:pStyle w:val="TableContents"/>
              <w:spacing w:before="0" w:after="283"/>
              <w:jc w:val="left"/>
              <w:rPr/>
            </w:pPr>
            <w:r>
              <w:rPr/>
              <w:t> </w:t>
            </w:r>
          </w:p>
        </w:tc>
      </w:tr>
      <w:tr>
        <w:trPr/>
        <w:tc>
          <w:tcPr>
            <w:tcW w:w="67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31" w:type="dxa"/>
            <w:tcBorders/>
            <w:shd w:fill="FFFFFF" w:val="clear"/>
            <w:vAlign w:val="bottom"/>
          </w:tcPr>
          <w:p>
            <w:pPr>
              <w:pStyle w:val="TableContents"/>
              <w:spacing w:before="0" w:after="283"/>
              <w:jc w:val="right"/>
              <w:rPr/>
            </w:pPr>
            <w:r>
              <w:rPr/>
              <w:t> </w:t>
            </w:r>
          </w:p>
        </w:tc>
        <w:tc>
          <w:tcPr>
            <w:tcW w:w="3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FFFFFF" w:val="clear"/>
            <w:vAlign w:val="bottom"/>
          </w:tcPr>
          <w:p>
            <w:pPr>
              <w:pStyle w:val="TableContents"/>
              <w:spacing w:before="0" w:after="283"/>
              <w:jc w:val="left"/>
              <w:rPr/>
            </w:pPr>
            <w:r>
              <w:rPr/>
              <w:t> </w:t>
            </w:r>
          </w:p>
        </w:tc>
        <w:tc>
          <w:tcPr>
            <w:tcW w:w="135" w:type="dxa"/>
            <w:tcBorders/>
            <w:shd w:fill="FFFFFF" w:val="clear"/>
            <w:vAlign w:val="bottom"/>
          </w:tcPr>
          <w:p>
            <w:pPr>
              <w:pStyle w:val="TableContents"/>
              <w:spacing w:before="0" w:after="283"/>
              <w:jc w:val="right"/>
              <w:rPr/>
            </w:pPr>
            <w:r>
              <w:rPr/>
              <w:t> </w:t>
            </w:r>
          </w:p>
        </w:tc>
        <w:tc>
          <w:tcPr>
            <w:tcW w:w="1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47" w:type="dxa"/>
            <w:tcBorders/>
            <w:shd w:fill="FFFFFF" w:val="clear"/>
            <w:vAlign w:val="bottom"/>
          </w:tcPr>
          <w:p>
            <w:pPr>
              <w:pStyle w:val="TableContents"/>
              <w:spacing w:before="0" w:after="283"/>
              <w:jc w:val="left"/>
              <w:rPr/>
            </w:pPr>
            <w:r>
              <w:rPr/>
              <w:t> </w:t>
            </w:r>
          </w:p>
        </w:tc>
      </w:tr>
      <w:tr>
        <w:trPr/>
        <w:tc>
          <w:tcPr>
            <w:tcW w:w="6716"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13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r>
      <w:tr>
        <w:trPr/>
        <w:tc>
          <w:tcPr>
            <w:tcW w:w="67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31" w:type="dxa"/>
            <w:tcBorders/>
            <w:shd w:fill="FFFFFF" w:val="clear"/>
            <w:vAlign w:val="bottom"/>
          </w:tcPr>
          <w:p>
            <w:pPr>
              <w:pStyle w:val="TableContents"/>
              <w:spacing w:before="0" w:after="283"/>
              <w:jc w:val="right"/>
              <w:rPr/>
            </w:pPr>
            <w:r>
              <w:rPr/>
              <w:t> </w:t>
            </w:r>
          </w:p>
        </w:tc>
        <w:tc>
          <w:tcPr>
            <w:tcW w:w="35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FFFFFF" w:val="clear"/>
            <w:vAlign w:val="bottom"/>
          </w:tcPr>
          <w:p>
            <w:pPr>
              <w:pStyle w:val="TableContents"/>
              <w:spacing w:before="0" w:after="283"/>
              <w:jc w:val="left"/>
              <w:rPr/>
            </w:pPr>
            <w:r>
              <w:rPr/>
              <w:t> </w:t>
            </w:r>
          </w:p>
        </w:tc>
        <w:tc>
          <w:tcPr>
            <w:tcW w:w="135" w:type="dxa"/>
            <w:tcBorders/>
            <w:shd w:fill="FFFFFF" w:val="clear"/>
            <w:vAlign w:val="bottom"/>
          </w:tcPr>
          <w:p>
            <w:pPr>
              <w:pStyle w:val="TableContents"/>
              <w:spacing w:before="0" w:after="283"/>
              <w:jc w:val="right"/>
              <w:rPr/>
            </w:pPr>
            <w:r>
              <w:rPr/>
              <w:t> </w:t>
            </w:r>
          </w:p>
        </w:tc>
        <w:tc>
          <w:tcPr>
            <w:tcW w:w="19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47"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successfully completed our Phase I development of AV-101, our prodrug candidate for the treatment of neuropathic pain and, potentially, depression and other neurological conditions. Our NIH grant related to AV-101 expired in its normal course on June 30, 2012 and has not been extended or renewed.  We had drawn the maximum amount available under the grant prior to its expiration.  Revenue associated with our earlier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$1,365,000 for the six months ended September 30, 2013, a decrease of 31% compared to $1,973,000 for the six months ended September 30, 2012.  The following table indicates the primary components of research and development for each of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78"/>
        <w:gridCol w:w="110"/>
        <w:gridCol w:w="125"/>
        <w:gridCol w:w="1264"/>
        <w:gridCol w:w="110"/>
        <w:gridCol w:w="110"/>
        <w:gridCol w:w="125"/>
        <w:gridCol w:w="1264"/>
        <w:gridCol w:w="119"/>
      </w:tblGrid>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 September 30,</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19" w:type="dxa"/>
            <w:tcBorders/>
            <w:shd w:fill="FFFFFF" w:val="clear"/>
            <w:vAlign w:val="bottom"/>
          </w:tcPr>
          <w:p>
            <w:pPr>
              <w:pStyle w:val="TableContents"/>
              <w:spacing w:before="0" w:after="283"/>
              <w:jc w:val="left"/>
              <w:rPr/>
            </w:pPr>
            <w:r>
              <w:rPr/>
              <w:t> </w:t>
            </w:r>
          </w:p>
        </w:tc>
      </w:tr>
      <w:tr>
        <w:trPr/>
        <w:tc>
          <w:tcPr>
            <w:tcW w:w="10086"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1,973</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R&amp;D salaries and benefits expense reflects the impact of (i) the addition of a research technician in April 2013; (ii) the partial restoration in April 2013 of an earlier voluntary salary reduction to below his contractual pay rate taken by our President and Chief Scientific Officer; and (iii) general annual increases in employee benefits costs. Stock-based compensation increased in 2013 compared to 2012 as a result of recognizing the expense resulting from (i) the March 2013 grant of a warrant to our President and Chief Scientific Officer that vests over three years, subject to certain vesting acceleration events, and (ii) the October 2012 cancellation of certain unvested option grants having exercise prices between $1.13 per share and $2.58 per share made to certain scientific employees and consultants in prior years and the granting of new options vesting over two years and having an exercise price of $0.75 per share to those same employees and consultants. Sponsored research at UHN in both 2013 and 2012 reflects our long-term stem cell research collaboration with Dr. Gordon Keller’s laboratory in accordance with modifications to our collaboration agreement with UHN made in the third and fourth quarters of our fiscal year ended March 31, 2012 and in a further modification effective beginning in October 2012. Technology license expense increased in 2013 reflecting significantly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the six months ended September 30, 2012.  AV-101 expenses in the six months ended September 30, 2013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 w:name="PGBRK26"/>
      <w:bookmarkStart w:id="270" w:name="PGBRK26"/>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FTR25"/>
      <w:bookmarkStart w:id="272" w:name="FTR25"/>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3" w:name="GLFTR25"/>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4" w:name="PN26"/>
      <w:bookmarkEnd w:id="274"/>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HDR26"/>
      <w:bookmarkStart w:id="276" w:name="HDR26"/>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7" w:name="GLHDR26"/>
        <w:bookmarkEnd w:id="2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$1,150,000 for the six months ended September 30, 2013, a reduction of 29% compared with $1,631,000 for the six months ended September 30, 2012.  The following table indicates the primary components of general and administrative expenses for each of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59"/>
        <w:gridCol w:w="110"/>
        <w:gridCol w:w="128"/>
        <w:gridCol w:w="1267"/>
        <w:gridCol w:w="116"/>
        <w:gridCol w:w="110"/>
        <w:gridCol w:w="128"/>
        <w:gridCol w:w="1267"/>
        <w:gridCol w:w="120"/>
      </w:tblGrid>
      <w:tr>
        <w:trPr/>
        <w:tc>
          <w:tcPr>
            <w:tcW w:w="695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 September 30,</w:t>
            </w:r>
          </w:p>
        </w:tc>
        <w:tc>
          <w:tcPr>
            <w:tcW w:w="120" w:type="dxa"/>
            <w:tcBorders/>
            <w:shd w:fill="auto" w:val="clear"/>
            <w:vAlign w:val="bottom"/>
          </w:tcPr>
          <w:p>
            <w:pPr>
              <w:pStyle w:val="TableContents"/>
              <w:spacing w:before="0" w:after="283"/>
              <w:jc w:val="left"/>
              <w:rPr/>
            </w:pPr>
            <w:r>
              <w:rPr/>
              <w:t> </w:t>
            </w:r>
          </w:p>
        </w:tc>
      </w:tr>
      <w:tr>
        <w:trPr/>
        <w:tc>
          <w:tcPr>
            <w:tcW w:w="695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0" w:type="dxa"/>
            <w:tcBorders/>
            <w:shd w:fill="auto" w:val="clear"/>
            <w:vAlign w:val="bottom"/>
          </w:tcPr>
          <w:p>
            <w:pPr>
              <w:pStyle w:val="TableContents"/>
              <w:spacing w:before="0" w:after="283"/>
              <w:jc w:val="left"/>
              <w:rPr/>
            </w:pPr>
            <w:r>
              <w:rPr/>
              <w:t> </w:t>
            </w:r>
          </w:p>
        </w:tc>
      </w:tr>
      <w:tr>
        <w:trPr/>
        <w:tc>
          <w:tcPr>
            <w:tcW w:w="695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0" w:type="dxa"/>
            <w:tcBorders/>
            <w:shd w:fill="FFFFFF"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20" w:type="dxa"/>
            <w:tcBorders/>
            <w:shd w:fill="FFFFFF"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0" w:type="dxa"/>
            <w:tcBorders/>
            <w:shd w:fill="FFFFFF"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0" w:type="dxa"/>
            <w:tcBorders/>
            <w:shd w:fill="FFFFFF"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0" w:type="dxa"/>
            <w:tcBorders/>
            <w:shd w:fill="FFFFFF" w:val="clear"/>
            <w:vAlign w:val="bottom"/>
          </w:tcPr>
          <w:p>
            <w:pPr>
              <w:pStyle w:val="TableContents"/>
              <w:spacing w:before="0" w:after="283"/>
              <w:jc w:val="left"/>
              <w:rPr/>
            </w:pPr>
            <w:r>
              <w:rPr/>
              <w:t> </w:t>
            </w:r>
          </w:p>
        </w:tc>
      </w:tr>
      <w:tr>
        <w:trPr/>
        <w:tc>
          <w:tcPr>
            <w:tcW w:w="6959"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9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1,150</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full-time employee status, and (iv) general annual increases in employee benefits costs. Stock-based compensation increased in 2013 compared to 2012 as a result of recognizing the expense resulting from (i) the March 2013 grant of warrants vesting over three years, subject to certain vesting acceleration events, to certain of our senior management and to the independent members of our Board of Directors, and (ii) the October 2012 cancellation of certain unvested option grants having exercise prices between $1.13 per share and $2.58 per share made to certain administrative employees and consultants in prior years and the granting of new options vesting over two years and having an exercise price of $0.75 per share to those same employees and consultants.  The reduction in legal, accounting and other professional fees is primarily the result of the conversion of our Chief Financial Officer from part-time consultant to full-time employee status, as noted above. During 2012, we had engaged third parties to provide us with investor relations services and to conduct market awareness initiatives; for strategic purposes, we have scaled back those initiatives during 2013. In 2012, we incurred non-cash warrant modification expense of $440,000 related to the increase in the fair value of the underlying warrants due to reducing the exercise price of certain outstanding warrants to purchase our common stock. In 2013, we reduced the exercise price of certain warrants for a limited period of time and, due to a lower stock price than in 2012, the resulting fair value of the warrants so modified decreased by $33,000.  The 2013 increase in rent and utilities reflects increased costs related to our relocation to expanded facilities in late-July 2013; other expenses include one-time costs associated with the relocation.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net totaled $640,000 for the six months ended September 30, 2013, a 70% increase compared to the $376,000 reported for the six months ended September 30, 2012.  The following table summarizes the primary components of interest expense for each of the periods (in $000):</w:t>
      </w:r>
    </w:p>
    <w:tbl>
      <w:tblPr>
        <w:tblW w:w="5000" w:type="pct"/>
        <w:jc w:val="left"/>
        <w:tblInd w:w="0" w:type="dxa"/>
        <w:tblCellMar>
          <w:top w:w="0" w:type="dxa"/>
          <w:left w:w="0" w:type="dxa"/>
          <w:bottom w:w="0" w:type="dxa"/>
          <w:right w:w="0" w:type="dxa"/>
        </w:tblCellMar>
      </w:tblPr>
      <w:tblGrid>
        <w:gridCol w:w="7019"/>
        <w:gridCol w:w="110"/>
        <w:gridCol w:w="125"/>
        <w:gridCol w:w="1239"/>
        <w:gridCol w:w="115"/>
        <w:gridCol w:w="110"/>
        <w:gridCol w:w="125"/>
        <w:gridCol w:w="1239"/>
        <w:gridCol w:w="123"/>
      </w:tblGrid>
      <w:tr>
        <w:trPr/>
        <w:tc>
          <w:tcPr>
            <w:tcW w:w="701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5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tc>
        <w:tc>
          <w:tcPr>
            <w:tcW w:w="123" w:type="dxa"/>
            <w:tcBorders/>
            <w:shd w:fill="auto" w:val="clear"/>
            <w:vAlign w:val="bottom"/>
          </w:tcPr>
          <w:p>
            <w:pPr>
              <w:pStyle w:val="TableContents"/>
              <w:spacing w:before="0" w:after="283"/>
              <w:jc w:val="left"/>
              <w:rPr/>
            </w:pPr>
            <w:r>
              <w:rPr/>
              <w:t> </w:t>
            </w:r>
          </w:p>
        </w:tc>
      </w:tr>
      <w:tr>
        <w:trPr/>
        <w:tc>
          <w:tcPr>
            <w:tcW w:w="701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5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3" w:type="dxa"/>
            <w:tcBorders/>
            <w:shd w:fill="auto" w:val="clear"/>
            <w:vAlign w:val="bottom"/>
          </w:tcPr>
          <w:p>
            <w:pPr>
              <w:pStyle w:val="TableContents"/>
              <w:spacing w:before="0" w:after="283"/>
              <w:jc w:val="left"/>
              <w:rPr/>
            </w:pPr>
            <w:r>
              <w:rPr/>
              <w:t> </w:t>
            </w:r>
          </w:p>
        </w:tc>
      </w:tr>
      <w:tr>
        <w:trPr/>
        <w:tc>
          <w:tcPr>
            <w:tcW w:w="701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3" w:type="dxa"/>
            <w:tcBorders/>
            <w:shd w:fill="auto" w:val="clear"/>
            <w:vAlign w:val="bottom"/>
          </w:tcPr>
          <w:p>
            <w:pPr>
              <w:pStyle w:val="TableContents"/>
              <w:spacing w:before="0" w:after="283"/>
              <w:jc w:val="left"/>
              <w:rPr/>
            </w:pPr>
            <w:r>
              <w:rPr/>
              <w:t> </w:t>
            </w:r>
          </w:p>
        </w:tc>
      </w:tr>
      <w:tr>
        <w:trPr/>
        <w:tc>
          <w:tcPr>
            <w:tcW w:w="701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4"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0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649</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3" w:type="dxa"/>
            <w:tcBorders/>
            <w:shd w:fill="CCEEFF" w:val="clear"/>
            <w:vAlign w:val="bottom"/>
          </w:tcPr>
          <w:p>
            <w:pPr>
              <w:pStyle w:val="TableContents"/>
              <w:spacing w:before="0" w:after="283"/>
              <w:jc w:val="left"/>
              <w:rPr/>
            </w:pPr>
            <w:r>
              <w:rPr/>
              <w:t> </w:t>
            </w:r>
          </w:p>
        </w:tc>
      </w:tr>
      <w:tr>
        <w:trPr/>
        <w:tc>
          <w:tcPr>
            <w:tcW w:w="7129" w:type="dxa"/>
            <w:gridSpan w:val="2"/>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Charge for fair value of replacement warrants issued in connection with exercise of modified warrants</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3" w:type="dxa"/>
            <w:tcBorders/>
            <w:shd w:fill="FFFFFF" w:val="clear"/>
            <w:vAlign w:val="bottom"/>
          </w:tcPr>
          <w:p>
            <w:pPr>
              <w:pStyle w:val="TableContents"/>
              <w:spacing w:before="0" w:after="283"/>
              <w:jc w:val="left"/>
              <w:rPr/>
            </w:pPr>
            <w:r>
              <w:rPr/>
              <w:t> </w:t>
            </w:r>
          </w:p>
        </w:tc>
      </w:tr>
      <w:tr>
        <w:trPr/>
        <w:tc>
          <w:tcPr>
            <w:tcW w:w="7129" w:type="dxa"/>
            <w:gridSpan w:val="2"/>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losses on accounts payable settled by issuance of common stock or notes payable</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CCEEFF" w:val="clear"/>
            <w:vAlign w:val="bottom"/>
          </w:tcPr>
          <w:p>
            <w:pPr>
              <w:pStyle w:val="TableContents"/>
              <w:spacing w:before="0" w:after="283"/>
              <w:jc w:val="left"/>
              <w:rPr/>
            </w:pPr>
            <w:r>
              <w:rPr/>
              <w:t> </w:t>
            </w:r>
          </w:p>
        </w:tc>
      </w:tr>
      <w:tr>
        <w:trPr/>
        <w:tc>
          <w:tcPr>
            <w:tcW w:w="70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registration rights for February 2012 12% convertible notes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FFFFFF" w:val="clear"/>
            <w:vAlign w:val="bottom"/>
          </w:tcPr>
          <w:p>
            <w:pPr>
              <w:pStyle w:val="TableContents"/>
              <w:spacing w:before="0" w:after="283"/>
              <w:jc w:val="left"/>
              <w:rPr/>
            </w:pPr>
            <w:r>
              <w:rPr/>
              <w:t> </w:t>
            </w:r>
          </w:p>
        </w:tc>
      </w:tr>
      <w:tr>
        <w:trPr/>
        <w:tc>
          <w:tcPr>
            <w:tcW w:w="70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CCEEFF" w:val="clear"/>
            <w:vAlign w:val="bottom"/>
          </w:tcPr>
          <w:p>
            <w:pPr>
              <w:pStyle w:val="TableContents"/>
              <w:spacing w:before="0" w:after="283"/>
              <w:jc w:val="left"/>
              <w:rPr/>
            </w:pPr>
            <w:r>
              <w:rPr/>
              <w:t> </w:t>
            </w:r>
          </w:p>
        </w:tc>
      </w:tr>
      <w:tr>
        <w:trPr/>
        <w:tc>
          <w:tcPr>
            <w:tcW w:w="7019"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23" w:type="dxa"/>
            <w:tcBorders/>
            <w:shd w:fill="FFFFFF" w:val="clear"/>
            <w:vAlign w:val="bottom"/>
          </w:tcPr>
          <w:p>
            <w:pPr>
              <w:pStyle w:val="TableContents"/>
              <w:spacing w:before="0" w:after="283"/>
              <w:jc w:val="left"/>
              <w:rPr/>
            </w:pPr>
            <w:r>
              <w:rPr/>
              <w:t> </w:t>
            </w:r>
          </w:p>
        </w:tc>
      </w:tr>
      <w:tr>
        <w:trPr/>
        <w:tc>
          <w:tcPr>
            <w:tcW w:w="70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019"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9"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0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23"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78" w:name="PGBRK27"/>
      <w:bookmarkStart w:id="279" w:name="PGBRK27"/>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0" w:name="FTR26"/>
      <w:bookmarkStart w:id="281" w:name="FTR26"/>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82" w:name="GLFTR26"/>
      <w:bookmarkEnd w:id="2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i w:val="false"/>
          <w:caps w:val="false"/>
          <w:smallCaps w:val="false"/>
          <w:color w:val="000000"/>
          <w:sz w:val="20"/>
        </w:rPr>
      </w:pPr>
      <w:bookmarkStart w:id="283" w:name="PN27"/>
      <w:bookmarkEnd w:id="283"/>
      <w:r>
        <w:rPr>
          <w:rFonts w:ascii="times new roman" w:hAnsi="times new roman"/>
          <w:b w:val="false"/>
          <w:i w:val="false"/>
          <w:caps w:val="false"/>
          <w:smallCaps w:val="false"/>
          <w:color w:val="000000"/>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4" w:name="HDR27"/>
      <w:bookmarkStart w:id="285" w:name="HDR27"/>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86" w:name="GLHDR27"/>
        <w:bookmarkEnd w:id="286"/>
        <w:r>
          <w:rPr>
            <w:rStyle w:val="InternetLink"/>
            <w:rFonts w:ascii="Times New Roman" w:hAnsi="Times New Roman"/>
            <w:b/>
            <w:i/>
            <w:color w:val="FF0000"/>
            <w:sz w:val="16"/>
            <w:u w:val="single"/>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promissory note and related warrant issued to Platinum in July 2013, (as described more completely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 and the potential issuance of the Series A Exchange Warrant to Platinum,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six months ended September 30, 2013, we recognized non-cash income of $1,883,000 related to the net decrease in the estimated fair value of these liabilities since March 31, 2013, or issuance in the case of the warrant issued in July 2013, which resulted from a combination of (i) the May 2013 agreement with Platinum (described more completely in Note 9, </w:t>
      </w:r>
      <w:r>
        <w:rPr>
          <w:rFonts w:ascii="Times New Roman" w:hAnsi="Times New Roman"/>
          <w:i/>
          <w:sz w:val="20"/>
        </w:rPr>
        <w:t>Capital Stock,</w:t>
      </w:r>
      <w:r>
        <w:rPr>
          <w:rFonts w:ascii="Times New Roman" w:hAnsi="Times New Roman"/>
          <w:sz w:val="20"/>
        </w:rPr>
        <w:t xml:space="preserve"> in the Condensed Consolidated Financial Statements included in Item 1 of this Quarterly Report on Form 10-Q), pursuant to which the stated exercise price of the warrants was reduced from $1.50 per share to $0.50 per share, and (ii) the decrease in the market price of our common stock during that period.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in May 1998, we have financed our operations and technology acquisitions primarily through the issuance and sale of equity and debt securities, including convertible promissory notes and short-term promissory notes, for cash proceeds of approximately $25.2 million, as well as from an aggregate of approximately $16.4 million of government research grant awards, strategic collaboration payments and other revenues. Additionally, we have issued equity securities with an approximate value at issuance of $12.6 million primarily as compensation for professional services rendered to us since inception. At September 30, 2013, we had $6,500 in cash and cash equivalents.  However, in April 2013, we entered into a Securities Purchase Agreement (as amended, the “</w:t>
      </w:r>
      <w:r>
        <w:rPr>
          <w:rFonts w:ascii="Times New Roman" w:hAnsi="Times New Roman"/>
          <w:i/>
          <w:sz w:val="20"/>
        </w:rPr>
        <w:t>Securities Purchase Agreement</w:t>
      </w:r>
      <w:r>
        <w:rPr>
          <w:rFonts w:ascii="Times New Roman" w:hAnsi="Times New Roman"/>
          <w:sz w:val="20"/>
        </w:rPr>
        <w:t>”) providing for the issuance to Autilion AG (“</w:t>
      </w:r>
      <w:r>
        <w:rPr>
          <w:rFonts w:ascii="Times New Roman" w:hAnsi="Times New Roman"/>
          <w:i/>
          <w:sz w:val="20"/>
        </w:rPr>
        <w:t>Autilion”</w:t>
      </w:r>
      <w:r>
        <w:rPr>
          <w:rFonts w:ascii="Times New Roman" w:hAnsi="Times New Roman"/>
          <w:sz w:val="20"/>
        </w:rPr>
        <w:t>) of 72 million restricted shares of our common stock for total gross proceeds to us of $36 million (the “</w:t>
      </w:r>
      <w:r>
        <w:rPr>
          <w:rFonts w:ascii="Times New Roman" w:hAnsi="Times New Roman"/>
          <w:i/>
          <w:sz w:val="20"/>
        </w:rPr>
        <w:t>Autilion</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At September 30, 2013, we had completed a nominal initial closing of the Autilion Financing. As noted above, there has been unexpected delay in the closing of the Autilion Financing in full prior to the date of this report. Autilion has informed us that the delay in closing is due to administrative matters and financial transactions involving Autilion, its international affiliates, investment partners and counterparties, including financial transactions intended to increase substantially the aggregate amount of investment capital available to Autilion and its affiliates.   Although Autilion remains in default under the Securities Purchase Agreement, subsequent to September 30, 2013, we have been informed by Autilion that (i) Autilion will cure its default under the Securities Purchase Agreement and (ii) we will receive the full $36 million of proceeds contemplated by the Securities Purchase Agreement. As a result of prior delay in closing the Autilion Financing in full, however, we cannot give any assurances as to whether we will receive additional funding in connection with the Autilion Financing in a timely manner, or at all.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anticipate that our cash expenditures during the next twelve months following receipt of the cash proceeds from the Autilion Financing will be approximately $4.0 to $6.0 million. We believe that our current cash and cash equivalents plus the receipt of $36 million of cash proceeds from the Autilion Financing will enable us to fund our operations well beyond the next twelve months.   In the event that we are not able to close with respect to at least a significant portion of the remaining proceeds anticipated from the Autilion Financing, we will need to obtain substantial additional financing on a timely basis. Substantial additional financing may not be available on a timely basis, on terms acceptable to us, or at all. In the event we are unable to obtain additional financing on a timely basis, our business, financial condition, and results of operations may be harmed, the price of our stock may decline, and we may not be able to continue as a going concern.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the Autilion Financing is completed in an amount exceeding $11.5 million, and we issue over 23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substantial part or in full. </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7" w:name="PGBRK28"/>
      <w:bookmarkStart w:id="288" w:name="PGBRK28"/>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FTR27"/>
      <w:bookmarkStart w:id="290" w:name="FTR27"/>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1" w:name="GLFTR27"/>
      <w:bookmarkEnd w:id="2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2" w:name="PN28"/>
      <w:bookmarkEnd w:id="292"/>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HDR28"/>
      <w:bookmarkStart w:id="294" w:name="HDR28"/>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95" w:name="GLHDR28"/>
        <w:bookmarkEnd w:id="2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strategic purposes and to meet our cash needs and fund our working capital requirements after September 2013 and prior to the expected completion of the Autilion Financing, during October 2013, we entered into strategic securities purchase agreements with accredited investors pursuant to which we sold to such investors Units of our securities consisting, in aggregate, of: (i) one-year 10% convertible notes in the aggregate face amount of $175,000; (ii) an aggregate of 350,000 shares of our restricted common stock; and (iii) three-year warrants to purchase an aggregate of 350,000 restricted shares of our common stock at an exercise price of $1.00 per share.  We received cash proceeds of $175,000 from the sale of the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If and as necessary, we may supplement the expected proceeds from the Autilion Financing through a combination of additional private placements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and we will continue to pursue additional financing opportunities as necessary to meet our business objectives, there can be no assurance that additional capital will be available to us in sufficient amounts, on terms favorable to us, and without substantial dilution to our current stockholders,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we obtain additional strategic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 </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11"/>
        <w:gridCol w:w="110"/>
        <w:gridCol w:w="128"/>
        <w:gridCol w:w="1288"/>
        <w:gridCol w:w="116"/>
        <w:gridCol w:w="110"/>
        <w:gridCol w:w="128"/>
        <w:gridCol w:w="1288"/>
        <w:gridCol w:w="126"/>
      </w:tblGrid>
      <w:tr>
        <w:trPr/>
        <w:tc>
          <w:tcPr>
            <w:tcW w:w="691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58"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26" w:type="dxa"/>
            <w:tcBorders/>
            <w:shd w:fill="auto" w:val="clear"/>
            <w:vAlign w:val="bottom"/>
          </w:tcPr>
          <w:p>
            <w:pPr>
              <w:pStyle w:val="TableContents"/>
              <w:spacing w:before="0" w:after="283"/>
              <w:jc w:val="left"/>
              <w:rPr/>
            </w:pPr>
            <w:r>
              <w:rPr/>
              <w:t> </w:t>
            </w:r>
          </w:p>
        </w:tc>
      </w:tr>
      <w:tr>
        <w:trPr/>
        <w:tc>
          <w:tcPr>
            <w:tcW w:w="691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5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26" w:type="dxa"/>
            <w:tcBorders/>
            <w:shd w:fill="auto" w:val="clear"/>
            <w:vAlign w:val="bottom"/>
          </w:tcPr>
          <w:p>
            <w:pPr>
              <w:pStyle w:val="TableContents"/>
              <w:spacing w:before="0" w:after="283"/>
              <w:jc w:val="left"/>
              <w:rPr/>
            </w:pPr>
            <w:r>
              <w:rPr/>
              <w:t> </w:t>
            </w:r>
          </w:p>
        </w:tc>
      </w:tr>
      <w:tr>
        <w:trPr/>
        <w:tc>
          <w:tcPr>
            <w:tcW w:w="691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6" w:type="dxa"/>
            <w:tcBorders/>
            <w:shd w:fill="auto" w:val="clear"/>
            <w:vAlign w:val="bottom"/>
          </w:tcPr>
          <w:p>
            <w:pPr>
              <w:pStyle w:val="TableContents"/>
              <w:spacing w:before="0" w:after="283"/>
              <w:jc w:val="left"/>
              <w:rPr/>
            </w:pPr>
            <w:r>
              <w:rPr/>
              <w:t> </w:t>
            </w:r>
          </w:p>
        </w:tc>
      </w:tr>
      <w:tr>
        <w:trPr/>
        <w:tc>
          <w:tcPr>
            <w:tcW w:w="691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1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1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1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718</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1,463</w:t>
            </w:r>
          </w:p>
        </w:tc>
        <w:tc>
          <w:tcPr>
            <w:tcW w:w="126" w:type="dxa"/>
            <w:tcBorders/>
            <w:shd w:fill="CCEEFF" w:val="clear"/>
            <w:vAlign w:val="bottom"/>
          </w:tcPr>
          <w:p>
            <w:pPr>
              <w:pStyle w:val="TableContents"/>
              <w:spacing w:before="0" w:after="283"/>
              <w:jc w:val="left"/>
              <w:rPr/>
            </w:pPr>
            <w:r>
              <w:rPr/>
              <w:t> </w:t>
            </w:r>
          </w:p>
        </w:tc>
      </w:tr>
      <w:tr>
        <w:trPr/>
        <w:tc>
          <w:tcPr>
            <w:tcW w:w="691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288"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28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1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decrease in cash and cash equivalents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2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6" w:type="dxa"/>
            <w:tcBorders/>
            <w:shd w:fill="FFFFFF" w:val="clear"/>
            <w:vAlign w:val="bottom"/>
          </w:tcPr>
          <w:p>
            <w:pPr>
              <w:pStyle w:val="TableContents"/>
              <w:spacing w:before="0" w:after="283"/>
              <w:jc w:val="left"/>
              <w:rPr/>
            </w:pPr>
            <w:r>
              <w:rPr/>
              <w:t> </w:t>
            </w:r>
          </w:p>
        </w:tc>
      </w:tr>
      <w:tr>
        <w:trPr/>
        <w:tc>
          <w:tcPr>
            <w:tcW w:w="6911"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288"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28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10"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1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20"/>
        <w:gridCol w:w="234"/>
        <w:gridCol w:w="9151"/>
      </w:tblGrid>
      <w:tr>
        <w:trPr/>
        <w:tc>
          <w:tcPr>
            <w:tcW w:w="820" w:type="dxa"/>
            <w:tcBorders/>
            <w:shd w:fill="auto" w:val="clear"/>
          </w:tcPr>
          <w:p>
            <w:pPr>
              <w:pStyle w:val="TableContents"/>
              <w:spacing w:before="0" w:after="0"/>
              <w:ind w:left="0" w:right="16" w:hanging="0"/>
              <w:jc w:val="left"/>
              <w:rPr>
                <w:rFonts w:ascii="times new roman" w:hAnsi="times new roman"/>
                <w:b/>
                <w:sz w:val="20"/>
              </w:rPr>
            </w:pPr>
            <w:bookmarkStart w:id="296" w:name="cpj"/>
            <w:bookmarkEnd w:id="296"/>
            <w:r>
              <w:rPr>
                <w:rFonts w:ascii="times new roman" w:hAnsi="times new roman"/>
                <w:b/>
                <w:sz w:val="20"/>
              </w:rPr>
              <w:t>Item 4.</w:t>
            </w:r>
          </w:p>
        </w:tc>
        <w:tc>
          <w:tcPr>
            <w:tcW w:w="234" w:type="dxa"/>
            <w:tcBorders/>
            <w:shd w:fill="auto" w:val="clear"/>
          </w:tcPr>
          <w:p>
            <w:pPr>
              <w:pStyle w:val="TableContents"/>
              <w:spacing w:before="0" w:after="283"/>
              <w:jc w:val="left"/>
              <w:rPr/>
            </w:pPr>
            <w:r>
              <w:rPr/>
              <w:t xml:space="preserve">  </w:t>
            </w:r>
          </w:p>
        </w:tc>
        <w:tc>
          <w:tcPr>
            <w:tcW w:w="9151"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7" w:name="PGBRK29"/>
      <w:bookmarkStart w:id="298" w:name="PGBRK29"/>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FTR28"/>
      <w:bookmarkStart w:id="300" w:name="FTR28"/>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1" w:name="GLFTR28"/>
      <w:bookmarkEnd w:id="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2" w:name="PN29"/>
      <w:bookmarkEnd w:id="302"/>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3" w:name="HDR29"/>
      <w:bookmarkStart w:id="304" w:name="HDR29"/>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05" w:name="GLHDR29"/>
        <w:bookmarkEnd w:id="3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306" w:name="p2j"/>
      <w:bookmarkEnd w:id="306"/>
      <w:r>
        <w:rPr>
          <w:rFonts w:ascii="Times New Roman" w:hAnsi="Times New Roman"/>
          <w:b/>
          <w:sz w:val="20"/>
        </w:rPr>
        <w:t>PART II: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7" w:name="TAB11"/>
      <w:bookmarkEnd w:id="307"/>
      <w:r>
        <w:rPr>
          <w:rFonts w:ascii="Times New Roman" w:hAnsi="Times New Roman"/>
          <w:sz w:val="20"/>
        </w:rPr>
        <w:t>We are not involved in any legal proceedings nor do we know of any legal proceedings which are threatened or contemplated.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identified the following risk factor in addition to the risk factors previously disclosed in Part I, Item 1A, “Risk Factors” in our Annual Report on Form 10-K for the year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entered into a strategic securities purchase agreement to provide us with $36.0 million in working capital.  An initial closing under the agreement resulting in nominal proceeds has occurred; however, no further scheduled closing has occurred.   No assurances can be given that we will consummate any further closing under the strategic securities purchase agreement, in which event we will need to secure substantial alternative sources of capital in a timely manner, which may not be available on acceptable terms, or at all, potentially resulting in our inability to continue as a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2013, we entered into a Securities Purchase Agreement (as amended, the “</w:t>
      </w:r>
      <w:r>
        <w:rPr>
          <w:rFonts w:ascii="Times New Roman" w:hAnsi="Times New Roman"/>
          <w:i/>
          <w:sz w:val="20"/>
        </w:rPr>
        <w:t>Securities Purchase Agreement</w:t>
      </w:r>
      <w:r>
        <w:rPr>
          <w:rFonts w:ascii="Times New Roman" w:hAnsi="Times New Roman"/>
          <w:sz w:val="20"/>
        </w:rPr>
        <w:t>”) providing for the issuance to Autilion AG, a corporation organized and existing under the laws of Switzerland  (“</w:t>
      </w:r>
      <w:r>
        <w:rPr>
          <w:rFonts w:ascii="Times New Roman" w:hAnsi="Times New Roman"/>
          <w:i/>
          <w:sz w:val="20"/>
        </w:rPr>
        <w:t>Autilion”</w:t>
      </w:r>
      <w:r>
        <w:rPr>
          <w:rFonts w:ascii="Times New Roman" w:hAnsi="Times New Roman"/>
          <w:sz w:val="20"/>
        </w:rPr>
        <w:t>), of 72 million restricted shares of our common stock for total gross proceeds of $36 million (the “</w:t>
      </w:r>
      <w:r>
        <w:rPr>
          <w:rFonts w:ascii="Times New Roman" w:hAnsi="Times New Roman"/>
          <w:i/>
          <w:sz w:val="20"/>
        </w:rPr>
        <w:t>Autilion Financing</w:t>
      </w:r>
      <w:r>
        <w:rPr>
          <w:rFonts w:ascii="Times New Roman" w:hAnsi="Times New Roman"/>
          <w:sz w:val="20"/>
        </w:rPr>
        <w:t>”). As amended, the Securities Purchase Agreement provided for a series of closings scheduled to have occurred on or before September 30, 2013.  As of the date of this report, a closing resulting in nominal proceeds from the Autilion Financing has occurred.  However, further scheduled closings have not yet occurred.  We have been informed by Autilion that the delay in closing the Autilion Financing in full prior to the date of this report is due to administrative matters and financial transactions involving Autilion, its international affiliates, investment partners, and counterparties, including financial transactions intended to increase substantially the aggregate amount of investment capital available to Autilion and its affiliates.   Although Autilion remains in default under the Securities Purchase Agreement, subsequent to September 30, 2013, we have been informed by Autilion that (i) Autilion will cure its default under the Securities Purchase Agreement and (ii) we will receive the full $36 million of proceeds contemplated by the Securities Purchase Agreement.  As a result of the prior delay in closing the Autilion Financing in full, however, we cannot provide any assurance as to whether we will receive any additional funding from Autilion in connection with the Autilion Financing in a timely manner, or at all. In the event we are not able to close with respect to at least a significant portion of the proceeds anticipated from the Autilion Financing, we will need to obtain substantial additional financing on a timely basis. Substantial additional financing may not be available to us on a timely basis, on terms acceptable to us, or at all.  In the event we are unable to obtain additional financing, our business, financial condition, and results of operations may be harmed, the price of our stock may decline, and we may not be able to continue as a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the Autilion Financing is completed in an amount exceeding $11.5 million, and we issue over 23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part or in full.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8" w:name="PGBRK30"/>
      <w:bookmarkStart w:id="309" w:name="PGBRK30"/>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 w:name="FTR29"/>
      <w:bookmarkStart w:id="311" w:name="FTR29"/>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2" w:name="GLFTR29"/>
      <w:bookmarkEnd w:id="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3" w:name="PN30"/>
      <w:bookmarkEnd w:id="313"/>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 w:name="HDR30"/>
      <w:bookmarkStart w:id="315" w:name="HDR30"/>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16" w:name="GLHDR30"/>
        <w:bookmarkEnd w:id="31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16" w:hanging="0"/>
        <w:jc w:val="left"/>
        <w:rPr>
          <w:rFonts w:ascii="Times New Roman" w:hAnsi="Times New Roman"/>
          <w:b/>
          <w:sz w:val="20"/>
        </w:rPr>
      </w:pPr>
      <w:bookmarkStart w:id="317" w:name="p2it2j"/>
      <w:bookmarkEnd w:id="317"/>
      <w:r>
        <w:rPr>
          <w:rFonts w:ascii="Times New Roman" w:hAnsi="Times New Roman"/>
          <w:b/>
          <w:sz w:val="20"/>
        </w:rPr>
        <w:t>Item 2.  Unregistered Sales of Equity Securities and Use of Proceeds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Sale of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Between August 6, 2013 and October 31, 2013, the Company entered into securities purchase agreements with accredited investors pursuant to which it sold to such investors 76 Units of Company securities, each Unit consisting of (i) a 10% convertible note in the face amount of $5,000 maturing on July 30, 2014 (the “</w:t>
      </w:r>
      <w:r>
        <w:rPr>
          <w:rFonts w:ascii="Times New Roman" w:hAnsi="Times New Roman"/>
          <w:i/>
          <w:sz w:val="20"/>
        </w:rPr>
        <w:t>Unit Note</w:t>
      </w:r>
      <w:r>
        <w:rPr>
          <w:rFonts w:ascii="Times New Roman" w:hAnsi="Times New Roman"/>
          <w:sz w:val="20"/>
        </w:rPr>
        <w:t>”); (ii) 10,000 shares of the Company’s restricted common stock (the “</w:t>
      </w:r>
      <w:r>
        <w:rPr>
          <w:rFonts w:ascii="Times New Roman" w:hAnsi="Times New Roman"/>
          <w:i/>
          <w:sz w:val="20"/>
        </w:rPr>
        <w:t>Unit Stock</w:t>
      </w:r>
      <w:r>
        <w:rPr>
          <w:rFonts w:ascii="Times New Roman" w:hAnsi="Times New Roman"/>
          <w:sz w:val="20"/>
        </w:rPr>
        <w:t>”); and (iii) a three-year warrant to purchase 10,000 restricted shares of the Company’s common stock at an exercise price of $1.00 per share (the “</w:t>
      </w:r>
      <w:r>
        <w:rPr>
          <w:rFonts w:ascii="Times New Roman" w:hAnsi="Times New Roman"/>
          <w:i/>
          <w:sz w:val="20"/>
        </w:rPr>
        <w:t>Unit Warrant</w:t>
      </w:r>
      <w:r>
        <w:rPr>
          <w:rFonts w:ascii="Times New Roman" w:hAnsi="Times New Roman"/>
          <w:sz w:val="20"/>
        </w:rPr>
        <w:t>”). Accordingly, the Company issued Unit Notes in the aggregate face amount of $380,000; an aggregate of 760,000 shares of Unit Stock, and warrants to purchase an aggregate of 760,000 shares of the Company’s restricted common stock pursuant to the Unit Warrants. The Unit Notes and related accrued interest are convertible into shares of the Company’s restricted common stock at a conversion price of $0.50 per share at or prior to maturity at the option of the investor. The Company received cash proceeds of $380,000 from sales of the Units, which it expects to use for general corporate purposes  The Units were offered and sold in transactions exempt from registration under the Securities Act of 1933, as amended (the “</w:t>
      </w:r>
      <w:r>
        <w:rPr>
          <w:rFonts w:ascii="Times New Roman" w:hAnsi="Times New Roman"/>
          <w:i/>
          <w:sz w:val="20"/>
        </w:rPr>
        <w:t>Securities Act</w:t>
      </w:r>
      <w:r>
        <w:rPr>
          <w:rFonts w:ascii="Times New Roman" w:hAnsi="Times New Roman"/>
          <w:sz w:val="20"/>
        </w:rPr>
        <w:t>”), in reliance on Section 4(2) thereof and Rule 506 of Regulation D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Exercise of Warrants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October 15, 2013, the Company’s Chief Executive Officer partially exercised a previously-outstanding warrant to purchase 10,000 shares of the Company’s restricted common stock at an exercise price of $0.64 per share and the Company received proceeds of $6,400 from his exercise.  The unregistered shares of common stock issued pursuant to the warrant exercise were offered and sold in a transaction exempt from registration under the Securities Act of 1933, as amended (the “</w:t>
      </w:r>
      <w:r>
        <w:rPr>
          <w:rFonts w:ascii="Times New Roman" w:hAnsi="Times New Roman"/>
          <w:i/>
          <w:sz w:val="20"/>
        </w:rPr>
        <w:t>Securities Act</w:t>
      </w:r>
      <w:r>
        <w:rPr>
          <w:rFonts w:ascii="Times New Roman" w:hAnsi="Times New Roman"/>
          <w:sz w:val="20"/>
        </w:rPr>
        <w:t>”), in reliance on Section 4(2) thereof and Rule 506 of Regulation D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Defaults Upon Senior Securities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18" w:name="TAB12"/>
      <w:bookmarkEnd w:id="318"/>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319" w:name="exj"/>
      <w:bookmarkEnd w:id="319"/>
      <w:r>
        <w:rPr>
          <w:rFonts w:ascii="Times New Roman" w:hAnsi="Times New Roman"/>
          <w:b/>
          <w:sz w:val="20"/>
        </w:rPr>
        <w:t>Item 6.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5"/>
        <w:gridCol w:w="101"/>
        <w:gridCol w:w="9289"/>
      </w:tblGrid>
      <w:tr>
        <w:trPr/>
        <w:tc>
          <w:tcPr>
            <w:tcW w:w="815"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Exhibit</w:t>
            </w:r>
          </w:p>
        </w:tc>
        <w:tc>
          <w:tcPr>
            <w:tcW w:w="101" w:type="dxa"/>
            <w:tcBorders/>
            <w:shd w:fill="auto" w:val="clear"/>
            <w:vAlign w:val="bottom"/>
          </w:tcPr>
          <w:p>
            <w:pPr>
              <w:pStyle w:val="TableContents"/>
              <w:spacing w:before="0" w:after="283"/>
              <w:jc w:val="left"/>
              <w:rPr/>
            </w:pPr>
            <w:r>
              <w:rPr/>
              <w:t> </w:t>
            </w:r>
          </w:p>
        </w:tc>
        <w:tc>
          <w:tcPr>
            <w:tcW w:w="9289" w:type="dxa"/>
            <w:tcBorders/>
            <w:shd w:fill="auto" w:val="clear"/>
            <w:vAlign w:val="bottom"/>
          </w:tcPr>
          <w:p>
            <w:pPr>
              <w:pStyle w:val="TableContents"/>
              <w:spacing w:before="0" w:after="283"/>
              <w:jc w:val="left"/>
              <w:rPr/>
            </w:pPr>
            <w:r>
              <w:rPr/>
              <w:t xml:space="preserve">  </w:t>
            </w:r>
          </w:p>
        </w:tc>
      </w:tr>
      <w:tr>
        <w:trPr/>
        <w:tc>
          <w:tcPr>
            <w:tcW w:w="815" w:type="dxa"/>
            <w:tcBorders>
              <w:bottom w:val="single" w:sz="12" w:space="0" w:color="000000"/>
            </w:tcBorders>
            <w:shd w:fill="auto" w:val="clear"/>
            <w:tcMar>
              <w:bottom w:w="28" w:type="dxa"/>
            </w:tcM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Number</w:t>
            </w:r>
          </w:p>
        </w:tc>
        <w:tc>
          <w:tcPr>
            <w:tcW w:w="101" w:type="dxa"/>
            <w:tcBorders/>
            <w:shd w:fill="auto" w:val="clear"/>
            <w:vAlign w:val="bottom"/>
          </w:tcPr>
          <w:p>
            <w:pPr>
              <w:pStyle w:val="TableContents"/>
              <w:spacing w:before="0" w:after="283"/>
              <w:jc w:val="left"/>
              <w:rPr/>
            </w:pPr>
            <w:r>
              <w:rPr/>
              <w:t> </w:t>
            </w:r>
          </w:p>
        </w:tc>
        <w:tc>
          <w:tcPr>
            <w:tcW w:w="9289"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815"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31.1</w:t>
            </w:r>
          </w:p>
          <w:p>
            <w:pPr>
              <w:pStyle w:val="TableContents"/>
              <w:spacing w:before="0" w:after="0"/>
              <w:jc w:val="center"/>
              <w:rPr/>
            </w:pPr>
            <w:r>
              <w:rPr/>
              <w:t> </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81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31.2</w:t>
            </w:r>
          </w:p>
          <w:p>
            <w:pPr>
              <w:pStyle w:val="TableContents"/>
              <w:spacing w:before="0" w:after="0"/>
              <w:jc w:val="center"/>
              <w:rPr/>
            </w:pPr>
            <w:r>
              <w:rPr/>
              <w:t> </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Financial Officer required by Rule 13a-14(a) under the Securities Exchange Act of 1934, as amended, as adopted pursuant to Section 302 of the Sarbanes-Oxley Act of 2002</w:t>
            </w:r>
          </w:p>
        </w:tc>
      </w:tr>
      <w:tr>
        <w:trPr/>
        <w:tc>
          <w:tcPr>
            <w:tcW w:w="81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0"/>
              <w:jc w:val="center"/>
              <w:rPr>
                <w:rFonts w:ascii="times new roman" w:hAnsi="times new roman"/>
                <w:sz w:val="20"/>
              </w:rPr>
            </w:pPr>
            <w:r>
              <w:rPr>
                <w:rFonts w:ascii="times new roman" w:hAnsi="times new roman"/>
                <w:sz w:val="20"/>
              </w:rPr>
              <w:t>32</w:t>
            </w:r>
          </w:p>
          <w:p>
            <w:pPr>
              <w:pStyle w:val="TableContents"/>
              <w:spacing w:before="0" w:after="0"/>
              <w:jc w:val="center"/>
              <w:rPr/>
            </w:pPr>
            <w:r>
              <w:rPr/>
              <w:t> </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81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101.INS *</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8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101.SCH</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r>
      <w:tr>
        <w:trPr/>
        <w:tc>
          <w:tcPr>
            <w:tcW w:w="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101.CAL</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r>
      <w:tr>
        <w:trPr/>
        <w:tc>
          <w:tcPr>
            <w:tcW w:w="8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101.DEF</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 Linkbase</w:t>
            </w:r>
          </w:p>
        </w:tc>
      </w:tr>
      <w:tr>
        <w:trPr/>
        <w:tc>
          <w:tcPr>
            <w:tcW w:w="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101.LAB</w:t>
            </w:r>
          </w:p>
        </w:tc>
        <w:tc>
          <w:tcPr>
            <w:tcW w:w="101" w:type="dxa"/>
            <w:tcBorders/>
            <w:shd w:fill="CCEEFF" w:val="clear"/>
            <w:vAlign w:val="bottom"/>
          </w:tcPr>
          <w:p>
            <w:pPr>
              <w:pStyle w:val="TableContents"/>
              <w:spacing w:before="0" w:after="283"/>
              <w:jc w:val="left"/>
              <w:rPr/>
            </w:pPr>
            <w:r>
              <w:rPr/>
              <w:t> </w:t>
            </w:r>
          </w:p>
        </w:tc>
        <w:tc>
          <w:tcPr>
            <w:tcW w:w="928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r>
      <w:tr>
        <w:trPr/>
        <w:tc>
          <w:tcPr>
            <w:tcW w:w="8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101.PRE</w:t>
            </w:r>
          </w:p>
        </w:tc>
        <w:tc>
          <w:tcPr>
            <w:tcW w:w="101" w:type="dxa"/>
            <w:tcBorders/>
            <w:shd w:fill="FFFFFF" w:val="clear"/>
            <w:vAlign w:val="bottom"/>
          </w:tcPr>
          <w:p>
            <w:pPr>
              <w:pStyle w:val="TableContents"/>
              <w:spacing w:before="0" w:after="283"/>
              <w:jc w:val="left"/>
              <w:rPr/>
            </w:pPr>
            <w:r>
              <w:rPr/>
              <w:t> </w:t>
            </w:r>
          </w:p>
        </w:tc>
        <w:tc>
          <w:tcPr>
            <w:tcW w:w="928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softHyphen/>
        <w:softHyphen/>
        <w:softHyphen/>
        <w:softHyphen/>
        <w:softHyphen/>
        <w:softHyphen/>
        <w:softHyphen/>
        <w:softHyphen/>
      </w:r>
    </w:p>
    <w:p>
      <w:pPr>
        <w:pStyle w:val="Normal"/>
        <w:spacing w:before="0" w:after="0"/>
        <w:rPr>
          <w:sz w:val="4"/>
          <w:szCs w:val="4"/>
        </w:rPr>
      </w:pPr>
      <w:r>
        <w:rPr>
          <w:sz w:val="4"/>
          <w:szCs w:val="4"/>
        </w:rPr>
      </w:r>
      <w:bookmarkStart w:id="320" w:name="hangingindent6"/>
      <w:bookmarkStart w:id="321" w:name="hangingindent6"/>
      <w:bookmarkEnd w:id="321"/>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Pursuant to Rule 406T of Regulation S-T, these interactive data files are deemed not filed or a part of a registration statement or prospectus for purposes of Sections 11 or 12 of the Securities Act of 1933 or Section 18 of the Securities Exchange Act of 1934 and otherwise are not subject to liability.</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 w:name="PGBRK31"/>
      <w:bookmarkStart w:id="323" w:name="PGBRK31"/>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FTR30"/>
      <w:bookmarkStart w:id="325" w:name="FTR30"/>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6" w:name="GLFTR30"/>
      <w:bookmarkEnd w:id="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7" w:name="PN31"/>
      <w:bookmarkEnd w:id="327"/>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HDR31"/>
      <w:bookmarkStart w:id="329" w:name="HDR31"/>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30" w:name="GLHDR31"/>
        <w:bookmarkEnd w:id="3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w:t>
      </w:r>
      <w:bookmarkStart w:id="331" w:name="SIGJ"/>
      <w:bookmarkEnd w:id="331"/>
      <w:r>
        <w:rPr>
          <w:rFonts w:ascii="Times New Roman" w:hAnsi="Times New Roman"/>
          <w:b/>
          <w:sz w:val="20"/>
        </w:rPr>
        <w:t>IGNATURES</w:t>
      </w:r>
    </w:p>
    <w:p>
      <w:pPr>
        <w:pStyle w:val="TextBody"/>
        <w:spacing w:before="0" w:after="0"/>
        <w:ind w:left="0" w:right="0" w:hanging="0"/>
        <w:jc w:val="both"/>
        <w:rPr/>
      </w:pPr>
      <w:r>
        <w:rPr/>
        <w:t> </w:t>
      </w:r>
    </w:p>
    <w:p>
      <w:pPr>
        <w:pStyle w:val="TextBody"/>
        <w:spacing w:before="0" w:after="0"/>
        <w:ind w:left="0" w:right="0" w:hanging="0"/>
        <w:jc w:val="both"/>
        <w:rPr/>
      </w:pPr>
      <w:bookmarkStart w:id="332" w:name="TAB216"/>
      <w:bookmarkEnd w:id="332"/>
      <w:r>
        <w:rPr>
          <w:spacing w:val="180"/>
        </w:rPr>
        <w:t>   </w:t>
      </w:r>
      <w:r>
        <w:rPr/>
        <w:t> </w:t>
      </w: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592"/>
        <w:gridCol w:w="5205"/>
        <w:gridCol w:w="408"/>
      </w:tblGrid>
      <w:tr>
        <w:trPr/>
        <w:tc>
          <w:tcPr>
            <w:tcW w:w="4592" w:type="dxa"/>
            <w:tcBorders/>
            <w:shd w:fill="auto" w:val="clear"/>
          </w:tcPr>
          <w:p>
            <w:pPr>
              <w:pStyle w:val="TableContents"/>
              <w:spacing w:before="0" w:after="283"/>
              <w:jc w:val="left"/>
              <w:rPr/>
            </w:pPr>
            <w:r>
              <w:rPr/>
              <w:t xml:space="preserve">  </w:t>
            </w:r>
          </w:p>
        </w:tc>
        <w:tc>
          <w:tcPr>
            <w:tcW w:w="5205"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VISTAGEN THERAPEUTICS, INC. </w:t>
            </w:r>
          </w:p>
          <w:p>
            <w:pPr>
              <w:pStyle w:val="TableContents"/>
              <w:spacing w:before="0" w:after="0"/>
              <w:ind w:left="0" w:right="0" w:hanging="0"/>
              <w:jc w:val="left"/>
              <w:rPr/>
            </w:pPr>
            <w:r>
              <w:rPr/>
              <w:t> </w:t>
            </w:r>
          </w:p>
          <w:p>
            <w:pPr>
              <w:pStyle w:val="TableContents"/>
              <w:spacing w:before="0" w:after="0"/>
              <w:ind w:left="0" w:right="56" w:hanging="0"/>
              <w:jc w:val="left"/>
              <w:rPr>
                <w:rFonts w:ascii="times new roman" w:hAnsi="times new roman"/>
                <w:sz w:val="20"/>
              </w:rPr>
            </w:pPr>
            <w:r>
              <w:rPr>
                <w:rFonts w:ascii="times new roman" w:hAnsi="times new roman"/>
                <w:sz w:val="20"/>
              </w:rPr>
              <w:t>/s/ Shawn K. Singh</w:t>
            </w:r>
          </w:p>
        </w:tc>
        <w:tc>
          <w:tcPr>
            <w:tcW w:w="408" w:type="dxa"/>
            <w:tcBorders/>
            <w:shd w:fill="auto" w:val="clear"/>
            <w:vAlign w:val="center"/>
          </w:tcPr>
          <w:p>
            <w:pPr>
              <w:pStyle w:val="TableContents"/>
              <w:spacing w:before="0" w:after="283"/>
              <w:jc w:val="left"/>
              <w:rPr/>
            </w:pPr>
            <w:r>
              <w:rPr/>
              <w:t xml:space="preserve">  </w:t>
            </w:r>
          </w:p>
        </w:tc>
      </w:tr>
      <w:tr>
        <w:trPr/>
        <w:tc>
          <w:tcPr>
            <w:tcW w:w="4592" w:type="dxa"/>
            <w:tcBorders/>
            <w:shd w:fill="auto" w:val="clear"/>
          </w:tcPr>
          <w:p>
            <w:pPr>
              <w:pStyle w:val="TableContents"/>
              <w:spacing w:before="0" w:after="283"/>
              <w:jc w:val="left"/>
              <w:rPr/>
            </w:pPr>
            <w:r>
              <w:rPr/>
              <w:t> </w:t>
            </w:r>
          </w:p>
        </w:tc>
        <w:tc>
          <w:tcPr>
            <w:tcW w:w="5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Shawn K. Singh, J.D. </w:t>
            </w:r>
          </w:p>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 (Principal Executive Officer)</w:t>
            </w:r>
          </w:p>
          <w:p>
            <w:pPr>
              <w:pStyle w:val="TableContents"/>
              <w:spacing w:before="0" w:after="0"/>
              <w:ind w:left="0" w:right="56" w:hanging="0"/>
              <w:jc w:val="left"/>
              <w:rPr/>
            </w:pPr>
            <w:r>
              <w:rPr/>
              <w:t> </w:t>
            </w:r>
          </w:p>
        </w:tc>
        <w:tc>
          <w:tcPr>
            <w:tcW w:w="408" w:type="dxa"/>
            <w:tcBorders/>
            <w:shd w:fill="auto" w:val="clear"/>
            <w:vAlign w:val="center"/>
          </w:tcPr>
          <w:p>
            <w:pPr>
              <w:pStyle w:val="TableContents"/>
              <w:spacing w:before="0" w:after="283"/>
              <w:jc w:val="left"/>
              <w:rPr/>
            </w:pPr>
            <w:r>
              <w:rPr/>
              <w:t> </w:t>
            </w:r>
          </w:p>
        </w:tc>
      </w:tr>
      <w:tr>
        <w:trPr/>
        <w:tc>
          <w:tcPr>
            <w:tcW w:w="4592" w:type="dxa"/>
            <w:tcBorders/>
            <w:shd w:fill="auto" w:val="clear"/>
            <w:vAlign w:val="center"/>
          </w:tcPr>
          <w:p>
            <w:pPr>
              <w:pStyle w:val="TableContents"/>
              <w:spacing w:before="0" w:after="283"/>
              <w:jc w:val="left"/>
              <w:rPr/>
            </w:pPr>
            <w:r>
              <w:rPr/>
              <w:t xml:space="preserve">  </w:t>
            </w:r>
          </w:p>
        </w:tc>
        <w:tc>
          <w:tcPr>
            <w:tcW w:w="5205"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Jerrold D. Dotson</w:t>
            </w:r>
          </w:p>
        </w:tc>
        <w:tc>
          <w:tcPr>
            <w:tcW w:w="408" w:type="dxa"/>
            <w:tcBorders/>
            <w:shd w:fill="auto" w:val="clear"/>
            <w:vAlign w:val="center"/>
          </w:tcPr>
          <w:p>
            <w:pPr>
              <w:pStyle w:val="TableContents"/>
              <w:spacing w:before="0" w:after="283"/>
              <w:jc w:val="left"/>
              <w:rPr/>
            </w:pPr>
            <w:r>
              <w:rPr/>
              <w:t xml:space="preserve">  </w:t>
            </w:r>
          </w:p>
        </w:tc>
      </w:tr>
      <w:tr>
        <w:trPr/>
        <w:tc>
          <w:tcPr>
            <w:tcW w:w="4592" w:type="dxa"/>
            <w:tcBorders/>
            <w:shd w:fill="auto" w:val="clear"/>
            <w:vAlign w:val="center"/>
          </w:tcPr>
          <w:p>
            <w:pPr>
              <w:pStyle w:val="TableContents"/>
              <w:spacing w:before="0" w:after="283"/>
              <w:jc w:val="left"/>
              <w:rPr/>
            </w:pPr>
            <w:r>
              <w:rPr/>
              <w:t xml:space="preserve">  </w:t>
            </w:r>
          </w:p>
        </w:tc>
        <w:tc>
          <w:tcPr>
            <w:tcW w:w="5205"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Jerrold D. Dotson</w:t>
            </w:r>
          </w:p>
        </w:tc>
        <w:tc>
          <w:tcPr>
            <w:tcW w:w="408" w:type="dxa"/>
            <w:tcBorders/>
            <w:shd w:fill="auto" w:val="clear"/>
            <w:vAlign w:val="center"/>
          </w:tcPr>
          <w:p>
            <w:pPr>
              <w:pStyle w:val="TableContents"/>
              <w:spacing w:before="0" w:after="283"/>
              <w:jc w:val="left"/>
              <w:rPr/>
            </w:pPr>
            <w:r>
              <w:rPr/>
              <w:t xml:space="preserve">  </w:t>
            </w:r>
          </w:p>
        </w:tc>
      </w:tr>
      <w:tr>
        <w:trPr/>
        <w:tc>
          <w:tcPr>
            <w:tcW w:w="4592" w:type="dxa"/>
            <w:tcBorders/>
            <w:shd w:fill="auto" w:val="clear"/>
            <w:vAlign w:val="center"/>
          </w:tcPr>
          <w:p>
            <w:pPr>
              <w:pStyle w:val="TableContents"/>
              <w:spacing w:before="0" w:after="283"/>
              <w:jc w:val="left"/>
              <w:rPr/>
            </w:pPr>
            <w:r>
              <w:rPr/>
              <w:t xml:space="preserve">  </w:t>
            </w:r>
          </w:p>
        </w:tc>
        <w:tc>
          <w:tcPr>
            <w:tcW w:w="5613" w:type="dxa"/>
            <w:gridSpan w:val="2"/>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 (Principal Financial and Accounting Officer</w:t>
            </w:r>
          </w:p>
        </w:tc>
      </w:tr>
      <w:tr>
        <w:trPr/>
        <w:tc>
          <w:tcPr>
            <w:tcW w:w="10205" w:type="dxa"/>
            <w:gridSpan w:val="3"/>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Dated: November 14, 2013</w:t>
      </w:r>
      <w:r>
        <w:br w:type="page"/>
      </w:r>
    </w:p>
    <w:p>
      <w:pPr>
        <w:pStyle w:val="TextBody"/>
        <w:spacing w:before="0" w:after="0"/>
        <w:ind w:left="0" w:right="0" w:hanging="0"/>
        <w:jc w:val="right"/>
        <w:rPr>
          <w:rFonts w:ascii="Times New Roman" w:hAnsi="Times New Roman"/>
          <w:b/>
          <w:sz w:val="20"/>
        </w:rPr>
      </w:pPr>
      <w:bookmarkStart w:id="333" w:name="ex31-1.htm"/>
      <w:bookmarkStart w:id="334" w:name="ksex311"/>
      <w:bookmarkEnd w:id="333"/>
      <w:bookmarkEnd w:id="334"/>
      <w:r>
        <w:rPr>
          <w:rFonts w:ascii="Times New Roman" w:hAnsi="Times New Roman"/>
          <w:b/>
          <w:sz w:val="20"/>
        </w:rPr>
        <w:t>EXHIBIT 31.1</w:t>
      </w:r>
      <w:bookmarkStart w:id="335" w:name="FIS_CERTIFICATION"/>
      <w:bookmarkEnd w:id="335"/>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14, 2013                                                                                                     </w:t>
      </w:r>
      <w:r>
        <w:rPr>
          <w:rFonts w:ascii="Times New Roman" w:hAnsi="Times New Roman"/>
          <w:sz w:val="20"/>
          <w:u w:val="single"/>
        </w:rPr>
        <w:t>/s/ Shawn K. Singh</w:t>
      </w:r>
    </w:p>
    <w:p>
      <w:pPr>
        <w:pStyle w:val="TextBody"/>
        <w:spacing w:before="0" w:after="0"/>
        <w:ind w:left="0" w:right="0" w:hanging="0"/>
        <w:jc w:val="left"/>
        <w:rPr/>
      </w:pPr>
      <w:bookmarkStart w:id="336" w:name="TAB225"/>
      <w:bookmarkEnd w:id="336"/>
      <w:r>
        <w:rPr>
          <w:spacing w:val="180"/>
        </w:rPr>
        <w:t>   </w:t>
      </w:r>
      <w:bookmarkStart w:id="337" w:name="TAB224"/>
      <w:bookmarkEnd w:id="337"/>
      <w:r>
        <w:rPr>
          <w:spacing w:val="180"/>
        </w:rPr>
        <w:t>   </w:t>
      </w:r>
      <w:bookmarkStart w:id="338" w:name="TAB223"/>
      <w:bookmarkEnd w:id="338"/>
      <w:r>
        <w:rPr>
          <w:spacing w:val="180"/>
        </w:rPr>
        <w:t>   </w:t>
      </w:r>
      <w:bookmarkStart w:id="339" w:name="TAB222"/>
      <w:bookmarkEnd w:id="339"/>
      <w:r>
        <w:rPr>
          <w:spacing w:val="180"/>
        </w:rPr>
        <w:t>   </w:t>
      </w:r>
      <w:bookmarkStart w:id="340" w:name="TAB221"/>
      <w:bookmarkEnd w:id="340"/>
      <w:r>
        <w:rPr>
          <w:spacing w:val="180"/>
        </w:rPr>
        <w:t>   </w:t>
      </w:r>
      <w:bookmarkStart w:id="341" w:name="TAB220"/>
      <w:bookmarkEnd w:id="341"/>
      <w:r>
        <w:rPr>
          <w:spacing w:val="180"/>
        </w:rPr>
        <w:t>   </w:t>
      </w:r>
      <w:bookmarkStart w:id="342" w:name="TAB219"/>
      <w:bookmarkEnd w:id="342"/>
      <w:r>
        <w:rPr>
          <w:spacing w:val="180"/>
        </w:rPr>
        <w:t>   </w:t>
      </w:r>
      <w:bookmarkStart w:id="343" w:name="TAB218"/>
      <w:bookmarkEnd w:id="343"/>
      <w:r>
        <w:rPr>
          <w:spacing w:val="180"/>
        </w:rPr>
        <w:t>   </w:t>
      </w:r>
      <w:bookmarkStart w:id="344" w:name="TAB217"/>
      <w:bookmarkEnd w:id="344"/>
      <w:r>
        <w:rPr>
          <w:spacing w:val="180"/>
        </w:rPr>
        <w:t>   </w:t>
      </w:r>
      <w:r>
        <w:rPr>
          <w:rFonts w:ascii="Times New Roman" w:hAnsi="Times New Roman"/>
          <w:spacing w:val="180"/>
          <w:sz w:val="20"/>
        </w:rPr>
        <w:t>S</w:t>
      </w:r>
      <w:r>
        <w:rPr>
          <w:rFonts w:ascii="Times New Roman" w:hAnsi="Times New Roman"/>
          <w:sz w:val="20"/>
        </w:rPr>
        <w:t>hawn K. Singh, JD</w:t>
      </w:r>
    </w:p>
    <w:p>
      <w:pPr>
        <w:pStyle w:val="TextBody"/>
        <w:ind w:left="0" w:right="0" w:hanging="0"/>
        <w:jc w:val="left"/>
        <w:rPr/>
      </w:pPr>
      <w:bookmarkStart w:id="345" w:name="TAB234"/>
      <w:bookmarkEnd w:id="345"/>
      <w:r>
        <w:rPr>
          <w:spacing w:val="180"/>
        </w:rPr>
        <w:t>   </w:t>
      </w:r>
      <w:bookmarkStart w:id="346" w:name="TAB233"/>
      <w:bookmarkEnd w:id="346"/>
      <w:r>
        <w:rPr>
          <w:spacing w:val="180"/>
        </w:rPr>
        <w:t>   </w:t>
      </w:r>
      <w:bookmarkStart w:id="347" w:name="TAB232"/>
      <w:bookmarkEnd w:id="347"/>
      <w:r>
        <w:rPr>
          <w:spacing w:val="180"/>
        </w:rPr>
        <w:t>   </w:t>
      </w:r>
      <w:bookmarkStart w:id="348" w:name="TAB231"/>
      <w:bookmarkEnd w:id="348"/>
      <w:r>
        <w:rPr>
          <w:spacing w:val="180"/>
        </w:rPr>
        <w:t>   </w:t>
      </w:r>
      <w:bookmarkStart w:id="349" w:name="TAB230"/>
      <w:bookmarkEnd w:id="349"/>
      <w:r>
        <w:rPr>
          <w:spacing w:val="180"/>
        </w:rPr>
        <w:t>   </w:t>
      </w:r>
      <w:bookmarkStart w:id="350" w:name="TAB229"/>
      <w:bookmarkEnd w:id="350"/>
      <w:r>
        <w:rPr>
          <w:spacing w:val="180"/>
        </w:rPr>
        <w:t>   </w:t>
      </w:r>
      <w:bookmarkStart w:id="351" w:name="TAB228"/>
      <w:bookmarkEnd w:id="351"/>
      <w:r>
        <w:rPr>
          <w:spacing w:val="180"/>
        </w:rPr>
        <w:t>   </w:t>
      </w:r>
      <w:bookmarkStart w:id="352" w:name="TAB227"/>
      <w:bookmarkEnd w:id="352"/>
      <w:r>
        <w:rPr>
          <w:spacing w:val="180"/>
        </w:rPr>
        <w:t>   </w:t>
      </w:r>
      <w:bookmarkStart w:id="353" w:name="TAB226"/>
      <w:bookmarkEnd w:id="353"/>
      <w:r>
        <w:rPr>
          <w:spacing w:val="180"/>
        </w:rPr>
        <w:t>   </w:t>
      </w:r>
      <w:r>
        <w:rPr/>
        <w:t xml:space="preserve">    </w:t>
      </w:r>
      <w:r>
        <w:rPr/>
        <w:t>P</w:t>
      </w:r>
      <w:r>
        <w:rPr>
          <w:rFonts w:ascii="Times New Roman" w:hAnsi="Times New Roman"/>
          <w:sz w:val="20"/>
        </w:rPr>
        <w:t>rincipal Executive Officer</w:t>
      </w:r>
      <w:r>
        <w:br w:type="page"/>
      </w:r>
    </w:p>
    <w:p>
      <w:pPr>
        <w:pStyle w:val="TextBody"/>
        <w:spacing w:before="0" w:after="0"/>
        <w:ind w:left="0" w:right="0" w:hanging="0"/>
        <w:jc w:val="right"/>
        <w:rPr>
          <w:rFonts w:ascii="Times New Roman" w:hAnsi="Times New Roman"/>
          <w:b/>
          <w:sz w:val="20"/>
        </w:rPr>
      </w:pPr>
      <w:bookmarkStart w:id="354" w:name="ex31-2.htm"/>
      <w:bookmarkStart w:id="355" w:name="ksex312"/>
      <w:bookmarkEnd w:id="354"/>
      <w:bookmarkEnd w:id="355"/>
      <w:r>
        <w:rPr>
          <w:rFonts w:ascii="Times New Roman" w:hAnsi="Times New Roman"/>
          <w:b/>
          <w:sz w:val="20"/>
        </w:rPr>
        <w:t>EXHIBIT 31.2</w:t>
      </w:r>
      <w:bookmarkStart w:id="356" w:name="FIS_CERTIFICATION_2"/>
      <w:bookmarkEnd w:id="356"/>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r>
    </w:p>
    <w:p>
      <w:pPr>
        <w:pStyle w:val="TextBody"/>
        <w:spacing w:before="0" w:after="0"/>
        <w:ind w:left="240" w:right="16" w:hanging="0"/>
        <w:jc w:val="left"/>
        <w:rPr/>
      </w:pPr>
      <w:r>
        <w:rPr/>
        <w:t>                                                                                </w:t>
      </w:r>
      <w:bookmarkStart w:id="357" w:name="TAB13"/>
      <w:bookmarkEnd w:id="357"/>
      <w:r>
        <w:rPr/>
        <w:t> </w:t>
      </w:r>
    </w:p>
    <w:p>
      <w:pPr>
        <w:pStyle w:val="TextBody"/>
        <w:spacing w:before="0" w:after="0"/>
        <w:ind w:left="0" w:right="0" w:hanging="0"/>
        <w:jc w:val="left"/>
        <w:rPr>
          <w:rFonts w:ascii="Times New Roman" w:hAnsi="Times New Roman"/>
          <w:sz w:val="20"/>
        </w:rPr>
      </w:pPr>
      <w:r>
        <w:rPr>
          <w:rFonts w:ascii="Times New Roman" w:hAnsi="Times New Roman"/>
          <w:sz w:val="20"/>
        </w:rPr>
        <w:t>November 14, 2013                                                                                                  </w:t>
      </w:r>
      <w:r>
        <w:rPr>
          <w:rFonts w:ascii="Times New Roman" w:hAnsi="Times New Roman"/>
          <w:sz w:val="20"/>
          <w:u w:val="single"/>
        </w:rPr>
        <w:t>/s/ Jerrold D. Dotson</w:t>
      </w:r>
    </w:p>
    <w:p>
      <w:pPr>
        <w:pStyle w:val="TextBody"/>
        <w:spacing w:before="0" w:after="0"/>
        <w:ind w:left="5237" w:right="16" w:hanging="0"/>
        <w:jc w:val="left"/>
        <w:rPr/>
      </w:pPr>
      <w:bookmarkStart w:id="358" w:name="TAB14"/>
      <w:bookmarkEnd w:id="358"/>
      <w:r>
        <w:rPr/>
        <w:t>               </w:t>
      </w:r>
      <w:r>
        <w:rPr>
          <w:rFonts w:ascii="Times New Roman" w:hAnsi="Times New Roman"/>
          <w:sz w:val="20"/>
        </w:rPr>
        <w:t>Jerrold D. Dotson</w:t>
      </w:r>
    </w:p>
    <w:p>
      <w:pPr>
        <w:pStyle w:val="TextBody"/>
        <w:ind w:left="0" w:right="16" w:hanging="0"/>
        <w:jc w:val="left"/>
        <w:rPr/>
      </w:pPr>
      <w:r>
        <w:rPr/>
        <w:t xml:space="preserve">                   </w:t>
      </w:r>
      <w:bookmarkStart w:id="359" w:name="TAB235"/>
      <w:bookmarkStart w:id="360" w:name="TAB236"/>
      <w:bookmarkStart w:id="361" w:name="TAB237"/>
      <w:bookmarkStart w:id="362" w:name="TAB238"/>
      <w:bookmarkStart w:id="363" w:name="TAB239"/>
      <w:bookmarkStart w:id="364" w:name="TAB240"/>
      <w:bookmarkEnd w:id="359"/>
      <w:bookmarkEnd w:id="360"/>
      <w:bookmarkEnd w:id="361"/>
      <w:bookmarkEnd w:id="362"/>
      <w:bookmarkEnd w:id="363"/>
      <w:bookmarkEnd w:id="364"/>
      <w:r>
        <w:rPr>
          <w:spacing w:val="180"/>
        </w:rPr>
        <w:t>                       </w:t>
      </w:r>
      <w:r>
        <w:rPr/>
        <w:t> </w:t>
      </w:r>
      <w:r>
        <w:rPr>
          <w:rFonts w:ascii="Times New Roman" w:hAnsi="Times New Roman"/>
          <w:sz w:val="20"/>
        </w:rPr>
        <w:t>Principal Financial Officer</w:t>
      </w:r>
      <w:r>
        <w:br w:type="page"/>
      </w:r>
    </w:p>
    <w:p>
      <w:pPr>
        <w:pStyle w:val="TextBody"/>
        <w:spacing w:before="0" w:after="0"/>
        <w:ind w:left="0" w:right="0" w:hanging="0"/>
        <w:jc w:val="right"/>
        <w:rPr>
          <w:rFonts w:ascii="Times New Roman" w:hAnsi="Times New Roman"/>
          <w:b/>
          <w:sz w:val="20"/>
        </w:rPr>
      </w:pPr>
      <w:bookmarkStart w:id="365" w:name="ex32.htm"/>
      <w:bookmarkStart w:id="366" w:name="ksex32"/>
      <w:bookmarkEnd w:id="365"/>
      <w:bookmarkEnd w:id="366"/>
      <w:r>
        <w:rPr>
          <w:rFonts w:ascii="Times New Roman" w:hAnsi="Times New Roman"/>
          <w:b/>
          <w:sz w:val="20"/>
        </w:rPr>
        <w:t>EXHIBIT 32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Quarterly Report on Form 10-Q of VistaGen Therapeutics, Inc. (the “</w:t>
      </w:r>
      <w:r>
        <w:rPr>
          <w:rFonts w:ascii="Times New Roman" w:hAnsi="Times New Roman"/>
          <w:i/>
          <w:sz w:val="20"/>
        </w:rPr>
        <w:t>Company</w:t>
      </w:r>
      <w:r>
        <w:rPr>
          <w:rFonts w:ascii="Times New Roman" w:hAnsi="Times New Roman"/>
          <w:sz w:val="20"/>
        </w:rPr>
        <w:t>”) for the quarter ended September 30, 2013 as filed with the Securities and Exchange Commission on the date hereof (the “</w:t>
      </w:r>
      <w:r>
        <w:rPr>
          <w:rFonts w:ascii="Times New Roman" w:hAnsi="Times New Roman"/>
          <w:i/>
          <w:sz w:val="20"/>
        </w:rPr>
        <w:t>Report</w:t>
      </w:r>
      <w:r>
        <w:rPr>
          <w:rFonts w:ascii="Times New Roman" w:hAnsi="Times New Roman"/>
          <w:sz w:val="20"/>
        </w:rPr>
        <w:t>”), Shawn K. Singh, JD, the Company’s Principal Executive Officer, and Jerrold D. Dotson, the Company’s Principal Financial Officer, certify, pursuant to 18 U.S.C. §1350, as adopted pursuant to §906 of the Sarbanes-Oxley Act of 2002, that to the best of their knowledge:</w:t>
      </w:r>
    </w:p>
    <w:p>
      <w:pPr>
        <w:pStyle w:val="TextBody"/>
        <w:spacing w:before="0" w:after="0"/>
        <w:ind w:left="0" w:right="0" w:hanging="0"/>
        <w:jc w:val="both"/>
        <w:rPr/>
      </w:pPr>
      <w:r>
        <w:rPr/>
      </w:r>
    </w:p>
    <w:p>
      <w:pPr>
        <w:pStyle w:val="Normal"/>
        <w:spacing w:before="0" w:after="0"/>
        <w:rPr>
          <w:sz w:val="4"/>
          <w:szCs w:val="4"/>
        </w:rPr>
      </w:pPr>
      <w:r>
        <w:rPr>
          <w:sz w:val="4"/>
          <w:szCs w:val="4"/>
        </w:rPr>
      </w:r>
      <w:bookmarkStart w:id="367" w:name="list"/>
      <w:bookmarkStart w:id="368" w:name="list"/>
      <w:bookmarkEnd w:id="368"/>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 of Section 13(a) or Section 15 (d) of the Securities Exchange Act of 1934,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369" w:name="list1"/>
      <w:bookmarkStart w:id="370" w:name="list1"/>
      <w:bookmarkEnd w:id="370"/>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14, 2013</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23266</Words>
  <CharactersWithSpaces>152013</CharactersWithSpaces>
  <Paragraphs>6066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