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111125</wp:posOffset>
            </wp:positionV>
            <wp:extent cx="725805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36830"/>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11" w:lineRule="exact"/>
        <w:rPr>
          <w:sz w:val="24"/>
          <w:szCs w:val="24"/>
          <w:color w:val="auto"/>
        </w:rPr>
      </w:pPr>
    </w:p>
    <w:p>
      <w:pPr>
        <w:ind w:left="1240" w:right="1260" w:hanging="892"/>
        <w:spacing w:after="0" w:line="535" w:lineRule="auto"/>
        <w:tabs>
          <w:tab w:leader="none" w:pos="1483"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December 31, 2011</w:t>
      </w: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215" w:lineRule="exact"/>
        <w:rPr>
          <w:sz w:val="24"/>
          <w:szCs w:val="24"/>
          <w:color w:val="auto"/>
        </w:rPr>
      </w:pPr>
    </w:p>
    <w:p>
      <w:pPr>
        <w:ind w:left="1480" w:hanging="1097"/>
        <w:spacing w:after="0"/>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40" w:lineRule="exact"/>
        <w:rPr>
          <w:sz w:val="24"/>
          <w:szCs w:val="24"/>
          <w:color w:val="auto"/>
        </w:rPr>
      </w:pPr>
    </w:p>
    <w:tbl>
      <w:tblPr>
        <w:tblLayout w:type="fixed"/>
        <w:tblInd w:w="1240" w:type="dxa"/>
        <w:tblCellMar>
          <w:top w:w="0" w:type="dxa"/>
          <w:left w:w="0" w:type="dxa"/>
          <w:bottom w:w="0" w:type="dxa"/>
          <w:right w:w="0" w:type="dxa"/>
        </w:tblCellMar>
      </w:tblPr>
      <w:tr>
        <w:trPr>
          <w:trHeight w:val="195"/>
        </w:trPr>
        <w:tc>
          <w:tcPr>
            <w:tcW w:w="2240" w:type="dxa"/>
            <w:vAlign w:val="bottom"/>
          </w:tcPr>
          <w:p>
            <w:pPr>
              <w:spacing w:after="0"/>
              <w:rPr>
                <w:sz w:val="20"/>
                <w:szCs w:val="20"/>
                <w:color w:val="auto"/>
              </w:rPr>
            </w:pPr>
            <w:r>
              <w:rPr>
                <w:rFonts w:ascii="Arial" w:cs="Arial" w:eastAsia="Arial" w:hAnsi="Arial"/>
                <w:sz w:val="17"/>
                <w:szCs w:val="17"/>
                <w:b w:val="1"/>
                <w:bCs w:val="1"/>
                <w:color w:val="auto"/>
                <w:w w:val="92"/>
              </w:rPr>
              <w:t>For the transition period from</w:t>
            </w:r>
          </w:p>
        </w:tc>
        <w:tc>
          <w:tcPr>
            <w:tcW w:w="86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7"/>
                <w:szCs w:val="17"/>
                <w:b w:val="1"/>
                <w:bCs w:val="1"/>
                <w:color w:val="auto"/>
                <w:w w:val="99"/>
              </w:rPr>
              <w:t>to</w:t>
            </w:r>
          </w:p>
        </w:tc>
        <w:tc>
          <w:tcPr>
            <w:tcW w:w="860" w:type="dxa"/>
            <w:vAlign w:val="bottom"/>
            <w:tcBorders>
              <w:bottom w:val="single" w:sz="8" w:color="auto"/>
            </w:tcBorders>
          </w:tcPr>
          <w:p>
            <w:pPr>
              <w:spacing w:after="0"/>
              <w:rPr>
                <w:sz w:val="16"/>
                <w:szCs w:val="16"/>
                <w:color w:val="auto"/>
              </w:rPr>
            </w:pPr>
          </w:p>
        </w:tc>
        <w:tc>
          <w:tcPr>
            <w:tcW w:w="1640" w:type="dxa"/>
            <w:vAlign w:val="bottom"/>
          </w:tcPr>
          <w:p>
            <w:pPr>
              <w:jc w:val="right"/>
              <w:ind w:right="1475"/>
              <w:spacing w:after="0"/>
              <w:rPr>
                <w:sz w:val="20"/>
                <w:szCs w:val="20"/>
                <w:color w:val="auto"/>
              </w:rPr>
            </w:pPr>
            <w:r>
              <w:rPr>
                <w:rFonts w:ascii="Arial" w:cs="Arial" w:eastAsia="Arial" w:hAnsi="Arial"/>
                <w:sz w:val="17"/>
                <w:szCs w:val="17"/>
                <w:b w:val="1"/>
                <w:bCs w:val="1"/>
                <w:color w:val="auto"/>
              </w:rPr>
              <w:t>.</w:t>
            </w:r>
          </w:p>
        </w:tc>
      </w:tr>
      <w:tr>
        <w:trPr>
          <w:trHeight w:val="453"/>
        </w:trPr>
        <w:tc>
          <w:tcPr>
            <w:tcW w:w="2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20" w:type="dxa"/>
            <w:vAlign w:val="bottom"/>
            <w:gridSpan w:val="3"/>
          </w:tcPr>
          <w:p>
            <w:pPr>
              <w:ind w:left="20"/>
              <w:spacing w:after="0"/>
              <w:rPr>
                <w:sz w:val="20"/>
                <w:szCs w:val="20"/>
                <w:color w:val="auto"/>
              </w:rPr>
            </w:pPr>
            <w:r>
              <w:rPr>
                <w:rFonts w:ascii="Arial" w:cs="Arial" w:eastAsia="Arial" w:hAnsi="Arial"/>
                <w:sz w:val="17"/>
                <w:szCs w:val="17"/>
                <w:b w:val="1"/>
                <w:bCs w:val="1"/>
                <w:color w:val="auto"/>
                <w:w w:val="90"/>
              </w:rPr>
              <w:t>Commission File Number: 000-54014</w:t>
            </w:r>
          </w:p>
        </w:tc>
      </w:tr>
    </w:tbl>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VistaGen Therapeutics,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1420"/>
          </w:cols>
          <w:pgMar w:left="240" w:top="303" w:right="239" w:bottom="1440" w:gutter="0" w:footer="0" w:header="0"/>
        </w:sectPr>
      </w:pPr>
    </w:p>
    <w:p>
      <w:pPr>
        <w:spacing w:after="0" w:line="7" w:lineRule="exact"/>
        <w:rPr>
          <w:sz w:val="24"/>
          <w:szCs w:val="24"/>
          <w:color w:val="auto"/>
        </w:rPr>
      </w:pPr>
    </w:p>
    <w:p>
      <w:pPr>
        <w:ind w:left="2580"/>
        <w:spacing w:after="0"/>
        <w:rPr>
          <w:sz w:val="20"/>
          <w:szCs w:val="20"/>
          <w:color w:val="auto"/>
        </w:rPr>
      </w:pPr>
      <w:r>
        <w:rPr>
          <w:rFonts w:ascii="Arial" w:cs="Arial" w:eastAsia="Arial" w:hAnsi="Arial"/>
          <w:sz w:val="17"/>
          <w:szCs w:val="17"/>
          <w:b w:val="1"/>
          <w:bCs w:val="1"/>
          <w:color w:val="auto"/>
        </w:rPr>
        <w:t>Nevada</w:t>
      </w:r>
    </w:p>
    <w:p>
      <w:pPr>
        <w:spacing w:after="0" w:line="10" w:lineRule="exact"/>
        <w:rPr>
          <w:sz w:val="24"/>
          <w:szCs w:val="24"/>
          <w:color w:val="auto"/>
        </w:rPr>
      </w:pPr>
    </w:p>
    <w:p>
      <w:pPr>
        <w:ind w:left="1840"/>
        <w:spacing w:after="0"/>
        <w:rPr>
          <w:sz w:val="20"/>
          <w:szCs w:val="20"/>
          <w:color w:val="auto"/>
        </w:rPr>
      </w:pPr>
      <w:r>
        <w:rPr>
          <w:rFonts w:ascii="Arial" w:cs="Arial" w:eastAsia="Arial" w:hAnsi="Arial"/>
          <w:sz w:val="16"/>
          <w:szCs w:val="16"/>
          <w:i w:val="1"/>
          <w:iCs w:val="1"/>
          <w:color w:val="auto"/>
        </w:rPr>
        <w:t>(State or other jurisdiction of</w:t>
      </w:r>
    </w:p>
    <w:p>
      <w:pPr>
        <w:spacing w:after="0" w:line="21" w:lineRule="exact"/>
        <w:rPr>
          <w:sz w:val="24"/>
          <w:szCs w:val="24"/>
          <w:color w:val="auto"/>
        </w:rPr>
      </w:pPr>
    </w:p>
    <w:p>
      <w:pPr>
        <w:ind w:left="1800"/>
        <w:spacing w:after="0"/>
        <w:rPr>
          <w:sz w:val="20"/>
          <w:szCs w:val="20"/>
          <w:color w:val="auto"/>
        </w:rPr>
      </w:pPr>
      <w:r>
        <w:rPr>
          <w:rFonts w:ascii="Arial" w:cs="Arial" w:eastAsia="Arial" w:hAnsi="Arial"/>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7"/>
          <w:szCs w:val="17"/>
          <w:b w:val="1"/>
          <w:bCs w:val="1"/>
          <w:color w:val="auto"/>
        </w:rPr>
        <w:t>20-5093315</w:t>
      </w:r>
    </w:p>
    <w:p>
      <w:pPr>
        <w:spacing w:after="0" w:line="10" w:lineRule="exact"/>
        <w:rPr>
          <w:sz w:val="24"/>
          <w:szCs w:val="24"/>
          <w:color w:val="auto"/>
        </w:rPr>
      </w:pPr>
    </w:p>
    <w:p>
      <w:pPr>
        <w:jc w:val="center"/>
        <w:ind w:right="1920"/>
        <w:spacing w:after="0"/>
        <w:rPr>
          <w:sz w:val="20"/>
          <w:szCs w:val="20"/>
          <w:color w:val="auto"/>
        </w:rPr>
      </w:pPr>
      <w:r>
        <w:rPr>
          <w:rFonts w:ascii="Arial" w:cs="Arial" w:eastAsia="Arial" w:hAnsi="Arial"/>
          <w:sz w:val="17"/>
          <w:szCs w:val="17"/>
          <w:i w:val="1"/>
          <w:iCs w:val="1"/>
          <w:color w:val="auto"/>
        </w:rPr>
        <w:t>(I.R.S. Employer</w:t>
      </w:r>
    </w:p>
    <w:p>
      <w:pPr>
        <w:spacing w:after="0" w:line="10" w:lineRule="exact"/>
        <w:rPr>
          <w:sz w:val="24"/>
          <w:szCs w:val="24"/>
          <w:color w:val="auto"/>
        </w:rPr>
      </w:pPr>
    </w:p>
    <w:p>
      <w:pPr>
        <w:jc w:val="center"/>
        <w:ind w:right="1920"/>
        <w:spacing w:after="0"/>
        <w:rPr>
          <w:sz w:val="20"/>
          <w:szCs w:val="20"/>
          <w:color w:val="auto"/>
        </w:rPr>
      </w:pPr>
      <w:r>
        <w:rPr>
          <w:rFonts w:ascii="Arial" w:cs="Arial" w:eastAsia="Arial" w:hAnsi="Arial"/>
          <w:sz w:val="16"/>
          <w:szCs w:val="16"/>
          <w:i w:val="1"/>
          <w:iCs w:val="1"/>
          <w:color w:val="auto"/>
        </w:rPr>
        <w:t>Identification No.)</w:t>
      </w:r>
    </w:p>
    <w:p>
      <w:pPr>
        <w:spacing w:after="0" w:line="200" w:lineRule="exact"/>
        <w:rPr>
          <w:sz w:val="24"/>
          <w:szCs w:val="24"/>
          <w:color w:val="auto"/>
        </w:rPr>
      </w:pPr>
    </w:p>
    <w:p>
      <w:pPr>
        <w:sectPr>
          <w:pgSz w:w="11900" w:h="16838" w:orient="portrait"/>
          <w:cols w:equalWidth="0" w:num="2">
            <w:col w:w="7520" w:space="720"/>
            <w:col w:w="3180"/>
          </w:cols>
          <w:pgMar w:left="240" w:top="303" w:right="239" w:bottom="1440" w:gutter="0" w:footer="0" w:header="0"/>
          <w:type w:val="continuous"/>
        </w:sectPr>
      </w:pP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384 Oyster Point Boulevard, No. 8</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South San Francisco, CA 94080</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(Address of principal executive offices including zip code)</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(650) 244-9997</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(Registrant’s telephone number, including area code)</w:t>
      </w:r>
    </w:p>
    <w:p>
      <w:pPr>
        <w:sectPr>
          <w:pgSz w:w="11900" w:h="16838" w:orient="portrait"/>
          <w:cols w:equalWidth="0" w:num="1">
            <w:col w:w="11420"/>
          </w:cols>
          <w:pgMar w:left="240" w:top="303" w:right="239" w:bottom="1440" w:gutter="0" w:footer="0" w:header="0"/>
          <w:type w:val="continuous"/>
        </w:sectPr>
      </w:pPr>
    </w:p>
    <w:p>
      <w:pPr>
        <w:spacing w:after="0" w:line="241" w:lineRule="exact"/>
        <w:rPr>
          <w:sz w:val="24"/>
          <w:szCs w:val="24"/>
          <w:color w:val="auto"/>
        </w:rPr>
      </w:pPr>
    </w:p>
    <w:p>
      <w:pPr>
        <w:jc w:val="both"/>
        <w:ind w:firstLine="683"/>
        <w:spacing w:after="0" w:line="264"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5" w:lineRule="exact"/>
        <w:rPr>
          <w:sz w:val="24"/>
          <w:szCs w:val="24"/>
          <w:color w:val="auto"/>
        </w:rPr>
      </w:pPr>
    </w:p>
    <w:p>
      <w:pPr>
        <w:jc w:val="both"/>
        <w:ind w:firstLine="633"/>
        <w:spacing w:after="0" w:line="264"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75" w:lineRule="exact"/>
        <w:rPr>
          <w:sz w:val="24"/>
          <w:szCs w:val="24"/>
          <w:color w:val="auto"/>
        </w:rPr>
      </w:pPr>
    </w:p>
    <w:p>
      <w:pPr>
        <w:ind w:firstLine="635"/>
        <w:spacing w:after="0" w:line="27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03" w:right="239" w:bottom="1440" w:gutter="0" w:footer="0" w:header="0"/>
          <w:type w:val="continuous"/>
        </w:sectPr>
      </w:pPr>
    </w:p>
    <w:p>
      <w:pPr>
        <w:spacing w:after="0" w:line="190"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 o</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442" w:lineRule="exact"/>
        <w:rPr>
          <w:sz w:val="24"/>
          <w:szCs w:val="24"/>
          <w:color w:val="auto"/>
        </w:rPr>
      </w:pPr>
    </w:p>
    <w:p>
      <w:pPr>
        <w:sectPr>
          <w:pgSz w:w="11900" w:h="16838" w:orient="portrait"/>
          <w:cols w:equalWidth="0" w:num="4">
            <w:col w:w="1800" w:space="720"/>
            <w:col w:w="1280" w:space="680"/>
            <w:col w:w="3620" w:space="720"/>
            <w:col w:w="2600"/>
          </w:cols>
          <w:pgMar w:left="240" w:top="303" w:right="239" w:bottom="1440" w:gutter="0" w:footer="0" w:header="0"/>
          <w:type w:val="continuous"/>
        </w:sectPr>
      </w:pPr>
    </w:p>
    <w:p>
      <w:pPr>
        <w:ind w:left="64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o No </w:t>
      </w:r>
      <w:r>
        <w:rPr>
          <w:rFonts w:ascii="MS PGothic" w:cs="MS PGothic" w:eastAsia="MS PGothic" w:hAnsi="MS PGothic"/>
          <w:sz w:val="15"/>
          <w:szCs w:val="15"/>
          <w:color w:val="auto"/>
        </w:rPr>
        <w:t>☑</w:t>
      </w:r>
    </w:p>
    <w:p>
      <w:pPr>
        <w:spacing w:after="0" w:line="296" w:lineRule="exact"/>
        <w:rPr>
          <w:sz w:val="24"/>
          <w:szCs w:val="24"/>
          <w:color w:val="auto"/>
        </w:rPr>
      </w:pPr>
    </w:p>
    <w:p>
      <w:pPr>
        <w:ind w:left="620"/>
        <w:spacing w:after="0"/>
        <w:rPr>
          <w:sz w:val="20"/>
          <w:szCs w:val="20"/>
          <w:color w:val="auto"/>
        </w:rPr>
      </w:pPr>
      <w:r>
        <w:rPr>
          <w:rFonts w:ascii="Arial" w:cs="Arial" w:eastAsia="Arial" w:hAnsi="Arial"/>
          <w:sz w:val="15"/>
          <w:szCs w:val="15"/>
          <w:color w:val="auto"/>
        </w:rPr>
        <w:t>As of February 13, 2012, 16,506,511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725805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050"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441325</wp:posOffset>
            </wp:positionV>
            <wp:extent cx="725805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Report on Form 10-Q</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 Ended December 31,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5"/>
              </w:rPr>
              <w:t>Page</w:t>
            </w:r>
          </w:p>
        </w:tc>
      </w:tr>
      <w:tr>
        <w:trPr>
          <w:trHeight w:val="167"/>
        </w:trPr>
        <w:tc>
          <w:tcPr>
            <w:tcW w:w="720" w:type="dxa"/>
            <w:vAlign w:val="bottom"/>
          </w:tcPr>
          <w:p>
            <w:pPr>
              <w:spacing w:after="0"/>
              <w:rPr>
                <w:sz w:val="14"/>
                <w:szCs w:val="14"/>
                <w:color w:val="auto"/>
              </w:rPr>
            </w:pPr>
          </w:p>
        </w:tc>
        <w:tc>
          <w:tcPr>
            <w:tcW w:w="9800" w:type="dxa"/>
            <w:vAlign w:val="bottom"/>
            <w:gridSpan w:val="5"/>
          </w:tcPr>
          <w:p>
            <w:pPr>
              <w:jc w:val="center"/>
              <w:ind w:right="820"/>
              <w:spacing w:after="0" w:line="167" w:lineRule="exact"/>
              <w:rPr>
                <w:sz w:val="20"/>
                <w:szCs w:val="20"/>
                <w:color w:val="auto"/>
              </w:rPr>
            </w:pPr>
            <w:r>
              <w:rPr>
                <w:rFonts w:ascii="Arial" w:cs="Arial" w:eastAsia="Arial" w:hAnsi="Arial"/>
                <w:sz w:val="17"/>
                <w:szCs w:val="17"/>
                <w:b w:val="1"/>
                <w:bCs w:val="1"/>
                <w:color w:val="auto"/>
              </w:rPr>
              <w:t>PART I. FINANCIAL INFORMATION</w:t>
            </w:r>
          </w:p>
        </w:tc>
        <w:tc>
          <w:tcPr>
            <w:tcW w:w="900" w:type="dxa"/>
            <w:vAlign w:val="bottom"/>
          </w:tcPr>
          <w:p>
            <w:pPr>
              <w:spacing w:after="0"/>
              <w:rPr>
                <w:sz w:val="14"/>
                <w:szCs w:val="14"/>
                <w:color w:val="auto"/>
              </w:rPr>
            </w:pPr>
          </w:p>
        </w:tc>
      </w:tr>
      <w:tr>
        <w:trPr>
          <w:trHeight w:val="224"/>
        </w:trPr>
        <w:tc>
          <w:tcPr>
            <w:tcW w:w="7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5"/>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Item 1.</w:t>
            </w:r>
          </w:p>
        </w:tc>
        <w:tc>
          <w:tcPr>
            <w:tcW w:w="9800" w:type="dxa"/>
            <w:vAlign w:val="bottom"/>
            <w:gridSpan w:val="5"/>
            <w:shd w:val="clear" w:color="auto" w:fill="CCEEFF"/>
          </w:tcPr>
          <w:p>
            <w:pPr>
              <w:ind w:left="100"/>
              <w:spacing w:after="0"/>
              <w:rPr>
                <w:sz w:val="20"/>
                <w:szCs w:val="20"/>
                <w:color w:val="auto"/>
              </w:rPr>
            </w:pPr>
            <w:r>
              <w:rPr>
                <w:rFonts w:ascii="Arial" w:cs="Arial" w:eastAsia="Arial" w:hAnsi="Arial"/>
                <w:sz w:val="17"/>
                <w:szCs w:val="17"/>
                <w:color w:val="auto"/>
              </w:rPr>
              <w:t>Condensed Consolidated Financial Statements (Unaudited)</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r>
      <w:tr>
        <w:trPr>
          <w:trHeight w:val="205"/>
        </w:trPr>
        <w:tc>
          <w:tcPr>
            <w:tcW w:w="720" w:type="dxa"/>
            <w:vAlign w:val="bottom"/>
          </w:tcPr>
          <w:p>
            <w:pPr>
              <w:spacing w:after="0"/>
              <w:rPr>
                <w:sz w:val="17"/>
                <w:szCs w:val="17"/>
                <w:color w:val="auto"/>
              </w:rPr>
            </w:pPr>
          </w:p>
        </w:tc>
        <w:tc>
          <w:tcPr>
            <w:tcW w:w="9800" w:type="dxa"/>
            <w:vAlign w:val="bottom"/>
            <w:gridSpan w:val="5"/>
          </w:tcPr>
          <w:p>
            <w:pPr>
              <w:ind w:left="100"/>
              <w:spacing w:after="0"/>
              <w:rPr>
                <w:sz w:val="20"/>
                <w:szCs w:val="20"/>
                <w:color w:val="auto"/>
              </w:rPr>
            </w:pPr>
            <w:r>
              <w:rPr>
                <w:rFonts w:ascii="Arial" w:cs="Arial" w:eastAsia="Arial" w:hAnsi="Arial"/>
                <w:sz w:val="17"/>
                <w:szCs w:val="17"/>
                <w:color w:val="auto"/>
              </w:rPr>
              <w:t>Condensed Consolidated Balance Sheets at December 31, 2011 and March 31, 2011</w:t>
            </w:r>
          </w:p>
        </w:tc>
        <w:tc>
          <w:tcPr>
            <w:tcW w:w="900" w:type="dxa"/>
            <w:vAlign w:val="bottom"/>
          </w:tcPr>
          <w:p>
            <w:pPr>
              <w:jc w:val="center"/>
              <w:spacing w:after="0"/>
              <w:rPr>
                <w:sz w:val="20"/>
                <w:szCs w:val="20"/>
                <w:color w:val="auto"/>
              </w:rPr>
            </w:pPr>
            <w:r>
              <w:rPr>
                <w:rFonts w:ascii="Arial" w:cs="Arial" w:eastAsia="Arial" w:hAnsi="Arial"/>
                <w:sz w:val="17"/>
                <w:szCs w:val="17"/>
                <w:color w:val="auto"/>
              </w:rPr>
              <w:t>1</w:t>
            </w:r>
          </w:p>
        </w:tc>
      </w:tr>
      <w:tr>
        <w:trPr>
          <w:trHeight w:val="205"/>
        </w:trPr>
        <w:tc>
          <w:tcPr>
            <w:tcW w:w="720" w:type="dxa"/>
            <w:vAlign w:val="bottom"/>
            <w:shd w:val="clear" w:color="auto" w:fill="CCEEFF"/>
          </w:tcPr>
          <w:p>
            <w:pPr>
              <w:spacing w:after="0"/>
              <w:rPr>
                <w:sz w:val="17"/>
                <w:szCs w:val="17"/>
                <w:color w:val="auto"/>
              </w:rPr>
            </w:pPr>
          </w:p>
        </w:tc>
        <w:tc>
          <w:tcPr>
            <w:tcW w:w="9800" w:type="dxa"/>
            <w:vAlign w:val="bottom"/>
            <w:gridSpan w:val="5"/>
            <w:shd w:val="clear" w:color="auto" w:fill="CCEEFF"/>
          </w:tcPr>
          <w:p>
            <w:pPr>
              <w:ind w:left="100"/>
              <w:spacing w:after="0"/>
              <w:rPr>
                <w:sz w:val="20"/>
                <w:szCs w:val="20"/>
                <w:color w:val="auto"/>
              </w:rPr>
            </w:pPr>
            <w:r>
              <w:rPr>
                <w:rFonts w:ascii="Arial" w:cs="Arial" w:eastAsia="Arial" w:hAnsi="Arial"/>
                <w:sz w:val="17"/>
                <w:szCs w:val="17"/>
                <w:color w:val="auto"/>
              </w:rPr>
              <w:t>Condensed Consolidated Statements of Operations for the three and nine months ended December 31, 2011 and 2010</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r>
      <w:tr>
        <w:trPr>
          <w:trHeight w:val="205"/>
        </w:trPr>
        <w:tc>
          <w:tcPr>
            <w:tcW w:w="720" w:type="dxa"/>
            <w:vAlign w:val="bottom"/>
          </w:tcPr>
          <w:p>
            <w:pPr>
              <w:spacing w:after="0"/>
              <w:rPr>
                <w:sz w:val="17"/>
                <w:szCs w:val="17"/>
                <w:color w:val="auto"/>
              </w:rPr>
            </w:pPr>
          </w:p>
        </w:tc>
        <w:tc>
          <w:tcPr>
            <w:tcW w:w="9800" w:type="dxa"/>
            <w:vAlign w:val="bottom"/>
            <w:gridSpan w:val="5"/>
          </w:tcPr>
          <w:p>
            <w:pPr>
              <w:ind w:left="100"/>
              <w:spacing w:after="0"/>
              <w:rPr>
                <w:sz w:val="20"/>
                <w:szCs w:val="20"/>
                <w:color w:val="auto"/>
              </w:rPr>
            </w:pPr>
            <w:r>
              <w:rPr>
                <w:rFonts w:ascii="Arial" w:cs="Arial" w:eastAsia="Arial" w:hAnsi="Arial"/>
                <w:sz w:val="17"/>
                <w:szCs w:val="17"/>
                <w:color w:val="auto"/>
              </w:rPr>
              <w:t>Condensed Consolidated Statements of Cash Flows for the nine months ended December 31, 2011 and 2010</w:t>
            </w:r>
          </w:p>
        </w:tc>
        <w:tc>
          <w:tcPr>
            <w:tcW w:w="900" w:type="dxa"/>
            <w:vAlign w:val="bottom"/>
          </w:tcPr>
          <w:p>
            <w:pPr>
              <w:jc w:val="center"/>
              <w:spacing w:after="0"/>
              <w:rPr>
                <w:sz w:val="20"/>
                <w:szCs w:val="20"/>
                <w:color w:val="auto"/>
              </w:rPr>
            </w:pPr>
            <w:r>
              <w:rPr>
                <w:rFonts w:ascii="Arial" w:cs="Arial" w:eastAsia="Arial" w:hAnsi="Arial"/>
                <w:sz w:val="17"/>
                <w:szCs w:val="17"/>
                <w:color w:val="auto"/>
              </w:rPr>
              <w:t>3</w:t>
            </w:r>
          </w:p>
        </w:tc>
      </w:tr>
      <w:tr>
        <w:trPr>
          <w:trHeight w:val="205"/>
        </w:trPr>
        <w:tc>
          <w:tcPr>
            <w:tcW w:w="720" w:type="dxa"/>
            <w:vAlign w:val="bottom"/>
            <w:shd w:val="clear" w:color="auto" w:fill="CCEEFF"/>
          </w:tcPr>
          <w:p>
            <w:pPr>
              <w:spacing w:after="0"/>
              <w:rPr>
                <w:sz w:val="17"/>
                <w:szCs w:val="17"/>
                <w:color w:val="auto"/>
              </w:rPr>
            </w:pPr>
          </w:p>
        </w:tc>
        <w:tc>
          <w:tcPr>
            <w:tcW w:w="9800" w:type="dxa"/>
            <w:vAlign w:val="bottom"/>
            <w:gridSpan w:val="5"/>
            <w:shd w:val="clear" w:color="auto" w:fill="CCEEFF"/>
          </w:tcPr>
          <w:p>
            <w:pPr>
              <w:ind w:left="100"/>
              <w:spacing w:after="0"/>
              <w:rPr>
                <w:sz w:val="20"/>
                <w:szCs w:val="20"/>
                <w:color w:val="auto"/>
              </w:rPr>
            </w:pPr>
            <w:r>
              <w:rPr>
                <w:rFonts w:ascii="Arial" w:cs="Arial" w:eastAsia="Arial" w:hAnsi="Arial"/>
                <w:sz w:val="17"/>
                <w:szCs w:val="17"/>
                <w:color w:val="auto"/>
              </w:rPr>
              <w:t>Notes to the Condensed Consolidated Financial Statements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4</w:t>
            </w:r>
          </w:p>
        </w:tc>
      </w:tr>
      <w:tr>
        <w:trPr>
          <w:trHeight w:val="205"/>
        </w:trPr>
        <w:tc>
          <w:tcPr>
            <w:tcW w:w="7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Item 2.</w:t>
            </w:r>
          </w:p>
        </w:tc>
        <w:tc>
          <w:tcPr>
            <w:tcW w:w="9800" w:type="dxa"/>
            <w:vAlign w:val="bottom"/>
            <w:gridSpan w:val="5"/>
            <w:shd w:val="clear" w:color="auto" w:fill="CCEEFF"/>
          </w:tcPr>
          <w:p>
            <w:pPr>
              <w:ind w:left="10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22</w:t>
            </w:r>
          </w:p>
        </w:tc>
      </w:tr>
      <w:tr>
        <w:trPr>
          <w:trHeight w:val="205"/>
        </w:trPr>
        <w:tc>
          <w:tcPr>
            <w:tcW w:w="7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Item 4.</w:t>
            </w:r>
          </w:p>
        </w:tc>
        <w:tc>
          <w:tcPr>
            <w:tcW w:w="9800" w:type="dxa"/>
            <w:vAlign w:val="bottom"/>
            <w:gridSpan w:val="5"/>
            <w:shd w:val="clear" w:color="auto" w:fill="CCEEFF"/>
          </w:tcPr>
          <w:p>
            <w:pPr>
              <w:ind w:left="100"/>
              <w:spacing w:after="0"/>
              <w:rPr>
                <w:sz w:val="20"/>
                <w:szCs w:val="20"/>
                <w:color w:val="auto"/>
              </w:rPr>
            </w:pPr>
            <w:r>
              <w:rPr>
                <w:rFonts w:ascii="Arial" w:cs="Arial" w:eastAsia="Arial" w:hAnsi="Arial"/>
                <w:sz w:val="17"/>
                <w:szCs w:val="17"/>
                <w:color w:val="auto"/>
              </w:rPr>
              <w:t>Controls and Procedures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28</w:t>
            </w:r>
          </w:p>
        </w:tc>
      </w:tr>
      <w:tr>
        <w:trPr>
          <w:trHeight w:val="205"/>
        </w:trPr>
        <w:tc>
          <w:tcPr>
            <w:tcW w:w="7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5"/>
        </w:trPr>
        <w:tc>
          <w:tcPr>
            <w:tcW w:w="72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6780" w:type="dxa"/>
            <w:vAlign w:val="bottom"/>
            <w:gridSpan w:val="4"/>
            <w:shd w:val="clear" w:color="auto" w:fill="CCEEFF"/>
          </w:tcPr>
          <w:p>
            <w:pPr>
              <w:jc w:val="center"/>
              <w:ind w:right="3840"/>
              <w:spacing w:after="0" w:line="167" w:lineRule="exact"/>
              <w:rPr>
                <w:sz w:val="20"/>
                <w:szCs w:val="20"/>
                <w:color w:val="auto"/>
              </w:rPr>
            </w:pPr>
            <w:r>
              <w:rPr>
                <w:rFonts w:ascii="Arial" w:cs="Arial" w:eastAsia="Arial" w:hAnsi="Arial"/>
                <w:sz w:val="17"/>
                <w:szCs w:val="17"/>
                <w:b w:val="1"/>
                <w:bCs w:val="1"/>
                <w:color w:val="auto"/>
              </w:rPr>
              <w:t>PART II. OTHER INFORMATION</w:t>
            </w:r>
          </w:p>
        </w:tc>
        <w:tc>
          <w:tcPr>
            <w:tcW w:w="900" w:type="dxa"/>
            <w:vAlign w:val="bottom"/>
            <w:shd w:val="clear" w:color="auto" w:fill="CCEEFF"/>
          </w:tcPr>
          <w:p>
            <w:pPr>
              <w:spacing w:after="0"/>
              <w:rPr>
                <w:sz w:val="16"/>
                <w:szCs w:val="16"/>
                <w:color w:val="auto"/>
              </w:rPr>
            </w:pPr>
          </w:p>
        </w:tc>
      </w:tr>
      <w:tr>
        <w:trPr>
          <w:trHeight w:val="205"/>
        </w:trPr>
        <w:tc>
          <w:tcPr>
            <w:tcW w:w="720" w:type="dxa"/>
            <w:vAlign w:val="bottom"/>
            <w:tcBorders>
              <w:top w:val="single" w:sz="8" w:color="CCEEFF"/>
            </w:tcBorders>
          </w:tcPr>
          <w:p>
            <w:pPr>
              <w:spacing w:after="0"/>
              <w:rPr>
                <w:sz w:val="17"/>
                <w:szCs w:val="17"/>
                <w:color w:val="auto"/>
              </w:rPr>
            </w:pPr>
          </w:p>
        </w:tc>
        <w:tc>
          <w:tcPr>
            <w:tcW w:w="30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r>
      <w:tr>
        <w:trPr>
          <w:trHeight w:val="205"/>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Item 1A.</w:t>
            </w:r>
          </w:p>
        </w:tc>
        <w:tc>
          <w:tcPr>
            <w:tcW w:w="9800" w:type="dxa"/>
            <w:vAlign w:val="bottom"/>
            <w:gridSpan w:val="5"/>
            <w:shd w:val="clear" w:color="auto" w:fill="CCEEFF"/>
          </w:tcPr>
          <w:p>
            <w:pPr>
              <w:ind w:left="100"/>
              <w:spacing w:after="0"/>
              <w:rPr>
                <w:sz w:val="20"/>
                <w:szCs w:val="20"/>
                <w:color w:val="auto"/>
              </w:rPr>
            </w:pPr>
            <w:r>
              <w:rPr>
                <w:rFonts w:ascii="Arial" w:cs="Arial" w:eastAsia="Arial" w:hAnsi="Arial"/>
                <w:sz w:val="17"/>
                <w:szCs w:val="17"/>
                <w:color w:val="auto"/>
              </w:rPr>
              <w:t>Risk Factors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29</w:t>
            </w:r>
          </w:p>
        </w:tc>
      </w:tr>
      <w:tr>
        <w:trPr>
          <w:trHeight w:val="205"/>
        </w:trPr>
        <w:tc>
          <w:tcPr>
            <w:tcW w:w="7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Item 2.</w:t>
            </w:r>
          </w:p>
        </w:tc>
        <w:tc>
          <w:tcPr>
            <w:tcW w:w="9800" w:type="dxa"/>
            <w:vAlign w:val="bottom"/>
            <w:gridSpan w:val="5"/>
            <w:shd w:val="clear" w:color="auto" w:fill="CCEEFF"/>
          </w:tcPr>
          <w:p>
            <w:pPr>
              <w:ind w:left="100"/>
              <w:spacing w:after="0"/>
              <w:rPr>
                <w:sz w:val="20"/>
                <w:szCs w:val="20"/>
                <w:color w:val="auto"/>
              </w:rPr>
            </w:pPr>
            <w:r>
              <w:rPr>
                <w:rFonts w:ascii="Arial" w:cs="Arial" w:eastAsia="Arial" w:hAnsi="Arial"/>
                <w:sz w:val="17"/>
                <w:szCs w:val="17"/>
                <w:color w:val="auto"/>
              </w:rPr>
              <w:t>Unregistered Sales of Equity Securities and Use of Proceeds</w:t>
            </w:r>
          </w:p>
        </w:tc>
        <w:tc>
          <w:tcPr>
            <w:tcW w:w="90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29</w:t>
            </w:r>
          </w:p>
        </w:tc>
      </w:tr>
      <w:tr>
        <w:trPr>
          <w:trHeight w:val="205"/>
        </w:trPr>
        <w:tc>
          <w:tcPr>
            <w:tcW w:w="7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Item 6.</w:t>
            </w:r>
          </w:p>
        </w:tc>
        <w:tc>
          <w:tcPr>
            <w:tcW w:w="9800" w:type="dxa"/>
            <w:vAlign w:val="bottom"/>
            <w:gridSpan w:val="5"/>
            <w:shd w:val="clear" w:color="auto" w:fill="CCEEFF"/>
          </w:tcPr>
          <w:p>
            <w:pPr>
              <w:ind w:left="100"/>
              <w:spacing w:after="0"/>
              <w:rPr>
                <w:sz w:val="20"/>
                <w:szCs w:val="20"/>
                <w:color w:val="auto"/>
              </w:rPr>
            </w:pPr>
            <w:r>
              <w:rPr>
                <w:rFonts w:ascii="Arial" w:cs="Arial" w:eastAsia="Arial" w:hAnsi="Arial"/>
                <w:sz w:val="17"/>
                <w:szCs w:val="17"/>
                <w:color w:val="auto"/>
              </w:rPr>
              <w:t>Exhibits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29</w:t>
            </w:r>
          </w:p>
        </w:tc>
      </w:tr>
      <w:tr>
        <w:trPr>
          <w:trHeight w:val="205"/>
        </w:trPr>
        <w:tc>
          <w:tcPr>
            <w:tcW w:w="37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SIGNATURES</w:t>
            </w:r>
          </w:p>
        </w:tc>
        <w:tc>
          <w:tcPr>
            <w:tcW w:w="900" w:type="dxa"/>
            <w:vAlign w:val="bottom"/>
            <w:shd w:val="clear" w:color="auto" w:fill="CCEEFF"/>
          </w:tcPr>
          <w:p>
            <w:pPr>
              <w:spacing w:after="0"/>
              <w:rPr>
                <w:sz w:val="17"/>
                <w:szCs w:val="17"/>
                <w:color w:val="auto"/>
              </w:rPr>
            </w:pPr>
          </w:p>
        </w:tc>
      </w:tr>
      <w:tr>
        <w:trPr>
          <w:trHeight w:val="576"/>
        </w:trPr>
        <w:tc>
          <w:tcPr>
            <w:tcW w:w="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40" w:type="dxa"/>
            <w:vAlign w:val="bottom"/>
            <w:gridSpan w:val="3"/>
          </w:tcPr>
          <w:p>
            <w:pPr>
              <w:ind w:left="1760"/>
              <w:spacing w:after="0"/>
              <w:rPr>
                <w:sz w:val="20"/>
                <w:szCs w:val="20"/>
                <w:color w:val="auto"/>
              </w:rPr>
            </w:pPr>
            <w:r>
              <w:rPr>
                <w:rFonts w:ascii="Arial" w:cs="Arial" w:eastAsia="Arial" w:hAnsi="Arial"/>
                <w:sz w:val="17"/>
                <w:szCs w:val="17"/>
                <w:color w:val="auto"/>
              </w:rPr>
              <w:t>-i-</w:t>
            </w:r>
          </w:p>
        </w:tc>
        <w:tc>
          <w:tcPr>
            <w:tcW w:w="900" w:type="dxa"/>
            <w:vAlign w:val="bottom"/>
          </w:tcPr>
          <w:p>
            <w:pPr>
              <w:spacing w:after="0"/>
              <w:rPr>
                <w:sz w:val="24"/>
                <w:szCs w:val="24"/>
                <w:color w:val="auto"/>
              </w:rPr>
            </w:pPr>
          </w:p>
        </w:tc>
      </w:tr>
      <w:tr>
        <w:trPr>
          <w:trHeight w:val="113"/>
        </w:trPr>
        <w:tc>
          <w:tcPr>
            <w:tcW w:w="720" w:type="dxa"/>
            <w:vAlign w:val="bottom"/>
            <w:tcBorders>
              <w:bottom w:val="single" w:sz="8" w:color="808080"/>
            </w:tcBorders>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 w:name="page3"/>
    <w:bookmarkEnd w:id="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 FINANCIAL INFORMATION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60" w:type="dxa"/>
            <w:vAlign w:val="bottom"/>
          </w:tcPr>
          <w:p>
            <w:pPr>
              <w:spacing w:after="0"/>
              <w:rPr>
                <w:sz w:val="20"/>
                <w:szCs w:val="20"/>
                <w:color w:val="auto"/>
              </w:rPr>
            </w:pPr>
            <w:r>
              <w:rPr>
                <w:rFonts w:ascii="Arial" w:cs="Arial" w:eastAsia="Arial" w:hAnsi="Arial"/>
                <w:sz w:val="15"/>
                <w:szCs w:val="15"/>
                <w:b w:val="1"/>
                <w:bCs w:val="1"/>
                <w:color w:val="auto"/>
              </w:rPr>
              <w:t>Item 1.</w:t>
            </w:r>
          </w:p>
        </w:tc>
        <w:tc>
          <w:tcPr>
            <w:tcW w:w="7060" w:type="dxa"/>
            <w:vAlign w:val="bottom"/>
          </w:tcPr>
          <w:p>
            <w:pPr>
              <w:ind w:left="20"/>
              <w:spacing w:after="0"/>
              <w:rPr>
                <w:sz w:val="20"/>
                <w:szCs w:val="20"/>
                <w:color w:val="auto"/>
              </w:rPr>
            </w:pPr>
            <w:r>
              <w:rPr>
                <w:rFonts w:ascii="Arial" w:cs="Arial" w:eastAsia="Arial" w:hAnsi="Arial"/>
                <w:sz w:val="15"/>
                <w:szCs w:val="15"/>
                <w:b w:val="1"/>
                <w:bCs w:val="1"/>
                <w:color w:val="auto"/>
              </w:rPr>
              <w:t>Condensed Consolidated Financial Statements (Unaudited)</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4"/>
                <w:szCs w:val="24"/>
                <w:color w:val="auto"/>
              </w:rPr>
            </w:pPr>
          </w:p>
        </w:tc>
        <w:tc>
          <w:tcPr>
            <w:tcW w:w="7060" w:type="dxa"/>
            <w:vAlign w:val="bottom"/>
          </w:tcPr>
          <w:p>
            <w:pPr>
              <w:jc w:val="center"/>
              <w:ind w:left="2183"/>
              <w:spacing w:after="0"/>
              <w:rPr>
                <w:sz w:val="20"/>
                <w:szCs w:val="20"/>
                <w:color w:val="auto"/>
              </w:rPr>
            </w:pPr>
            <w:r>
              <w:rPr>
                <w:rFonts w:ascii="Arial" w:cs="Arial" w:eastAsia="Arial" w:hAnsi="Arial"/>
                <w:sz w:val="15"/>
                <w:szCs w:val="15"/>
                <w:b w:val="1"/>
                <w:bCs w:val="1"/>
                <w:color w:val="auto"/>
              </w:rPr>
              <w:t>VISTAGEN THERAPEUTICS, INC.</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7060" w:type="dxa"/>
            <w:vAlign w:val="bottom"/>
          </w:tcPr>
          <w:p>
            <w:pPr>
              <w:jc w:val="center"/>
              <w:ind w:left="2163"/>
              <w:spacing w:after="0"/>
              <w:rPr>
                <w:sz w:val="20"/>
                <w:szCs w:val="20"/>
                <w:color w:val="auto"/>
              </w:rPr>
            </w:pPr>
            <w:r>
              <w:rPr>
                <w:rFonts w:ascii="Arial" w:cs="Arial" w:eastAsia="Arial" w:hAnsi="Arial"/>
                <w:sz w:val="15"/>
                <w:szCs w:val="15"/>
                <w:b w:val="1"/>
                <w:bCs w:val="1"/>
                <w:color w:val="auto"/>
                <w:w w:val="90"/>
              </w:rPr>
              <w:t>(a development stage company)</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60" w:type="dxa"/>
            <w:vAlign w:val="bottom"/>
          </w:tcPr>
          <w:p>
            <w:pPr>
              <w:spacing w:after="0"/>
              <w:rPr>
                <w:sz w:val="17"/>
                <w:szCs w:val="17"/>
                <w:color w:val="auto"/>
              </w:rPr>
            </w:pPr>
          </w:p>
        </w:tc>
        <w:tc>
          <w:tcPr>
            <w:tcW w:w="7060" w:type="dxa"/>
            <w:vAlign w:val="bottom"/>
          </w:tcPr>
          <w:p>
            <w:pPr>
              <w:jc w:val="center"/>
              <w:ind w:left="2163"/>
              <w:spacing w:after="0"/>
              <w:rPr>
                <w:sz w:val="20"/>
                <w:szCs w:val="20"/>
                <w:color w:val="auto"/>
              </w:rPr>
            </w:pPr>
            <w:r>
              <w:rPr>
                <w:rFonts w:ascii="Arial" w:cs="Arial" w:eastAsia="Arial" w:hAnsi="Arial"/>
                <w:sz w:val="15"/>
                <w:szCs w:val="15"/>
                <w:b w:val="1"/>
                <w:bCs w:val="1"/>
                <w:color w:val="auto"/>
              </w:rPr>
              <w:t>CONDENSED CONSOLIDATED BALANCE SHEETS</w:t>
            </w:r>
          </w:p>
        </w:tc>
        <w:tc>
          <w:tcPr>
            <w:tcW w:w="180" w:type="dxa"/>
            <w:vAlign w:val="bottom"/>
          </w:tcPr>
          <w:p>
            <w:pPr>
              <w:spacing w:after="0"/>
              <w:rPr>
                <w:sz w:val="17"/>
                <w:szCs w:val="17"/>
                <w:color w:val="auto"/>
              </w:rPr>
            </w:pPr>
          </w:p>
        </w:tc>
        <w:tc>
          <w:tcPr>
            <w:tcW w:w="1540" w:type="dxa"/>
            <w:vAlign w:val="bottom"/>
            <w:gridSpan w:val="2"/>
            <w:vMerge w:val="restart"/>
          </w:tcPr>
          <w:p>
            <w:pPr>
              <w:jc w:val="center"/>
              <w:ind w:right="400"/>
              <w:spacing w:after="0"/>
              <w:rPr>
                <w:sz w:val="20"/>
                <w:szCs w:val="20"/>
                <w:color w:val="auto"/>
              </w:rPr>
            </w:pPr>
            <w:r>
              <w:rPr>
                <w:rFonts w:ascii="Arial" w:cs="Arial" w:eastAsia="Arial" w:hAnsi="Arial"/>
                <w:sz w:val="15"/>
                <w:szCs w:val="15"/>
                <w:b w:val="1"/>
                <w:bCs w:val="1"/>
                <w:color w:val="auto"/>
                <w:w w:val="92"/>
              </w:rPr>
              <w:t>December 31,</w:t>
            </w:r>
          </w:p>
        </w:tc>
        <w:tc>
          <w:tcPr>
            <w:tcW w:w="240" w:type="dxa"/>
            <w:vAlign w:val="bottom"/>
          </w:tcPr>
          <w:p>
            <w:pPr>
              <w:spacing w:after="0"/>
              <w:rPr>
                <w:sz w:val="17"/>
                <w:szCs w:val="17"/>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5"/>
                <w:szCs w:val="15"/>
                <w:b w:val="1"/>
                <w:bCs w:val="1"/>
                <w:color w:val="auto"/>
                <w:w w:val="98"/>
              </w:rPr>
              <w:t>March 31,</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89"/>
              </w:rPr>
              <w:t>2011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83"/>
              <w:spacing w:after="0"/>
              <w:rPr>
                <w:sz w:val="20"/>
                <w:szCs w:val="20"/>
                <w:color w:val="auto"/>
              </w:rPr>
            </w:pPr>
            <w:r>
              <w:rPr>
                <w:rFonts w:ascii="Arial" w:cs="Arial" w:eastAsia="Arial" w:hAnsi="Arial"/>
                <w:sz w:val="15"/>
                <w:szCs w:val="15"/>
                <w:b w:val="1"/>
                <w:bCs w:val="1"/>
                <w:color w:val="auto"/>
                <w:w w:val="8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60" w:type="dxa"/>
            <w:vAlign w:val="bottom"/>
          </w:tcPr>
          <w:p>
            <w:pPr>
              <w:spacing w:after="0"/>
              <w:rPr>
                <w:sz w:val="17"/>
                <w:szCs w:val="17"/>
                <w:color w:val="auto"/>
              </w:rPr>
            </w:pPr>
          </w:p>
        </w:tc>
        <w:tc>
          <w:tcPr>
            <w:tcW w:w="7060" w:type="dxa"/>
            <w:vAlign w:val="bottom"/>
            <w:vMerge w:val="restart"/>
          </w:tcPr>
          <w:p>
            <w:pPr>
              <w:jc w:val="center"/>
              <w:ind w:right="1063"/>
              <w:spacing w:after="0"/>
              <w:rPr>
                <w:sz w:val="20"/>
                <w:szCs w:val="20"/>
                <w:color w:val="auto"/>
              </w:rPr>
            </w:pPr>
            <w:r>
              <w:rPr>
                <w:rFonts w:ascii="Arial" w:cs="Arial" w:eastAsia="Arial" w:hAnsi="Arial"/>
                <w:sz w:val="15"/>
                <w:szCs w:val="15"/>
                <w:b w:val="1"/>
                <w:bCs w:val="1"/>
                <w:color w:val="auto"/>
                <w:w w:val="93"/>
              </w:rPr>
              <w:t>ASSETS</w:t>
            </w:r>
          </w:p>
        </w:tc>
        <w:tc>
          <w:tcPr>
            <w:tcW w:w="180" w:type="dxa"/>
            <w:vAlign w:val="bottom"/>
          </w:tcPr>
          <w:p>
            <w:pPr>
              <w:spacing w:after="0"/>
              <w:rPr>
                <w:sz w:val="17"/>
                <w:szCs w:val="17"/>
                <w:color w:val="auto"/>
              </w:rPr>
            </w:pPr>
          </w:p>
        </w:tc>
        <w:tc>
          <w:tcPr>
            <w:tcW w:w="1300" w:type="dxa"/>
            <w:vAlign w:val="bottom"/>
          </w:tcPr>
          <w:p>
            <w:pPr>
              <w:jc w:val="center"/>
              <w:ind w:right="103"/>
              <w:spacing w:after="0"/>
              <w:rPr>
                <w:sz w:val="20"/>
                <w:szCs w:val="20"/>
                <w:color w:val="auto"/>
              </w:rPr>
            </w:pPr>
            <w:r>
              <w:rPr>
                <w:rFonts w:ascii="Arial" w:cs="Arial" w:eastAsia="Arial" w:hAnsi="Arial"/>
                <w:sz w:val="15"/>
                <w:szCs w:val="15"/>
                <w:b w:val="1"/>
                <w:bCs w:val="1"/>
                <w:color w:val="auto"/>
                <w:w w:val="95"/>
              </w:rPr>
              <w:t>(Unaudited)</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63"/>
              <w:spacing w:after="0"/>
              <w:rPr>
                <w:sz w:val="20"/>
                <w:szCs w:val="20"/>
                <w:color w:val="auto"/>
              </w:rPr>
            </w:pPr>
            <w:r>
              <w:rPr>
                <w:rFonts w:ascii="Arial" w:cs="Arial" w:eastAsia="Arial" w:hAnsi="Arial"/>
                <w:sz w:val="15"/>
                <w:szCs w:val="15"/>
                <w:b w:val="1"/>
                <w:bCs w:val="1"/>
                <w:color w:val="auto"/>
                <w:w w:val="93"/>
              </w:rPr>
              <w:t>(Note 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60" w:type="dxa"/>
            <w:vAlign w:val="bottom"/>
            <w:vMerge w:val="restart"/>
          </w:tcPr>
          <w:p>
            <w:pPr>
              <w:spacing w:after="0"/>
              <w:rPr>
                <w:sz w:val="20"/>
                <w:szCs w:val="20"/>
                <w:color w:val="auto"/>
              </w:rPr>
            </w:pPr>
            <w:r>
              <w:rPr>
                <w:rFonts w:ascii="Arial" w:cs="Arial" w:eastAsia="Arial" w:hAnsi="Arial"/>
                <w:sz w:val="15"/>
                <w:szCs w:val="15"/>
                <w:color w:val="auto"/>
              </w:rPr>
              <w:t>Current assets:</w:t>
            </w:r>
          </w:p>
        </w:tc>
        <w:tc>
          <w:tcPr>
            <w:tcW w:w="70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60" w:type="dxa"/>
            <w:vAlign w:val="bottom"/>
            <w:vMerge w:val="continue"/>
          </w:tcPr>
          <w:p>
            <w:pPr>
              <w:spacing w:after="0"/>
              <w:rPr>
                <w:sz w:val="16"/>
                <w:szCs w:val="16"/>
                <w:color w:val="auto"/>
              </w:rPr>
            </w:pPr>
          </w:p>
        </w:tc>
        <w:tc>
          <w:tcPr>
            <w:tcW w:w="7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Cash and cash equivalents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166,421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139,343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gridSpan w:val="2"/>
          </w:tcPr>
          <w:p>
            <w:pPr>
              <w:ind w:left="160"/>
              <w:spacing w:after="0"/>
              <w:rPr>
                <w:sz w:val="20"/>
                <w:szCs w:val="20"/>
                <w:color w:val="auto"/>
              </w:rPr>
            </w:pPr>
            <w:r>
              <w:rPr>
                <w:rFonts w:ascii="Arial" w:cs="Arial" w:eastAsia="Arial" w:hAnsi="Arial"/>
                <w:sz w:val="15"/>
                <w:szCs w:val="15"/>
                <w:color w:val="auto"/>
              </w:rPr>
              <w:t>Unbilled contract payments receivable</w:t>
            </w:r>
          </w:p>
        </w:tc>
        <w:tc>
          <w:tcPr>
            <w:tcW w:w="18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5"/>
                <w:szCs w:val="15"/>
                <w:color w:val="auto"/>
              </w:rPr>
              <w:t>7,779</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42,216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Prepaid expenses</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107,726</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23,251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60" w:type="dxa"/>
            <w:vAlign w:val="bottom"/>
            <w:shd w:val="clear" w:color="auto" w:fill="CCEEFF"/>
          </w:tcPr>
          <w:p>
            <w:pPr>
              <w:spacing w:after="0"/>
              <w:rPr>
                <w:sz w:val="2"/>
                <w:szCs w:val="2"/>
                <w:color w:val="auto"/>
              </w:rPr>
            </w:pPr>
          </w:p>
        </w:tc>
        <w:tc>
          <w:tcPr>
            <w:tcW w:w="70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20" w:type="dxa"/>
            <w:vAlign w:val="bottom"/>
            <w:gridSpan w:val="2"/>
          </w:tcPr>
          <w:p>
            <w:pPr>
              <w:ind w:left="320"/>
              <w:spacing w:after="0"/>
              <w:rPr>
                <w:sz w:val="20"/>
                <w:szCs w:val="20"/>
                <w:color w:val="auto"/>
              </w:rPr>
            </w:pPr>
            <w:r>
              <w:rPr>
                <w:rFonts w:ascii="Arial" w:cs="Arial" w:eastAsia="Arial" w:hAnsi="Arial"/>
                <w:sz w:val="15"/>
                <w:szCs w:val="15"/>
                <w:color w:val="auto"/>
              </w:rPr>
              <w:t>Total current assets</w:t>
            </w:r>
          </w:p>
        </w:tc>
        <w:tc>
          <w:tcPr>
            <w:tcW w:w="18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5"/>
                <w:szCs w:val="15"/>
                <w:color w:val="auto"/>
              </w:rPr>
              <w:t>281,926</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204,810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86,647</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87,728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gridSpan w:val="2"/>
          </w:tcPr>
          <w:p>
            <w:pPr>
              <w:spacing w:after="0"/>
              <w:rPr>
                <w:sz w:val="20"/>
                <w:szCs w:val="20"/>
                <w:color w:val="auto"/>
              </w:rPr>
            </w:pPr>
            <w:r>
              <w:rPr>
                <w:rFonts w:ascii="Arial" w:cs="Arial" w:eastAsia="Arial" w:hAnsi="Arial"/>
                <w:sz w:val="15"/>
                <w:szCs w:val="15"/>
                <w:color w:val="auto"/>
              </w:rPr>
              <w:t>Security deposits and other assets</w:t>
            </w:r>
          </w:p>
        </w:tc>
        <w:tc>
          <w:tcPr>
            <w:tcW w:w="18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5"/>
                <w:szCs w:val="15"/>
                <w:color w:val="auto"/>
              </w:rPr>
              <w:t>31,144</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31,144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1060" w:type="dxa"/>
            <w:vAlign w:val="bottom"/>
            <w:shd w:val="clear" w:color="auto" w:fill="CCEEFF"/>
          </w:tcPr>
          <w:p>
            <w:pPr>
              <w:ind w:left="320"/>
              <w:spacing w:after="0"/>
              <w:rPr>
                <w:sz w:val="20"/>
                <w:szCs w:val="20"/>
                <w:color w:val="auto"/>
              </w:rPr>
            </w:pPr>
            <w:r>
              <w:rPr>
                <w:rFonts w:ascii="Arial" w:cs="Arial" w:eastAsia="Arial" w:hAnsi="Arial"/>
                <w:sz w:val="15"/>
                <w:szCs w:val="15"/>
                <w:color w:val="auto"/>
                <w:w w:val="88"/>
              </w:rPr>
              <w:t>Total assets</w:t>
            </w:r>
          </w:p>
        </w:tc>
        <w:tc>
          <w:tcPr>
            <w:tcW w:w="70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399,717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323,682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60" w:type="dxa"/>
            <w:vAlign w:val="bottom"/>
            <w:tcBorders>
              <w:top w:val="single" w:sz="8" w:color="CCEEFF"/>
            </w:tcBorders>
          </w:tcPr>
          <w:p>
            <w:pPr>
              <w:spacing w:after="0"/>
              <w:rPr>
                <w:sz w:val="15"/>
                <w:szCs w:val="15"/>
                <w:color w:val="auto"/>
              </w:rPr>
            </w:pPr>
          </w:p>
        </w:tc>
        <w:tc>
          <w:tcPr>
            <w:tcW w:w="70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60" w:type="dxa"/>
            <w:vAlign w:val="bottom"/>
            <w:shd w:val="clear" w:color="auto" w:fill="CCEEFF"/>
          </w:tcPr>
          <w:p>
            <w:pPr>
              <w:spacing w:after="0"/>
              <w:rPr>
                <w:sz w:val="16"/>
                <w:szCs w:val="16"/>
                <w:color w:val="auto"/>
              </w:rPr>
            </w:pPr>
          </w:p>
        </w:tc>
        <w:tc>
          <w:tcPr>
            <w:tcW w:w="7060" w:type="dxa"/>
            <w:vAlign w:val="bottom"/>
            <w:tcBorders>
              <w:right w:val="single" w:sz="8" w:color="CCEEFF"/>
            </w:tcBorders>
            <w:shd w:val="clear" w:color="auto" w:fill="CCEEFF"/>
          </w:tcPr>
          <w:p>
            <w:pPr>
              <w:jc w:val="center"/>
              <w:ind w:right="1063"/>
              <w:spacing w:after="0"/>
              <w:rPr>
                <w:sz w:val="20"/>
                <w:szCs w:val="20"/>
                <w:color w:val="auto"/>
              </w:rPr>
            </w:pPr>
            <w:r>
              <w:rPr>
                <w:rFonts w:ascii="Arial" w:cs="Arial" w:eastAsia="Arial" w:hAnsi="Arial"/>
                <w:sz w:val="15"/>
                <w:szCs w:val="15"/>
                <w:b w:val="1"/>
                <w:bCs w:val="1"/>
                <w:color w:val="auto"/>
              </w:rPr>
              <w:t>LIABILITIES, PREFERRED STOCK AND STOCKHOLDERS’ DEFICIT</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gridSpan w:val="2"/>
          </w:tcPr>
          <w:p>
            <w:pPr>
              <w:spacing w:after="0"/>
              <w:rPr>
                <w:sz w:val="20"/>
                <w:szCs w:val="20"/>
                <w:color w:val="auto"/>
              </w:rPr>
            </w:pPr>
            <w:r>
              <w:rPr>
                <w:rFonts w:ascii="Arial" w:cs="Arial" w:eastAsia="Arial" w:hAnsi="Arial"/>
                <w:sz w:val="15"/>
                <w:szCs w:val="15"/>
                <w:color w:val="auto"/>
              </w:rPr>
              <w:t>Current liabilities: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Accounts payable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1,041,439</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1,767,085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gridSpan w:val="2"/>
          </w:tcPr>
          <w:p>
            <w:pPr>
              <w:ind w:left="160"/>
              <w:spacing w:after="0"/>
              <w:rPr>
                <w:sz w:val="20"/>
                <w:szCs w:val="20"/>
                <w:color w:val="auto"/>
              </w:rPr>
            </w:pPr>
            <w:r>
              <w:rPr>
                <w:rFonts w:ascii="Arial" w:cs="Arial" w:eastAsia="Arial" w:hAnsi="Arial"/>
                <w:sz w:val="15"/>
                <w:szCs w:val="15"/>
                <w:color w:val="auto"/>
              </w:rPr>
              <w:t>Accrued expenses</w:t>
            </w:r>
          </w:p>
        </w:tc>
        <w:tc>
          <w:tcPr>
            <w:tcW w:w="18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5"/>
                <w:szCs w:val="15"/>
                <w:color w:val="auto"/>
              </w:rPr>
              <w:t>452,832</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1,421,906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Notes payable and accrued interest</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564,767</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160,921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gridSpan w:val="2"/>
          </w:tcPr>
          <w:p>
            <w:pPr>
              <w:ind w:left="160"/>
              <w:spacing w:after="0"/>
              <w:rPr>
                <w:sz w:val="20"/>
                <w:szCs w:val="20"/>
                <w:color w:val="auto"/>
              </w:rPr>
            </w:pPr>
            <w:r>
              <w:rPr>
                <w:rFonts w:ascii="Arial" w:cs="Arial" w:eastAsia="Arial" w:hAnsi="Arial"/>
                <w:sz w:val="15"/>
                <w:szCs w:val="15"/>
                <w:color w:val="auto"/>
              </w:rPr>
              <w:t>Notes payable and accrued interest to related parties</w:t>
            </w:r>
          </w:p>
        </w:tc>
        <w:tc>
          <w:tcPr>
            <w:tcW w:w="18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5"/>
                <w:szCs w:val="15"/>
                <w:color w:val="auto"/>
              </w:rPr>
              <w:t>107,945</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50,361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Put option and note term extension option liabilities</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90,749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gridSpan w:val="2"/>
          </w:tcPr>
          <w:p>
            <w:pPr>
              <w:ind w:left="160"/>
              <w:spacing w:after="0"/>
              <w:rPr>
                <w:sz w:val="20"/>
                <w:szCs w:val="20"/>
                <w:color w:val="auto"/>
              </w:rPr>
            </w:pPr>
            <w:r>
              <w:rPr>
                <w:rFonts w:ascii="Arial" w:cs="Arial" w:eastAsia="Arial" w:hAnsi="Arial"/>
                <w:sz w:val="15"/>
                <w:szCs w:val="15"/>
                <w:color w:val="auto"/>
              </w:rPr>
              <w:t>Capital lease obligations</w:t>
            </w:r>
          </w:p>
        </w:tc>
        <w:tc>
          <w:tcPr>
            <w:tcW w:w="18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5"/>
                <w:szCs w:val="15"/>
                <w:color w:val="auto"/>
              </w:rPr>
              <w:t>18,149</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30,141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Non-interest bearing promissory notes, net, including $525,000 to related parties</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1,105,730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gridSpan w:val="2"/>
          </w:tcPr>
          <w:p>
            <w:pPr>
              <w:ind w:left="160"/>
              <w:spacing w:after="0"/>
              <w:rPr>
                <w:sz w:val="20"/>
                <w:szCs w:val="20"/>
                <w:color w:val="auto"/>
              </w:rPr>
            </w:pPr>
            <w:r>
              <w:rPr>
                <w:rFonts w:ascii="Arial" w:cs="Arial" w:eastAsia="Arial" w:hAnsi="Arial"/>
                <w:sz w:val="15"/>
                <w:szCs w:val="15"/>
                <w:color w:val="auto"/>
              </w:rPr>
              <w:t>Deferred revenues</w:t>
            </w:r>
          </w:p>
        </w:tc>
        <w:tc>
          <w:tcPr>
            <w:tcW w:w="18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5"/>
                <w:szCs w:val="15"/>
                <w:color w:val="auto"/>
              </w:rPr>
              <w:t>33,035</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78,777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Convertible promissory notes, including $947,368 to related parties at March 31, 2011 - current portion</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4,809,183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gridSpan w:val="2"/>
          </w:tcPr>
          <w:p>
            <w:pPr>
              <w:ind w:left="160"/>
              <w:spacing w:after="0"/>
              <w:rPr>
                <w:sz w:val="20"/>
                <w:szCs w:val="20"/>
                <w:color w:val="auto"/>
              </w:rPr>
            </w:pPr>
            <w:r>
              <w:rPr>
                <w:rFonts w:ascii="Arial" w:cs="Arial" w:eastAsia="Arial" w:hAnsi="Arial"/>
                <w:sz w:val="15"/>
                <w:szCs w:val="15"/>
                <w:color w:val="auto"/>
              </w:rPr>
              <w:t>Accrued interest on convertible promissory notes</w:t>
            </w:r>
          </w:p>
        </w:tc>
        <w:tc>
          <w:tcPr>
            <w:tcW w:w="18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1,310,833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812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Total current liabilities</w:t>
            </w: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2,218,167</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10,825,686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120" w:type="dxa"/>
            <w:vAlign w:val="bottom"/>
            <w:tcBorders>
              <w:top w:val="single" w:sz="8" w:color="CCEEFF"/>
            </w:tcBorders>
            <w:gridSpan w:val="2"/>
          </w:tcPr>
          <w:p>
            <w:pPr>
              <w:spacing w:after="0"/>
              <w:rPr>
                <w:sz w:val="20"/>
                <w:szCs w:val="20"/>
                <w:color w:val="auto"/>
              </w:rPr>
            </w:pPr>
            <w:r>
              <w:rPr>
                <w:rFonts w:ascii="Arial" w:cs="Arial" w:eastAsia="Arial" w:hAnsi="Arial"/>
                <w:sz w:val="15"/>
                <w:szCs w:val="15"/>
                <w:color w:val="auto"/>
              </w:rPr>
              <w:t>Non-current liabilities: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Notes payable and accrued interest</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2,715,956</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2,106,232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gridSpan w:val="2"/>
          </w:tcPr>
          <w:p>
            <w:pPr>
              <w:ind w:left="160"/>
              <w:spacing w:after="0"/>
              <w:rPr>
                <w:sz w:val="20"/>
                <w:szCs w:val="20"/>
                <w:color w:val="auto"/>
              </w:rPr>
            </w:pPr>
            <w:r>
              <w:rPr>
                <w:rFonts w:ascii="Arial" w:cs="Arial" w:eastAsia="Arial" w:hAnsi="Arial"/>
                <w:sz w:val="15"/>
                <w:szCs w:val="15"/>
                <w:color w:val="auto"/>
              </w:rPr>
              <w:t>Notes payable and accrued interest to related parties</w:t>
            </w:r>
          </w:p>
        </w:tc>
        <w:tc>
          <w:tcPr>
            <w:tcW w:w="18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5"/>
                <w:szCs w:val="15"/>
                <w:color w:val="auto"/>
              </w:rPr>
              <w:t>159,630</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210,788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Convertible promissory notes, net of current portion</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3,325,989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gridSpan w:val="2"/>
          </w:tcPr>
          <w:p>
            <w:pPr>
              <w:ind w:left="160"/>
              <w:spacing w:after="0"/>
              <w:rPr>
                <w:sz w:val="20"/>
                <w:szCs w:val="20"/>
                <w:color w:val="auto"/>
              </w:rPr>
            </w:pPr>
            <w:r>
              <w:rPr>
                <w:rFonts w:ascii="Arial" w:cs="Arial" w:eastAsia="Arial" w:hAnsi="Arial"/>
                <w:sz w:val="15"/>
                <w:szCs w:val="15"/>
                <w:color w:val="auto"/>
              </w:rPr>
              <w:t>Accrued interest on convertible promissory notes</w:t>
            </w:r>
          </w:p>
        </w:tc>
        <w:tc>
          <w:tcPr>
            <w:tcW w:w="18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585,437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Accrued officers’ compensation</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56,986</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56,986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gridSpan w:val="2"/>
          </w:tcPr>
          <w:p>
            <w:pPr>
              <w:ind w:left="160"/>
              <w:spacing w:after="0"/>
              <w:rPr>
                <w:sz w:val="20"/>
                <w:szCs w:val="20"/>
                <w:color w:val="auto"/>
              </w:rPr>
            </w:pPr>
            <w:r>
              <w:rPr>
                <w:rFonts w:ascii="Arial" w:cs="Arial" w:eastAsia="Arial" w:hAnsi="Arial"/>
                <w:sz w:val="15"/>
                <w:szCs w:val="15"/>
                <w:color w:val="auto"/>
              </w:rPr>
              <w:t>Capital lease obligations</w:t>
            </w:r>
          </w:p>
        </w:tc>
        <w:tc>
          <w:tcPr>
            <w:tcW w:w="18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5"/>
                <w:szCs w:val="15"/>
                <w:color w:val="auto"/>
              </w:rPr>
              <w:t>11,286</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4,517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Accounts payable</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1,140,646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gridSpan w:val="2"/>
          </w:tcPr>
          <w:p>
            <w:pPr>
              <w:ind w:left="160"/>
              <w:spacing w:after="0"/>
              <w:rPr>
                <w:sz w:val="20"/>
                <w:szCs w:val="20"/>
                <w:color w:val="auto"/>
              </w:rPr>
            </w:pPr>
            <w:r>
              <w:rPr>
                <w:rFonts w:ascii="Arial" w:cs="Arial" w:eastAsia="Arial" w:hAnsi="Arial"/>
                <w:sz w:val="15"/>
                <w:szCs w:val="15"/>
                <w:color w:val="auto"/>
              </w:rPr>
              <w:t>Warrant liability</w:t>
            </w:r>
          </w:p>
        </w:tc>
        <w:tc>
          <w:tcPr>
            <w:tcW w:w="18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417,054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2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Total non-current liabilities</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2,943,858</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7,847,649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60" w:type="dxa"/>
            <w:vAlign w:val="bottom"/>
            <w:shd w:val="clear" w:color="auto" w:fill="CCEEFF"/>
          </w:tcPr>
          <w:p>
            <w:pPr>
              <w:spacing w:after="0"/>
              <w:rPr>
                <w:sz w:val="2"/>
                <w:szCs w:val="2"/>
                <w:color w:val="auto"/>
              </w:rPr>
            </w:pPr>
          </w:p>
        </w:tc>
        <w:tc>
          <w:tcPr>
            <w:tcW w:w="70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8120" w:type="dxa"/>
            <w:vAlign w:val="bottom"/>
            <w:gridSpan w:val="2"/>
          </w:tcPr>
          <w:p>
            <w:pPr>
              <w:ind w:left="320"/>
              <w:spacing w:after="0"/>
              <w:rPr>
                <w:sz w:val="20"/>
                <w:szCs w:val="20"/>
                <w:color w:val="auto"/>
              </w:rPr>
            </w:pPr>
            <w:r>
              <w:rPr>
                <w:rFonts w:ascii="Arial" w:cs="Arial" w:eastAsia="Arial" w:hAnsi="Arial"/>
                <w:sz w:val="15"/>
                <w:szCs w:val="15"/>
                <w:color w:val="auto"/>
              </w:rPr>
              <w:t>Total liabilities</w:t>
            </w:r>
          </w:p>
        </w:tc>
        <w:tc>
          <w:tcPr>
            <w:tcW w:w="18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5"/>
                <w:szCs w:val="15"/>
                <w:color w:val="auto"/>
              </w:rPr>
              <w:t>5,162,025</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18,673,335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Commitments and contingencies</w:t>
            </w:r>
          </w:p>
        </w:tc>
        <w:tc>
          <w:tcPr>
            <w:tcW w:w="1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120" w:type="dxa"/>
            <w:vAlign w:val="bottom"/>
            <w:gridSpan w:val="2"/>
          </w:tcPr>
          <w:p>
            <w:pPr>
              <w:spacing w:after="0"/>
              <w:rPr>
                <w:sz w:val="20"/>
                <w:szCs w:val="20"/>
                <w:color w:val="auto"/>
              </w:rPr>
            </w:pPr>
            <w:r>
              <w:rPr>
                <w:rFonts w:ascii="Arial" w:cs="Arial" w:eastAsia="Arial" w:hAnsi="Arial"/>
                <w:sz w:val="15"/>
                <w:szCs w:val="15"/>
                <w:color w:val="auto"/>
                <w:w w:val="95"/>
              </w:rPr>
              <w:t>Preferred stock, no par value; no shares authorized at December 31, 2011; 20,000,000 shares authorized at March 31, 2011; no</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120" w:type="dxa"/>
            <w:vAlign w:val="bottom"/>
            <w:gridSpan w:val="2"/>
          </w:tcPr>
          <w:p>
            <w:pPr>
              <w:ind w:left="320"/>
              <w:spacing w:after="0"/>
              <w:rPr>
                <w:sz w:val="20"/>
                <w:szCs w:val="20"/>
                <w:color w:val="auto"/>
              </w:rPr>
            </w:pPr>
            <w:r>
              <w:rPr>
                <w:rFonts w:ascii="Arial" w:cs="Arial" w:eastAsia="Arial" w:hAnsi="Arial"/>
                <w:sz w:val="15"/>
                <w:szCs w:val="15"/>
                <w:color w:val="auto"/>
              </w:rPr>
              <w:t>shares issued and outstanding at December 31, 2011; 2,884,655 shares issued and outstanding at March 31, 2011</w:t>
            </w:r>
          </w:p>
        </w:tc>
        <w:tc>
          <w:tcPr>
            <w:tcW w:w="18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14,534,811</w:t>
            </w:r>
          </w:p>
        </w:tc>
        <w:tc>
          <w:tcPr>
            <w:tcW w:w="0" w:type="dxa"/>
            <w:vAlign w:val="bottom"/>
          </w:tcPr>
          <w:p>
            <w:pPr>
              <w:spacing w:after="0"/>
              <w:rPr>
                <w:sz w:val="1"/>
                <w:szCs w:val="1"/>
                <w:color w:val="auto"/>
              </w:rPr>
            </w:pPr>
          </w:p>
        </w:tc>
      </w:tr>
      <w:tr>
        <w:trPr>
          <w:trHeight w:val="192"/>
        </w:trPr>
        <w:tc>
          <w:tcPr>
            <w:tcW w:w="8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Stockholders’ deficit:</w:t>
            </w:r>
          </w:p>
        </w:tc>
        <w:tc>
          <w:tcPr>
            <w:tcW w:w="1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120" w:type="dxa"/>
            <w:vAlign w:val="bottom"/>
            <w:gridSpan w:val="2"/>
          </w:tcPr>
          <w:p>
            <w:pPr>
              <w:spacing w:after="0"/>
              <w:rPr>
                <w:sz w:val="20"/>
                <w:szCs w:val="20"/>
                <w:color w:val="auto"/>
              </w:rPr>
            </w:pPr>
            <w:r>
              <w:rPr>
                <w:rFonts w:ascii="Arial" w:cs="Arial" w:eastAsia="Arial" w:hAnsi="Arial"/>
                <w:sz w:val="15"/>
                <w:szCs w:val="15"/>
                <w:color w:val="auto"/>
                <w:w w:val="94"/>
              </w:rPr>
              <w:t>Preferred stock, $0.001 par value; 10,000,000 shares authorized at December 31, 2011; no shares authorized at March 31, 2011;</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120" w:type="dxa"/>
            <w:vAlign w:val="bottom"/>
            <w:gridSpan w:val="2"/>
          </w:tcPr>
          <w:p>
            <w:pPr>
              <w:ind w:left="320"/>
              <w:spacing w:after="0"/>
              <w:rPr>
                <w:sz w:val="20"/>
                <w:szCs w:val="20"/>
                <w:color w:val="auto"/>
              </w:rPr>
            </w:pPr>
            <w:r>
              <w:rPr>
                <w:rFonts w:ascii="Arial" w:cs="Arial" w:eastAsia="Arial" w:hAnsi="Arial"/>
                <w:sz w:val="15"/>
                <w:szCs w:val="15"/>
                <w:color w:val="auto"/>
                <w:w w:val="93"/>
              </w:rPr>
              <w:t>437,055 Series A shares issued and outstanding at December 31, 2011; no shares issued and outstanding at March 31, 2011</w:t>
            </w:r>
          </w:p>
        </w:tc>
        <w:tc>
          <w:tcPr>
            <w:tcW w:w="18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5"/>
                <w:szCs w:val="15"/>
                <w:color w:val="auto"/>
              </w:rPr>
              <w:t>437</w:t>
            </w:r>
          </w:p>
        </w:tc>
        <w:tc>
          <w:tcPr>
            <w:tcW w:w="24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8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w w:val="96"/>
              </w:rPr>
              <w:t>Common stock, $0.001 par value; 200,000,000 and 75,000,000 shares authorized at December 31, 2011 and March 31, 2011,</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12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respectively; 18,512,506 and 5,241,110 shares issued at December 31, 2011 and March 31, 2011, respectively</w:t>
            </w: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16,429</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120" w:type="dxa"/>
            <w:vAlign w:val="bottom"/>
            <w:gridSpan w:val="2"/>
          </w:tcPr>
          <w:p>
            <w:pPr>
              <w:spacing w:after="0"/>
              <w:rPr>
                <w:sz w:val="20"/>
                <w:szCs w:val="20"/>
                <w:color w:val="auto"/>
              </w:rPr>
            </w:pPr>
            <w:r>
              <w:rPr>
                <w:rFonts w:ascii="Arial" w:cs="Arial" w:eastAsia="Arial" w:hAnsi="Arial"/>
                <w:sz w:val="15"/>
                <w:szCs w:val="15"/>
                <w:color w:val="auto"/>
              </w:rPr>
              <w:t>Additional paid-in capital</w:t>
            </w:r>
          </w:p>
        </w:tc>
        <w:tc>
          <w:tcPr>
            <w:tcW w:w="180" w:type="dxa"/>
            <w:vAlign w:val="bottom"/>
          </w:tcPr>
          <w:p>
            <w:pPr>
              <w:spacing w:after="0"/>
              <w:rPr>
                <w:sz w:val="16"/>
                <w:szCs w:val="16"/>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5"/>
                <w:szCs w:val="15"/>
                <w:color w:val="auto"/>
              </w:rPr>
              <w:t>50,691,191</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9,867,355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w w:val="99"/>
              </w:rPr>
              <w:t>Treasury stock, at cost, 2,083,858 shares of common stock held at December 31, 2011; no shares held at March 31, 2011</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(3,231,670)</w:t>
            </w: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8120" w:type="dxa"/>
            <w:vAlign w:val="bottom"/>
            <w:gridSpan w:val="2"/>
          </w:tcPr>
          <w:p>
            <w:pPr>
              <w:spacing w:after="0"/>
              <w:rPr>
                <w:sz w:val="20"/>
                <w:szCs w:val="20"/>
                <w:color w:val="auto"/>
              </w:rPr>
            </w:pPr>
            <w:r>
              <w:rPr>
                <w:rFonts w:ascii="Arial" w:cs="Arial" w:eastAsia="Arial" w:hAnsi="Arial"/>
                <w:sz w:val="15"/>
                <w:szCs w:val="15"/>
                <w:color w:val="auto"/>
                <w:w w:val="96"/>
              </w:rPr>
              <w:t>Notes and other receivables from sale of common stock to and upon exercise of warrants by others at December 31, 2011 and</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120" w:type="dxa"/>
            <w:vAlign w:val="bottom"/>
            <w:gridSpan w:val="2"/>
          </w:tcPr>
          <w:p>
            <w:pPr>
              <w:ind w:left="320"/>
              <w:spacing w:after="0"/>
              <w:rPr>
                <w:sz w:val="20"/>
                <w:szCs w:val="20"/>
                <w:color w:val="auto"/>
              </w:rPr>
            </w:pPr>
            <w:r>
              <w:rPr>
                <w:rFonts w:ascii="Arial" w:cs="Arial" w:eastAsia="Arial" w:hAnsi="Arial"/>
                <w:sz w:val="15"/>
                <w:szCs w:val="15"/>
                <w:color w:val="auto"/>
              </w:rPr>
              <w:t>upon exercise of options and warrants by related parties at March, 31, 2011</w:t>
            </w:r>
          </w:p>
        </w:tc>
        <w:tc>
          <w:tcPr>
            <w:tcW w:w="18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5"/>
                <w:szCs w:val="15"/>
                <w:color w:val="auto"/>
              </w:rPr>
              <w:t>(498,129)</w:t>
            </w:r>
          </w:p>
        </w:tc>
        <w:tc>
          <w:tcPr>
            <w:tcW w:w="24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5"/>
                <w:szCs w:val="15"/>
                <w:color w:val="auto"/>
              </w:rPr>
              <w:t>(184,083)</w:t>
            </w:r>
          </w:p>
        </w:tc>
        <w:tc>
          <w:tcPr>
            <w:tcW w:w="0" w:type="dxa"/>
            <w:vAlign w:val="bottom"/>
          </w:tcPr>
          <w:p>
            <w:pPr>
              <w:spacing w:after="0"/>
              <w:rPr>
                <w:sz w:val="1"/>
                <w:szCs w:val="1"/>
                <w:color w:val="auto"/>
              </w:rPr>
            </w:pPr>
          </w:p>
        </w:tc>
      </w:tr>
      <w:tr>
        <w:trPr>
          <w:trHeight w:val="195"/>
        </w:trPr>
        <w:tc>
          <w:tcPr>
            <w:tcW w:w="81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Deficit accumulated during development stage</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(51,740,566)</w:t>
            </w: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(42,572,977)</w:t>
            </w:r>
          </w:p>
        </w:tc>
        <w:tc>
          <w:tcPr>
            <w:tcW w:w="0" w:type="dxa"/>
            <w:vAlign w:val="bottom"/>
          </w:tcPr>
          <w:p>
            <w:pPr>
              <w:spacing w:after="0"/>
              <w:rPr>
                <w:sz w:val="1"/>
                <w:szCs w:val="1"/>
                <w:color w:val="auto"/>
              </w:rPr>
            </w:pPr>
          </w:p>
        </w:tc>
      </w:tr>
      <w:tr>
        <w:trPr>
          <w:trHeight w:val="26"/>
        </w:trPr>
        <w:tc>
          <w:tcPr>
            <w:tcW w:w="1060" w:type="dxa"/>
            <w:vAlign w:val="bottom"/>
            <w:shd w:val="clear" w:color="auto" w:fill="CCEEFF"/>
          </w:tcPr>
          <w:p>
            <w:pPr>
              <w:spacing w:after="0"/>
              <w:rPr>
                <w:sz w:val="2"/>
                <w:szCs w:val="2"/>
                <w:color w:val="auto"/>
              </w:rPr>
            </w:pPr>
          </w:p>
        </w:tc>
        <w:tc>
          <w:tcPr>
            <w:tcW w:w="70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120" w:type="dxa"/>
            <w:vAlign w:val="bottom"/>
            <w:gridSpan w:val="2"/>
          </w:tcPr>
          <w:p>
            <w:pPr>
              <w:ind w:left="320"/>
              <w:spacing w:after="0"/>
              <w:rPr>
                <w:sz w:val="20"/>
                <w:szCs w:val="20"/>
                <w:color w:val="auto"/>
              </w:rPr>
            </w:pPr>
            <w:r>
              <w:rPr>
                <w:rFonts w:ascii="Arial" w:cs="Arial" w:eastAsia="Arial" w:hAnsi="Arial"/>
                <w:sz w:val="15"/>
                <w:szCs w:val="15"/>
                <w:color w:val="auto"/>
              </w:rPr>
              <w:t>Total stockholders’ deficit</w:t>
            </w:r>
          </w:p>
        </w:tc>
        <w:tc>
          <w:tcPr>
            <w:tcW w:w="180" w:type="dxa"/>
            <w:vAlign w:val="bottom"/>
          </w:tcPr>
          <w:p>
            <w:pPr>
              <w:spacing w:after="0"/>
              <w:rPr>
                <w:sz w:val="16"/>
                <w:szCs w:val="16"/>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5"/>
                <w:szCs w:val="15"/>
                <w:color w:val="auto"/>
              </w:rPr>
              <w:t>(4,762,308)</w:t>
            </w:r>
          </w:p>
        </w:tc>
        <w:tc>
          <w:tcPr>
            <w:tcW w:w="240" w:type="dxa"/>
            <w:vAlign w:val="bottom"/>
          </w:tcPr>
          <w:p>
            <w:pPr>
              <w:spacing w:after="0"/>
              <w:rPr>
                <w:sz w:val="16"/>
                <w:szCs w:val="16"/>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5"/>
                <w:szCs w:val="15"/>
                <w:color w:val="auto"/>
              </w:rPr>
              <w:t>(32,884,464)</w:t>
            </w:r>
          </w:p>
        </w:tc>
        <w:tc>
          <w:tcPr>
            <w:tcW w:w="0" w:type="dxa"/>
            <w:vAlign w:val="bottom"/>
          </w:tcPr>
          <w:p>
            <w:pPr>
              <w:spacing w:after="0"/>
              <w:rPr>
                <w:sz w:val="1"/>
                <w:szCs w:val="1"/>
                <w:color w:val="auto"/>
              </w:rPr>
            </w:pPr>
          </w:p>
        </w:tc>
      </w:tr>
      <w:tr>
        <w:trPr>
          <w:trHeight w:val="26"/>
        </w:trPr>
        <w:tc>
          <w:tcPr>
            <w:tcW w:w="10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12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5"/>
                <w:szCs w:val="15"/>
                <w:color w:val="auto"/>
              </w:rPr>
              <w:t>Total liabilities, preferred stock and stockholders’ deficit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399,717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7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May 26, 1998</w:t>
            </w:r>
          </w:p>
        </w:tc>
      </w:tr>
      <w:tr>
        <w:trPr>
          <w:trHeight w:val="205"/>
        </w:trPr>
        <w:tc>
          <w:tcPr>
            <w:tcW w:w="4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(Inception)</w:t>
            </w:r>
          </w:p>
        </w:tc>
      </w:tr>
      <w:tr>
        <w:trPr>
          <w:trHeight w:val="205"/>
        </w:trPr>
        <w:tc>
          <w:tcPr>
            <w:tcW w:w="4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gridSpan w:val="6"/>
          </w:tcPr>
          <w:p>
            <w:pPr>
              <w:jc w:val="right"/>
              <w:ind w:right="520"/>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6"/>
          </w:tcPr>
          <w:p>
            <w:pPr>
              <w:jc w:val="right"/>
              <w:ind w:right="640"/>
              <w:spacing w:after="0"/>
              <w:rPr>
                <w:sz w:val="20"/>
                <w:szCs w:val="20"/>
                <w:color w:val="auto"/>
              </w:rPr>
            </w:pPr>
            <w:r>
              <w:rPr>
                <w:rFonts w:ascii="Arial" w:cs="Arial" w:eastAsia="Arial" w:hAnsi="Arial"/>
                <w:sz w:val="17"/>
                <w:szCs w:val="17"/>
                <w:b w:val="1"/>
                <w:bCs w:val="1"/>
                <w:color w:val="auto"/>
              </w:rPr>
              <w:t>Nine Months Ended</w:t>
            </w:r>
          </w:p>
        </w:tc>
        <w:tc>
          <w:tcPr>
            <w:tcW w:w="20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Through</w:t>
            </w:r>
          </w:p>
        </w:tc>
      </w:tr>
      <w:tr>
        <w:trPr>
          <w:trHeight w:val="227"/>
        </w:trPr>
        <w:tc>
          <w:tcPr>
            <w:tcW w:w="4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gridSpan w:val="6"/>
          </w:tcPr>
          <w:p>
            <w:pPr>
              <w:jc w:val="right"/>
              <w:ind w:right="800"/>
              <w:spacing w:after="0"/>
              <w:rPr>
                <w:sz w:val="20"/>
                <w:szCs w:val="20"/>
                <w:color w:val="auto"/>
              </w:rPr>
            </w:pPr>
            <w:r>
              <w:rPr>
                <w:rFonts w:ascii="Arial" w:cs="Arial" w:eastAsia="Arial" w:hAnsi="Arial"/>
                <w:sz w:val="17"/>
                <w:szCs w:val="17"/>
                <w:b w:val="1"/>
                <w:bCs w:val="1"/>
                <w:color w:val="auto"/>
              </w:rPr>
              <w:t>December 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gridSpan w:val="6"/>
          </w:tcPr>
          <w:p>
            <w:pPr>
              <w:jc w:val="right"/>
              <w:ind w:right="880"/>
              <w:spacing w:after="0"/>
              <w:rPr>
                <w:sz w:val="20"/>
                <w:szCs w:val="20"/>
                <w:color w:val="auto"/>
              </w:rPr>
            </w:pPr>
            <w:r>
              <w:rPr>
                <w:rFonts w:ascii="Arial" w:cs="Arial" w:eastAsia="Arial" w:hAnsi="Arial"/>
                <w:sz w:val="17"/>
                <w:szCs w:val="17"/>
                <w:b w:val="1"/>
                <w:bCs w:val="1"/>
                <w:color w:val="auto"/>
              </w:rPr>
              <w:t>December 31,</w:t>
            </w:r>
          </w:p>
        </w:tc>
        <w:tc>
          <w:tcPr>
            <w:tcW w:w="200" w:type="dxa"/>
            <w:vAlign w:val="bottom"/>
          </w:tcPr>
          <w:p>
            <w:pPr>
              <w:spacing w:after="0"/>
              <w:rPr>
                <w:sz w:val="19"/>
                <w:szCs w:val="19"/>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December 31,</w:t>
            </w:r>
          </w:p>
        </w:tc>
      </w:tr>
      <w:tr>
        <w:trPr>
          <w:trHeight w:val="211"/>
        </w:trPr>
        <w:tc>
          <w:tcPr>
            <w:tcW w:w="45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2011</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w w:val="84"/>
              </w:rPr>
              <w:t>2011</w:t>
            </w:r>
          </w:p>
        </w:tc>
        <w:tc>
          <w:tcPr>
            <w:tcW w:w="100" w:type="dxa"/>
            <w:vAlign w:val="bottom"/>
          </w:tcPr>
          <w:p>
            <w:pPr>
              <w:spacing w:after="0"/>
              <w:rPr>
                <w:sz w:val="18"/>
                <w:szCs w:val="18"/>
                <w:color w:val="auto"/>
              </w:rPr>
            </w:pPr>
          </w:p>
        </w:tc>
      </w:tr>
      <w:tr>
        <w:trPr>
          <w:trHeight w:val="204"/>
        </w:trPr>
        <w:tc>
          <w:tcPr>
            <w:tcW w:w="4580" w:type="dxa"/>
            <w:vAlign w:val="bottom"/>
          </w:tcPr>
          <w:p>
            <w:pPr>
              <w:spacing w:after="0"/>
              <w:rPr>
                <w:sz w:val="20"/>
                <w:szCs w:val="20"/>
                <w:color w:val="auto"/>
              </w:rPr>
            </w:pPr>
            <w:r>
              <w:rPr>
                <w:rFonts w:ascii="Arial" w:cs="Arial" w:eastAsia="Arial" w:hAnsi="Arial"/>
                <w:sz w:val="17"/>
                <w:szCs w:val="17"/>
                <w:color w:val="auto"/>
              </w:rPr>
              <w:t>Revenues: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45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Grant revenue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2,365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584,772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873,269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1,718,269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12,293,822</w:t>
            </w:r>
          </w:p>
        </w:tc>
      </w:tr>
      <w:tr>
        <w:trPr>
          <w:trHeight w:val="205"/>
        </w:trPr>
        <w:tc>
          <w:tcPr>
            <w:tcW w:w="4580" w:type="dxa"/>
            <w:vAlign w:val="bottom"/>
          </w:tcPr>
          <w:p>
            <w:pPr>
              <w:ind w:left="160"/>
              <w:spacing w:after="0"/>
              <w:rPr>
                <w:sz w:val="20"/>
                <w:szCs w:val="20"/>
                <w:color w:val="auto"/>
              </w:rPr>
            </w:pPr>
            <w:r>
              <w:rPr>
                <w:rFonts w:ascii="Arial" w:cs="Arial" w:eastAsia="Arial" w:hAnsi="Arial"/>
                <w:sz w:val="17"/>
                <w:szCs w:val="17"/>
                <w:color w:val="auto"/>
              </w:rPr>
              <w:t>Collaboration revenue</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2,283,618</w:t>
            </w:r>
          </w:p>
        </w:tc>
        <w:tc>
          <w:tcPr>
            <w:tcW w:w="100" w:type="dxa"/>
            <w:vAlign w:val="bottom"/>
          </w:tcPr>
          <w:p>
            <w:pPr>
              <w:spacing w:after="0"/>
              <w:rPr>
                <w:sz w:val="17"/>
                <w:szCs w:val="17"/>
                <w:color w:val="auto"/>
              </w:rPr>
            </w:pPr>
          </w:p>
        </w:tc>
      </w:tr>
      <w:tr>
        <w:trPr>
          <w:trHeight w:val="211"/>
        </w:trPr>
        <w:tc>
          <w:tcPr>
            <w:tcW w:w="45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1,123,494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1"/>
        </w:trPr>
        <w:tc>
          <w:tcPr>
            <w:tcW w:w="4580" w:type="dxa"/>
            <w:vAlign w:val="bottom"/>
          </w:tcPr>
          <w:p>
            <w:pPr>
              <w:ind w:left="320"/>
              <w:spacing w:after="0"/>
              <w:rPr>
                <w:sz w:val="20"/>
                <w:szCs w:val="20"/>
                <w:color w:val="auto"/>
              </w:rPr>
            </w:pPr>
            <w:r>
              <w:rPr>
                <w:rFonts w:ascii="Arial" w:cs="Arial" w:eastAsia="Arial" w:hAnsi="Arial"/>
                <w:sz w:val="17"/>
                <w:szCs w:val="17"/>
                <w:color w:val="auto"/>
              </w:rPr>
              <w:t>Total revenues</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2,365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584,772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873,269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1,718,269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15,700,934</w:t>
            </w:r>
          </w:p>
        </w:tc>
      </w:tr>
      <w:tr>
        <w:trPr>
          <w:trHeight w:val="205"/>
        </w:trPr>
        <w:tc>
          <w:tcPr>
            <w:tcW w:w="4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58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1,305,585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446,811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3,560,999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1,813,509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24,297,267</w:t>
            </w:r>
          </w:p>
        </w:tc>
      </w:tr>
      <w:tr>
        <w:trPr>
          <w:trHeight w:val="205"/>
        </w:trPr>
        <w:tc>
          <w:tcPr>
            <w:tcW w:w="45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Acquired in-process research and development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7,523,179</w:t>
            </w:r>
          </w:p>
        </w:tc>
        <w:tc>
          <w:tcPr>
            <w:tcW w:w="100" w:type="dxa"/>
            <w:vAlign w:val="bottom"/>
            <w:shd w:val="clear" w:color="auto" w:fill="CCEEFF"/>
          </w:tcPr>
          <w:p>
            <w:pPr>
              <w:spacing w:after="0"/>
              <w:rPr>
                <w:sz w:val="17"/>
                <w:szCs w:val="17"/>
                <w:color w:val="auto"/>
              </w:rPr>
            </w:pPr>
          </w:p>
        </w:tc>
      </w:tr>
      <w:tr>
        <w:trPr>
          <w:trHeight w:val="205"/>
        </w:trPr>
        <w:tc>
          <w:tcPr>
            <w:tcW w:w="4580" w:type="dxa"/>
            <w:vAlign w:val="bottom"/>
          </w:tcPr>
          <w:p>
            <w:pPr>
              <w:ind w:left="16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1,547,942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2,665,110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3,569,130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3,754,936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25,690,609</w:t>
            </w:r>
          </w:p>
        </w:tc>
      </w:tr>
      <w:tr>
        <w:trPr>
          <w:trHeight w:val="26"/>
        </w:trPr>
        <w:tc>
          <w:tcPr>
            <w:tcW w:w="4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45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operating expenses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2,853,527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3,111,921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7,130,129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5,568,445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57,511,055</w:t>
            </w:r>
          </w:p>
        </w:tc>
      </w:tr>
      <w:tr>
        <w:trPr>
          <w:trHeight w:val="26"/>
        </w:trPr>
        <w:tc>
          <w:tcPr>
            <w:tcW w:w="45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(2,851,162)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(2,527,149)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(6,256,860)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(3,850,176)</w:t>
            </w:r>
          </w:p>
        </w:tc>
        <w:tc>
          <w:tcPr>
            <w:tcW w:w="20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7"/>
                <w:szCs w:val="17"/>
                <w:color w:val="auto"/>
              </w:rPr>
              <w:t>(41,810,121)</w:t>
            </w:r>
          </w:p>
        </w:tc>
      </w:tr>
      <w:tr>
        <w:trPr>
          <w:trHeight w:val="205"/>
        </w:trPr>
        <w:tc>
          <w:tcPr>
            <w:tcW w:w="4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expenses, net: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580" w:type="dxa"/>
            <w:vAlign w:val="bottom"/>
          </w:tcPr>
          <w:p>
            <w:pPr>
              <w:ind w:left="160"/>
              <w:spacing w:after="0"/>
              <w:rPr>
                <w:sz w:val="20"/>
                <w:szCs w:val="20"/>
                <w:color w:val="auto"/>
              </w:rPr>
            </w:pPr>
            <w:r>
              <w:rPr>
                <w:rFonts w:ascii="Arial" w:cs="Arial" w:eastAsia="Arial" w:hAnsi="Arial"/>
                <w:sz w:val="17"/>
                <w:szCs w:val="17"/>
                <w:color w:val="auto"/>
              </w:rPr>
              <w:t>Interest expense, net</w:t>
            </w:r>
          </w:p>
        </w:tc>
        <w:tc>
          <w:tcPr>
            <w:tcW w:w="1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(455,525)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(1,009,469)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(1,637,644)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(2,251,058)</w:t>
            </w:r>
          </w:p>
        </w:tc>
        <w:tc>
          <w:tcPr>
            <w:tcW w:w="20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7"/>
                <w:szCs w:val="17"/>
                <w:color w:val="auto"/>
              </w:rPr>
              <w:t>(9,185,937)</w:t>
            </w:r>
          </w:p>
        </w:tc>
      </w:tr>
      <w:tr>
        <w:trPr>
          <w:trHeight w:val="205"/>
        </w:trPr>
        <w:tc>
          <w:tcPr>
            <w:tcW w:w="45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w w:val="93"/>
              </w:rPr>
              <w:t>Change in put and note extension option and warrant liabilities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144,070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(77,984)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156,956</w:t>
            </w: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418,478</w:t>
            </w:r>
          </w:p>
        </w:tc>
      </w:tr>
      <w:tr>
        <w:trPr>
          <w:trHeight w:val="205"/>
        </w:trPr>
        <w:tc>
          <w:tcPr>
            <w:tcW w:w="4580" w:type="dxa"/>
            <w:vAlign w:val="bottom"/>
          </w:tcPr>
          <w:p>
            <w:pPr>
              <w:ind w:left="160"/>
              <w:spacing w:after="0"/>
              <w:rPr>
                <w:sz w:val="20"/>
                <w:szCs w:val="20"/>
                <w:color w:val="auto"/>
              </w:rPr>
            </w:pPr>
            <w:r>
              <w:rPr>
                <w:rFonts w:ascii="Arial" w:cs="Arial" w:eastAsia="Arial" w:hAnsi="Arial"/>
                <w:sz w:val="17"/>
                <w:szCs w:val="17"/>
                <w:color w:val="auto"/>
              </w:rPr>
              <w:t>Loss on early extinguishment of debt</w:t>
            </w:r>
          </w:p>
        </w:tc>
        <w:tc>
          <w:tcPr>
            <w:tcW w:w="1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(1,193,500)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(1,193,500)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7"/>
                <w:szCs w:val="17"/>
                <w:color w:val="auto"/>
              </w:rPr>
              <w:t>(1,193,500)</w:t>
            </w:r>
          </w:p>
        </w:tc>
      </w:tr>
      <w:tr>
        <w:trPr>
          <w:trHeight w:val="205"/>
        </w:trPr>
        <w:tc>
          <w:tcPr>
            <w:tcW w:w="45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income</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47,323</w:t>
            </w:r>
          </w:p>
        </w:tc>
      </w:tr>
      <w:tr>
        <w:trPr>
          <w:trHeight w:val="26"/>
        </w:trPr>
        <w:tc>
          <w:tcPr>
            <w:tcW w:w="45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1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(4,500,187)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(3,392,548)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(9,165,988)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(5,944,278)</w:t>
            </w:r>
          </w:p>
        </w:tc>
        <w:tc>
          <w:tcPr>
            <w:tcW w:w="20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7"/>
                <w:szCs w:val="17"/>
                <w:color w:val="auto"/>
              </w:rPr>
              <w:t>(51,723,757)</w:t>
            </w:r>
          </w:p>
        </w:tc>
      </w:tr>
      <w:tr>
        <w:trPr>
          <w:trHeight w:val="205"/>
        </w:trPr>
        <w:tc>
          <w:tcPr>
            <w:tcW w:w="4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(1,600)</w:t>
            </w: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(16,809)</w:t>
            </w:r>
          </w:p>
        </w:tc>
      </w:tr>
      <w:tr>
        <w:trPr>
          <w:trHeight w:val="26"/>
        </w:trPr>
        <w:tc>
          <w:tcPr>
            <w:tcW w:w="45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(4,500,187)</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(3,392,548)</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(9,167,588)</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(5,945,878)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40"/>
              <w:spacing w:after="0"/>
              <w:rPr>
                <w:sz w:val="20"/>
                <w:szCs w:val="20"/>
                <w:color w:val="auto"/>
              </w:rPr>
            </w:pPr>
            <w:r>
              <w:rPr>
                <w:rFonts w:ascii="Arial" w:cs="Arial" w:eastAsia="Arial" w:hAnsi="Arial"/>
                <w:sz w:val="17"/>
                <w:szCs w:val="17"/>
                <w:color w:val="auto"/>
              </w:rPr>
              <w:t>(51,740,566)</w:t>
            </w:r>
          </w:p>
        </w:tc>
      </w:tr>
      <w:tr>
        <w:trPr>
          <w:trHeight w:val="20"/>
        </w:trPr>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Basic and diluted net loss per common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(0.28)</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(0.65)</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(0.65)</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(1.13)</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4"/>
        </w:trPr>
        <w:tc>
          <w:tcPr>
            <w:tcW w:w="4580" w:type="dxa"/>
            <w:vAlign w:val="bottom"/>
            <w:tcBorders>
              <w:right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w w:val="91"/>
              </w:rPr>
              <w:t>Weighted average shares used in computing basic and diluted net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7"/>
        </w:trPr>
        <w:tc>
          <w:tcPr>
            <w:tcW w:w="45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loss per common share</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16,035,861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5,240,110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14,139,007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5,240,110</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4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gridSpan w:val="2"/>
          </w:tcPr>
          <w:p>
            <w:pPr>
              <w:jc w:val="center"/>
              <w:ind w:left="4175"/>
              <w:spacing w:after="0"/>
              <w:rPr>
                <w:sz w:val="20"/>
                <w:szCs w:val="20"/>
                <w:color w:val="auto"/>
              </w:rPr>
            </w:pPr>
            <w:r>
              <w:rPr>
                <w:rFonts w:ascii="Arial" w:cs="Arial" w:eastAsia="Arial" w:hAnsi="Arial"/>
                <w:sz w:val="17"/>
                <w:szCs w:val="17"/>
                <w:b w:val="1"/>
                <w:bCs w:val="1"/>
                <w:color w:val="auto"/>
              </w:rPr>
              <w:t>VISTAGEN THERAPEUTICS, INC.</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tcPr>
          <w:p>
            <w:pPr>
              <w:jc w:val="center"/>
              <w:ind w:left="4475"/>
              <w:spacing w:after="0"/>
              <w:rPr>
                <w:sz w:val="20"/>
                <w:szCs w:val="20"/>
                <w:color w:val="auto"/>
              </w:rPr>
            </w:pPr>
            <w:r>
              <w:rPr>
                <w:rFonts w:ascii="Arial" w:cs="Arial" w:eastAsia="Arial" w:hAnsi="Arial"/>
                <w:sz w:val="17"/>
                <w:szCs w:val="17"/>
                <w:b w:val="1"/>
                <w:bCs w:val="1"/>
                <w:color w:val="auto"/>
                <w:w w:val="88"/>
              </w:rPr>
              <w:t>(a development stage company)</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40" w:type="dxa"/>
            <w:vAlign w:val="bottom"/>
            <w:gridSpan w:val="6"/>
          </w:tcPr>
          <w:p>
            <w:pPr>
              <w:jc w:val="center"/>
              <w:ind w:left="2695"/>
              <w:spacing w:after="0"/>
              <w:rPr>
                <w:sz w:val="20"/>
                <w:szCs w:val="20"/>
                <w:color w:val="auto"/>
              </w:rPr>
            </w:pPr>
            <w:r>
              <w:rPr>
                <w:rFonts w:ascii="Arial" w:cs="Arial" w:eastAsia="Arial" w:hAnsi="Arial"/>
                <w:sz w:val="17"/>
                <w:szCs w:val="17"/>
                <w:b w:val="1"/>
                <w:bCs w:val="1"/>
                <w:color w:val="auto"/>
                <w:w w:val="99"/>
              </w:rPr>
              <w:t>CONDENSED CONSOLIDATED STATEMENTS OF CASH FLOWS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860" w:type="dxa"/>
            <w:vAlign w:val="bottom"/>
          </w:tcPr>
          <w:p>
            <w:pPr>
              <w:jc w:val="center"/>
              <w:ind w:left="4495"/>
              <w:spacing w:after="0"/>
              <w:rPr>
                <w:sz w:val="20"/>
                <w:szCs w:val="20"/>
                <w:color w:val="auto"/>
              </w:rPr>
            </w:pPr>
            <w:r>
              <w:rPr>
                <w:rFonts w:ascii="Arial" w:cs="Arial" w:eastAsia="Arial" w:hAnsi="Arial"/>
                <w:sz w:val="17"/>
                <w:szCs w:val="17"/>
                <w:b w:val="1"/>
                <w:bCs w:val="1"/>
                <w:color w:val="auto"/>
                <w:w w:val="93"/>
              </w:rPr>
              <w:t>(Unaudited)</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7"/>
                <w:szCs w:val="17"/>
                <w:b w:val="1"/>
                <w:bCs w:val="1"/>
                <w:color w:val="auto"/>
                <w:w w:val="91"/>
              </w:rPr>
              <w:t>Period From</w:t>
            </w:r>
          </w:p>
        </w:tc>
        <w:tc>
          <w:tcPr>
            <w:tcW w:w="0" w:type="dxa"/>
            <w:vAlign w:val="bottom"/>
          </w:tcPr>
          <w:p>
            <w:pPr>
              <w:spacing w:after="0"/>
              <w:rPr>
                <w:sz w:val="1"/>
                <w:szCs w:val="1"/>
                <w:color w:val="auto"/>
              </w:rPr>
            </w:pPr>
          </w:p>
        </w:tc>
      </w:tr>
      <w:tr>
        <w:trPr>
          <w:trHeight w:val="190"/>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May 26, 1998</w:t>
            </w:r>
          </w:p>
        </w:tc>
        <w:tc>
          <w:tcPr>
            <w:tcW w:w="0" w:type="dxa"/>
            <w:vAlign w:val="bottom"/>
          </w:tcPr>
          <w:p>
            <w:pPr>
              <w:spacing w:after="0"/>
              <w:rPr>
                <w:sz w:val="1"/>
                <w:szCs w:val="1"/>
                <w:color w:val="auto"/>
              </w:rPr>
            </w:pPr>
          </w:p>
        </w:tc>
      </w:tr>
      <w:tr>
        <w:trPr>
          <w:trHeight w:val="205"/>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(Inception)</w:t>
            </w:r>
          </w:p>
        </w:tc>
        <w:tc>
          <w:tcPr>
            <w:tcW w:w="0" w:type="dxa"/>
            <w:vAlign w:val="bottom"/>
          </w:tcPr>
          <w:p>
            <w:pPr>
              <w:spacing w:after="0"/>
              <w:rPr>
                <w:sz w:val="1"/>
                <w:szCs w:val="1"/>
                <w:color w:val="auto"/>
              </w:rPr>
            </w:pPr>
          </w:p>
        </w:tc>
      </w:tr>
      <w:tr>
        <w:trPr>
          <w:trHeight w:val="205"/>
        </w:trPr>
        <w:tc>
          <w:tcPr>
            <w:tcW w:w="6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60" w:type="dxa"/>
            <w:vAlign w:val="bottom"/>
            <w:gridSpan w:val="6"/>
          </w:tcPr>
          <w:p>
            <w:pPr>
              <w:jc w:val="right"/>
              <w:ind w:right="780"/>
              <w:spacing w:after="0"/>
              <w:rPr>
                <w:sz w:val="20"/>
                <w:szCs w:val="20"/>
                <w:color w:val="auto"/>
              </w:rPr>
            </w:pPr>
            <w:r>
              <w:rPr>
                <w:rFonts w:ascii="Arial" w:cs="Arial" w:eastAsia="Arial" w:hAnsi="Arial"/>
                <w:sz w:val="17"/>
                <w:szCs w:val="17"/>
                <w:b w:val="1"/>
                <w:bCs w:val="1"/>
                <w:color w:val="auto"/>
              </w:rPr>
              <w:t>Nine Months Ended</w:t>
            </w:r>
          </w:p>
        </w:tc>
        <w:tc>
          <w:tcPr>
            <w:tcW w:w="20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Through</w:t>
            </w:r>
          </w:p>
        </w:tc>
        <w:tc>
          <w:tcPr>
            <w:tcW w:w="0" w:type="dxa"/>
            <w:vAlign w:val="bottom"/>
          </w:tcPr>
          <w:p>
            <w:pPr>
              <w:spacing w:after="0"/>
              <w:rPr>
                <w:sz w:val="1"/>
                <w:szCs w:val="1"/>
                <w:color w:val="auto"/>
              </w:rPr>
            </w:pPr>
          </w:p>
        </w:tc>
      </w:tr>
      <w:tr>
        <w:trPr>
          <w:trHeight w:val="227"/>
        </w:trPr>
        <w:tc>
          <w:tcPr>
            <w:tcW w:w="6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7"/>
                <w:szCs w:val="17"/>
                <w:b w:val="1"/>
                <w:bCs w:val="1"/>
                <w:color w:val="auto"/>
              </w:rPr>
              <w:t>December 31,</w:t>
            </w: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December 31,</w:t>
            </w:r>
          </w:p>
        </w:tc>
        <w:tc>
          <w:tcPr>
            <w:tcW w:w="0" w:type="dxa"/>
            <w:vAlign w:val="bottom"/>
          </w:tcPr>
          <w:p>
            <w:pPr>
              <w:spacing w:after="0"/>
              <w:rPr>
                <w:sz w:val="1"/>
                <w:szCs w:val="1"/>
                <w:color w:val="auto"/>
              </w:rPr>
            </w:pPr>
          </w:p>
        </w:tc>
      </w:tr>
      <w:tr>
        <w:trPr>
          <w:trHeight w:val="211"/>
        </w:trPr>
        <w:tc>
          <w:tcPr>
            <w:tcW w:w="6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w w:val="89"/>
              </w:rPr>
              <w:t>2010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w w:val="84"/>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6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loss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(9,167,588)</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(5,945,878)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(51,740,566)</w:t>
            </w:r>
          </w:p>
        </w:tc>
        <w:tc>
          <w:tcPr>
            <w:tcW w:w="0" w:type="dxa"/>
            <w:vAlign w:val="bottom"/>
          </w:tcPr>
          <w:p>
            <w:pPr>
              <w:spacing w:after="0"/>
              <w:rPr>
                <w:sz w:val="1"/>
                <w:szCs w:val="1"/>
                <w:color w:val="auto"/>
              </w:rPr>
            </w:pPr>
          </w:p>
        </w:tc>
      </w:tr>
      <w:tr>
        <w:trPr>
          <w:trHeight w:val="205"/>
        </w:trPr>
        <w:tc>
          <w:tcPr>
            <w:tcW w:w="6860" w:type="dxa"/>
            <w:vAlign w:val="bottom"/>
          </w:tcPr>
          <w:p>
            <w:pPr>
              <w:ind w:left="16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33,478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31,986</w:t>
            </w: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731,566</w:t>
            </w:r>
          </w:p>
        </w:tc>
        <w:tc>
          <w:tcPr>
            <w:tcW w:w="0" w:type="dxa"/>
            <w:vAlign w:val="bottom"/>
          </w:tcPr>
          <w:p>
            <w:pPr>
              <w:spacing w:after="0"/>
              <w:rPr>
                <w:sz w:val="1"/>
                <w:szCs w:val="1"/>
                <w:color w:val="auto"/>
              </w:rPr>
            </w:pPr>
          </w:p>
        </w:tc>
      </w:tr>
      <w:tr>
        <w:trPr>
          <w:trHeight w:val="205"/>
        </w:trPr>
        <w:tc>
          <w:tcPr>
            <w:tcW w:w="6860" w:type="dxa"/>
            <w:vAlign w:val="bottom"/>
          </w:tcPr>
          <w:p>
            <w:pPr>
              <w:ind w:left="320"/>
              <w:spacing w:after="0"/>
              <w:rPr>
                <w:sz w:val="20"/>
                <w:szCs w:val="20"/>
                <w:color w:val="auto"/>
              </w:rPr>
            </w:pPr>
            <w:r>
              <w:rPr>
                <w:rFonts w:ascii="Arial" w:cs="Arial" w:eastAsia="Arial" w:hAnsi="Arial"/>
                <w:sz w:val="17"/>
                <w:szCs w:val="17"/>
                <w:color w:val="auto"/>
              </w:rPr>
              <w:t>Acquired in-process research and development</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7,523,179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imputed discount on non-interest bearing notes</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45,000</w:t>
            </w:r>
          </w:p>
        </w:tc>
        <w:tc>
          <w:tcPr>
            <w:tcW w:w="0" w:type="dxa"/>
            <w:vAlign w:val="bottom"/>
          </w:tcPr>
          <w:p>
            <w:pPr>
              <w:spacing w:after="0"/>
              <w:rPr>
                <w:sz w:val="1"/>
                <w:szCs w:val="1"/>
                <w:color w:val="auto"/>
              </w:rPr>
            </w:pPr>
          </w:p>
        </w:tc>
      </w:tr>
      <w:tr>
        <w:trPr>
          <w:trHeight w:val="205"/>
        </w:trPr>
        <w:tc>
          <w:tcPr>
            <w:tcW w:w="6860" w:type="dxa"/>
            <w:vAlign w:val="bottom"/>
          </w:tcPr>
          <w:p>
            <w:pPr>
              <w:ind w:left="320"/>
              <w:spacing w:after="0"/>
              <w:rPr>
                <w:sz w:val="20"/>
                <w:szCs w:val="20"/>
                <w:color w:val="auto"/>
              </w:rPr>
            </w:pPr>
            <w:r>
              <w:rPr>
                <w:rFonts w:ascii="Arial" w:cs="Arial" w:eastAsia="Arial" w:hAnsi="Arial"/>
                <w:sz w:val="17"/>
                <w:szCs w:val="17"/>
                <w:color w:val="auto"/>
              </w:rPr>
              <w:t>Amortization of discounts on 7%, 7.5% and 10% notes</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57,241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57,529</w:t>
            </w:r>
          </w:p>
        </w:tc>
        <w:tc>
          <w:tcPr>
            <w:tcW w:w="2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259,239</w:t>
            </w: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discounts on Platinum notes</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908,947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829,816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3,548,636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tcPr>
          <w:p>
            <w:pPr>
              <w:ind w:left="320"/>
              <w:spacing w:after="0"/>
              <w:rPr>
                <w:sz w:val="20"/>
                <w:szCs w:val="20"/>
                <w:color w:val="auto"/>
              </w:rPr>
            </w:pPr>
            <w:r>
              <w:rPr>
                <w:rFonts w:ascii="Arial" w:cs="Arial" w:eastAsia="Arial" w:hAnsi="Arial"/>
                <w:sz w:val="17"/>
                <w:szCs w:val="17"/>
                <w:color w:val="auto"/>
              </w:rPr>
              <w:t>Amortization of discounts on August 2010 short-term notes</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14,270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516,013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572,013</w:t>
            </w: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 on early extinguishment of debt</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1,193,500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1,193,500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tcPr>
          <w:p>
            <w:pPr>
              <w:ind w:left="320"/>
              <w:spacing w:after="0"/>
              <w:rPr>
                <w:sz w:val="20"/>
                <w:szCs w:val="20"/>
                <w:color w:val="auto"/>
              </w:rPr>
            </w:pPr>
            <w:r>
              <w:rPr>
                <w:rFonts w:ascii="Arial" w:cs="Arial" w:eastAsia="Arial" w:hAnsi="Arial"/>
                <w:sz w:val="17"/>
                <w:szCs w:val="17"/>
                <w:color w:val="auto"/>
              </w:rPr>
              <w:t>Change in put and note term extension option and warrant liabilities</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77,894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(156,956)</w:t>
            </w:r>
          </w:p>
        </w:tc>
        <w:tc>
          <w:tcPr>
            <w:tcW w:w="20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7"/>
                <w:szCs w:val="17"/>
                <w:color w:val="auto"/>
              </w:rPr>
              <w:t>(418,568)</w:t>
            </w: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Stock-based compensation</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1,447,434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1,221,916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4,210,463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tcPr>
          <w:p>
            <w:pPr>
              <w:ind w:left="320"/>
              <w:spacing w:after="0"/>
              <w:rPr>
                <w:sz w:val="20"/>
                <w:szCs w:val="20"/>
                <w:color w:val="auto"/>
              </w:rPr>
            </w:pPr>
            <w:r>
              <w:rPr>
                <w:rFonts w:ascii="Arial" w:cs="Arial" w:eastAsia="Arial" w:hAnsi="Arial"/>
                <w:sz w:val="17"/>
                <w:szCs w:val="17"/>
                <w:color w:val="auto"/>
              </w:rPr>
              <w:t>Expense related to modification of warrants</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741,663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741,663</w:t>
            </w: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8"/>
              </w:rPr>
              <w:t>Fair value of Series C preferred stock, common stock, and warrants granted for services</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131,250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1,056,642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tcPr>
          <w:p>
            <w:pPr>
              <w:ind w:left="320"/>
              <w:spacing w:after="0"/>
              <w:rPr>
                <w:sz w:val="20"/>
                <w:szCs w:val="20"/>
                <w:color w:val="auto"/>
              </w:rPr>
            </w:pPr>
            <w:r>
              <w:rPr>
                <w:rFonts w:ascii="Arial" w:cs="Arial" w:eastAsia="Arial" w:hAnsi="Arial"/>
                <w:sz w:val="17"/>
                <w:szCs w:val="17"/>
                <w:color w:val="auto"/>
              </w:rPr>
              <w:t>Consulting services by related parties settled by issuing promissory notes</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44,573</w:t>
            </w: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Gain on sale of assets</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(16,748)</w:t>
            </w:r>
          </w:p>
        </w:tc>
        <w:tc>
          <w:tcPr>
            <w:tcW w:w="0" w:type="dxa"/>
            <w:vAlign w:val="bottom"/>
          </w:tcPr>
          <w:p>
            <w:pPr>
              <w:spacing w:after="0"/>
              <w:rPr>
                <w:sz w:val="1"/>
                <w:szCs w:val="1"/>
                <w:color w:val="auto"/>
              </w:rPr>
            </w:pPr>
          </w:p>
        </w:tc>
      </w:tr>
      <w:tr>
        <w:trPr>
          <w:trHeight w:val="205"/>
        </w:trPr>
        <w:tc>
          <w:tcPr>
            <w:tcW w:w="6860" w:type="dxa"/>
            <w:vAlign w:val="bottom"/>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Unbilled contract payments receivable</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34,437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(8,227)</w:t>
            </w: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(7,779)</w:t>
            </w:r>
          </w:p>
        </w:tc>
        <w:tc>
          <w:tcPr>
            <w:tcW w:w="0" w:type="dxa"/>
            <w:vAlign w:val="bottom"/>
          </w:tcPr>
          <w:p>
            <w:pPr>
              <w:spacing w:after="0"/>
              <w:rPr>
                <w:sz w:val="1"/>
                <w:szCs w:val="1"/>
                <w:color w:val="auto"/>
              </w:rPr>
            </w:pPr>
          </w:p>
        </w:tc>
      </w:tr>
      <w:tr>
        <w:trPr>
          <w:trHeight w:val="205"/>
        </w:trPr>
        <w:tc>
          <w:tcPr>
            <w:tcW w:w="6860" w:type="dxa"/>
            <w:vAlign w:val="bottom"/>
          </w:tcPr>
          <w:p>
            <w:pPr>
              <w:ind w:left="460"/>
              <w:spacing w:after="0"/>
              <w:rPr>
                <w:sz w:val="20"/>
                <w:szCs w:val="20"/>
                <w:color w:val="auto"/>
              </w:rPr>
            </w:pPr>
            <w:r>
              <w:rPr>
                <w:rFonts w:ascii="Arial" w:cs="Arial" w:eastAsia="Arial" w:hAnsi="Arial"/>
                <w:sz w:val="17"/>
                <w:szCs w:val="17"/>
                <w:color w:val="auto"/>
              </w:rPr>
              <w:t>Prepaid expenses and other current assets</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458,117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627,475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455,469</w:t>
            </w: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Security deposits and other assets</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(31,144)</w:t>
            </w:r>
          </w:p>
        </w:tc>
        <w:tc>
          <w:tcPr>
            <w:tcW w:w="0" w:type="dxa"/>
            <w:vAlign w:val="bottom"/>
          </w:tcPr>
          <w:p>
            <w:pPr>
              <w:spacing w:after="0"/>
              <w:rPr>
                <w:sz w:val="1"/>
                <w:szCs w:val="1"/>
                <w:color w:val="auto"/>
              </w:rPr>
            </w:pPr>
          </w:p>
        </w:tc>
      </w:tr>
      <w:tr>
        <w:trPr>
          <w:trHeight w:val="205"/>
        </w:trPr>
        <w:tc>
          <w:tcPr>
            <w:tcW w:w="6860" w:type="dxa"/>
            <w:vAlign w:val="bottom"/>
          </w:tcPr>
          <w:p>
            <w:pPr>
              <w:ind w:left="460"/>
              <w:spacing w:after="0"/>
              <w:rPr>
                <w:sz w:val="20"/>
                <w:szCs w:val="20"/>
                <w:color w:val="auto"/>
              </w:rPr>
            </w:pPr>
            <w:r>
              <w:rPr>
                <w:rFonts w:ascii="Arial" w:cs="Arial" w:eastAsia="Arial" w:hAnsi="Arial"/>
                <w:sz w:val="17"/>
                <w:szCs w:val="17"/>
                <w:color w:val="auto"/>
              </w:rPr>
              <w:t>Accounts payable and accrued expenses</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1,267,782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7"/>
              </w:rPr>
              <w:t>2,108,109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15,009,824</w:t>
            </w: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Deferred revenues</w:t>
            </w: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(45,742)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(37,168)</w:t>
            </w: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33,035</w:t>
            </w:r>
          </w:p>
        </w:tc>
        <w:tc>
          <w:tcPr>
            <w:tcW w:w="0" w:type="dxa"/>
            <w:vAlign w:val="bottom"/>
          </w:tcPr>
          <w:p>
            <w:pPr>
              <w:spacing w:after="0"/>
              <w:rPr>
                <w:sz w:val="1"/>
                <w:szCs w:val="1"/>
                <w:color w:val="auto"/>
              </w:rPr>
            </w:pPr>
          </w:p>
        </w:tc>
      </w:tr>
      <w:tr>
        <w:trPr>
          <w:trHeight w:val="26"/>
        </w:trPr>
        <w:tc>
          <w:tcPr>
            <w:tcW w:w="68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860" w:type="dxa"/>
            <w:vAlign w:val="bottom"/>
          </w:tcPr>
          <w:p>
            <w:pPr>
              <w:ind w:left="320"/>
              <w:spacing w:after="0"/>
              <w:rPr>
                <w:sz w:val="20"/>
                <w:szCs w:val="20"/>
                <w:color w:val="auto"/>
              </w:rPr>
            </w:pPr>
            <w:r>
              <w:rPr>
                <w:rFonts w:ascii="Arial" w:cs="Arial" w:eastAsia="Arial" w:hAnsi="Arial"/>
                <w:sz w:val="17"/>
                <w:szCs w:val="17"/>
                <w:color w:val="auto"/>
              </w:rPr>
              <w:t>Net cash used in operating activities</w:t>
            </w:r>
          </w:p>
        </w:tc>
        <w:tc>
          <w:tcPr>
            <w:tcW w:w="3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(2,847,317)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(750,885)</w:t>
            </w:r>
          </w:p>
        </w:tc>
        <w:tc>
          <w:tcPr>
            <w:tcW w:w="2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7"/>
                <w:szCs w:val="17"/>
                <w:color w:val="auto"/>
              </w:rPr>
              <w:t>(16,790,003)</w:t>
            </w: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tcPr>
          <w:p>
            <w:pPr>
              <w:ind w:left="160"/>
              <w:spacing w:after="0"/>
              <w:rPr>
                <w:sz w:val="20"/>
                <w:szCs w:val="20"/>
                <w:color w:val="auto"/>
              </w:rPr>
            </w:pPr>
            <w:r>
              <w:rPr>
                <w:rFonts w:ascii="Arial" w:cs="Arial" w:eastAsia="Arial" w:hAnsi="Arial"/>
                <w:sz w:val="17"/>
                <w:szCs w:val="17"/>
                <w:color w:val="auto"/>
              </w:rPr>
              <w:t>Cash flows from investing activities: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Purchases of equipment, net</w:t>
            </w: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(13,364)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(57,754)</w:t>
            </w: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(661,750)</w:t>
            </w:r>
          </w:p>
        </w:tc>
        <w:tc>
          <w:tcPr>
            <w:tcW w:w="0" w:type="dxa"/>
            <w:vAlign w:val="bottom"/>
          </w:tcPr>
          <w:p>
            <w:pPr>
              <w:spacing w:after="0"/>
              <w:rPr>
                <w:sz w:val="1"/>
                <w:szCs w:val="1"/>
                <w:color w:val="auto"/>
              </w:rPr>
            </w:pPr>
          </w:p>
        </w:tc>
      </w:tr>
      <w:tr>
        <w:trPr>
          <w:trHeight w:val="26"/>
        </w:trPr>
        <w:tc>
          <w:tcPr>
            <w:tcW w:w="68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860" w:type="dxa"/>
            <w:vAlign w:val="bottom"/>
          </w:tcPr>
          <w:p>
            <w:pPr>
              <w:ind w:left="320"/>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(13,364)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(57,754)</w:t>
            </w:r>
          </w:p>
        </w:tc>
        <w:tc>
          <w:tcPr>
            <w:tcW w:w="2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7"/>
                <w:szCs w:val="17"/>
                <w:color w:val="auto"/>
              </w:rPr>
              <w:t>(661,750)</w:t>
            </w: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proceeds from issuance of common stock and warrants, including units</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2,528,442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2,649,246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tcPr>
          <w:p>
            <w:pPr>
              <w:ind w:left="160"/>
              <w:spacing w:after="0"/>
              <w:rPr>
                <w:sz w:val="20"/>
                <w:szCs w:val="20"/>
                <w:color w:val="auto"/>
              </w:rPr>
            </w:pPr>
            <w:r>
              <w:rPr>
                <w:rFonts w:ascii="Arial" w:cs="Arial" w:eastAsia="Arial" w:hAnsi="Arial"/>
                <w:sz w:val="17"/>
                <w:szCs w:val="17"/>
                <w:color w:val="auto"/>
              </w:rPr>
              <w:t>Net proceeds from issuance of preferred stock and warrants</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4,198,571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exercise of warrants under discounted warrant exercise program</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1,037,102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1,037,102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tcPr>
          <w:p>
            <w:pPr>
              <w:ind w:left="160"/>
              <w:spacing w:after="0"/>
              <w:rPr>
                <w:sz w:val="20"/>
                <w:szCs w:val="20"/>
                <w:color w:val="auto"/>
              </w:rPr>
            </w:pPr>
            <w:r>
              <w:rPr>
                <w:rFonts w:ascii="Arial" w:cs="Arial" w:eastAsia="Arial" w:hAnsi="Arial"/>
                <w:sz w:val="17"/>
                <w:szCs w:val="17"/>
                <w:color w:val="auto"/>
              </w:rPr>
              <w:t>Proceeds from issuance of notes under line of credit</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200,000</w:t>
            </w: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issuance of 7% note payable to founding stockholder</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90,000</w:t>
            </w:r>
          </w:p>
        </w:tc>
        <w:tc>
          <w:tcPr>
            <w:tcW w:w="0" w:type="dxa"/>
            <w:vAlign w:val="bottom"/>
          </w:tcPr>
          <w:p>
            <w:pPr>
              <w:spacing w:after="0"/>
              <w:rPr>
                <w:sz w:val="1"/>
                <w:szCs w:val="1"/>
                <w:color w:val="auto"/>
              </w:rPr>
            </w:pPr>
          </w:p>
        </w:tc>
      </w:tr>
      <w:tr>
        <w:trPr>
          <w:trHeight w:val="205"/>
        </w:trPr>
        <w:tc>
          <w:tcPr>
            <w:tcW w:w="6860" w:type="dxa"/>
            <w:vAlign w:val="bottom"/>
          </w:tcPr>
          <w:p>
            <w:pPr>
              <w:ind w:left="160"/>
              <w:spacing w:after="0"/>
              <w:rPr>
                <w:sz w:val="20"/>
                <w:szCs w:val="20"/>
                <w:color w:val="auto"/>
              </w:rPr>
            </w:pPr>
            <w:r>
              <w:rPr>
                <w:rFonts w:ascii="Arial" w:cs="Arial" w:eastAsia="Arial" w:hAnsi="Arial"/>
                <w:sz w:val="17"/>
                <w:szCs w:val="17"/>
                <w:color w:val="auto"/>
              </w:rPr>
              <w:t>Net proceeds from issuance of 7% convertible notes</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575,000</w:t>
            </w: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proceeds from issuance of 10% convertible notes and warrants</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1,655,000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tcPr>
          <w:p>
            <w:pPr>
              <w:ind w:left="160"/>
              <w:spacing w:after="0"/>
              <w:rPr>
                <w:sz w:val="20"/>
                <w:szCs w:val="20"/>
                <w:color w:val="auto"/>
              </w:rPr>
            </w:pPr>
            <w:r>
              <w:rPr>
                <w:rFonts w:ascii="Arial" w:cs="Arial" w:eastAsia="Arial" w:hAnsi="Arial"/>
                <w:sz w:val="17"/>
                <w:szCs w:val="17"/>
                <w:color w:val="auto"/>
              </w:rPr>
              <w:t>Net proceeds from issuance of Platinum notes and warrants</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3,700,000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proceeds from issuance of 2008/2010 notes and warrants</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270,000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2,971,815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tcPr>
          <w:p>
            <w:pPr>
              <w:ind w:left="160"/>
              <w:spacing w:after="0"/>
              <w:rPr>
                <w:sz w:val="20"/>
                <w:szCs w:val="20"/>
                <w:color w:val="auto"/>
              </w:rPr>
            </w:pPr>
            <w:r>
              <w:rPr>
                <w:rFonts w:ascii="Arial" w:cs="Arial" w:eastAsia="Arial" w:hAnsi="Arial"/>
                <w:sz w:val="17"/>
                <w:szCs w:val="17"/>
                <w:color w:val="auto"/>
              </w:rPr>
              <w:t>Net proceeds from issuance of 2006/2007 notes and warrants</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1,025,000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issuance of 7% notes payable</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55,000</w:t>
            </w:r>
          </w:p>
        </w:tc>
        <w:tc>
          <w:tcPr>
            <w:tcW w:w="0" w:type="dxa"/>
            <w:vAlign w:val="bottom"/>
          </w:tcPr>
          <w:p>
            <w:pPr>
              <w:spacing w:after="0"/>
              <w:rPr>
                <w:sz w:val="1"/>
                <w:szCs w:val="1"/>
                <w:color w:val="auto"/>
              </w:rPr>
            </w:pPr>
          </w:p>
        </w:tc>
      </w:tr>
      <w:tr>
        <w:trPr>
          <w:trHeight w:val="205"/>
        </w:trPr>
        <w:tc>
          <w:tcPr>
            <w:tcW w:w="6860" w:type="dxa"/>
            <w:vAlign w:val="bottom"/>
          </w:tcPr>
          <w:p>
            <w:pPr>
              <w:ind w:left="160"/>
              <w:spacing w:after="0"/>
              <w:rPr>
                <w:sz w:val="20"/>
                <w:szCs w:val="20"/>
                <w:color w:val="auto"/>
              </w:rPr>
            </w:pPr>
            <w:r>
              <w:rPr>
                <w:rFonts w:ascii="Arial" w:cs="Arial" w:eastAsia="Arial" w:hAnsi="Arial"/>
                <w:sz w:val="17"/>
                <w:szCs w:val="17"/>
                <w:color w:val="auto"/>
              </w:rPr>
              <w:t>Net proceeds from issuance of August 2010 short-term notes and warrants</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800,000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800,000</w:t>
            </w: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Repayment of capital lease obligations</w:t>
            </w: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(24,256)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(19,952)</w:t>
            </w: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(110,282)</w:t>
            </w:r>
          </w:p>
        </w:tc>
        <w:tc>
          <w:tcPr>
            <w:tcW w:w="0" w:type="dxa"/>
            <w:vAlign w:val="bottom"/>
          </w:tcPr>
          <w:p>
            <w:pPr>
              <w:spacing w:after="0"/>
              <w:rPr>
                <w:sz w:val="1"/>
                <w:szCs w:val="1"/>
                <w:color w:val="auto"/>
              </w:rPr>
            </w:pPr>
          </w:p>
        </w:tc>
      </w:tr>
      <w:tr>
        <w:trPr>
          <w:trHeight w:val="205"/>
        </w:trPr>
        <w:tc>
          <w:tcPr>
            <w:tcW w:w="6860" w:type="dxa"/>
            <w:vAlign w:val="bottom"/>
          </w:tcPr>
          <w:p>
            <w:pPr>
              <w:ind w:left="160"/>
              <w:spacing w:after="0"/>
              <w:rPr>
                <w:sz w:val="20"/>
                <w:szCs w:val="20"/>
                <w:color w:val="auto"/>
              </w:rPr>
            </w:pPr>
            <w:r>
              <w:rPr>
                <w:rFonts w:ascii="Arial" w:cs="Arial" w:eastAsia="Arial" w:hAnsi="Arial"/>
                <w:sz w:val="17"/>
                <w:szCs w:val="17"/>
                <w:color w:val="auto"/>
              </w:rPr>
              <w:t>Repayment of notes</w:t>
            </w:r>
          </w:p>
        </w:tc>
        <w:tc>
          <w:tcPr>
            <w:tcW w:w="3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(653,529)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(163,000)</w:t>
            </w:r>
          </w:p>
        </w:tc>
        <w:tc>
          <w:tcPr>
            <w:tcW w:w="200" w:type="dxa"/>
            <w:vAlign w:val="bottom"/>
          </w:tcPr>
          <w:p>
            <w:pPr>
              <w:spacing w:after="0"/>
              <w:rPr>
                <w:sz w:val="17"/>
                <w:szCs w:val="17"/>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7"/>
                <w:szCs w:val="17"/>
                <w:color w:val="auto"/>
              </w:rPr>
              <w:t>(1,228,278)</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cash provided by financing activities</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2,887,759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887,048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17,618,174</w:t>
            </w:r>
          </w:p>
        </w:tc>
        <w:tc>
          <w:tcPr>
            <w:tcW w:w="0" w:type="dxa"/>
            <w:vAlign w:val="bottom"/>
          </w:tcPr>
          <w:p>
            <w:pPr>
              <w:spacing w:after="0"/>
              <w:rPr>
                <w:sz w:val="1"/>
                <w:szCs w:val="1"/>
                <w:color w:val="auto"/>
              </w:rPr>
            </w:pPr>
          </w:p>
        </w:tc>
      </w:tr>
      <w:tr>
        <w:trPr>
          <w:trHeight w:val="26"/>
        </w:trPr>
        <w:tc>
          <w:tcPr>
            <w:tcW w:w="68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860" w:type="dxa"/>
            <w:vAlign w:val="bottom"/>
          </w:tcPr>
          <w:p>
            <w:pPr>
              <w:spacing w:after="0"/>
              <w:rPr>
                <w:sz w:val="20"/>
                <w:szCs w:val="20"/>
                <w:color w:val="auto"/>
              </w:rPr>
            </w:pPr>
            <w:r>
              <w:rPr>
                <w:rFonts w:ascii="Arial" w:cs="Arial" w:eastAsia="Arial" w:hAnsi="Arial"/>
                <w:sz w:val="17"/>
                <w:szCs w:val="17"/>
                <w:color w:val="auto"/>
              </w:rPr>
              <w:t>Net increase in cash and cash equivalents</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27,078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78,409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166,421</w:t>
            </w:r>
          </w:p>
        </w:tc>
        <w:tc>
          <w:tcPr>
            <w:tcW w:w="0" w:type="dxa"/>
            <w:vAlign w:val="bottom"/>
          </w:tcPr>
          <w:p>
            <w:pPr>
              <w:spacing w:after="0"/>
              <w:rPr>
                <w:sz w:val="1"/>
                <w:szCs w:val="1"/>
                <w:color w:val="auto"/>
              </w:rPr>
            </w:pPr>
          </w:p>
        </w:tc>
      </w:tr>
      <w:tr>
        <w:trPr>
          <w:trHeight w:val="211"/>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139,343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200,981</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860" w:type="dxa"/>
            <w:vAlign w:val="bottom"/>
          </w:tcPr>
          <w:p>
            <w:pPr>
              <w:spacing w:after="0"/>
              <w:rPr>
                <w:sz w:val="20"/>
                <w:szCs w:val="20"/>
                <w:color w:val="auto"/>
              </w:rPr>
            </w:pPr>
            <w:r>
              <w:rPr>
                <w:rFonts w:ascii="Arial" w:cs="Arial" w:eastAsia="Arial" w:hAnsi="Arial"/>
                <w:sz w:val="17"/>
                <w:szCs w:val="17"/>
                <w:color w:val="auto"/>
              </w:rPr>
              <w:t>Cash and cash equivalents at end of period</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166,421</w:t>
            </w:r>
          </w:p>
        </w:tc>
        <w:tc>
          <w:tcPr>
            <w:tcW w:w="14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279,390</w:t>
            </w:r>
          </w:p>
        </w:tc>
        <w:tc>
          <w:tcPr>
            <w:tcW w:w="2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auto"/>
              </w:rPr>
              <w:t>166,421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ectPr>
          <w:pgSz w:w="11900" w:h="16838" w:orient="portrait"/>
          <w:cols w:equalWidth="0" w:num="1">
            <w:col w:w="11420"/>
          </w:cols>
          <w:pgMar w:left="240" w:top="131" w:right="23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25805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 w:name="page6"/>
    <w:bookmarkEnd w:id="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VISTAGEN THERAPEUTICS,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History and Organization</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VistaGen Therapeutics, Inc. (“VistaGen” or the “Company”), a biotechnology company focused on using proprietary pluripotent stem cell technology for drug rescue and cell therapy, was incorporated in California on May 26, 1998 (inception date). Excaliber Enterprises, Ltd. (“Excaliber”) was organized as a Nevada corporation on October 6, 2005. On May 11, 2011, Excaliber acquired all outstanding shares of VistaGen for 6,836,452 shares of Excaliber’s common stock (“Merger”), and assumed VistaGen’s pre-Merger obligations to contingently issue common shares in accordance with stock option agreements, warrant agreements, and a convertible promissory note. As part of the Merger, Excaliber repurchased 5,064,207 shares of its common stock from two stockholders for a nominal amount, leaving 784,500 shares of common stock outstanding at the date of the Merger. The 6,836,452 shares issued to VistaGen stockholders in connection with the Merger represented approximately 90% of the outstanding shares of Excaliber’s common stock after the Merger. As a result of the Merger, the business of VistaGen became the business of Excaliber. After the Merger:</w:t>
      </w:r>
    </w:p>
    <w:p>
      <w:pPr>
        <w:spacing w:after="0" w:line="210" w:lineRule="exact"/>
        <w:rPr>
          <w:sz w:val="20"/>
          <w:szCs w:val="20"/>
          <w:color w:val="auto"/>
        </w:rPr>
      </w:pPr>
    </w:p>
    <w:p>
      <w:pPr>
        <w:ind w:left="620" w:hanging="130"/>
        <w:spacing w:after="0" w:line="258"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Shawn K. Singh. J.D., Jon S. Saxe, H. Ralph Snodgrass, Ph.D., Gregory A. Bonfiglio, J.D., and Brian J. Underdown, Ph.D., each a prior director of VistaGen, were appointed as directors of Excaliber;</w:t>
      </w:r>
    </w:p>
    <w:p>
      <w:pPr>
        <w:spacing w:after="0" w:line="1" w:lineRule="exact"/>
        <w:rPr>
          <w:rFonts w:ascii="Arial" w:cs="Arial" w:eastAsia="Arial" w:hAnsi="Arial"/>
          <w:sz w:val="17"/>
          <w:szCs w:val="17"/>
          <w:color w:val="auto"/>
        </w:rPr>
      </w:pPr>
    </w:p>
    <w:p>
      <w:pPr>
        <w:ind w:left="620" w:hanging="13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Stephanie Y. Jones and Matthew L. Jones resigned as officers and directors of Excaliber;</w:t>
      </w:r>
    </w:p>
    <w:p>
      <w:pPr>
        <w:spacing w:after="0" w:line="9" w:lineRule="exact"/>
        <w:rPr>
          <w:rFonts w:ascii="Arial" w:cs="Arial" w:eastAsia="Arial" w:hAnsi="Arial"/>
          <w:sz w:val="17"/>
          <w:szCs w:val="17"/>
          <w:color w:val="auto"/>
        </w:rPr>
      </w:pPr>
    </w:p>
    <w:p>
      <w:pPr>
        <w:ind w:left="620" w:hanging="13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following persons were appointed as officers of Excaliber;</w:t>
      </w:r>
    </w:p>
    <w:p>
      <w:pPr>
        <w:spacing w:after="0" w:line="10" w:lineRule="exact"/>
        <w:rPr>
          <w:sz w:val="20"/>
          <w:szCs w:val="20"/>
          <w:color w:val="auto"/>
        </w:rPr>
      </w:pPr>
    </w:p>
    <w:p>
      <w:pPr>
        <w:ind w:left="1240" w:hanging="178"/>
        <w:spacing w:after="0"/>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color w:val="auto"/>
        </w:rPr>
        <w:t>Shawn K. Singh, J.D., Chief Executive Officer,</w:t>
      </w:r>
    </w:p>
    <w:p>
      <w:pPr>
        <w:spacing w:after="0" w:line="9" w:lineRule="exact"/>
        <w:rPr>
          <w:rFonts w:ascii="Arial" w:cs="Arial" w:eastAsia="Arial" w:hAnsi="Arial"/>
          <w:sz w:val="17"/>
          <w:szCs w:val="17"/>
          <w:color w:val="auto"/>
        </w:rPr>
      </w:pPr>
    </w:p>
    <w:p>
      <w:pPr>
        <w:ind w:left="1240" w:hanging="178"/>
        <w:spacing w:after="0"/>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color w:val="auto"/>
        </w:rPr>
        <w:t>H. Ralph Snodgrass, Ph.D., President, Chief Scientific Officer, and</w:t>
      </w:r>
    </w:p>
    <w:p>
      <w:pPr>
        <w:spacing w:after="0" w:line="9" w:lineRule="exact"/>
        <w:rPr>
          <w:rFonts w:ascii="Arial" w:cs="Arial" w:eastAsia="Arial" w:hAnsi="Arial"/>
          <w:sz w:val="17"/>
          <w:szCs w:val="17"/>
          <w:color w:val="auto"/>
        </w:rPr>
      </w:pPr>
    </w:p>
    <w:p>
      <w:pPr>
        <w:ind w:left="1240" w:hanging="178"/>
        <w:spacing w:after="0"/>
        <w:tabs>
          <w:tab w:leader="none" w:pos="1240" w:val="left"/>
        </w:tabs>
        <w:numPr>
          <w:ilvl w:val="1"/>
          <w:numId w:val="4"/>
        </w:numPr>
        <w:rPr>
          <w:rFonts w:ascii="Arial" w:cs="Arial" w:eastAsia="Arial" w:hAnsi="Arial"/>
          <w:sz w:val="17"/>
          <w:szCs w:val="17"/>
          <w:color w:val="auto"/>
        </w:rPr>
      </w:pPr>
      <w:r>
        <w:rPr>
          <w:rFonts w:ascii="Arial" w:cs="Arial" w:eastAsia="Arial" w:hAnsi="Arial"/>
          <w:sz w:val="17"/>
          <w:szCs w:val="17"/>
          <w:color w:val="auto"/>
        </w:rPr>
        <w:t>A. Franklin Rice, MBA, Chief Financial Officer and Secretary;</w:t>
      </w:r>
    </w:p>
    <w:p>
      <w:pPr>
        <w:spacing w:after="0" w:line="9" w:lineRule="exact"/>
        <w:rPr>
          <w:rFonts w:ascii="Arial" w:cs="Arial" w:eastAsia="Arial" w:hAnsi="Arial"/>
          <w:sz w:val="17"/>
          <w:szCs w:val="17"/>
          <w:color w:val="auto"/>
        </w:rPr>
      </w:pPr>
    </w:p>
    <w:p>
      <w:pPr>
        <w:ind w:left="620" w:hanging="13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Excaliber’s directors approved a two-for-one (2:1) forward stock split of Excaliber’s common stock;</w:t>
      </w:r>
    </w:p>
    <w:p>
      <w:pPr>
        <w:spacing w:after="0" w:line="9" w:lineRule="exact"/>
        <w:rPr>
          <w:rFonts w:ascii="Arial" w:cs="Arial" w:eastAsia="Arial" w:hAnsi="Arial"/>
          <w:sz w:val="17"/>
          <w:szCs w:val="17"/>
          <w:color w:val="auto"/>
        </w:rPr>
      </w:pPr>
    </w:p>
    <w:p>
      <w:pPr>
        <w:ind w:left="620" w:hanging="130"/>
        <w:spacing w:after="0" w:line="251"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Excaliber’s directors approved an increase in the shares of common stock Excaliber is authorized to issue from 200 million to 400 million shares, (see Note 7, </w:t>
      </w:r>
      <w:r>
        <w:rPr>
          <w:rFonts w:ascii="Arial" w:cs="Arial" w:eastAsia="Arial" w:hAnsi="Arial"/>
          <w:sz w:val="17"/>
          <w:szCs w:val="17"/>
          <w:i w:val="1"/>
          <w:iCs w:val="1"/>
          <w:color w:val="auto"/>
        </w:rPr>
        <w:t>Capital Stock</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620" w:hanging="13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Excaliber changed its name to “VistaGen Therapeutics, Inc.”; and</w:t>
      </w:r>
    </w:p>
    <w:p>
      <w:pPr>
        <w:spacing w:after="0" w:line="9" w:lineRule="exact"/>
        <w:rPr>
          <w:rFonts w:ascii="Arial" w:cs="Arial" w:eastAsia="Arial" w:hAnsi="Arial"/>
          <w:sz w:val="17"/>
          <w:szCs w:val="17"/>
          <w:color w:val="auto"/>
        </w:rPr>
      </w:pPr>
    </w:p>
    <w:p>
      <w:pPr>
        <w:ind w:left="620" w:hanging="13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Excaliber adopted VistaGen's fiscal year-end of March 31, with VistaGen as the accounting acquirer.</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VistaGen, as the accounting acquirer in the Merger, recorded the Merger as the issuance of stock for the net monetary assets of Excaliber, accompanied by a recapitalization. This accounting for the transaction was identical to that resulting from a reverse acquisition, except that no goodwill or other intangible assets were recorded. A total of 784,500 shares of common stock, representing the shares held by stockholders of Excaliber immediately prior to the Merger, have been retroactively reflected as outstanding for all periods presented in the accompanying Condensed Consolidated Financial Statements. Additionally, the accompanying Condensed Consolidated Financial Statements retroactively reflect the authorized capital stock and $0.001 par value of Excaliber’s common stock, and the 2 for 1 forward stock split after the Merger.</w:t>
      </w:r>
    </w:p>
    <w:p>
      <w:pPr>
        <w:spacing w:after="0" w:line="21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financial statements in this report represent the activity of VistaGen (the California corporation) from May 26, 1998, and the consolidated activity of VistaGen (the California corporation) and Excaliber from May 11, 2011 (the date of the Merger). The financial statements also include the accounts of VistaGen’s wholly-owned subsidiaries, Artemis Neuroscience, Inc. (“Artemis”), a Maryland corporation, and VistaStem Canada, Inc., an Ontario 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Primary Merger-Related Transactions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Immediately preceding and concurrent with the Merger:</w:t>
      </w:r>
    </w:p>
    <w:p>
      <w:pPr>
        <w:spacing w:after="0" w:line="240" w:lineRule="exact"/>
        <w:rPr>
          <w:sz w:val="20"/>
          <w:szCs w:val="20"/>
          <w:color w:val="auto"/>
        </w:rPr>
      </w:pPr>
    </w:p>
    <w:p>
      <w:pPr>
        <w:jc w:val="both"/>
        <w:ind w:left="780" w:hanging="136"/>
        <w:spacing w:after="0" w:line="288"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VistaGen sold 2,216,106 Units, consisting of one share of VistaGen's common stock and a three-year warrant to purchase one-fourth (1/4) of one share of VistaGen common stock at an exercise price of $2.50 per share, at a price of $1.75 per Unit in a private placement for aggregate gross offering proceeds of $3,878,197, including $2,369,194 in cash (“2011 Private Placement”). See Note 7, </w:t>
      </w:r>
      <w:r>
        <w:rPr>
          <w:rFonts w:ascii="Arial" w:cs="Arial" w:eastAsia="Arial" w:hAnsi="Arial"/>
          <w:sz w:val="16"/>
          <w:szCs w:val="16"/>
          <w:i w:val="1"/>
          <w:iCs w:val="1"/>
          <w:color w:val="auto"/>
        </w:rPr>
        <w:t>Capital Stock</w:t>
      </w:r>
      <w:r>
        <w:rPr>
          <w:rFonts w:ascii="Arial" w:cs="Arial" w:eastAsia="Arial" w:hAnsi="Arial"/>
          <w:sz w:val="16"/>
          <w:szCs w:val="16"/>
          <w:color w:val="auto"/>
        </w:rPr>
        <w:t>, for a further description;</w:t>
      </w:r>
    </w:p>
    <w:p>
      <w:pPr>
        <w:spacing w:after="0" w:line="183" w:lineRule="exact"/>
        <w:rPr>
          <w:rFonts w:ascii="Arial" w:cs="Arial" w:eastAsia="Arial" w:hAnsi="Arial"/>
          <w:sz w:val="16"/>
          <w:szCs w:val="16"/>
          <w:color w:val="auto"/>
        </w:rPr>
      </w:pPr>
    </w:p>
    <w:p>
      <w:pPr>
        <w:jc w:val="both"/>
        <w:ind w:left="780" w:hanging="136"/>
        <w:spacing w:after="0" w:line="264"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Holders of certain promissory notes issued by VistaGen from 2006 through 2010 converted their notes totaling $6,174,793, including principal and accrued but unpaid interest, into 3,528,290 Units. These Units were the same Units issued in connection with the 2011 Private Placement. See Note 5, </w:t>
      </w:r>
      <w:r>
        <w:rPr>
          <w:rFonts w:ascii="Arial" w:cs="Arial" w:eastAsia="Arial" w:hAnsi="Arial"/>
          <w:sz w:val="17"/>
          <w:szCs w:val="17"/>
          <w:i w:val="1"/>
          <w:iCs w:val="1"/>
          <w:color w:val="auto"/>
        </w:rPr>
        <w:t>Convertible</w:t>
      </w:r>
      <w:r>
        <w:rPr>
          <w:rFonts w:ascii="Arial" w:cs="Arial" w:eastAsia="Arial" w:hAnsi="Arial"/>
          <w:sz w:val="17"/>
          <w:szCs w:val="17"/>
          <w:color w:val="auto"/>
        </w:rPr>
        <w:t xml:space="preserve"> </w:t>
      </w:r>
      <w:r>
        <w:rPr>
          <w:rFonts w:ascii="Arial" w:cs="Arial" w:eastAsia="Arial" w:hAnsi="Arial"/>
          <w:sz w:val="17"/>
          <w:szCs w:val="17"/>
          <w:i w:val="1"/>
          <w:iCs w:val="1"/>
          <w:color w:val="auto"/>
        </w:rPr>
        <w:t>Promissory Notes and Other Notes Payable</w:t>
      </w:r>
      <w:r>
        <w:rPr>
          <w:rFonts w:ascii="Arial" w:cs="Arial" w:eastAsia="Arial" w:hAnsi="Arial"/>
          <w:sz w:val="17"/>
          <w:szCs w:val="17"/>
          <w:color w:val="auto"/>
        </w:rPr>
        <w:t>; and</w:t>
      </w:r>
    </w:p>
    <w:p>
      <w:pPr>
        <w:spacing w:after="0" w:line="200" w:lineRule="exact"/>
        <w:rPr>
          <w:rFonts w:ascii="Arial" w:cs="Arial" w:eastAsia="Arial" w:hAnsi="Arial"/>
          <w:sz w:val="17"/>
          <w:szCs w:val="17"/>
          <w:color w:val="auto"/>
        </w:rPr>
      </w:pPr>
    </w:p>
    <w:p>
      <w:pPr>
        <w:spacing w:after="0" w:line="231" w:lineRule="exact"/>
        <w:rPr>
          <w:rFonts w:ascii="Arial" w:cs="Arial" w:eastAsia="Arial" w:hAnsi="Arial"/>
          <w:sz w:val="17"/>
          <w:szCs w:val="17"/>
          <w:color w:val="auto"/>
        </w:rPr>
      </w:pPr>
    </w:p>
    <w:p>
      <w:pPr>
        <w:ind w:left="780" w:hanging="136"/>
        <w:spacing w:after="0" w:line="277"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All holders of VistaGen's then-outstanding preferred stock converted all of their preferred shares into 2,884,655 shares of VistaGen common stock. See Note 7, </w:t>
      </w:r>
      <w:r>
        <w:rPr>
          <w:rFonts w:ascii="Arial" w:cs="Arial" w:eastAsia="Arial" w:hAnsi="Arial"/>
          <w:sz w:val="17"/>
          <w:szCs w:val="17"/>
          <w:i w:val="1"/>
          <w:iCs w:val="1"/>
          <w:color w:val="auto"/>
        </w:rPr>
        <w:t>Capital Stock</w:t>
      </w:r>
      <w:r>
        <w:rPr>
          <w:rFonts w:ascii="Arial" w:cs="Arial" w:eastAsia="Arial" w:hAnsi="Arial"/>
          <w:sz w:val="17"/>
          <w:szCs w:val="17"/>
          <w:color w:val="auto"/>
        </w:rPr>
        <w: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VistaGen’s Business</w:t>
      </w:r>
    </w:p>
    <w:p>
      <w:pPr>
        <w:spacing w:after="0" w:line="240" w:lineRule="exact"/>
        <w:rPr>
          <w:sz w:val="20"/>
          <w:szCs w:val="20"/>
          <w:color w:val="auto"/>
        </w:rPr>
      </w:pPr>
    </w:p>
    <w:p>
      <w:pPr>
        <w:jc w:val="both"/>
        <w:spacing w:after="0" w:line="211" w:lineRule="exact"/>
        <w:rPr>
          <w:sz w:val="20"/>
          <w:szCs w:val="20"/>
          <w:color w:val="auto"/>
        </w:rPr>
      </w:pPr>
      <w:r>
        <w:rPr>
          <w:rFonts w:ascii="Arial" w:cs="Arial" w:eastAsia="Arial" w:hAnsi="Arial"/>
          <w:sz w:val="16"/>
          <w:szCs w:val="16"/>
          <w:color w:val="auto"/>
        </w:rPr>
        <w:t xml:space="preserve">VistaGen is a biotechnology company applying human pluripotent stem cell technology for drug rescue and cell therapy. Drug rescue involves the combination of human pluripotent stem cell technology with modern medicinal chemistry to generate new chemical variants of once promising small molecule drug candidates that pharmaceutical companies have discontinued during preclinical or early clinical development due to heart or liver toxicity, despite positive efficacy data demonstrating their potential therapeutic and commercial benefits. VistaGen plans to use its pluripotent stem cell technology to generate early indications, or predictions, of how humans will ultimately respond to new drug candidates before they are ever tested in humans. In parallel with its drug rescue activities, VistaGen is funding early-stage nonclinical studies focused on potential cell therapy applications of its </w:t>
      </w:r>
      <w:r>
        <w:rPr>
          <w:rFonts w:ascii="Arial" w:cs="Arial" w:eastAsia="Arial" w:hAnsi="Arial"/>
          <w:sz w:val="16"/>
          <w:szCs w:val="16"/>
          <w:i w:val="1"/>
          <w:iCs w:val="1"/>
          <w:color w:val="auto"/>
        </w:rPr>
        <w:t>Human Clinical Trials in a Test Tube</w:t>
      </w:r>
      <w:r>
        <w:rPr>
          <w:rFonts w:ascii="Arial" w:cs="Arial" w:eastAsia="Arial" w:hAnsi="Arial"/>
          <w:sz w:val="16"/>
          <w:szCs w:val="16"/>
          <w:color w:val="auto"/>
        </w:rPr>
        <w:t>™ platform.</w:t>
      </w:r>
      <w:r>
        <w:rPr>
          <w:rFonts w:ascii="MS PGothic" w:cs="MS PGothic" w:eastAsia="MS PGothic" w:hAnsi="MS PGothic"/>
          <w:sz w:val="16"/>
          <w:szCs w:val="16"/>
          <w:color w:val="auto"/>
        </w:rPr>
        <w:t> </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Early in the first quarter of calendar 2012, VistaGen began a Phase 1b clinical study of AV-101, a small molecule drug candidate for treatment of neuropathic pain. This study includes testing AV-101 in healthy volunteers using the intradermal capsaicin model of neuropathic pain. This often-used induced neuropathic pain model will test whether AV-101 will reduce the increased pain sensitivity associated with a small injection under the skin of capsaicin, the material found in chili peppers. Neuropathic pain, a serious and chronic condition causing pain after an injury or disease of the peripheral or central nervous system, affects approximately 1.8 million people in the U.S. alone. To date, VistaGen has been awarded over $8.9 million from the U.S. National Institutes of Health (NIH) for development of AV-101. VistaGen plans to initiate Phase 2 clinical studies of AV-101 in the fourth quarter of 2012, subject to receiving additional government or private foundation grant funding and FDA approval.</w:t>
      </w:r>
    </w:p>
    <w:p>
      <w:pPr>
        <w:spacing w:after="0" w:line="207" w:lineRule="exact"/>
        <w:rPr>
          <w:sz w:val="20"/>
          <w:szCs w:val="20"/>
          <w:color w:val="auto"/>
        </w:rPr>
      </w:pPr>
    </w:p>
    <w:p>
      <w:pPr>
        <w:jc w:val="both"/>
        <w:spacing w:after="0" w:line="346" w:lineRule="auto"/>
        <w:rPr>
          <w:sz w:val="20"/>
          <w:szCs w:val="20"/>
          <w:color w:val="auto"/>
        </w:rPr>
      </w:pPr>
      <w:r>
        <w:rPr>
          <w:rFonts w:ascii="Arial" w:cs="Arial" w:eastAsia="Arial" w:hAnsi="Arial"/>
          <w:sz w:val="15"/>
          <w:szCs w:val="15"/>
          <w:color w:val="auto"/>
        </w:rPr>
        <w:t>The Company is in the development stage and, since inception, has devoted substantially all of its time and efforts to stem cell research and stem-cell based bioassay development, small molecule drug development, creating, protecting and patenting intellectual property, recruiting personnel and raising sufficient working capital.</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Basis of Presentation and Going Concern</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the Company’s interim financial information. The accompanying Condensed Consolidated Balance Sheet at March 31, 2011 has been derived from the Company's audited consolidated financial statements at that date but do not include all disclosures required by U.S. GAAP. The operating results for the three and nine months ended December 31, 2011 are not necessarily indicative of the operating results to be expected for the Company's fiscal year ending March 31, 2012 or for any other interim period or any other future year.</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accompanying unaudited Condensed Consolidated Financial Statements and notes to Condensed Consolidated Financial Statements should be read in conjunction with the Company’s audited Consolidated Financial Statements for the fiscal year ended March 31, 2011 contained in its amended report on Form 8-K/A, as filed with the United States Securities and Exchange Commission on August 12, 2011.</w:t>
      </w:r>
    </w:p>
    <w:p>
      <w:pPr>
        <w:spacing w:after="0" w:line="201"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 xml:space="preserve">The accompanying Condensed Consolidated Financial Statements have been prepared assuming the Company will continue as a going concern. As a development stage company without sustainable revenues, the Company has experienced recurring losses and negative cash flows from operations. From inception through December 31, 2011, the Company has a deficit accumulated during its development stage of $51.7 million. The Company expects these conditions to continue for the foreseeable future as it expands its </w:t>
      </w:r>
      <w:r>
        <w:rPr>
          <w:rFonts w:ascii="Arial" w:cs="Arial" w:eastAsia="Arial" w:hAnsi="Arial"/>
          <w:sz w:val="15"/>
          <w:szCs w:val="15"/>
          <w:i w:val="1"/>
          <w:iCs w:val="1"/>
          <w:color w:val="auto"/>
        </w:rPr>
        <w:t>Human Clinical Trials in a Test Tube</w:t>
      </w:r>
      <w:r>
        <w:rPr>
          <w:rFonts w:ascii="Arial" w:cs="Arial" w:eastAsia="Arial" w:hAnsi="Arial"/>
          <w:sz w:val="15"/>
          <w:szCs w:val="15"/>
          <w:color w:val="auto"/>
        </w:rPr>
        <w:t>™ platform and executes its drug rescue and cell therapy business programs.</w:t>
      </w:r>
    </w:p>
    <w:p>
      <w:pPr>
        <w:spacing w:after="0" w:line="149"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 xml:space="preserve">At December 31, 2011, the Company had $166,421 in cash and cash equivalents. (See Note 9, </w:t>
      </w:r>
      <w:r>
        <w:rPr>
          <w:rFonts w:ascii="Arial" w:cs="Arial" w:eastAsia="Arial" w:hAnsi="Arial"/>
          <w:sz w:val="15"/>
          <w:szCs w:val="15"/>
          <w:i w:val="1"/>
          <w:iCs w:val="1"/>
          <w:color w:val="auto"/>
        </w:rPr>
        <w:t>Subsequent Events,</w:t>
      </w:r>
      <w:r>
        <w:rPr>
          <w:rFonts w:ascii="Arial" w:cs="Arial" w:eastAsia="Arial" w:hAnsi="Arial"/>
          <w:sz w:val="15"/>
          <w:szCs w:val="15"/>
          <w:color w:val="auto"/>
        </w:rPr>
        <w:t xml:space="preserve"> regarding additional capital the Company has raised through the exercise of warrants since that date.) The Company does not believe that such cash and cash equivalents, will enable it to fund its operations through the next twelve months. The Company anticipates that its cash expenditures during the next twelve months will be approximately $7 million and it expects to meet its cash needs and fund its working capital requirements through a combination of private placements of its securities, which may include both debt and equity securities, collaborative research and development arrangements, technology license fees and government grant awards. If the Company is unable to obtain sufficient financing, it may be required to reduce, defer, or discontinue certain of its research and development activities or it may not be able to continue as a going concern. The accompanying Condensed Consolidated Financial Statements do not include any adjustments that might result from this uncertainty.</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Summary of Significant Accounting Policies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4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assumptions that have been used to value warrant modifications and previous put option, note term extension and warrant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4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generates revenue principally from collaborative research and development arrangements, technology access fees,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recognizes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the Company complies with the above revenue recognition criteria in the following manner:</w:t>
      </w:r>
    </w:p>
    <w:p>
      <w:pPr>
        <w:spacing w:after="0" w:line="201" w:lineRule="exact"/>
        <w:rPr>
          <w:sz w:val="20"/>
          <w:szCs w:val="20"/>
          <w:color w:val="auto"/>
        </w:rPr>
      </w:pPr>
    </w:p>
    <w:p>
      <w:pPr>
        <w:jc w:val="both"/>
        <w:ind w:left="640" w:hanging="150"/>
        <w:spacing w:after="0" w:line="292" w:lineRule="auto"/>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83" w:lineRule="exact"/>
        <w:rPr>
          <w:rFonts w:ascii="Arial" w:cs="Arial" w:eastAsia="Arial" w:hAnsi="Arial"/>
          <w:sz w:val="15"/>
          <w:szCs w:val="15"/>
          <w:color w:val="auto"/>
        </w:rPr>
      </w:pPr>
    </w:p>
    <w:p>
      <w:pPr>
        <w:jc w:val="both"/>
        <w:ind w:left="640" w:hanging="150"/>
        <w:spacing w:after="0" w:line="260"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w:t>
      </w:r>
    </w:p>
    <w:p>
      <w:pPr>
        <w:spacing w:after="0" w:line="204" w:lineRule="exact"/>
        <w:rPr>
          <w:rFonts w:ascii="Arial" w:cs="Arial" w:eastAsia="Arial" w:hAnsi="Arial"/>
          <w:sz w:val="17"/>
          <w:szCs w:val="17"/>
          <w:color w:val="auto"/>
        </w:rPr>
      </w:pPr>
    </w:p>
    <w:p>
      <w:pPr>
        <w:ind w:left="640" w:hanging="150"/>
        <w:spacing w:after="0" w:line="277"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Government grants, which support the Company’s research efforts on specific projects, generally provide for reimbursement of approved costs as defined in the terms of grant awards. Grant revenue is recognized when associated project costs are incurred.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4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Research and development expenses include internal and external costs. Internal costs include salaries and employment related expenses of scientific personnel and direct project costs. External research and development expenses consist of sponsored stem cell research and development costs, costs associated with clinical and non-clinical development of AV-101, the Company’s lead drug development candidate, and costs related to application and prosecution of patents related to the Company’s stem cell technology, </w:t>
      </w:r>
      <w:r>
        <w:rPr>
          <w:rFonts w:ascii="Arial" w:cs="Arial" w:eastAsia="Arial" w:hAnsi="Arial"/>
          <w:sz w:val="16"/>
          <w:szCs w:val="16"/>
          <w:i w:val="1"/>
          <w:iCs w:val="1"/>
          <w:color w:val="auto"/>
        </w:rPr>
        <w:t>Human Clinical Trials in a Test Tube</w:t>
      </w:r>
      <w:r>
        <w:rPr>
          <w:rFonts w:ascii="Arial" w:cs="Arial" w:eastAsia="Arial" w:hAnsi="Arial"/>
          <w:sz w:val="16"/>
          <w:szCs w:val="16"/>
          <w:color w:val="auto"/>
        </w:rPr>
        <w:t>™, and AV-101. All such costs are charged to expense as incurred.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Company recognizes compensation cost for all share-based awards to employees based on the grant date fair value of the award. Share-based compensation expense is recognized over the period during which the employee is required to perform services in exchange for the award, which generally represents the scheduled vesting period. The Company has no awards with market or performance conditions. For equity awards to non-employees, the Company re-measures the fair value of the awards as they vest and the resulting value is recognized as an expense during the period over which the services are performed.</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Company recorded share-based compensation costs of $468,077 and $1,447,434 for the three and nine month periods ended December 31, 2011, respectively, and $406,921 and $1,221,916 for the three and nine month periods ended December 31, 2010, respectively. During the nine months ended December 31, 2011, the Company has granted options to purchase an aggregate of 1,020,000 shares of its common stock at exercise prices ranging from $1.75 per share to $2.99 per share to certain of its employees and scientific and business consultants, including members of the Company's Board of Directors and Scientific Advisory Board, and one of the Company’s officers has exercised options to purchase 113,636 shares of its common stock at an exercise price of $0.88 per share. The Company granted no options and there were no option exercises during the nine month period ended December 31, 2010. At December 31, 2011, there were options outstanding to purchase 4,806,114 shares of the Company’s common stock at a weighted average exercise price of $1.53 per share.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24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There are no components of other comprehensive loss other than net loss, and accordingly the Company’s comprehensive loss is equivalent to net loss for the periods presented.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per Common Share</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Basic loss per share of common stock excludes the effect of dilution and is computed by dividing the net loss by the weighted-average number of shares of common stock outstanding for the period. Diluted loss per share of common stock reflects the potential dilution that could occur if securities or other contracts to issue shares of common stock were exercised or converted into shares of common stock. For all periods presented, potentially dilutive securities are excluded from the computation in loss periods, as their effect would be antidilutive.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gridSpan w:val="2"/>
          </w:tcPr>
          <w:p>
            <w:pPr>
              <w:spacing w:after="0"/>
              <w:rPr>
                <w:sz w:val="20"/>
                <w:szCs w:val="20"/>
                <w:color w:val="auto"/>
              </w:rPr>
            </w:pPr>
            <w:r>
              <w:rPr>
                <w:rFonts w:ascii="Arial" w:cs="Arial" w:eastAsia="Arial" w:hAnsi="Arial"/>
                <w:sz w:val="17"/>
                <w:szCs w:val="17"/>
                <w:color w:val="auto"/>
              </w:rPr>
              <w:t>Potentially dilutive securities excluded from diluted net loss per common share are as follows: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43"/>
        </w:trPr>
        <w:tc>
          <w:tcPr>
            <w:tcW w:w="14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480" w:type="dxa"/>
            <w:vAlign w:val="bottom"/>
            <w:gridSpan w:val="4"/>
          </w:tcPr>
          <w:p>
            <w:pPr>
              <w:ind w:left="720"/>
              <w:spacing w:after="0"/>
              <w:rPr>
                <w:sz w:val="20"/>
                <w:szCs w:val="20"/>
                <w:color w:val="auto"/>
              </w:rPr>
            </w:pPr>
            <w:r>
              <w:rPr>
                <w:rFonts w:ascii="Arial" w:cs="Arial" w:eastAsia="Arial" w:hAnsi="Arial"/>
                <w:sz w:val="17"/>
                <w:szCs w:val="17"/>
                <w:color w:val="auto"/>
              </w:rPr>
              <w:t>December 31,</w:t>
            </w:r>
          </w:p>
        </w:tc>
      </w:tr>
      <w:tr>
        <w:trPr>
          <w:trHeight w:val="211"/>
        </w:trPr>
        <w:tc>
          <w:tcPr>
            <w:tcW w:w="14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rPr>
              <w:t>2011</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2010</w:t>
            </w:r>
          </w:p>
        </w:tc>
        <w:tc>
          <w:tcPr>
            <w:tcW w:w="80" w:type="dxa"/>
            <w:vAlign w:val="bottom"/>
          </w:tcPr>
          <w:p>
            <w:pPr>
              <w:spacing w:after="0"/>
              <w:rPr>
                <w:sz w:val="18"/>
                <w:szCs w:val="18"/>
                <w:color w:val="auto"/>
              </w:rPr>
            </w:pPr>
          </w:p>
        </w:tc>
      </w:tr>
      <w:tr>
        <w:trPr>
          <w:trHeight w:val="205"/>
        </w:trPr>
        <w:tc>
          <w:tcPr>
            <w:tcW w:w="1440" w:type="dxa"/>
            <w:vAlign w:val="bottom"/>
          </w:tcPr>
          <w:p>
            <w:pPr>
              <w:spacing w:after="0"/>
              <w:rPr>
                <w:sz w:val="17"/>
                <w:szCs w:val="17"/>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All series of preferred stock issued and outstanding</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4,370,550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2,884,655</w:t>
            </w:r>
          </w:p>
        </w:tc>
        <w:tc>
          <w:tcPr>
            <w:tcW w:w="80" w:type="dxa"/>
            <w:vAlign w:val="bottom"/>
            <w:shd w:val="clear" w:color="auto" w:fill="CCEEFF"/>
          </w:tcPr>
          <w:p>
            <w:pPr>
              <w:spacing w:after="0"/>
              <w:rPr>
                <w:sz w:val="17"/>
                <w:szCs w:val="17"/>
                <w:color w:val="auto"/>
              </w:rPr>
            </w:pPr>
          </w:p>
        </w:tc>
      </w:tr>
      <w:tr>
        <w:trPr>
          <w:trHeight w:val="193"/>
        </w:trPr>
        <w:tc>
          <w:tcPr>
            <w:tcW w:w="1440" w:type="dxa"/>
            <w:vAlign w:val="bottom"/>
          </w:tcPr>
          <w:p>
            <w:pPr>
              <w:spacing w:after="0"/>
              <w:rPr>
                <w:sz w:val="16"/>
                <w:szCs w:val="16"/>
                <w:color w:val="auto"/>
              </w:rPr>
            </w:pPr>
          </w:p>
        </w:tc>
        <w:tc>
          <w:tcPr>
            <w:tcW w:w="6080" w:type="dxa"/>
            <w:vAlign w:val="bottom"/>
          </w:tcPr>
          <w:p>
            <w:pPr>
              <w:spacing w:after="0" w:line="193" w:lineRule="exact"/>
              <w:rPr>
                <w:sz w:val="20"/>
                <w:szCs w:val="20"/>
                <w:color w:val="auto"/>
              </w:rPr>
            </w:pPr>
            <w:r>
              <w:rPr>
                <w:rFonts w:ascii="Arial" w:cs="Arial" w:eastAsia="Arial" w:hAnsi="Arial"/>
                <w:sz w:val="17"/>
                <w:szCs w:val="17"/>
                <w:color w:val="auto"/>
              </w:rPr>
              <w:t>Outstanding options under the 2008 and 1999 Stock Incentive</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440" w:type="dxa"/>
            <w:vAlign w:val="bottom"/>
          </w:tcPr>
          <w:p>
            <w:pPr>
              <w:spacing w:after="0"/>
              <w:rPr>
                <w:sz w:val="18"/>
                <w:szCs w:val="18"/>
                <w:color w:val="auto"/>
              </w:rPr>
            </w:pPr>
          </w:p>
        </w:tc>
        <w:tc>
          <w:tcPr>
            <w:tcW w:w="6080" w:type="dxa"/>
            <w:vAlign w:val="bottom"/>
          </w:tcPr>
          <w:p>
            <w:pPr>
              <w:ind w:left="240"/>
              <w:spacing w:after="0"/>
              <w:rPr>
                <w:sz w:val="20"/>
                <w:szCs w:val="20"/>
                <w:color w:val="auto"/>
              </w:rPr>
            </w:pPr>
            <w:r>
              <w:rPr>
                <w:rFonts w:ascii="Arial" w:cs="Arial" w:eastAsia="Arial" w:hAnsi="Arial"/>
                <w:sz w:val="17"/>
                <w:szCs w:val="17"/>
                <w:color w:val="auto"/>
              </w:rPr>
              <w:t>Plan and 1998 Scientific Advisory Board Plan</w:t>
            </w:r>
          </w:p>
        </w:tc>
        <w:tc>
          <w:tcPr>
            <w:tcW w:w="1140" w:type="dxa"/>
            <w:vAlign w:val="bottom"/>
          </w:tcPr>
          <w:p>
            <w:pPr>
              <w:jc w:val="right"/>
              <w:spacing w:after="0"/>
              <w:rPr>
                <w:sz w:val="20"/>
                <w:szCs w:val="20"/>
                <w:color w:val="auto"/>
              </w:rPr>
            </w:pPr>
            <w:r>
              <w:rPr>
                <w:rFonts w:ascii="Arial" w:cs="Arial" w:eastAsia="Arial" w:hAnsi="Arial"/>
                <w:sz w:val="17"/>
                <w:szCs w:val="17"/>
                <w:color w:val="auto"/>
              </w:rPr>
              <w:t>4,806,114</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3,949,153</w:t>
            </w:r>
          </w:p>
        </w:tc>
        <w:tc>
          <w:tcPr>
            <w:tcW w:w="80" w:type="dxa"/>
            <w:vAlign w:val="bottom"/>
          </w:tcPr>
          <w:p>
            <w:pPr>
              <w:spacing w:after="0"/>
              <w:rPr>
                <w:sz w:val="18"/>
                <w:szCs w:val="18"/>
                <w:color w:val="auto"/>
              </w:rPr>
            </w:pPr>
          </w:p>
        </w:tc>
      </w:tr>
      <w:tr>
        <w:trPr>
          <w:trHeight w:val="212"/>
        </w:trPr>
        <w:tc>
          <w:tcPr>
            <w:tcW w:w="144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warrants to purchase common stock</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3,451,728</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2,265,600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5"/>
        </w:trPr>
        <w:tc>
          <w:tcPr>
            <w:tcW w:w="144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7"/>
                <w:szCs w:val="17"/>
                <w:color w:val="auto"/>
              </w:rPr>
              <w:t>Total</w:t>
            </w:r>
          </w:p>
        </w:tc>
        <w:tc>
          <w:tcPr>
            <w:tcW w:w="1140" w:type="dxa"/>
            <w:vAlign w:val="bottom"/>
          </w:tcPr>
          <w:p>
            <w:pPr>
              <w:jc w:val="right"/>
              <w:spacing w:after="0"/>
              <w:rPr>
                <w:sz w:val="20"/>
                <w:szCs w:val="20"/>
                <w:color w:val="auto"/>
              </w:rPr>
            </w:pPr>
            <w:r>
              <w:rPr>
                <w:rFonts w:ascii="Arial" w:cs="Arial" w:eastAsia="Arial" w:hAnsi="Arial"/>
                <w:sz w:val="17"/>
                <w:szCs w:val="17"/>
                <w:color w:val="auto"/>
              </w:rPr>
              <w:t>12,628,392</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9,099,408</w:t>
            </w:r>
          </w:p>
        </w:tc>
        <w:tc>
          <w:tcPr>
            <w:tcW w:w="80" w:type="dxa"/>
            <w:vAlign w:val="bottom"/>
          </w:tcPr>
          <w:p>
            <w:pPr>
              <w:spacing w:after="0"/>
              <w:rPr>
                <w:sz w:val="17"/>
                <w:szCs w:val="17"/>
                <w:color w:val="auto"/>
              </w:rPr>
            </w:pPr>
          </w:p>
        </w:tc>
      </w:tr>
      <w:tr>
        <w:trPr>
          <w:trHeight w:val="20"/>
        </w:trPr>
        <w:tc>
          <w:tcPr>
            <w:tcW w:w="14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4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In April 2010, the Financial Accounting Standards Board (“FASB”) issued Accounting Standards Update No. 2010-17 (“ASU 2010-17”), </w:t>
      </w:r>
      <w:r>
        <w:rPr>
          <w:rFonts w:ascii="Arial" w:cs="Arial" w:eastAsia="Arial" w:hAnsi="Arial"/>
          <w:sz w:val="16"/>
          <w:szCs w:val="16"/>
          <w:i w:val="1"/>
          <w:iCs w:val="1"/>
          <w:color w:val="auto"/>
        </w:rPr>
        <w:t>Revenue Recognition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Milestone Method, </w:t>
      </w:r>
      <w:r>
        <w:rPr>
          <w:rFonts w:ascii="Arial" w:cs="Arial" w:eastAsia="Arial" w:hAnsi="Arial"/>
          <w:sz w:val="16"/>
          <w:szCs w:val="16"/>
          <w:color w:val="auto"/>
        </w:rPr>
        <w:t>which provides new guidance on the use of the milestone method of recognizing revenue for research and development arrangements under which</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to be received by the vendor is contingent upon the achievement of certain milestones. ASU 2010-17 provides guidance on the criteria that should be met for determining whether the milestone method of revenue recognition is appropriate. A vendor can recognize consideration in its entirety as revenue in the period in which the milestone is achieved only if the milestone meets all criteria to be considered substantive. Additional disclosures describing the consideration arrangement and the entity’s accounting policy for recognition of such milestone payments are also required. The new guidance is effective for fiscal years, and interim periods within such fiscal years, beginning on or after June 15, 2010, with early adoption permitted. The guidance may be applied prospectively to milestones achieved during the period of adoption or retrospectively for all prior periods. The adoption of this guidance did not have, and is not expected to have, a material impact on the Company’s consolidated financial position, results of operations, and cash flows.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w:t>
      </w:r>
    </w:p>
    <w:p>
      <w:pPr>
        <w:spacing w:after="0" w:line="2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which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97" w:lineRule="exact"/>
        <w:rPr>
          <w:sz w:val="20"/>
          <w:szCs w:val="20"/>
          <w:color w:val="auto"/>
        </w:rPr>
      </w:pPr>
    </w:p>
    <w:p>
      <w:pPr>
        <w:ind w:left="640" w:hanging="150"/>
        <w:spacing w:after="0" w:line="277"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Quoted prices (unadjusted) in active markets that are accessible at the measurement date for assets or liabilities. The fair value hierarchy gives the</w:t>
      </w:r>
      <w:r>
        <w:rPr>
          <w:rFonts w:ascii="Arial" w:cs="Arial" w:eastAsia="Arial" w:hAnsi="Arial"/>
          <w:sz w:val="17"/>
          <w:szCs w:val="17"/>
          <w:i w:val="1"/>
          <w:iCs w:val="1"/>
          <w:color w:val="auto"/>
        </w:rPr>
        <w:t xml:space="preserve"> </w:t>
      </w:r>
      <w:r>
        <w:rPr>
          <w:rFonts w:ascii="Arial" w:cs="Arial" w:eastAsia="Arial" w:hAnsi="Arial"/>
          <w:sz w:val="17"/>
          <w:szCs w:val="17"/>
          <w:color w:val="auto"/>
        </w:rPr>
        <w:t>highest priority to Level 1 inputs.</w:t>
      </w:r>
    </w:p>
    <w:p>
      <w:pPr>
        <w:spacing w:after="0" w:line="189" w:lineRule="exact"/>
        <w:rPr>
          <w:rFonts w:ascii="Arial" w:cs="Arial" w:eastAsia="Arial" w:hAnsi="Arial"/>
          <w:sz w:val="17"/>
          <w:szCs w:val="17"/>
          <w:color w:val="auto"/>
        </w:rPr>
      </w:pPr>
    </w:p>
    <w:p>
      <w:pPr>
        <w:jc w:val="both"/>
        <w:ind w:left="640" w:hanging="150"/>
        <w:spacing w:after="0" w:line="264"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Inputs other than Level 1 that are observable, either directly or indirectly, such as quoted prices for similar assets or liabilities; quoted prices in</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that are not active; or other inputs that are observable or can be corroborated by observable market data for substantially the full term of the assets or liabilities.</w:t>
      </w:r>
    </w:p>
    <w:p>
      <w:pPr>
        <w:spacing w:after="0" w:line="201" w:lineRule="exact"/>
        <w:rPr>
          <w:rFonts w:ascii="Arial" w:cs="Arial" w:eastAsia="Arial" w:hAnsi="Arial"/>
          <w:sz w:val="17"/>
          <w:szCs w:val="17"/>
          <w:color w:val="auto"/>
        </w:rPr>
      </w:pPr>
    </w:p>
    <w:p>
      <w:pPr>
        <w:jc w:val="both"/>
        <w:ind w:left="640" w:hanging="150"/>
        <w:spacing w:after="0" w:line="264"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w:t>
      </w:r>
      <w:r>
        <w:rPr>
          <w:rFonts w:ascii="Arial" w:cs="Arial" w:eastAsia="Arial" w:hAnsi="Arial"/>
          <w:sz w:val="17"/>
          <w:szCs w:val="17"/>
          <w:i w:val="1"/>
          <w:iCs w:val="1"/>
          <w:color w:val="auto"/>
        </w:rPr>
        <w:t xml:space="preserve">i.e., </w:t>
      </w:r>
      <w:r>
        <w:rPr>
          <w:rFonts w:ascii="Arial" w:cs="Arial" w:eastAsia="Arial" w:hAnsi="Arial"/>
          <w:sz w:val="17"/>
          <w:szCs w:val="17"/>
          <w:color w:val="auto"/>
        </w:rPr>
        <w:t>inputs that reflect the reporting entity’s own assumptions about the assumptions that market participants would use in</w:t>
      </w:r>
      <w:r>
        <w:rPr>
          <w:rFonts w:ascii="Arial" w:cs="Arial" w:eastAsia="Arial" w:hAnsi="Arial"/>
          <w:sz w:val="17"/>
          <w:szCs w:val="17"/>
          <w:i w:val="1"/>
          <w:iCs w:val="1"/>
          <w:color w:val="auto"/>
        </w:rPr>
        <w:t xml:space="preserve"> </w:t>
      </w:r>
      <w:r>
        <w:rPr>
          <w:rFonts w:ascii="Arial" w:cs="Arial" w:eastAsia="Arial" w:hAnsi="Arial"/>
          <w:sz w:val="17"/>
          <w:szCs w:val="17"/>
          <w:color w:val="auto"/>
        </w:rPr>
        <w:t>estimating the fair value of an asset or liability) are used when little or no market data is available. The fair value hierarchy gives the lowest priority to Level 3 inputs.</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06"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 xml:space="preserve">The Company does not use derivative instruments for hedging of market risks or for trading or speculative purposes. In conjunction with the issuance of the Platinum Notes (see Note 5, </w:t>
      </w:r>
      <w:r>
        <w:rPr>
          <w:rFonts w:ascii="Arial" w:cs="Arial" w:eastAsia="Arial" w:hAnsi="Arial"/>
          <w:sz w:val="15"/>
          <w:szCs w:val="15"/>
          <w:i w:val="1"/>
          <w:iCs w:val="1"/>
          <w:color w:val="auto"/>
        </w:rPr>
        <w:t>Convertible Promissory Notes and Other Notes Payable</w:t>
      </w:r>
      <w:r>
        <w:rPr>
          <w:rFonts w:ascii="Arial" w:cs="Arial" w:eastAsia="Arial" w:hAnsi="Arial"/>
          <w:sz w:val="15"/>
          <w:szCs w:val="15"/>
          <w:color w:val="auto"/>
        </w:rPr>
        <w:t>), the Company determined that i) the cash payment option or put option, which provided the lender with the right to require the Company to repay part of the debt at a 25% premium, and ii) the note term extension option, which provided the lender with the right to extend the maturity date one year, were embedded derivatives that should be bifurcated and accounted for separately as liabilities. Also, in conjunction with the Platinum Notes, the Company issued warrants to purchase 560,000 shares of its common stock. These warrants included certain exercise price adjustment features and, as a result, the Company determined that the warrants were liabilities, which were recorded at their estimated fair value. The Company determined the fair value of the i) put option and note term extension option using an internal valuation model with Level 3 inputs and ii) the warrant liability using a lattice model with Level 3 inputs. Inputs used to determine fair value include estimated value of the underlying common stock at the valuation measurement date, the remaining contractual term of the notes, risk-free interest rates, expected volatility of the price of the underlying common stock, and the probability of a qualified financing. Changes in the fair value of these liabilities have been recognized as a non-cash charge or income in other income (expense) in the consolidated statements of operations.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2"/>
        </w:trPr>
        <w:tc>
          <w:tcPr>
            <w:tcW w:w="6060" w:type="dxa"/>
            <w:vAlign w:val="bottom"/>
            <w:gridSpan w:val="2"/>
          </w:tcPr>
          <w:p>
            <w:pPr>
              <w:spacing w:after="0"/>
              <w:rPr>
                <w:rFonts w:ascii="Arial" w:cs="Arial" w:eastAsia="Arial" w:hAnsi="Arial"/>
                <w:sz w:val="15"/>
                <w:szCs w:val="15"/>
                <w:i w:val="1"/>
                <w:iCs w:val="1"/>
                <w:color w:val="0000EE"/>
              </w:rPr>
            </w:pPr>
            <w:hyperlink w:anchor="page2">
              <w:r>
                <w:rPr>
                  <w:rFonts w:ascii="Arial" w:cs="Arial" w:eastAsia="Arial" w:hAnsi="Arial"/>
                  <w:sz w:val="15"/>
                  <w:szCs w:val="15"/>
                  <w:i w:val="1"/>
                  <w:iCs w:val="1"/>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6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460" w:type="dxa"/>
            <w:vAlign w:val="bottom"/>
            <w:gridSpan w:val="5"/>
          </w:tcPr>
          <w:p>
            <w:pPr>
              <w:spacing w:after="0"/>
              <w:rPr>
                <w:sz w:val="20"/>
                <w:szCs w:val="20"/>
                <w:color w:val="auto"/>
              </w:rPr>
            </w:pPr>
            <w:r>
              <w:rPr>
                <w:rFonts w:ascii="Arial" w:cs="Arial" w:eastAsia="Arial" w:hAnsi="Arial"/>
                <w:sz w:val="17"/>
                <w:szCs w:val="17"/>
                <w:color w:val="auto"/>
              </w:rPr>
              <w:t>The fair value hierarchy for liabilities measured at fair value on a recurring basis is as follows: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10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9"/>
          </w:tcPr>
          <w:p>
            <w:pPr>
              <w:jc w:val="right"/>
              <w:ind w:right="540"/>
              <w:spacing w:after="0"/>
              <w:rPr>
                <w:sz w:val="20"/>
                <w:szCs w:val="20"/>
                <w:color w:val="auto"/>
              </w:rPr>
            </w:pPr>
            <w:r>
              <w:rPr>
                <w:rFonts w:ascii="Arial" w:cs="Arial" w:eastAsia="Arial" w:hAnsi="Arial"/>
                <w:sz w:val="17"/>
                <w:szCs w:val="17"/>
                <w:color w:val="auto"/>
                <w:w w:val="98"/>
              </w:rPr>
              <w:t>Fair Value Measurements at Reporting Date</w:t>
            </w:r>
          </w:p>
        </w:tc>
      </w:tr>
      <w:tr>
        <w:trPr>
          <w:trHeight w:val="193"/>
        </w:trPr>
        <w:tc>
          <w:tcPr>
            <w:tcW w:w="10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Borders>
              <w:top w:val="single" w:sz="8" w:color="auto"/>
            </w:tcBorders>
            <w:gridSpan w:val="3"/>
          </w:tcPr>
          <w:p>
            <w:pPr>
              <w:spacing w:after="0" w:line="193" w:lineRule="exact"/>
              <w:rPr>
                <w:sz w:val="20"/>
                <w:szCs w:val="20"/>
                <w:color w:val="auto"/>
              </w:rPr>
            </w:pPr>
            <w:r>
              <w:rPr>
                <w:rFonts w:ascii="Arial" w:cs="Arial" w:eastAsia="Arial" w:hAnsi="Arial"/>
                <w:sz w:val="17"/>
                <w:szCs w:val="17"/>
                <w:color w:val="auto"/>
              </w:rPr>
              <w:t>Quoted Prices in</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60"/>
              <w:spacing w:after="0" w:line="193" w:lineRule="exact"/>
              <w:rPr>
                <w:sz w:val="20"/>
                <w:szCs w:val="20"/>
                <w:color w:val="auto"/>
              </w:rPr>
            </w:pPr>
            <w:r>
              <w:rPr>
                <w:rFonts w:ascii="Arial" w:cs="Arial" w:eastAsia="Arial" w:hAnsi="Arial"/>
                <w:sz w:val="17"/>
                <w:szCs w:val="17"/>
                <w:color w:val="auto"/>
                <w:w w:val="94"/>
              </w:rPr>
              <w:t>Significant</w:t>
            </w: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108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7"/>
                <w:szCs w:val="17"/>
                <w:color w:val="auto"/>
                <w:w w:val="95"/>
              </w:rPr>
              <w:t>Active Markets</w:t>
            </w: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Other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96"/>
              </w:rPr>
              <w:t>Significant</w:t>
            </w:r>
          </w:p>
        </w:tc>
      </w:tr>
      <w:tr>
        <w:trPr>
          <w:trHeight w:val="205"/>
        </w:trPr>
        <w:tc>
          <w:tcPr>
            <w:tcW w:w="108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7"/>
                <w:szCs w:val="17"/>
                <w:color w:val="auto"/>
                <w:w w:val="95"/>
              </w:rPr>
              <w:t>for Identical</w:t>
            </w: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Observable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Unobservable</w:t>
            </w:r>
          </w:p>
        </w:tc>
      </w:tr>
      <w:tr>
        <w:trPr>
          <w:trHeight w:val="205"/>
        </w:trPr>
        <w:tc>
          <w:tcPr>
            <w:tcW w:w="108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400" w:type="dxa"/>
            <w:vAlign w:val="bottom"/>
            <w:gridSpan w:val="3"/>
          </w:tcPr>
          <w:p>
            <w:pPr>
              <w:jc w:val="right"/>
              <w:ind w:right="320"/>
              <w:spacing w:after="0"/>
              <w:rPr>
                <w:sz w:val="20"/>
                <w:szCs w:val="20"/>
                <w:color w:val="auto"/>
              </w:rPr>
            </w:pPr>
            <w:r>
              <w:rPr>
                <w:rFonts w:ascii="Arial" w:cs="Arial" w:eastAsia="Arial" w:hAnsi="Arial"/>
                <w:sz w:val="17"/>
                <w:szCs w:val="17"/>
                <w:color w:val="auto"/>
                <w:w w:val="99"/>
              </w:rPr>
              <w:t>Total Carrying</w:t>
            </w: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color w:val="auto"/>
                <w:w w:val="90"/>
              </w:rPr>
              <w:t>Assets</w:t>
            </w: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color w:val="auto"/>
                <w:w w:val="90"/>
              </w:rPr>
              <w:t>Inputs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94"/>
              </w:rPr>
              <w:t>Inputs</w:t>
            </w:r>
          </w:p>
        </w:tc>
      </w:tr>
      <w:tr>
        <w:trPr>
          <w:trHeight w:val="223"/>
        </w:trPr>
        <w:tc>
          <w:tcPr>
            <w:tcW w:w="108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7"/>
                <w:szCs w:val="17"/>
                <w:color w:val="auto"/>
              </w:rPr>
              <w:t>Value</w:t>
            </w:r>
          </w:p>
        </w:tc>
        <w:tc>
          <w:tcPr>
            <w:tcW w:w="12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color w:val="auto"/>
                <w:w w:val="93"/>
              </w:rPr>
              <w:t>(Level 1)</w:t>
            </w:r>
          </w:p>
        </w:tc>
        <w:tc>
          <w:tcPr>
            <w:tcW w:w="14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(Level 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96"/>
              </w:rPr>
              <w:t>(Level 3)</w:t>
            </w:r>
          </w:p>
        </w:tc>
      </w:tr>
      <w:tr>
        <w:trPr>
          <w:trHeight w:val="204"/>
        </w:trPr>
        <w:tc>
          <w:tcPr>
            <w:tcW w:w="6060" w:type="dxa"/>
            <w:vAlign w:val="bottom"/>
            <w:gridSpan w:val="2"/>
          </w:tcPr>
          <w:p>
            <w:pPr>
              <w:spacing w:after="0"/>
              <w:rPr>
                <w:sz w:val="20"/>
                <w:szCs w:val="20"/>
                <w:color w:val="auto"/>
              </w:rPr>
            </w:pPr>
            <w:r>
              <w:rPr>
                <w:rFonts w:ascii="Arial" w:cs="Arial" w:eastAsia="Arial" w:hAnsi="Arial"/>
                <w:sz w:val="17"/>
                <w:szCs w:val="17"/>
                <w:color w:val="auto"/>
              </w:rPr>
              <w:t>December 31, 2011:</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Put option and note term extension option liabilities</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5"/>
        </w:trPr>
        <w:tc>
          <w:tcPr>
            <w:tcW w:w="6060" w:type="dxa"/>
            <w:vAlign w:val="bottom"/>
            <w:gridSpan w:val="2"/>
          </w:tcPr>
          <w:p>
            <w:pPr>
              <w:ind w:left="220"/>
              <w:spacing w:after="0"/>
              <w:rPr>
                <w:sz w:val="20"/>
                <w:szCs w:val="20"/>
                <w:color w:val="auto"/>
              </w:rPr>
            </w:pPr>
            <w:r>
              <w:rPr>
                <w:rFonts w:ascii="Arial" w:cs="Arial" w:eastAsia="Arial" w:hAnsi="Arial"/>
                <w:sz w:val="17"/>
                <w:szCs w:val="17"/>
                <w:color w:val="auto"/>
              </w:rPr>
              <w:t>Warrant liability</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March 31, 2011:</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gridSpan w:val="2"/>
          </w:tcPr>
          <w:p>
            <w:pPr>
              <w:ind w:left="220"/>
              <w:spacing w:after="0"/>
              <w:rPr>
                <w:sz w:val="20"/>
                <w:szCs w:val="20"/>
                <w:color w:val="auto"/>
              </w:rPr>
            </w:pPr>
            <w:r>
              <w:rPr>
                <w:rFonts w:ascii="Arial" w:cs="Arial" w:eastAsia="Arial" w:hAnsi="Arial"/>
                <w:sz w:val="17"/>
                <w:szCs w:val="17"/>
                <w:color w:val="auto"/>
              </w:rPr>
              <w:t>Put option and note term extension option liabilities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90,749</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90,749</w:t>
            </w:r>
          </w:p>
        </w:tc>
      </w:tr>
      <w:tr>
        <w:trPr>
          <w:trHeight w:val="205"/>
        </w:trPr>
        <w:tc>
          <w:tcPr>
            <w:tcW w:w="60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Warrant liability</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417,054</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417,054</w:t>
            </w:r>
          </w:p>
        </w:tc>
      </w:tr>
    </w:tbl>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three and nine month periods ended December 31, 2011 and 2010, there were no significant changes to the valuation models used for purposes of determining the fair value of the Level 3 put option and note term extension option liabilities and warrant liability.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20"/>
                <w:szCs w:val="20"/>
                <w:color w:val="auto"/>
              </w:rPr>
            </w:pPr>
            <w:r>
              <w:rPr>
                <w:rFonts w:ascii="Arial" w:cs="Arial" w:eastAsia="Arial" w:hAnsi="Arial"/>
                <w:sz w:val="17"/>
                <w:szCs w:val="17"/>
                <w:color w:val="auto"/>
                <w:w w:val="93"/>
              </w:rPr>
              <w:t>The changes in Level 3 liabilities measured at fair value on a recurring basis are as follows: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5"/>
        </w:trPr>
        <w:tc>
          <w:tcPr>
            <w:tcW w:w="6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9"/>
          </w:tcPr>
          <w:p>
            <w:pPr>
              <w:jc w:val="center"/>
              <w:ind w:right="200"/>
              <w:spacing w:after="0"/>
              <w:rPr>
                <w:sz w:val="20"/>
                <w:szCs w:val="20"/>
                <w:color w:val="auto"/>
              </w:rPr>
            </w:pPr>
            <w:r>
              <w:rPr>
                <w:rFonts w:ascii="Arial" w:cs="Arial" w:eastAsia="Arial" w:hAnsi="Arial"/>
                <w:sz w:val="17"/>
                <w:szCs w:val="17"/>
                <w:color w:val="auto"/>
                <w:w w:val="91"/>
              </w:rPr>
              <w:t>Fair Value Measurements Using Significant Unobservable Inputs</w:t>
            </w:r>
          </w:p>
        </w:tc>
      </w:tr>
      <w:tr>
        <w:trPr>
          <w:trHeight w:val="223"/>
        </w:trPr>
        <w:tc>
          <w:tcPr>
            <w:tcW w:w="6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7"/>
                <w:szCs w:val="17"/>
                <w:color w:val="auto"/>
                <w:w w:val="93"/>
              </w:rPr>
              <w:t>(Level 3)</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3"/>
        </w:trPr>
        <w:tc>
          <w:tcPr>
            <w:tcW w:w="6420" w:type="dxa"/>
            <w:vAlign w:val="bottom"/>
          </w:tcPr>
          <w:p>
            <w:pPr>
              <w:spacing w:after="0"/>
              <w:rPr>
                <w:sz w:val="16"/>
                <w:szCs w:val="16"/>
                <w:color w:val="auto"/>
              </w:rPr>
            </w:pPr>
          </w:p>
        </w:tc>
        <w:tc>
          <w:tcPr>
            <w:tcW w:w="1620" w:type="dxa"/>
            <w:vAlign w:val="bottom"/>
            <w:gridSpan w:val="3"/>
          </w:tcPr>
          <w:p>
            <w:pPr>
              <w:jc w:val="center"/>
              <w:ind w:right="140"/>
              <w:spacing w:after="0" w:line="193" w:lineRule="exact"/>
              <w:rPr>
                <w:sz w:val="20"/>
                <w:szCs w:val="20"/>
                <w:color w:val="auto"/>
              </w:rPr>
            </w:pPr>
            <w:r>
              <w:rPr>
                <w:rFonts w:ascii="Arial" w:cs="Arial" w:eastAsia="Arial" w:hAnsi="Arial"/>
                <w:sz w:val="17"/>
                <w:szCs w:val="17"/>
                <w:color w:val="auto"/>
                <w:w w:val="90"/>
              </w:rPr>
              <w:t>Put Option and Note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6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Term Extension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6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96"/>
              </w:rPr>
              <w:t>Option Liabilities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96"/>
              </w:rPr>
              <w:t>Warrant Liability</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9"/>
                <w:szCs w:val="19"/>
                <w:color w:val="auto"/>
              </w:rPr>
            </w:pPr>
          </w:p>
        </w:tc>
      </w:tr>
      <w:tr>
        <w:trPr>
          <w:trHeight w:val="205"/>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Balance at March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90,749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417,054</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507,803</w:t>
            </w:r>
          </w:p>
        </w:tc>
      </w:tr>
      <w:tr>
        <w:trPr>
          <w:trHeight w:val="205"/>
        </w:trPr>
        <w:tc>
          <w:tcPr>
            <w:tcW w:w="6420" w:type="dxa"/>
            <w:vAlign w:val="bottom"/>
          </w:tcPr>
          <w:p>
            <w:pPr>
              <w:spacing w:after="0"/>
              <w:rPr>
                <w:sz w:val="20"/>
                <w:szCs w:val="20"/>
                <w:color w:val="auto"/>
              </w:rPr>
            </w:pPr>
            <w:r>
              <w:rPr>
                <w:rFonts w:ascii="Arial" w:cs="Arial" w:eastAsia="Arial" w:hAnsi="Arial"/>
                <w:sz w:val="17"/>
                <w:szCs w:val="17"/>
                <w:color w:val="auto"/>
              </w:rPr>
              <w:t>Marked to market loss included in net loss</w:t>
            </w:r>
          </w:p>
        </w:tc>
        <w:tc>
          <w:tcPr>
            <w:tcW w:w="100" w:type="dxa"/>
            <w:vAlign w:val="bottom"/>
          </w:tcPr>
          <w:p>
            <w:pPr>
              <w:spacing w:after="0"/>
              <w:rPr>
                <w:sz w:val="17"/>
                <w:szCs w:val="17"/>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70,970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7,014</w:t>
            </w:r>
          </w:p>
        </w:tc>
        <w:tc>
          <w:tcPr>
            <w:tcW w:w="34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77,984</w:t>
            </w:r>
          </w:p>
        </w:tc>
      </w:tr>
      <w:tr>
        <w:trPr>
          <w:trHeight w:val="205"/>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Reclassification of liability to note discount upon modification of Platinum Notes</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(161,719)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(161,719)</w:t>
            </w:r>
          </w:p>
        </w:tc>
      </w:tr>
      <w:tr>
        <w:trPr>
          <w:trHeight w:val="205"/>
        </w:trPr>
        <w:tc>
          <w:tcPr>
            <w:tcW w:w="6420" w:type="dxa"/>
            <w:vAlign w:val="bottom"/>
          </w:tcPr>
          <w:p>
            <w:pPr>
              <w:spacing w:after="0"/>
              <w:rPr>
                <w:sz w:val="20"/>
                <w:szCs w:val="20"/>
                <w:color w:val="auto"/>
              </w:rPr>
            </w:pPr>
            <w:r>
              <w:rPr>
                <w:rFonts w:ascii="Arial" w:cs="Arial" w:eastAsia="Arial" w:hAnsi="Arial"/>
                <w:sz w:val="17"/>
                <w:szCs w:val="17"/>
                <w:color w:val="auto"/>
              </w:rPr>
              <w:t>Reclassification of remaining warrant liability to equity</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(424,068)</w:t>
            </w:r>
          </w:p>
        </w:tc>
        <w:tc>
          <w:tcPr>
            <w:tcW w:w="34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(424,068)</w:t>
            </w:r>
          </w:p>
        </w:tc>
      </w:tr>
      <w:tr>
        <w:trPr>
          <w:trHeight w:val="26"/>
        </w:trPr>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r>
      <w:tr>
        <w:trPr>
          <w:trHeight w:val="20"/>
        </w:trPr>
        <w:tc>
          <w:tcPr>
            <w:tcW w:w="6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discussed further in Note 5, the Platinum Notes were amended and restated on May 5, 2011, eliminating the cash payment option. Further, concurrent with the Merger transaction described in Note 1 above, the warrants are no longer considered liabilities, since the exercise price adjustment feature ended upon the Company becoming a public company as a result of the Merger. The increase in fair value of the warrant liability of $7,014 was recognized in other expense, net in the statements of operations. The aggregated fair value of these warrants at May 11, 2011 was reclassified from a liability to additional paid-in capital, a component of stockholders’ deficit.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No assets or other liabilities were carried at fair value at December 31, 2011 or March 31, 2011.</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Convertible Promissory Notes and Other Notes Payable</w:t>
      </w:r>
    </w:p>
    <w:p>
      <w:pPr>
        <w:spacing w:after="0" w:line="219"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following table summarizes the activity for the Company’s unsecured convertible promissory notes and other notes payable for the nine months ended December 31, 2011:</w:t>
      </w:r>
    </w:p>
    <w:tbl>
      <w:tblPr>
        <w:tblLayout w:type="fixed"/>
        <w:tblInd w:w="0" w:type="dxa"/>
        <w:tblCellMar>
          <w:top w:w="0" w:type="dxa"/>
          <w:left w:w="0" w:type="dxa"/>
          <w:bottom w:w="0" w:type="dxa"/>
          <w:right w:w="0" w:type="dxa"/>
        </w:tblCellMar>
      </w:tblP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right"/>
              <w:ind w:right="240"/>
              <w:spacing w:after="0" w:line="128" w:lineRule="exact"/>
              <w:rPr>
                <w:sz w:val="20"/>
                <w:szCs w:val="20"/>
                <w:color w:val="auto"/>
              </w:rPr>
            </w:pPr>
            <w:r>
              <w:rPr>
                <w:rFonts w:ascii="Arial" w:cs="Arial" w:eastAsia="Arial" w:hAnsi="Arial"/>
                <w:sz w:val="14"/>
                <w:szCs w:val="14"/>
                <w:b w:val="1"/>
                <w:bCs w:val="1"/>
                <w:color w:val="auto"/>
                <w:w w:val="89"/>
              </w:rPr>
              <w:t>Conversion to</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28" w:lineRule="exact"/>
              <w:rPr>
                <w:sz w:val="20"/>
                <w:szCs w:val="20"/>
                <w:color w:val="auto"/>
              </w:rPr>
            </w:pPr>
            <w:r>
              <w:rPr>
                <w:rFonts w:ascii="Arial" w:cs="Arial" w:eastAsia="Arial" w:hAnsi="Arial"/>
                <w:sz w:val="14"/>
                <w:szCs w:val="14"/>
                <w:b w:val="1"/>
                <w:bCs w:val="1"/>
                <w:color w:val="auto"/>
                <w:w w:val="89"/>
              </w:rPr>
              <w:t>Accrued</w:t>
            </w:r>
          </w:p>
        </w:tc>
      </w:tr>
      <w:tr>
        <w:trPr>
          <w:trHeight w:val="176"/>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Exchange</w:t>
            </w:r>
          </w:p>
        </w:tc>
        <w:tc>
          <w:tcPr>
            <w:tcW w:w="1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Balance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Interest</w:t>
            </w: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3/31/2011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Additions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Equity</w:t>
            </w:r>
          </w:p>
        </w:tc>
        <w:tc>
          <w:tcPr>
            <w:tcW w:w="100" w:type="dxa"/>
            <w:vAlign w:val="bottom"/>
          </w:tcPr>
          <w:p>
            <w:pPr>
              <w:spacing w:after="0"/>
              <w:rPr>
                <w:sz w:val="17"/>
                <w:szCs w:val="17"/>
                <w:color w:val="auto"/>
              </w:rPr>
            </w:pPr>
          </w:p>
        </w:tc>
        <w:tc>
          <w:tcPr>
            <w:tcW w:w="80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12/31/2011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52"/>
              <w:spacing w:after="0"/>
              <w:rPr>
                <w:sz w:val="20"/>
                <w:szCs w:val="20"/>
                <w:color w:val="auto"/>
              </w:rPr>
            </w:pPr>
            <w:r>
              <w:rPr>
                <w:rFonts w:ascii="Arial" w:cs="Arial" w:eastAsia="Arial" w:hAnsi="Arial"/>
                <w:sz w:val="14"/>
                <w:szCs w:val="14"/>
                <w:b w:val="1"/>
                <w:bCs w:val="1"/>
                <w:color w:val="auto"/>
                <w:w w:val="88"/>
              </w:rPr>
              <w:t>12/31/2011</w:t>
            </w:r>
          </w:p>
        </w:tc>
        <w:tc>
          <w:tcPr>
            <w:tcW w:w="100" w:type="dxa"/>
            <w:vAlign w:val="bottom"/>
          </w:tcPr>
          <w:p>
            <w:pPr>
              <w:spacing w:after="0"/>
              <w:rPr>
                <w:sz w:val="17"/>
                <w:szCs w:val="17"/>
                <w:color w:val="auto"/>
              </w:rPr>
            </w:pPr>
          </w:p>
        </w:tc>
      </w:tr>
      <w:tr>
        <w:trPr>
          <w:trHeight w:val="282"/>
        </w:trPr>
        <w:tc>
          <w:tcPr>
            <w:tcW w:w="2300" w:type="dxa"/>
            <w:vAlign w:val="bottom"/>
          </w:tcPr>
          <w:p>
            <w:pPr>
              <w:spacing w:after="0"/>
              <w:rPr>
                <w:sz w:val="20"/>
                <w:szCs w:val="20"/>
                <w:color w:val="auto"/>
              </w:rPr>
            </w:pPr>
            <w:r>
              <w:rPr>
                <w:rFonts w:ascii="Arial" w:cs="Arial" w:eastAsia="Arial" w:hAnsi="Arial"/>
                <w:sz w:val="14"/>
                <w:szCs w:val="14"/>
                <w:i w:val="1"/>
                <w:iCs w:val="1"/>
                <w:color w:val="auto"/>
              </w:rPr>
              <w:t>Convertible Promissory Notes:</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1"/>
        </w:trPr>
        <w:tc>
          <w:tcPr>
            <w:tcW w:w="2300" w:type="dxa"/>
            <w:vAlign w:val="bottom"/>
            <w:shd w:val="clear" w:color="auto" w:fill="CCEEFF"/>
          </w:tcPr>
          <w:p>
            <w:pPr>
              <w:ind w:left="40"/>
              <w:spacing w:after="0" w:line="141" w:lineRule="exact"/>
              <w:rPr>
                <w:sz w:val="20"/>
                <w:szCs w:val="20"/>
                <w:color w:val="auto"/>
              </w:rPr>
            </w:pPr>
            <w:r>
              <w:rPr>
                <w:rFonts w:ascii="Arial" w:cs="Arial" w:eastAsia="Arial" w:hAnsi="Arial"/>
                <w:sz w:val="14"/>
                <w:szCs w:val="14"/>
                <w:color w:val="auto"/>
              </w:rPr>
              <w:t>2006/2007 Notes</w:t>
            </w:r>
          </w:p>
        </w:tc>
        <w:tc>
          <w:tcPr>
            <w:tcW w:w="2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1,837,368</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(1,837,368)</w:t>
            </w:r>
          </w:p>
        </w:tc>
        <w:tc>
          <w:tcPr>
            <w:tcW w:w="1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r>
      <w:tr>
        <w:trPr>
          <w:trHeight w:val="26"/>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41"/>
        </w:trPr>
        <w:tc>
          <w:tcPr>
            <w:tcW w:w="2300" w:type="dxa"/>
            <w:vAlign w:val="bottom"/>
          </w:tcPr>
          <w:p>
            <w:pPr>
              <w:ind w:left="40"/>
              <w:spacing w:after="0" w:line="141" w:lineRule="exact"/>
              <w:rPr>
                <w:sz w:val="20"/>
                <w:szCs w:val="20"/>
                <w:color w:val="auto"/>
              </w:rPr>
            </w:pPr>
            <w:r>
              <w:rPr>
                <w:rFonts w:ascii="Arial" w:cs="Arial" w:eastAsia="Arial" w:hAnsi="Arial"/>
                <w:sz w:val="14"/>
                <w:szCs w:val="14"/>
                <w:color w:val="auto"/>
              </w:rPr>
              <w:t>Platinum Notes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(4,000,000)</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r>
      <w:tr>
        <w:trPr>
          <w:trHeight w:val="141"/>
        </w:trPr>
        <w:tc>
          <w:tcPr>
            <w:tcW w:w="2300" w:type="dxa"/>
            <w:vAlign w:val="bottom"/>
            <w:shd w:val="clear" w:color="auto" w:fill="CCEEFF"/>
          </w:tcPr>
          <w:p>
            <w:pPr>
              <w:ind w:left="40"/>
              <w:spacing w:after="0" w:line="141" w:lineRule="exact"/>
              <w:rPr>
                <w:sz w:val="20"/>
                <w:szCs w:val="20"/>
                <w:color w:val="auto"/>
              </w:rPr>
            </w:pPr>
            <w:r>
              <w:rPr>
                <w:rFonts w:ascii="Arial" w:cs="Arial" w:eastAsia="Arial" w:hAnsi="Arial"/>
                <w:sz w:val="14"/>
                <w:szCs w:val="14"/>
                <w:color w:val="auto"/>
              </w:rPr>
              <w:t>Note discounts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(674,011)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(908,920)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908,947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4"/>
                <w:szCs w:val="14"/>
                <w:color w:val="auto"/>
              </w:rPr>
              <w:t>673,984</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r>
      <w:tr>
        <w:trPr>
          <w:trHeight w:val="26"/>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41"/>
        </w:trPr>
        <w:tc>
          <w:tcPr>
            <w:tcW w:w="2300" w:type="dxa"/>
            <w:vAlign w:val="bottom"/>
          </w:tcPr>
          <w:p>
            <w:pPr>
              <w:ind w:left="140"/>
              <w:spacing w:after="0" w:line="141" w:lineRule="exact"/>
              <w:rPr>
                <w:sz w:val="20"/>
                <w:szCs w:val="20"/>
                <w:color w:val="auto"/>
              </w:rPr>
            </w:pPr>
            <w:r>
              <w:rPr>
                <w:rFonts w:ascii="Arial" w:cs="Arial" w:eastAsia="Arial" w:hAnsi="Arial"/>
                <w:sz w:val="14"/>
                <w:szCs w:val="14"/>
                <w:color w:val="auto"/>
              </w:rPr>
              <w:t>Platinum Notes, net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3,325,989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(908,920)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908,947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(3,326,016)</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r>
      <w:tr>
        <w:trPr>
          <w:trHeight w:val="26"/>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2300" w:type="dxa"/>
            <w:vAlign w:val="bottom"/>
            <w:shd w:val="clear" w:color="auto" w:fill="CCEEFF"/>
          </w:tcPr>
          <w:p>
            <w:pPr>
              <w:ind w:left="40"/>
              <w:spacing w:after="0" w:line="141" w:lineRule="exact"/>
              <w:rPr>
                <w:sz w:val="20"/>
                <w:szCs w:val="20"/>
                <w:color w:val="auto"/>
              </w:rPr>
            </w:pPr>
            <w:r>
              <w:rPr>
                <w:rFonts w:ascii="Arial" w:cs="Arial" w:eastAsia="Arial" w:hAnsi="Arial"/>
                <w:sz w:val="14"/>
                <w:szCs w:val="14"/>
                <w:color w:val="auto"/>
              </w:rPr>
              <w:t>2008/2010 Notes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2,971,815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(2,971,815)</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r>
      <w:tr>
        <w:trPr>
          <w:trHeight w:val="123"/>
        </w:trPr>
        <w:tc>
          <w:tcPr>
            <w:tcW w:w="2300" w:type="dxa"/>
            <w:vAlign w:val="bottom"/>
            <w:tcBorders>
              <w:top w:val="single" w:sz="8" w:color="CCEEFF"/>
            </w:tcBorders>
          </w:tcPr>
          <w:p>
            <w:pPr>
              <w:ind w:left="140"/>
              <w:spacing w:after="0" w:line="123" w:lineRule="exact"/>
              <w:rPr>
                <w:sz w:val="20"/>
                <w:szCs w:val="20"/>
                <w:color w:val="auto"/>
              </w:rPr>
            </w:pPr>
            <w:r>
              <w:rPr>
                <w:rFonts w:ascii="Arial" w:cs="Arial" w:eastAsia="Arial" w:hAnsi="Arial"/>
                <w:sz w:val="14"/>
                <w:szCs w:val="14"/>
                <w:color w:val="auto"/>
              </w:rPr>
              <w:t>Total convertible</w:t>
            </w:r>
          </w:p>
        </w:tc>
        <w:tc>
          <w:tcPr>
            <w:tcW w:w="1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r>
      <w:tr>
        <w:trPr>
          <w:trHeight w:val="159"/>
        </w:trPr>
        <w:tc>
          <w:tcPr>
            <w:tcW w:w="2300" w:type="dxa"/>
            <w:vAlign w:val="bottom"/>
          </w:tcPr>
          <w:p>
            <w:pPr>
              <w:ind w:left="140"/>
              <w:spacing w:after="0" w:line="159" w:lineRule="exact"/>
              <w:rPr>
                <w:sz w:val="20"/>
                <w:szCs w:val="20"/>
                <w:color w:val="auto"/>
              </w:rPr>
            </w:pPr>
            <w:r>
              <w:rPr>
                <w:rFonts w:ascii="Arial" w:cs="Arial" w:eastAsia="Arial" w:hAnsi="Arial"/>
                <w:sz w:val="14"/>
                <w:szCs w:val="14"/>
                <w:color w:val="auto"/>
              </w:rPr>
              <w:t>promissory notes, net</w:t>
            </w:r>
          </w:p>
        </w:tc>
        <w:tc>
          <w:tcPr>
            <w:tcW w:w="2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8,135,172</w:t>
            </w:r>
          </w:p>
        </w:tc>
        <w:tc>
          <w:tcPr>
            <w:tcW w:w="120" w:type="dxa"/>
            <w:vAlign w:val="bottom"/>
          </w:tcPr>
          <w:p>
            <w:pPr>
              <w:spacing w:after="0"/>
              <w:rPr>
                <w:sz w:val="13"/>
                <w:szCs w:val="13"/>
                <w:color w:val="auto"/>
              </w:rPr>
            </w:pPr>
          </w:p>
        </w:tc>
        <w:tc>
          <w:tcPr>
            <w:tcW w:w="2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(908,920)</w:t>
            </w:r>
          </w:p>
        </w:tc>
        <w:tc>
          <w:tcPr>
            <w:tcW w:w="2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908,947</w:t>
            </w:r>
          </w:p>
        </w:tc>
        <w:tc>
          <w:tcPr>
            <w:tcW w:w="4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(8,135,199)</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2300" w:type="dxa"/>
            <w:vAlign w:val="bottom"/>
            <w:shd w:val="clear" w:color="auto" w:fill="CCEEFF"/>
          </w:tcPr>
          <w:p>
            <w:pPr>
              <w:spacing w:after="0" w:line="133" w:lineRule="exact"/>
              <w:rPr>
                <w:sz w:val="20"/>
                <w:szCs w:val="20"/>
                <w:color w:val="auto"/>
              </w:rPr>
            </w:pPr>
            <w:r>
              <w:rPr>
                <w:rFonts w:ascii="Arial" w:cs="Arial" w:eastAsia="Arial" w:hAnsi="Arial"/>
                <w:sz w:val="14"/>
                <w:szCs w:val="14"/>
                <w:i w:val="1"/>
                <w:iCs w:val="1"/>
                <w:color w:val="auto"/>
                <w:w w:val="96"/>
              </w:rPr>
              <w:t>Non-interest bearing promissory notes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1"/>
        </w:trPr>
        <w:tc>
          <w:tcPr>
            <w:tcW w:w="2300" w:type="dxa"/>
            <w:vAlign w:val="bottom"/>
          </w:tcPr>
          <w:p>
            <w:pPr>
              <w:spacing w:after="0" w:line="141" w:lineRule="exact"/>
              <w:rPr>
                <w:sz w:val="20"/>
                <w:szCs w:val="20"/>
                <w:color w:val="auto"/>
              </w:rPr>
            </w:pPr>
            <w:r>
              <w:rPr>
                <w:rFonts w:ascii="Arial" w:cs="Arial" w:eastAsia="Arial" w:hAnsi="Arial"/>
                <w:sz w:val="14"/>
                <w:szCs w:val="14"/>
                <w:color w:val="auto"/>
              </w:rPr>
              <w:t>August 2010 Short-Term Notes</w:t>
            </w:r>
          </w:p>
        </w:tc>
        <w:tc>
          <w:tcPr>
            <w:tcW w:w="24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1,120,000</w:t>
            </w:r>
          </w:p>
        </w:tc>
        <w:tc>
          <w:tcPr>
            <w:tcW w:w="120" w:type="dxa"/>
            <w:vAlign w:val="bottom"/>
          </w:tcPr>
          <w:p>
            <w:pPr>
              <w:spacing w:after="0"/>
              <w:rPr>
                <w:sz w:val="12"/>
                <w:szCs w:val="12"/>
                <w:color w:val="auto"/>
              </w:rPr>
            </w:pPr>
          </w:p>
        </w:tc>
        <w:tc>
          <w:tcPr>
            <w:tcW w:w="22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(280,000)</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(840,000)</w:t>
            </w:r>
          </w:p>
        </w:tc>
        <w:tc>
          <w:tcPr>
            <w:tcW w:w="100" w:type="dxa"/>
            <w:vAlign w:val="bottom"/>
          </w:tcPr>
          <w:p>
            <w:pPr>
              <w:jc w:val="right"/>
              <w:spacing w:after="0" w:line="141"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r>
      <w:tr>
        <w:trPr>
          <w:trHeight w:val="141"/>
        </w:trPr>
        <w:tc>
          <w:tcPr>
            <w:tcW w:w="230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rPr>
              <w:t>Note discount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(14,270)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14,270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r>
      <w:tr>
        <w:trPr>
          <w:trHeight w:val="26"/>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41"/>
        </w:trPr>
        <w:tc>
          <w:tcPr>
            <w:tcW w:w="2300" w:type="dxa"/>
            <w:vAlign w:val="bottom"/>
          </w:tcPr>
          <w:p>
            <w:pPr>
              <w:ind w:left="180"/>
              <w:spacing w:after="0" w:line="141" w:lineRule="exact"/>
              <w:rPr>
                <w:sz w:val="20"/>
                <w:szCs w:val="20"/>
                <w:color w:val="auto"/>
              </w:rPr>
            </w:pPr>
            <w:r>
              <w:rPr>
                <w:rFonts w:ascii="Arial" w:cs="Arial" w:eastAsia="Arial" w:hAnsi="Arial"/>
                <w:sz w:val="14"/>
                <w:szCs w:val="14"/>
                <w:color w:val="auto"/>
              </w:rPr>
              <w:t>Non-interest bearing notes, net</w:t>
            </w:r>
          </w:p>
        </w:tc>
        <w:tc>
          <w:tcPr>
            <w:tcW w:w="24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1,105,730</w:t>
            </w:r>
          </w:p>
        </w:tc>
        <w:tc>
          <w:tcPr>
            <w:tcW w:w="120" w:type="dxa"/>
            <w:vAlign w:val="bottom"/>
          </w:tcPr>
          <w:p>
            <w:pPr>
              <w:spacing w:after="0"/>
              <w:rPr>
                <w:sz w:val="12"/>
                <w:szCs w:val="12"/>
                <w:color w:val="auto"/>
              </w:rPr>
            </w:pPr>
          </w:p>
        </w:tc>
        <w:tc>
          <w:tcPr>
            <w:tcW w:w="22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14,270</w:t>
            </w:r>
          </w:p>
        </w:tc>
        <w:tc>
          <w:tcPr>
            <w:tcW w:w="40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(280,000)</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(840,000)</w:t>
            </w:r>
          </w:p>
        </w:tc>
        <w:tc>
          <w:tcPr>
            <w:tcW w:w="100" w:type="dxa"/>
            <w:vAlign w:val="bottom"/>
          </w:tcPr>
          <w:p>
            <w:pPr>
              <w:jc w:val="right"/>
              <w:spacing w:after="0" w:line="141"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2"/>
        </w:trPr>
        <w:tc>
          <w:tcPr>
            <w:tcW w:w="2300" w:type="dxa"/>
            <w:vAlign w:val="bottom"/>
            <w:shd w:val="clear" w:color="auto" w:fill="CCEEFF"/>
          </w:tcPr>
          <w:p>
            <w:pPr>
              <w:spacing w:after="0" w:line="133" w:lineRule="exact"/>
              <w:rPr>
                <w:sz w:val="20"/>
                <w:szCs w:val="20"/>
                <w:color w:val="auto"/>
              </w:rPr>
            </w:pPr>
            <w:r>
              <w:rPr>
                <w:rFonts w:ascii="Arial" w:cs="Arial" w:eastAsia="Arial" w:hAnsi="Arial"/>
                <w:sz w:val="14"/>
                <w:szCs w:val="14"/>
                <w:i w:val="1"/>
                <w:iCs w:val="1"/>
                <w:color w:val="auto"/>
              </w:rPr>
              <w:t>Other Notes Payable</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1"/>
        </w:trPr>
        <w:tc>
          <w:tcPr>
            <w:tcW w:w="2300" w:type="dxa"/>
            <w:vAlign w:val="bottom"/>
          </w:tcPr>
          <w:p>
            <w:pPr>
              <w:ind w:left="40"/>
              <w:spacing w:after="0" w:line="141" w:lineRule="exact"/>
              <w:rPr>
                <w:sz w:val="20"/>
                <w:szCs w:val="20"/>
                <w:color w:val="auto"/>
              </w:rPr>
            </w:pPr>
            <w:r>
              <w:rPr>
                <w:rFonts w:ascii="Arial" w:cs="Arial" w:eastAsia="Arial" w:hAnsi="Arial"/>
                <w:sz w:val="14"/>
                <w:szCs w:val="14"/>
                <w:i w:val="1"/>
                <w:iCs w:val="1"/>
                <w:color w:val="auto"/>
              </w:rPr>
              <w:t>Related parties: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2300" w:type="dxa"/>
            <w:vAlign w:val="bottom"/>
            <w:shd w:val="clear" w:color="auto" w:fill="CCEEFF"/>
          </w:tcPr>
          <w:p>
            <w:pPr>
              <w:ind w:left="180"/>
              <w:spacing w:after="0" w:line="123" w:lineRule="exact"/>
              <w:rPr>
                <w:sz w:val="20"/>
                <w:szCs w:val="20"/>
                <w:color w:val="auto"/>
              </w:rPr>
            </w:pPr>
            <w:r>
              <w:rPr>
                <w:rFonts w:ascii="Arial" w:cs="Arial" w:eastAsia="Arial" w:hAnsi="Arial"/>
                <w:sz w:val="14"/>
                <w:szCs w:val="14"/>
                <w:color w:val="auto"/>
              </w:rPr>
              <w:t>7% Notes payable to</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1"/>
        </w:trPr>
        <w:tc>
          <w:tcPr>
            <w:tcW w:w="2300" w:type="dxa"/>
            <w:vAlign w:val="bottom"/>
            <w:shd w:val="clear" w:color="auto" w:fill="CCEEFF"/>
          </w:tcPr>
          <w:p>
            <w:pPr>
              <w:ind w:left="200"/>
              <w:spacing w:after="0" w:line="141" w:lineRule="exact"/>
              <w:rPr>
                <w:sz w:val="20"/>
                <w:szCs w:val="20"/>
                <w:color w:val="auto"/>
              </w:rPr>
            </w:pPr>
            <w:r>
              <w:rPr>
                <w:rFonts w:ascii="Arial" w:cs="Arial" w:eastAsia="Arial" w:hAnsi="Arial"/>
                <w:sz w:val="14"/>
                <w:szCs w:val="14"/>
                <w:color w:val="auto"/>
              </w:rPr>
              <w:t>Officer and</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2300" w:type="dxa"/>
            <w:vAlign w:val="bottom"/>
            <w:shd w:val="clear" w:color="auto" w:fill="CCEEFF"/>
          </w:tcPr>
          <w:p>
            <w:pPr>
              <w:ind w:left="200"/>
              <w:spacing w:after="0" w:line="141" w:lineRule="exact"/>
              <w:rPr>
                <w:sz w:val="20"/>
                <w:szCs w:val="20"/>
                <w:color w:val="auto"/>
              </w:rPr>
            </w:pPr>
            <w:r>
              <w:rPr>
                <w:rFonts w:ascii="Arial" w:cs="Arial" w:eastAsia="Arial" w:hAnsi="Arial"/>
                <w:sz w:val="14"/>
                <w:szCs w:val="14"/>
                <w:color w:val="auto"/>
              </w:rPr>
              <w:t>Directors for legal and</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2300" w:type="dxa"/>
            <w:vAlign w:val="bottom"/>
            <w:shd w:val="clear" w:color="auto" w:fill="CCEEFF"/>
          </w:tcPr>
          <w:p>
            <w:pPr>
              <w:ind w:left="200"/>
              <w:spacing w:after="0" w:line="141" w:lineRule="exact"/>
              <w:rPr>
                <w:sz w:val="20"/>
                <w:szCs w:val="20"/>
                <w:color w:val="auto"/>
              </w:rPr>
            </w:pPr>
            <w:r>
              <w:rPr>
                <w:rFonts w:ascii="Arial" w:cs="Arial" w:eastAsia="Arial" w:hAnsi="Arial"/>
                <w:sz w:val="14"/>
                <w:szCs w:val="14"/>
                <w:color w:val="auto"/>
              </w:rPr>
              <w:t>consulting</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9"/>
        </w:trPr>
        <w:tc>
          <w:tcPr>
            <w:tcW w:w="23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 xml:space="preserve">services </w:t>
            </w:r>
            <w:r>
              <w:rPr>
                <w:rFonts w:ascii="Arial" w:cs="Arial" w:eastAsia="Arial" w:hAnsi="Arial"/>
                <w:sz w:val="9"/>
                <w:szCs w:val="9"/>
                <w:color w:val="auto"/>
              </w:rPr>
              <w:t>(1)</w:t>
            </w:r>
          </w:p>
        </w:tc>
        <w:tc>
          <w:tcPr>
            <w:tcW w:w="2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34,423</w:t>
            </w:r>
          </w:p>
        </w:tc>
        <w:tc>
          <w:tcPr>
            <w:tcW w:w="1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5,138</w:t>
            </w: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(26,419)</w:t>
            </w:r>
          </w:p>
        </w:tc>
        <w:tc>
          <w:tcPr>
            <w:tcW w:w="1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(13,142)</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123"/>
        </w:trPr>
        <w:tc>
          <w:tcPr>
            <w:tcW w:w="2300" w:type="dxa"/>
            <w:vAlign w:val="bottom"/>
          </w:tcPr>
          <w:p>
            <w:pPr>
              <w:ind w:left="200"/>
              <w:spacing w:after="0" w:line="123" w:lineRule="exact"/>
              <w:rPr>
                <w:sz w:val="20"/>
                <w:szCs w:val="20"/>
                <w:color w:val="auto"/>
              </w:rPr>
            </w:pPr>
            <w:r>
              <w:rPr>
                <w:rFonts w:ascii="Arial" w:cs="Arial" w:eastAsia="Arial" w:hAnsi="Arial"/>
                <w:sz w:val="14"/>
                <w:szCs w:val="14"/>
                <w:color w:val="auto"/>
              </w:rPr>
              <w:t>7 % Note payable to</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9"/>
        </w:trPr>
        <w:tc>
          <w:tcPr>
            <w:tcW w:w="2300" w:type="dxa"/>
            <w:vAlign w:val="bottom"/>
          </w:tcPr>
          <w:p>
            <w:pPr>
              <w:ind w:left="200"/>
              <w:spacing w:after="0" w:line="159" w:lineRule="exact"/>
              <w:rPr>
                <w:sz w:val="20"/>
                <w:szCs w:val="20"/>
                <w:color w:val="auto"/>
              </w:rPr>
            </w:pPr>
            <w:r>
              <w:rPr>
                <w:rFonts w:ascii="Arial" w:cs="Arial" w:eastAsia="Arial" w:hAnsi="Arial"/>
                <w:sz w:val="14"/>
                <w:szCs w:val="14"/>
                <w:color w:val="auto"/>
              </w:rPr>
              <w:t>Cato Holding Co.</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90,787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(72,500)</w:t>
            </w:r>
          </w:p>
        </w:tc>
        <w:tc>
          <w:tcPr>
            <w:tcW w:w="160" w:type="dxa"/>
            <w:vAlign w:val="bottom"/>
          </w:tcPr>
          <w:p>
            <w:pPr>
              <w:spacing w:after="0"/>
              <w:rPr>
                <w:sz w:val="13"/>
                <w:szCs w:val="13"/>
                <w:color w:val="auto"/>
              </w:rPr>
            </w:pPr>
          </w:p>
        </w:tc>
        <w:tc>
          <w:tcPr>
            <w:tcW w:w="9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115,370</w:t>
            </w:r>
          </w:p>
        </w:tc>
        <w:tc>
          <w:tcPr>
            <w:tcW w:w="120" w:type="dxa"/>
            <w:vAlign w:val="bottom"/>
          </w:tcPr>
          <w:p>
            <w:pPr>
              <w:spacing w:after="0"/>
              <w:rPr>
                <w:sz w:val="13"/>
                <w:szCs w:val="13"/>
                <w:color w:val="auto"/>
              </w:rPr>
            </w:pPr>
          </w:p>
        </w:tc>
        <w:tc>
          <w:tcPr>
            <w:tcW w:w="9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133,657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1,743</w:t>
            </w:r>
          </w:p>
        </w:tc>
      </w:tr>
      <w:tr>
        <w:trPr>
          <w:trHeight w:val="147"/>
        </w:trPr>
        <w:tc>
          <w:tcPr>
            <w:tcW w:w="2300" w:type="dxa"/>
            <w:vAlign w:val="bottom"/>
            <w:shd w:val="clear" w:color="auto" w:fill="CCEEFF"/>
          </w:tcPr>
          <w:p>
            <w:pPr>
              <w:ind w:left="200"/>
              <w:spacing w:after="0" w:line="141" w:lineRule="exact"/>
              <w:rPr>
                <w:sz w:val="20"/>
                <w:szCs w:val="20"/>
                <w:color w:val="auto"/>
              </w:rPr>
            </w:pPr>
            <w:r>
              <w:rPr>
                <w:rFonts w:ascii="Arial" w:cs="Arial" w:eastAsia="Arial" w:hAnsi="Arial"/>
                <w:sz w:val="14"/>
                <w:szCs w:val="14"/>
                <w:color w:val="auto"/>
              </w:rPr>
              <w:t>Note discount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(35,903)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8,448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(27,455)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r>
      <w:tr>
        <w:trPr>
          <w:trHeight w:val="123"/>
        </w:trPr>
        <w:tc>
          <w:tcPr>
            <w:tcW w:w="2300" w:type="dxa"/>
            <w:vAlign w:val="bottom"/>
            <w:tcBorders>
              <w:top w:val="single" w:sz="8" w:color="CCEEFF"/>
            </w:tcBorders>
          </w:tcPr>
          <w:p>
            <w:pPr>
              <w:spacing w:after="0" w:line="123" w:lineRule="exact"/>
              <w:rPr>
                <w:sz w:val="20"/>
                <w:szCs w:val="20"/>
                <w:color w:val="auto"/>
              </w:rPr>
            </w:pPr>
            <w:r>
              <w:rPr>
                <w:rFonts w:ascii="Arial" w:cs="Arial" w:eastAsia="Arial" w:hAnsi="Arial"/>
                <w:sz w:val="14"/>
                <w:szCs w:val="14"/>
                <w:color w:val="auto"/>
              </w:rPr>
              <w:t>Total current notes</w:t>
            </w:r>
          </w:p>
        </w:tc>
        <w:tc>
          <w:tcPr>
            <w:tcW w:w="1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r>
      <w:tr>
        <w:trPr>
          <w:trHeight w:val="141"/>
        </w:trPr>
        <w:tc>
          <w:tcPr>
            <w:tcW w:w="2300" w:type="dxa"/>
            <w:vAlign w:val="bottom"/>
          </w:tcPr>
          <w:p>
            <w:pPr>
              <w:ind w:left="180"/>
              <w:spacing w:after="0" w:line="141" w:lineRule="exact"/>
              <w:rPr>
                <w:sz w:val="20"/>
                <w:szCs w:val="20"/>
                <w:color w:val="auto"/>
              </w:rPr>
            </w:pPr>
            <w:r>
              <w:rPr>
                <w:rFonts w:ascii="Arial" w:cs="Arial" w:eastAsia="Arial" w:hAnsi="Arial"/>
                <w:sz w:val="14"/>
                <w:szCs w:val="14"/>
                <w:color w:val="auto"/>
              </w:rPr>
              <w:t>payable to related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2300" w:type="dxa"/>
            <w:vAlign w:val="bottom"/>
          </w:tcPr>
          <w:p>
            <w:pPr>
              <w:ind w:left="180"/>
              <w:spacing w:after="0" w:line="159" w:lineRule="exact"/>
              <w:rPr>
                <w:sz w:val="20"/>
                <w:szCs w:val="20"/>
                <w:color w:val="auto"/>
              </w:rPr>
            </w:pPr>
            <w:r>
              <w:rPr>
                <w:rFonts w:ascii="Arial" w:cs="Arial" w:eastAsia="Arial" w:hAnsi="Arial"/>
                <w:sz w:val="14"/>
                <w:szCs w:val="14"/>
                <w:color w:val="auto"/>
              </w:rPr>
              <w:t>parties</w:t>
            </w:r>
          </w:p>
        </w:tc>
        <w:tc>
          <w:tcPr>
            <w:tcW w:w="2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34,423</w:t>
            </w:r>
          </w:p>
        </w:tc>
        <w:tc>
          <w:tcPr>
            <w:tcW w:w="2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60,022</w:t>
            </w:r>
          </w:p>
        </w:tc>
        <w:tc>
          <w:tcPr>
            <w:tcW w:w="2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(98,919)</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8,448</w:t>
            </w:r>
          </w:p>
        </w:tc>
        <w:tc>
          <w:tcPr>
            <w:tcW w:w="4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115,370</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(13,142)</w:t>
            </w:r>
          </w:p>
        </w:tc>
        <w:tc>
          <w:tcPr>
            <w:tcW w:w="10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106,202</w:t>
            </w:r>
          </w:p>
        </w:tc>
        <w:tc>
          <w:tcPr>
            <w:tcW w:w="2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1,743</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4"/>
        </w:trPr>
        <w:tc>
          <w:tcPr>
            <w:tcW w:w="2300" w:type="dxa"/>
            <w:vAlign w:val="bottom"/>
            <w:shd w:val="clear" w:color="auto" w:fill="CCEEFF"/>
          </w:tcPr>
          <w:p>
            <w:pPr>
              <w:ind w:left="180"/>
              <w:spacing w:after="0" w:line="114" w:lineRule="exact"/>
              <w:rPr>
                <w:sz w:val="20"/>
                <w:szCs w:val="20"/>
                <w:color w:val="auto"/>
              </w:rPr>
            </w:pPr>
            <w:r>
              <w:rPr>
                <w:rFonts w:ascii="Arial" w:cs="Arial" w:eastAsia="Arial" w:hAnsi="Arial"/>
                <w:sz w:val="13"/>
                <w:szCs w:val="13"/>
                <w:color w:val="auto"/>
              </w:rPr>
              <w:t>Notes payable to Cato</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41"/>
        </w:trPr>
        <w:tc>
          <w:tcPr>
            <w:tcW w:w="230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rPr>
              <w:t>BioVentures under line</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99"/>
        </w:trPr>
        <w:tc>
          <w:tcPr>
            <w:tcW w:w="230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of credit, non-current</w:t>
            </w:r>
          </w:p>
        </w:tc>
        <w:tc>
          <w:tcPr>
            <w:tcW w:w="2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170,000</w:t>
            </w:r>
          </w:p>
        </w:tc>
        <w:tc>
          <w:tcPr>
            <w:tcW w:w="2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(170,000)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114"/>
        </w:trPr>
        <w:tc>
          <w:tcPr>
            <w:tcW w:w="2300" w:type="dxa"/>
            <w:vAlign w:val="bottom"/>
            <w:tcBorders>
              <w:top w:val="single" w:sz="8" w:color="CCEEFF"/>
            </w:tcBorders>
          </w:tcPr>
          <w:p>
            <w:pPr>
              <w:ind w:left="180"/>
              <w:spacing w:after="0" w:line="114" w:lineRule="exact"/>
              <w:rPr>
                <w:sz w:val="20"/>
                <w:szCs w:val="20"/>
                <w:color w:val="auto"/>
              </w:rPr>
            </w:pPr>
            <w:r>
              <w:rPr>
                <w:rFonts w:ascii="Arial" w:cs="Arial" w:eastAsia="Arial" w:hAnsi="Arial"/>
                <w:sz w:val="13"/>
                <w:szCs w:val="13"/>
                <w:color w:val="auto"/>
              </w:rPr>
              <w:t>7 % Note payable to</w:t>
            </w:r>
          </w:p>
        </w:tc>
        <w:tc>
          <w:tcPr>
            <w:tcW w:w="12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r>
      <w:tr>
        <w:trPr>
          <w:trHeight w:val="141"/>
        </w:trPr>
        <w:tc>
          <w:tcPr>
            <w:tcW w:w="2300" w:type="dxa"/>
            <w:vAlign w:val="bottom"/>
          </w:tcPr>
          <w:p>
            <w:pPr>
              <w:ind w:left="180"/>
              <w:spacing w:after="0" w:line="141" w:lineRule="exact"/>
              <w:rPr>
                <w:sz w:val="20"/>
                <w:szCs w:val="20"/>
                <w:color w:val="auto"/>
              </w:rPr>
            </w:pPr>
            <w:r>
              <w:rPr>
                <w:rFonts w:ascii="Arial" w:cs="Arial" w:eastAsia="Arial" w:hAnsi="Arial"/>
                <w:sz w:val="14"/>
                <w:szCs w:val="14"/>
                <w:color w:val="auto"/>
              </w:rPr>
              <w:t>Cato Holding Co.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2300" w:type="dxa"/>
            <w:vAlign w:val="bottom"/>
          </w:tcPr>
          <w:p>
            <w:pPr>
              <w:ind w:left="180"/>
              <w:spacing w:after="0" w:line="159" w:lineRule="exact"/>
              <w:rPr>
                <w:sz w:val="20"/>
                <w:szCs w:val="20"/>
                <w:color w:val="auto"/>
              </w:rPr>
            </w:pPr>
            <w:r>
              <w:rPr>
                <w:rFonts w:ascii="Arial" w:cs="Arial" w:eastAsia="Arial" w:hAnsi="Arial"/>
                <w:sz w:val="14"/>
                <w:szCs w:val="14"/>
                <w:color w:val="auto"/>
              </w:rPr>
              <w:t>non-current</w:t>
            </w:r>
          </w:p>
        </w:tc>
        <w:tc>
          <w:tcPr>
            <w:tcW w:w="2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159,630</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159,630</w:t>
            </w:r>
          </w:p>
        </w:tc>
        <w:tc>
          <w:tcPr>
            <w:tcW w:w="2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4"/>
        </w:trPr>
        <w:tc>
          <w:tcPr>
            <w:tcW w:w="2300" w:type="dxa"/>
            <w:vAlign w:val="bottom"/>
            <w:shd w:val="clear" w:color="auto" w:fill="CCEEFF"/>
          </w:tcPr>
          <w:p>
            <w:pPr>
              <w:ind w:left="180"/>
              <w:spacing w:after="0" w:line="114" w:lineRule="exact"/>
              <w:rPr>
                <w:sz w:val="20"/>
                <w:szCs w:val="20"/>
                <w:color w:val="auto"/>
              </w:rPr>
            </w:pPr>
            <w:r>
              <w:rPr>
                <w:rFonts w:ascii="Arial" w:cs="Arial" w:eastAsia="Arial" w:hAnsi="Arial"/>
                <w:sz w:val="13"/>
                <w:szCs w:val="13"/>
                <w:color w:val="auto"/>
              </w:rPr>
              <w:t>Accrued officer’s</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41"/>
        </w:trPr>
        <w:tc>
          <w:tcPr>
            <w:tcW w:w="2300" w:type="dxa"/>
            <w:vAlign w:val="bottom"/>
            <w:shd w:val="clear" w:color="auto" w:fill="CCEEFF"/>
          </w:tcPr>
          <w:p>
            <w:pPr>
              <w:ind w:left="180"/>
              <w:spacing w:after="0" w:line="141" w:lineRule="exact"/>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230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Non-interest bearing</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230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notes payable to</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230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Officer for deferred</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99"/>
        </w:trPr>
        <w:tc>
          <w:tcPr>
            <w:tcW w:w="23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salary</w:t>
            </w:r>
          </w:p>
        </w:tc>
        <w:tc>
          <w:tcPr>
            <w:tcW w:w="2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56,986</w:t>
            </w:r>
          </w:p>
        </w:tc>
        <w:tc>
          <w:tcPr>
            <w:tcW w:w="2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56,986</w:t>
            </w:r>
          </w:p>
        </w:tc>
        <w:tc>
          <w:tcPr>
            <w:tcW w:w="2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132"/>
        </w:trPr>
        <w:tc>
          <w:tcPr>
            <w:tcW w:w="2300" w:type="dxa"/>
            <w:vAlign w:val="bottom"/>
            <w:tcBorders>
              <w:top w:val="single" w:sz="8" w:color="CCEEFF"/>
            </w:tcBorders>
          </w:tcPr>
          <w:p>
            <w:pPr>
              <w:spacing w:after="0" w:line="133" w:lineRule="exact"/>
              <w:rPr>
                <w:sz w:val="20"/>
                <w:szCs w:val="20"/>
                <w:color w:val="auto"/>
              </w:rPr>
            </w:pPr>
            <w:r>
              <w:rPr>
                <w:rFonts w:ascii="Arial" w:cs="Arial" w:eastAsia="Arial" w:hAnsi="Arial"/>
                <w:sz w:val="14"/>
                <w:szCs w:val="14"/>
                <w:i w:val="1"/>
                <w:iCs w:val="1"/>
                <w:color w:val="auto"/>
              </w:rPr>
              <w:t>Unrelated parties, current portion:</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141"/>
        </w:trPr>
        <w:tc>
          <w:tcPr>
            <w:tcW w:w="230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7.0% Notes payable</w:t>
            </w:r>
          </w:p>
        </w:tc>
        <w:tc>
          <w:tcPr>
            <w:tcW w:w="2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5,621</w:t>
            </w:r>
          </w:p>
        </w:tc>
        <w:tc>
          <w:tcPr>
            <w:tcW w:w="22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(96,125)</w:t>
            </w:r>
          </w:p>
        </w:tc>
        <w:tc>
          <w:tcPr>
            <w:tcW w:w="160" w:type="dxa"/>
            <w:vAlign w:val="bottom"/>
            <w:tcBorders>
              <w:right w:val="single" w:sz="8" w:color="CCEEFF"/>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4"/>
                <w:szCs w:val="14"/>
                <w:color w:val="auto"/>
              </w:rPr>
              <w:t>175,000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84,496</w:t>
            </w:r>
          </w:p>
        </w:tc>
        <w:tc>
          <w:tcPr>
            <w:tcW w:w="2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2"/>
                <w:szCs w:val="12"/>
                <w:color w:val="auto"/>
              </w:rPr>
            </w:pPr>
          </w:p>
        </w:tc>
      </w:tr>
      <w:tr>
        <w:trPr>
          <w:trHeight w:val="123"/>
        </w:trPr>
        <w:tc>
          <w:tcPr>
            <w:tcW w:w="2300" w:type="dxa"/>
            <w:vAlign w:val="bottom"/>
          </w:tcPr>
          <w:p>
            <w:pPr>
              <w:ind w:left="140"/>
              <w:spacing w:after="0" w:line="123" w:lineRule="exact"/>
              <w:rPr>
                <w:sz w:val="20"/>
                <w:szCs w:val="20"/>
                <w:color w:val="auto"/>
              </w:rPr>
            </w:pPr>
            <w:r>
              <w:rPr>
                <w:rFonts w:ascii="Arial" w:cs="Arial" w:eastAsia="Arial" w:hAnsi="Arial"/>
                <w:sz w:val="14"/>
                <w:szCs w:val="14"/>
                <w:color w:val="auto"/>
              </w:rPr>
              <w:t>7.5% Notes payable to</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1"/>
        </w:trPr>
        <w:tc>
          <w:tcPr>
            <w:tcW w:w="2300" w:type="dxa"/>
            <w:vAlign w:val="bottom"/>
          </w:tcPr>
          <w:p>
            <w:pPr>
              <w:ind w:left="140"/>
              <w:spacing w:after="0" w:line="141" w:lineRule="exact"/>
              <w:rPr>
                <w:sz w:val="20"/>
                <w:szCs w:val="20"/>
                <w:color w:val="auto"/>
              </w:rPr>
            </w:pPr>
            <w:r>
              <w:rPr>
                <w:rFonts w:ascii="Arial" w:cs="Arial" w:eastAsia="Arial" w:hAnsi="Arial"/>
                <w:sz w:val="14"/>
                <w:szCs w:val="14"/>
                <w:color w:val="auto"/>
              </w:rPr>
              <w:t>vendors for accounts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2300" w:type="dxa"/>
            <w:vAlign w:val="bottom"/>
          </w:tcPr>
          <w:p>
            <w:pPr>
              <w:ind w:left="140"/>
              <w:spacing w:after="0" w:line="141" w:lineRule="exact"/>
              <w:rPr>
                <w:sz w:val="20"/>
                <w:szCs w:val="20"/>
                <w:color w:val="auto"/>
              </w:rPr>
            </w:pPr>
            <w:r>
              <w:rPr>
                <w:rFonts w:ascii="Arial" w:cs="Arial" w:eastAsia="Arial" w:hAnsi="Arial"/>
                <w:sz w:val="14"/>
                <w:szCs w:val="14"/>
                <w:color w:val="auto"/>
              </w:rPr>
              <w:t>payable converted to</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2300" w:type="dxa"/>
            <w:vAlign w:val="bottom"/>
          </w:tcPr>
          <w:p>
            <w:pPr>
              <w:ind w:left="140"/>
              <w:spacing w:after="0" w:line="159" w:lineRule="exact"/>
              <w:rPr>
                <w:sz w:val="20"/>
                <w:szCs w:val="20"/>
                <w:color w:val="auto"/>
              </w:rPr>
            </w:pPr>
            <w:r>
              <w:rPr>
                <w:rFonts w:ascii="Arial" w:cs="Arial" w:eastAsia="Arial" w:hAnsi="Arial"/>
                <w:sz w:val="14"/>
                <w:szCs w:val="14"/>
                <w:color w:val="auto"/>
              </w:rPr>
              <w:t>notes payable: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230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Burr, Pilger, Mayer</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5,590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5,123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r>
      <w:tr>
        <w:trPr>
          <w:trHeight w:val="141"/>
        </w:trPr>
        <w:tc>
          <w:tcPr>
            <w:tcW w:w="2300" w:type="dxa"/>
            <w:vAlign w:val="bottom"/>
          </w:tcPr>
          <w:p>
            <w:pPr>
              <w:ind w:left="280"/>
              <w:spacing w:after="0" w:line="141" w:lineRule="exact"/>
              <w:rPr>
                <w:sz w:val="20"/>
                <w:szCs w:val="20"/>
                <w:color w:val="auto"/>
              </w:rPr>
            </w:pPr>
            <w:r>
              <w:rPr>
                <w:rFonts w:ascii="Arial" w:cs="Arial" w:eastAsia="Arial" w:hAnsi="Arial"/>
                <w:sz w:val="14"/>
                <w:szCs w:val="14"/>
                <w:color w:val="auto"/>
              </w:rPr>
              <w:t>Desjardins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59,256</w:t>
            </w: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59,256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r>
      <w:tr>
        <w:trPr>
          <w:trHeight w:val="141"/>
        </w:trPr>
        <w:tc>
          <w:tcPr>
            <w:tcW w:w="230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McCarthy Tetrault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4"/>
                <w:szCs w:val="14"/>
                <w:color w:val="auto"/>
              </w:rPr>
              <w:t>156,609</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156,609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r>
      <w:tr>
        <w:trPr>
          <w:trHeight w:val="141"/>
        </w:trPr>
        <w:tc>
          <w:tcPr>
            <w:tcW w:w="2300" w:type="dxa"/>
            <w:vAlign w:val="bottom"/>
          </w:tcPr>
          <w:p>
            <w:pPr>
              <w:ind w:left="280"/>
              <w:spacing w:after="0" w:line="141" w:lineRule="exact"/>
              <w:rPr>
                <w:sz w:val="20"/>
                <w:szCs w:val="20"/>
                <w:color w:val="auto"/>
              </w:rPr>
            </w:pPr>
            <w:r>
              <w:rPr>
                <w:rFonts w:ascii="Arial" w:cs="Arial" w:eastAsia="Arial" w:hAnsi="Arial"/>
                <w:sz w:val="14"/>
                <w:szCs w:val="14"/>
                <w:color w:val="auto"/>
              </w:rPr>
              <w:t>Morrison Foerster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82,136</w:t>
            </w: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82,136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r>
      <w:tr>
        <w:trPr>
          <w:trHeight w:val="123"/>
        </w:trPr>
        <w:tc>
          <w:tcPr>
            <w:tcW w:w="2300" w:type="dxa"/>
            <w:vAlign w:val="bottom"/>
            <w:shd w:val="clear" w:color="auto" w:fill="CCEEFF"/>
          </w:tcPr>
          <w:p>
            <w:pPr>
              <w:ind w:left="140"/>
              <w:spacing w:after="0" w:line="123" w:lineRule="exact"/>
              <w:rPr>
                <w:sz w:val="20"/>
                <w:szCs w:val="20"/>
                <w:color w:val="auto"/>
              </w:rPr>
            </w:pPr>
            <w:r>
              <w:rPr>
                <w:rFonts w:ascii="Arial" w:cs="Arial" w:eastAsia="Arial" w:hAnsi="Arial"/>
                <w:sz w:val="14"/>
                <w:szCs w:val="14"/>
                <w:color w:val="auto"/>
              </w:rPr>
              <w:t>5.5% and 10% Notes</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1"/>
        </w:trPr>
        <w:tc>
          <w:tcPr>
            <w:tcW w:w="230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payable to</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230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insurance premium</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9"/>
        </w:trPr>
        <w:tc>
          <w:tcPr>
            <w:tcW w:w="23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financing company</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5,401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82,711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(71,485)</w:t>
            </w:r>
          </w:p>
        </w:tc>
        <w:tc>
          <w:tcPr>
            <w:tcW w:w="160" w:type="dxa"/>
            <w:vAlign w:val="bottom"/>
            <w:tcBorders>
              <w:right w:val="single" w:sz="8" w:color="CCEEFF"/>
            </w:tcBorders>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16,627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123"/>
        </w:trPr>
        <w:tc>
          <w:tcPr>
            <w:tcW w:w="2300" w:type="dxa"/>
            <w:vAlign w:val="bottom"/>
          </w:tcPr>
          <w:p>
            <w:pPr>
              <w:ind w:left="140"/>
              <w:spacing w:after="0" w:line="123" w:lineRule="exact"/>
              <w:rPr>
                <w:sz w:val="20"/>
                <w:szCs w:val="20"/>
                <w:color w:val="auto"/>
              </w:rPr>
            </w:pPr>
            <w:r>
              <w:rPr>
                <w:rFonts w:ascii="Arial" w:cs="Arial" w:eastAsia="Arial" w:hAnsi="Arial"/>
                <w:sz w:val="14"/>
                <w:szCs w:val="14"/>
                <w:color w:val="auto"/>
              </w:rPr>
              <w:t>10% Notes payable to</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1"/>
        </w:trPr>
        <w:tc>
          <w:tcPr>
            <w:tcW w:w="2300" w:type="dxa"/>
            <w:vAlign w:val="bottom"/>
          </w:tcPr>
          <w:p>
            <w:pPr>
              <w:ind w:left="140"/>
              <w:spacing w:after="0" w:line="141" w:lineRule="exact"/>
              <w:rPr>
                <w:sz w:val="20"/>
                <w:szCs w:val="20"/>
                <w:color w:val="auto"/>
              </w:rPr>
            </w:pPr>
            <w:r>
              <w:rPr>
                <w:rFonts w:ascii="Arial" w:cs="Arial" w:eastAsia="Arial" w:hAnsi="Arial"/>
                <w:sz w:val="14"/>
                <w:szCs w:val="14"/>
                <w:color w:val="auto"/>
              </w:rPr>
              <w:t>vendors for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2300" w:type="dxa"/>
            <w:vAlign w:val="bottom"/>
          </w:tcPr>
          <w:p>
            <w:pPr>
              <w:ind w:left="140"/>
              <w:spacing w:after="0" w:line="141" w:lineRule="exact"/>
              <w:rPr>
                <w:sz w:val="20"/>
                <w:szCs w:val="20"/>
                <w:color w:val="auto"/>
              </w:rPr>
            </w:pPr>
            <w:r>
              <w:rPr>
                <w:rFonts w:ascii="Arial" w:cs="Arial" w:eastAsia="Arial" w:hAnsi="Arial"/>
                <w:sz w:val="14"/>
                <w:szCs w:val="14"/>
                <w:color w:val="auto"/>
              </w:rPr>
              <w:t>accounts payable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2300" w:type="dxa"/>
            <w:vAlign w:val="bottom"/>
          </w:tcPr>
          <w:p>
            <w:pPr>
              <w:ind w:left="140"/>
              <w:spacing w:after="0" w:line="141" w:lineRule="exact"/>
              <w:rPr>
                <w:sz w:val="20"/>
                <w:szCs w:val="20"/>
                <w:color w:val="auto"/>
              </w:rPr>
            </w:pPr>
            <w:r>
              <w:rPr>
                <w:rFonts w:ascii="Arial" w:cs="Arial" w:eastAsia="Arial" w:hAnsi="Arial"/>
                <w:sz w:val="14"/>
                <w:szCs w:val="14"/>
                <w:color w:val="auto"/>
              </w:rPr>
              <w:t>converted to notes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2300" w:type="dxa"/>
            <w:vAlign w:val="bottom"/>
          </w:tcPr>
          <w:p>
            <w:pPr>
              <w:ind w:left="140"/>
              <w:spacing w:after="0" w:line="159" w:lineRule="exact"/>
              <w:rPr>
                <w:sz w:val="20"/>
                <w:szCs w:val="20"/>
                <w:color w:val="auto"/>
              </w:rPr>
            </w:pPr>
            <w:r>
              <w:rPr>
                <w:rFonts w:ascii="Arial" w:cs="Arial" w:eastAsia="Arial" w:hAnsi="Arial"/>
                <w:sz w:val="14"/>
                <w:szCs w:val="14"/>
                <w:color w:val="auto"/>
              </w:rPr>
              <w:t>payable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140,463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9,442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(54,000)</w:t>
            </w:r>
          </w:p>
        </w:tc>
        <w:tc>
          <w:tcPr>
            <w:tcW w:w="160" w:type="dxa"/>
            <w:vAlign w:val="bottom"/>
          </w:tcPr>
          <w:p>
            <w:pPr>
              <w:spacing w:after="0"/>
              <w:rPr>
                <w:sz w:val="14"/>
                <w:szCs w:val="14"/>
                <w:color w:val="auto"/>
              </w:rPr>
            </w:pPr>
          </w:p>
        </w:tc>
        <w:tc>
          <w:tcPr>
            <w:tcW w:w="9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49,656</w:t>
            </w:r>
          </w:p>
        </w:tc>
        <w:tc>
          <w:tcPr>
            <w:tcW w:w="120" w:type="dxa"/>
            <w:vAlign w:val="bottom"/>
          </w:tcPr>
          <w:p>
            <w:pPr>
              <w:spacing w:after="0"/>
              <w:rPr>
                <w:sz w:val="14"/>
                <w:szCs w:val="14"/>
                <w:color w:val="auto"/>
              </w:rPr>
            </w:pPr>
          </w:p>
        </w:tc>
        <w:tc>
          <w:tcPr>
            <w:tcW w:w="9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145,561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14,602</w:t>
            </w:r>
          </w:p>
        </w:tc>
      </w:tr>
      <w:tr>
        <w:trPr>
          <w:trHeight w:val="123"/>
        </w:trPr>
        <w:tc>
          <w:tcPr>
            <w:tcW w:w="23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Total current notes</w:t>
            </w:r>
          </w:p>
        </w:tc>
        <w:tc>
          <w:tcPr>
            <w:tcW w:w="1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1"/>
        </w:trPr>
        <w:tc>
          <w:tcPr>
            <w:tcW w:w="23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payable to unrelated</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9"/>
        </w:trPr>
        <w:tc>
          <w:tcPr>
            <w:tcW w:w="23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parties</w:t>
            </w:r>
          </w:p>
        </w:tc>
        <w:tc>
          <w:tcPr>
            <w:tcW w:w="2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151,454</w:t>
            </w:r>
          </w:p>
        </w:tc>
        <w:tc>
          <w:tcPr>
            <w:tcW w:w="2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97,774</w:t>
            </w: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(221,610)</w:t>
            </w:r>
          </w:p>
        </w:tc>
        <w:tc>
          <w:tcPr>
            <w:tcW w:w="16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522,190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549,808</w:t>
            </w:r>
          </w:p>
        </w:tc>
        <w:tc>
          <w:tcPr>
            <w:tcW w:w="2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14,959</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20"/>
                <w:szCs w:val="20"/>
                <w:color w:val="auto"/>
              </w:rPr>
            </w:pPr>
            <w:r>
              <w:rPr>
                <w:rFonts w:ascii="Arial" w:cs="Arial" w:eastAsia="Arial" w:hAnsi="Arial"/>
                <w:sz w:val="14"/>
                <w:szCs w:val="14"/>
                <w:i w:val="1"/>
                <w:iCs w:val="1"/>
                <w:color w:val="auto"/>
              </w:rPr>
              <w:t>Unrelated parties, long term portion: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420" w:type="dxa"/>
            <w:vAlign w:val="bottom"/>
            <w:shd w:val="clear" w:color="auto" w:fill="CCEEFF"/>
          </w:tcPr>
          <w:p>
            <w:pPr>
              <w:ind w:left="140"/>
              <w:spacing w:after="0" w:line="123" w:lineRule="exact"/>
              <w:rPr>
                <w:sz w:val="20"/>
                <w:szCs w:val="20"/>
                <w:color w:val="auto"/>
              </w:rPr>
            </w:pPr>
            <w:r>
              <w:rPr>
                <w:rFonts w:ascii="Arial" w:cs="Arial" w:eastAsia="Arial" w:hAnsi="Arial"/>
                <w:sz w:val="14"/>
                <w:szCs w:val="14"/>
                <w:color w:val="auto"/>
              </w:rPr>
              <w:t>7.5% Notes payable</w:t>
            </w: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1"/>
        </w:trPr>
        <w:tc>
          <w:tcPr>
            <w:tcW w:w="242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to vendors for</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242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1"/>
        </w:trPr>
        <w:tc>
          <w:tcPr>
            <w:tcW w:w="242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converted to notes</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9"/>
        </w:trPr>
        <w:tc>
          <w:tcPr>
            <w:tcW w:w="24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payable:</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1"/>
        </w:trPr>
        <w:tc>
          <w:tcPr>
            <w:tcW w:w="2420" w:type="dxa"/>
            <w:vAlign w:val="bottom"/>
          </w:tcPr>
          <w:p>
            <w:pPr>
              <w:ind w:left="280"/>
              <w:spacing w:after="0" w:line="141" w:lineRule="exact"/>
              <w:rPr>
                <w:sz w:val="20"/>
                <w:szCs w:val="20"/>
                <w:color w:val="auto"/>
              </w:rPr>
            </w:pPr>
            <w:r>
              <w:rPr>
                <w:rFonts w:ascii="Arial" w:cs="Arial" w:eastAsia="Arial" w:hAnsi="Arial"/>
                <w:sz w:val="14"/>
                <w:szCs w:val="14"/>
                <w:color w:val="auto"/>
              </w:rPr>
              <w:t>Burr, Pilger, Mayer</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1" w:lineRule="exact"/>
              <w:rPr>
                <w:sz w:val="20"/>
                <w:szCs w:val="20"/>
                <w:color w:val="auto"/>
              </w:rPr>
            </w:pPr>
            <w:r>
              <w:rPr>
                <w:rFonts w:ascii="Arial" w:cs="Arial" w:eastAsia="Arial" w:hAnsi="Arial"/>
                <w:sz w:val="14"/>
                <w:szCs w:val="14"/>
                <w:color w:val="auto"/>
              </w:rPr>
              <w:t>92,652</w:t>
            </w:r>
          </w:p>
        </w:tc>
        <w:tc>
          <w:tcPr>
            <w:tcW w:w="120" w:type="dxa"/>
            <w:vAlign w:val="bottom"/>
          </w:tcPr>
          <w:p>
            <w:pPr>
              <w:spacing w:after="0"/>
              <w:rPr>
                <w:sz w:val="12"/>
                <w:szCs w:val="12"/>
                <w:color w:val="auto"/>
              </w:rPr>
            </w:pPr>
          </w:p>
        </w:tc>
        <w:tc>
          <w:tcPr>
            <w:tcW w:w="320" w:type="dxa"/>
            <w:vAlign w:val="bottom"/>
            <w:gridSpan w:val="2"/>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5,534</w:t>
            </w:r>
          </w:p>
        </w:tc>
        <w:tc>
          <w:tcPr>
            <w:tcW w:w="360" w:type="dxa"/>
            <w:vAlign w:val="bottom"/>
            <w:gridSpan w:val="2"/>
          </w:tcPr>
          <w:p>
            <w:pPr>
              <w:jc w:val="right"/>
              <w:ind w:right="149"/>
              <w:spacing w:after="0" w:line="141"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(10,000)</w:t>
            </w:r>
          </w:p>
        </w:tc>
        <w:tc>
          <w:tcPr>
            <w:tcW w:w="400" w:type="dxa"/>
            <w:vAlign w:val="bottom"/>
            <w:gridSpan w:val="2"/>
          </w:tcPr>
          <w:p>
            <w:pPr>
              <w:jc w:val="right"/>
              <w:ind w:right="240"/>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1" w:lineRule="exact"/>
              <w:rPr>
                <w:sz w:val="20"/>
                <w:szCs w:val="20"/>
                <w:color w:val="auto"/>
              </w:rPr>
            </w:pPr>
            <w:r>
              <w:rPr>
                <w:rFonts w:ascii="Arial" w:cs="Arial" w:eastAsia="Arial" w:hAnsi="Arial"/>
                <w:sz w:val="14"/>
                <w:szCs w:val="14"/>
                <w:color w:val="auto"/>
              </w:rPr>
              <w:t>467</w:t>
            </w:r>
          </w:p>
        </w:tc>
        <w:tc>
          <w:tcPr>
            <w:tcW w:w="480" w:type="dxa"/>
            <w:vAlign w:val="bottom"/>
          </w:tcPr>
          <w:p>
            <w:pPr>
              <w:jc w:val="right"/>
              <w:ind w:right="332"/>
              <w:spacing w:after="0" w:line="141"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jc w:val="right"/>
              <w:ind w:right="72"/>
              <w:spacing w:after="0" w:line="141"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88,653</w:t>
            </w:r>
          </w:p>
        </w:tc>
        <w:tc>
          <w:tcPr>
            <w:tcW w:w="380" w:type="dxa"/>
            <w:vAlign w:val="bottom"/>
            <w:gridSpan w:val="2"/>
          </w:tcPr>
          <w:p>
            <w:pPr>
              <w:jc w:val="right"/>
              <w:ind w:right="220"/>
              <w:spacing w:after="0" w:line="141"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r>
      <w:tr>
        <w:trPr>
          <w:trHeight w:val="141"/>
        </w:trPr>
        <w:tc>
          <w:tcPr>
            <w:tcW w:w="24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Desjardins</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259,325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(28,000)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4"/>
                <w:szCs w:val="14"/>
                <w:color w:val="auto"/>
              </w:rPr>
              <w:t>(59,256)</w:t>
            </w:r>
          </w:p>
        </w:tc>
        <w:tc>
          <w:tcPr>
            <w:tcW w:w="4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172,069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1,475</w:t>
            </w:r>
          </w:p>
        </w:tc>
      </w:tr>
      <w:tr>
        <w:trPr>
          <w:trHeight w:val="141"/>
        </w:trPr>
        <w:tc>
          <w:tcPr>
            <w:tcW w:w="2420" w:type="dxa"/>
            <w:vAlign w:val="bottom"/>
          </w:tcPr>
          <w:p>
            <w:pPr>
              <w:ind w:left="280"/>
              <w:spacing w:after="0" w:line="141" w:lineRule="exact"/>
              <w:rPr>
                <w:sz w:val="20"/>
                <w:szCs w:val="20"/>
                <w:color w:val="auto"/>
              </w:rPr>
            </w:pPr>
            <w:r>
              <w:rPr>
                <w:rFonts w:ascii="Arial" w:cs="Arial" w:eastAsia="Arial" w:hAnsi="Arial"/>
                <w:sz w:val="14"/>
                <w:szCs w:val="14"/>
                <w:color w:val="auto"/>
              </w:rPr>
              <w:t>McCarthy Tetrault</w:t>
            </w:r>
          </w:p>
        </w:tc>
        <w:tc>
          <w:tcPr>
            <w:tcW w:w="22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548,346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(70,000)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(156,609)</w:t>
            </w:r>
          </w:p>
        </w:tc>
        <w:tc>
          <w:tcPr>
            <w:tcW w:w="480" w:type="dxa"/>
            <w:vAlign w:val="bottom"/>
          </w:tcPr>
          <w:p>
            <w:pPr>
              <w:spacing w:after="0"/>
              <w:rPr>
                <w:sz w:val="12"/>
                <w:szCs w:val="12"/>
                <w:color w:val="auto"/>
              </w:rPr>
            </w:pPr>
          </w:p>
        </w:tc>
        <w:tc>
          <w:tcPr>
            <w:tcW w:w="660" w:type="dxa"/>
            <w:vAlign w:val="bottom"/>
            <w:gridSpan w:val="2"/>
          </w:tcPr>
          <w:p>
            <w:pPr>
              <w:jc w:val="right"/>
              <w:ind w:right="220"/>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321,737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3,048</w:t>
            </w:r>
          </w:p>
        </w:tc>
      </w:tr>
      <w:tr>
        <w:trPr>
          <w:trHeight w:val="141"/>
        </w:trPr>
        <w:tc>
          <w:tcPr>
            <w:tcW w:w="2420" w:type="dxa"/>
            <w:vAlign w:val="bottom"/>
            <w:shd w:val="clear" w:color="auto" w:fill="CCEEFF"/>
          </w:tcPr>
          <w:p>
            <w:pPr>
              <w:ind w:left="280"/>
              <w:spacing w:after="0" w:line="141" w:lineRule="exact"/>
              <w:rPr>
                <w:sz w:val="20"/>
                <w:szCs w:val="20"/>
                <w:color w:val="auto"/>
              </w:rPr>
            </w:pPr>
            <w:r>
              <w:rPr>
                <w:rFonts w:ascii="Arial" w:cs="Arial" w:eastAsia="Arial" w:hAnsi="Arial"/>
                <w:sz w:val="14"/>
                <w:szCs w:val="14"/>
                <w:color w:val="auto"/>
              </w:rPr>
              <w:t>Morrison Foerster</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2,133,421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511,691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(225,000)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4"/>
                <w:szCs w:val="14"/>
                <w:color w:val="auto"/>
              </w:rPr>
              <w:t>(82,136)</w:t>
            </w:r>
          </w:p>
        </w:tc>
        <w:tc>
          <w:tcPr>
            <w:tcW w:w="4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2,337,976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7,709</w:t>
            </w:r>
          </w:p>
        </w:tc>
      </w:tr>
      <w:tr>
        <w:trPr>
          <w:trHeight w:val="141"/>
        </w:trPr>
        <w:tc>
          <w:tcPr>
            <w:tcW w:w="2420" w:type="dxa"/>
            <w:vAlign w:val="bottom"/>
          </w:tcPr>
          <w:p>
            <w:pPr>
              <w:ind w:left="140"/>
              <w:spacing w:after="0" w:line="141" w:lineRule="exact"/>
              <w:rPr>
                <w:sz w:val="20"/>
                <w:szCs w:val="20"/>
                <w:color w:val="auto"/>
              </w:rPr>
            </w:pPr>
            <w:r>
              <w:rPr>
                <w:rFonts w:ascii="Arial" w:cs="Arial" w:eastAsia="Arial" w:hAnsi="Arial"/>
                <w:sz w:val="14"/>
                <w:szCs w:val="14"/>
                <w:color w:val="auto"/>
              </w:rPr>
              <w:t>Note discount</w:t>
            </w:r>
          </w:p>
        </w:tc>
        <w:tc>
          <w:tcPr>
            <w:tcW w:w="220" w:type="dxa"/>
            <w:vAlign w:val="bottom"/>
          </w:tcPr>
          <w:p>
            <w:pPr>
              <w:spacing w:after="0"/>
              <w:rPr>
                <w:sz w:val="12"/>
                <w:szCs w:val="12"/>
                <w:color w:val="auto"/>
              </w:rPr>
            </w:pPr>
          </w:p>
        </w:tc>
        <w:tc>
          <w:tcPr>
            <w:tcW w:w="8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(236,617)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(58,692)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48,793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220"/>
              <w:spacing w:after="0" w:line="141"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660" w:type="dxa"/>
            <w:vAlign w:val="bottom"/>
            <w:gridSpan w:val="2"/>
          </w:tcPr>
          <w:p>
            <w:pPr>
              <w:jc w:val="right"/>
              <w:ind w:right="220"/>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(246,516)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r>
      <w:tr>
        <w:trPr>
          <w:trHeight w:val="26"/>
        </w:trPr>
        <w:tc>
          <w:tcPr>
            <w:tcW w:w="2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1"/>
        </w:trPr>
        <w:tc>
          <w:tcPr>
            <w:tcW w:w="242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7.5% Notes, net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1,989,456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1,266,204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(333,000)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48,793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4"/>
                <w:szCs w:val="14"/>
                <w:color w:val="auto"/>
              </w:rPr>
              <w:t>(297,534)</w:t>
            </w:r>
          </w:p>
        </w:tc>
        <w:tc>
          <w:tcPr>
            <w:tcW w:w="4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2,673,919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12,232</w:t>
            </w:r>
          </w:p>
        </w:tc>
      </w:tr>
      <w:tr>
        <w:trPr>
          <w:trHeight w:val="123"/>
        </w:trPr>
        <w:tc>
          <w:tcPr>
            <w:tcW w:w="2420" w:type="dxa"/>
            <w:vAlign w:val="bottom"/>
          </w:tcPr>
          <w:p>
            <w:pPr>
              <w:ind w:left="140"/>
              <w:spacing w:after="0" w:line="123" w:lineRule="exact"/>
              <w:rPr>
                <w:sz w:val="20"/>
                <w:szCs w:val="20"/>
                <w:color w:val="auto"/>
              </w:rPr>
            </w:pPr>
            <w:r>
              <w:rPr>
                <w:rFonts w:ascii="Arial" w:cs="Arial" w:eastAsia="Arial" w:hAnsi="Arial"/>
                <w:sz w:val="14"/>
                <w:szCs w:val="14"/>
                <w:color w:val="auto"/>
              </w:rPr>
              <w:t>10% Notes payable to</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1"/>
        </w:trPr>
        <w:tc>
          <w:tcPr>
            <w:tcW w:w="2420" w:type="dxa"/>
            <w:vAlign w:val="bottom"/>
          </w:tcPr>
          <w:p>
            <w:pPr>
              <w:ind w:left="140"/>
              <w:spacing w:after="0" w:line="141" w:lineRule="exact"/>
              <w:rPr>
                <w:sz w:val="20"/>
                <w:szCs w:val="20"/>
                <w:color w:val="auto"/>
              </w:rPr>
            </w:pPr>
            <w:r>
              <w:rPr>
                <w:rFonts w:ascii="Arial" w:cs="Arial" w:eastAsia="Arial" w:hAnsi="Arial"/>
                <w:sz w:val="14"/>
                <w:szCs w:val="14"/>
                <w:color w:val="auto"/>
              </w:rPr>
              <w:t>vendors for</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2420" w:type="dxa"/>
            <w:vAlign w:val="bottom"/>
          </w:tcPr>
          <w:p>
            <w:pPr>
              <w:ind w:left="140"/>
              <w:spacing w:after="0" w:line="141" w:lineRule="exact"/>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2420" w:type="dxa"/>
            <w:vAlign w:val="bottom"/>
          </w:tcPr>
          <w:p>
            <w:pPr>
              <w:ind w:left="140"/>
              <w:spacing w:after="0" w:line="141" w:lineRule="exact"/>
              <w:rPr>
                <w:sz w:val="20"/>
                <w:szCs w:val="20"/>
                <w:color w:val="auto"/>
              </w:rPr>
            </w:pPr>
            <w:r>
              <w:rPr>
                <w:rFonts w:ascii="Arial" w:cs="Arial" w:eastAsia="Arial" w:hAnsi="Arial"/>
                <w:sz w:val="14"/>
                <w:szCs w:val="14"/>
                <w:color w:val="auto"/>
              </w:rPr>
              <w:t>converted to notes</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2420" w:type="dxa"/>
            <w:vAlign w:val="bottom"/>
          </w:tcPr>
          <w:p>
            <w:pPr>
              <w:ind w:left="140"/>
              <w:spacing w:after="0" w:line="159" w:lineRule="exact"/>
              <w:rPr>
                <w:sz w:val="20"/>
                <w:szCs w:val="20"/>
                <w:color w:val="auto"/>
              </w:rPr>
            </w:pPr>
            <w:r>
              <w:rPr>
                <w:rFonts w:ascii="Arial" w:cs="Arial" w:eastAsia="Arial" w:hAnsi="Arial"/>
                <w:sz w:val="14"/>
                <w:szCs w:val="14"/>
                <w:color w:val="auto"/>
              </w:rPr>
              <w:t>payable</w:t>
            </w:r>
          </w:p>
        </w:tc>
        <w:tc>
          <w:tcPr>
            <w:tcW w:w="220" w:type="dxa"/>
            <w:vAlign w:val="bottom"/>
          </w:tcPr>
          <w:p>
            <w:pPr>
              <w:spacing w:after="0"/>
              <w:rPr>
                <w:sz w:val="14"/>
                <w:szCs w:val="14"/>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79,461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(49,656)</w:t>
            </w:r>
          </w:p>
        </w:tc>
        <w:tc>
          <w:tcPr>
            <w:tcW w:w="480" w:type="dxa"/>
            <w:vAlign w:val="bottom"/>
          </w:tcPr>
          <w:p>
            <w:pPr>
              <w:spacing w:after="0"/>
              <w:rPr>
                <w:sz w:val="14"/>
                <w:szCs w:val="14"/>
                <w:color w:val="auto"/>
              </w:rPr>
            </w:pPr>
          </w:p>
        </w:tc>
        <w:tc>
          <w:tcPr>
            <w:tcW w:w="6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29,805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123"/>
        </w:trPr>
        <w:tc>
          <w:tcPr>
            <w:tcW w:w="24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Total long term notes</w:t>
            </w:r>
          </w:p>
        </w:tc>
        <w:tc>
          <w:tcPr>
            <w:tcW w:w="2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79"/>
        </w:trPr>
        <w:tc>
          <w:tcPr>
            <w:tcW w:w="24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payable to unrelated parties</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2,068,917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1,266,204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(333,000)</w:t>
            </w:r>
          </w:p>
        </w:tc>
        <w:tc>
          <w:tcPr>
            <w:tcW w:w="4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48,793</w:t>
            </w:r>
          </w:p>
        </w:tc>
        <w:tc>
          <w:tcPr>
            <w:tcW w:w="3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(347,190)</w:t>
            </w:r>
          </w:p>
        </w:tc>
        <w:tc>
          <w:tcPr>
            <w:tcW w:w="480" w:type="dxa"/>
            <w:vAlign w:val="bottom"/>
            <w:shd w:val="clear" w:color="auto" w:fill="CCEEFF"/>
          </w:tcPr>
          <w:p>
            <w:pPr>
              <w:jc w:val="right"/>
              <w:ind w:right="332"/>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72"/>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2,703,724</w:t>
            </w:r>
          </w:p>
        </w:tc>
        <w:tc>
          <w:tcPr>
            <w:tcW w:w="3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12,232</w:t>
            </w: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2" w:lineRule="exact"/>
        <w:rPr>
          <w:sz w:val="20"/>
          <w:szCs w:val="20"/>
          <w:color w:val="auto"/>
        </w:rPr>
      </w:pPr>
    </w:p>
    <w:p>
      <w:pPr>
        <w:ind w:left="140" w:hanging="137"/>
        <w:spacing w:after="0"/>
        <w:tabs>
          <w:tab w:leader="none" w:pos="140" w:val="left"/>
        </w:tabs>
        <w:numPr>
          <w:ilvl w:val="0"/>
          <w:numId w:val="8"/>
        </w:numPr>
        <w:rPr>
          <w:rFonts w:ascii="Arial" w:cs="Arial" w:eastAsia="Arial" w:hAnsi="Arial"/>
          <w:sz w:val="10"/>
          <w:szCs w:val="10"/>
          <w:color w:val="auto"/>
        </w:rPr>
      </w:pPr>
      <w:r>
        <w:rPr>
          <w:rFonts w:ascii="Arial" w:cs="Arial" w:eastAsia="Arial" w:hAnsi="Arial"/>
          <w:sz w:val="14"/>
          <w:szCs w:val="14"/>
          <w:color w:val="auto"/>
        </w:rPr>
        <w:t>Includes two notes with principal balances of $26,419 and $8,004 and corresponding accrued interest of $9,580 and $6,358, respectively, at March 31,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of Convertible Promissory Notes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On May 11, 2011, and concurrent with the Merger:</w:t>
      </w:r>
    </w:p>
    <w:p>
      <w:pPr>
        <w:spacing w:after="0" w:line="240" w:lineRule="exact"/>
        <w:rPr>
          <w:sz w:val="20"/>
          <w:szCs w:val="20"/>
          <w:color w:val="auto"/>
        </w:rPr>
      </w:pPr>
    </w:p>
    <w:p>
      <w:pPr>
        <w:jc w:val="both"/>
        <w:ind w:left="620" w:hanging="130"/>
        <w:spacing w:after="0" w:line="278"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All convertible promissory notes issued by the Company during 2006 and 2007 (except for the Platinum Note) (“2006/2007 Notes”) in the amount of $2,559,584, including principal and accrued interest, were converted into 1,462,559 Units (as described in Note 1, under </w:t>
      </w:r>
      <w:r>
        <w:rPr>
          <w:rFonts w:ascii="Arial" w:cs="Arial" w:eastAsia="Arial" w:hAnsi="Arial"/>
          <w:sz w:val="16"/>
          <w:szCs w:val="16"/>
          <w:i w:val="1"/>
          <w:iCs w:val="1"/>
          <w:color w:val="auto"/>
        </w:rPr>
        <w:t>2011 Private Placement</w:t>
      </w:r>
      <w:r>
        <w:rPr>
          <w:rFonts w:ascii="Arial" w:cs="Arial" w:eastAsia="Arial" w:hAnsi="Arial"/>
          <w:sz w:val="16"/>
          <w:szCs w:val="16"/>
          <w:color w:val="auto"/>
        </w:rPr>
        <w:t>) consisting of 1,462,559 shares of common stock of the Company and three-year warrants to purchase 365,640 shares of common stock at an exercise price of $2.50 per share. The warrants expire on May 11, 2014. The associated contingently exercisable warrants, originally issued with the 2006/2007 Notes, became exercisable for 1,049,897 shares of common stock at an exercise price of $1.75 per share.</w:t>
      </w:r>
    </w:p>
    <w:p>
      <w:pPr>
        <w:spacing w:after="0" w:line="190" w:lineRule="exact"/>
        <w:rPr>
          <w:rFonts w:ascii="Arial" w:cs="Arial" w:eastAsia="Arial" w:hAnsi="Arial"/>
          <w:sz w:val="16"/>
          <w:szCs w:val="16"/>
          <w:color w:val="auto"/>
        </w:rPr>
      </w:pPr>
    </w:p>
    <w:p>
      <w:pPr>
        <w:jc w:val="both"/>
        <w:ind w:left="620" w:hanging="130"/>
        <w:spacing w:after="0" w:line="258"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convertible promissory notes issued by the Company during the period from 2008 through 2010 (except for the Platinum Note) (“2008/2010 Notes”) in the amount of $3,615,209, including principal and accrued interest, were converted into 2,065,731 Units consisting of 2,065,731 shares of common stock of the Company and three-year warrants to purchase 516,415 shares of common stock at an exercise price of $2.50 per share. The warrants expire on May 11, 2014. The associated contingently exercisable warrants, originally issued with the 2008/2010 Notes, became exercisable for 848,998 shares of common stock at an exercise price of $2.62 per share.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Platinum Note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May 2011 Amendment</w:t>
      </w:r>
    </w:p>
    <w:p>
      <w:pPr>
        <w:spacing w:after="0" w:line="24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During 2007 and 2008, the Company issued three convertible promissory notes with an aggregate principal balance of $4.0 million (the “Original Platinum Notes”) to Platinum Long Term Growth VII, LLC (“Platinum”). On May 5, 2011, the Original Platinum Notes were amended, restated and consolidated into a single note (the “Platinum Note”) with a principal balance of $4.0 million ("May 2011 Amendment"). The following paragraphs describe the May 2011 Amendment. In December 2011, the Company and Platinum entered into a Note and Warrant Exchange Agreement pursuant to which the Platinum Note and warrants issued to Platinum were cancelled in exchange for a new series of the Company’s preferred stock. See </w:t>
      </w:r>
      <w:r>
        <w:rPr>
          <w:rFonts w:ascii="Arial" w:cs="Arial" w:eastAsia="Arial" w:hAnsi="Arial"/>
          <w:sz w:val="16"/>
          <w:szCs w:val="16"/>
          <w:i w:val="1"/>
          <w:iCs w:val="1"/>
          <w:color w:val="auto"/>
        </w:rPr>
        <w:t>Note and Warrant Exchange Agreement</w:t>
      </w:r>
      <w:r>
        <w:rPr>
          <w:rFonts w:ascii="Arial" w:cs="Arial" w:eastAsia="Arial" w:hAnsi="Arial"/>
          <w:sz w:val="16"/>
          <w:szCs w:val="16"/>
          <w:color w:val="auto"/>
        </w:rPr>
        <w:t xml:space="preserve"> below.</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As a result of the May 2011 Amendment, the maturity date of the Platinum Note was extended to June 30, 2012 from June 30, 2011. The Platinum Note bears interest at an annual rate of 10%. Platinum may, in its sole discretion, extend the maturity date of the Platinum Note by one year to June 30, 2013. The Platinum Note, as amended, will be automatically converted, subject to certain conditions, upon the last to occur of (i) the closing of an equity or equity-based financing or series of equity or equity-based financings after May 1, 2011 resulting in gross proceeds to the Company totaling at least $5.0 million, including the 2011 Private Placement and cancellation of debt not otherwise convertible; and (ii) the Company becoming a publicly traded company ("Qualified Financing"). The number of shares issuable to Platinum upon the automatic conversion of the Platinum Note is determined in accordance with one of the following three formulas, as selected by Platinum in its sole discretion: (i) the outstanding principal plus accrued but unpaid interest ("Outstanding Balance") as of the closing of the Qualified Financing multiplied by 1.25 and divided by $1.75 per share; (ii) the Outstanding Balance as of the closing of the Qualified Financing multiplied by 1.25 and divided by the per share price of shares sold in the Qualified Financing; or (iii) the Outstanding Balance as of the closing of the Qualified Financing divided by the Company's per share price assuming a pre-Qualified Financing valuation of the Company of $30 million on a fully-diluted basis, subject to certain exclusions. Under the Platinum Note, the cash payment option previously included in the Original Platinum Notes was eliminated. In the event the Company completed a Qualified Financing prior to December 31, 2011, interest accrued on the Platinum Note from May 5, 2011 through the date of the closing of the Qualified Financing would have been forgiven.</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Platinum Note is voluntarily convertible, at the option of Platinum, at any time prior to a Qualified Financing or its maturity date into shares of common stock that would be determined by multiplying the Outstanding Balance being converted by 1.25 and dividing by the lesser of (i) $1.75 per share; (ii) the per share price in any subsequent equity financing; or (iii) the per share price assuming a $30 million valuation of the Company on a fully diluted basis (subject to certain exclusions). Platinum may elect to convert the Platinum Note at any time, but it is not obligated to convert the Platinum Note until the shares issuable upon conversion of the note are freely tradable pursuant to an effective registration statement or can be sold in any ninety day period without registration under the Securities Act of 1933, as amended (“Securities Act”), in compliance with Rule 144. Additionally, Platinum may not convert the Platinum Note if the shares issuable upon conversion would result in it beneficially owning in excess of 9.99% of the then outstanding shares of the Company's common stock. However, Platinum may waive this condition upon giving 61 days’ notice to the Company.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connection with the issuance of the Platinum Note, the Company issued to Platinum a three-year warrant to purchase 825,574 shares of the Company’s common stock at an exercise price of $2.50 per share. The warrant expires on May 5, 2014, and becomes exercisable upon Platinum’s conversion of the Platinum Note and is exercisable for one-fourth (1/4) of the number of shares issued in the conversion. The Company valued the warrant at a fair value of $0.69 per share on the date of issuance using the Black-Scholes option pricing model and the following assumptions: fair value of common stock - $1.58; risk-free rate – 0.96%; volatility – 85%; contractual term – 3.00 years.</w:t>
      </w:r>
    </w:p>
    <w:p>
      <w:pPr>
        <w:spacing w:after="0" w:line="206"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Company evaluated the extension of the maturity date of the Platinum Note along with the issuance of the new three-year warrant and determined that the modifications are to be accounted for as a troubled debt restructuring on a prospective basis. The Company has recorded a discount of $908,920 to the Original Platinum Notes which is equal to the incremental fair value of the note conversion feature and the cash payments option liability and the fair value of the new warrant. The note discount is being amortized as non-cash interest expense over the remaining term of the Platinum Note using the effective interest method. The effective annual interest rate of the extended Platinum Note is 17.3%, based on the amortization of the note discount, the stated interest rate, and the note term.</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Liability</w:t>
      </w:r>
    </w:p>
    <w:p>
      <w:pPr>
        <w:spacing w:after="0" w:line="24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warrants issued with the Original Platinum Notes included certain exercise price adjustment features and accordingly were not deemed to be indexed to the Company’s common stock. On April 1, 2009, the Company recorded the estimated fair value of the warrant liability of $151,281 as a non-current liability in the consolidated balance sheet. Changes in the estimated fair value of the warrant liability were recorded in other income (expense) in the consolidated statement of operations. The Company continued to record adjustments to the fair value of the warrants until the closing of the Merger on May 11, 2011, when the amended warrants no longer contained the exercise price adjustment features, at which time the warrants were deemed to be indexed to the Company’s common stock and therefore no longer treated as a liability. The warrant liability was recorded at its fair value of $424,068 at May 11, 2011, which resulted in a non-cash expense of $7,014 that was charged to other income (expense) in the three-month period ended June 30, 2011. As of May 11, 2011, $424,068, the then-current aggregate fair value of these warrants, was reclassified from a liability to additional paid-in capital, a component of stockholders’ deficit.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Note and Warrant Exchange Agreement</w:t>
      </w:r>
    </w:p>
    <w:p>
      <w:pPr>
        <w:spacing w:after="0" w:line="24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On December 29, 2011, the Company and Platinum entered into a Note and Warrant Exchange Agreement pursuant to which the Platinum Note and outstanding warrants issued to Platinum to purchase an aggregate of 1,599,858 shares of the Company’s common stock were cancelled in exchange for 391,075 shares of the Company’s newly-created Series A Preferred Stock (“Series A Preferred”). Each share of Series A Preferred is convertible into ten shares of the Company’s common stock (see Note 7, </w:t>
      </w:r>
      <w:r>
        <w:rPr>
          <w:rFonts w:ascii="Arial" w:cs="Arial" w:eastAsia="Arial" w:hAnsi="Arial"/>
          <w:sz w:val="16"/>
          <w:szCs w:val="16"/>
          <w:i w:val="1"/>
          <w:iCs w:val="1"/>
          <w:color w:val="auto"/>
        </w:rPr>
        <w:t>Capital Stock</w:t>
      </w:r>
      <w:r>
        <w:rPr>
          <w:rFonts w:ascii="Arial" w:cs="Arial" w:eastAsia="Arial" w:hAnsi="Arial"/>
          <w:sz w:val="16"/>
          <w:szCs w:val="16"/>
          <w:color w:val="auto"/>
        </w:rPr>
        <w:t>). The Company issued 231,089 shares of Series A Preferred to Platinum in connection with the note cancellation based on the sum of the $4.0 million principal balance of the Platinum Note plus accrued but unpaid interest through May 11, 2011 ($611,111) adjusted for a 125% conversion premium, net of the $1,719,823 aggregate exercise price of the outstanding 1,599,858 warrants held by Platinum, and a contractual conversion basis of $1.75 per common share, all adjusted for the 1:10 Series A Preferred to common exchange ratio. An additional 159,986 shares of Series A Preferred were issued to Platinum in connection with the warrant exercise and exchange to acquire the common shares issued upon the warrant exercise.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The Company determined that the cancellation of the Platinum Note and exercise of the warrants pursuant to the Note and Warrant Exchange Agreement should be accounted for as a debt extinguishment. The Company estimated the fair value of the shares of Series A Preferred stock tendered to Platinum for the cancellation of the Platinum Note under the terms of the agreement at $15.51 per share ($1.55 on a per common share equivalent basis). The Company recorded a loss of $1,193,500 attributable to the early debt extinguishment, reported in Other expenses, net in the accompanying Condensed Consolidated Statements of Operations. The loss includes $287,278, calculated using the Black-Scholes Option Pricing Model, representing the incremental fair value of the warrants exercised by Platinum as modified to reduce their exercise price. (See </w:t>
      </w:r>
      <w:r>
        <w:rPr>
          <w:rFonts w:ascii="Arial" w:cs="Arial" w:eastAsia="Arial" w:hAnsi="Arial"/>
          <w:sz w:val="17"/>
          <w:szCs w:val="17"/>
          <w:i w:val="1"/>
          <w:iCs w:val="1"/>
          <w:color w:val="auto"/>
        </w:rPr>
        <w:t>Discounted Warrant Exercise Program</w:t>
      </w:r>
      <w:r>
        <w:rPr>
          <w:rFonts w:ascii="Arial" w:cs="Arial" w:eastAsia="Arial" w:hAnsi="Arial"/>
          <w:sz w:val="17"/>
          <w:szCs w:val="17"/>
          <w:color w:val="auto"/>
        </w:rPr>
        <w:t xml:space="preserve"> in Note 7, </w:t>
      </w:r>
      <w:r>
        <w:rPr>
          <w:rFonts w:ascii="Arial" w:cs="Arial" w:eastAsia="Arial" w:hAnsi="Arial"/>
          <w:sz w:val="17"/>
          <w:szCs w:val="17"/>
          <w:i w:val="1"/>
          <w:iCs w:val="1"/>
          <w:color w:val="auto"/>
        </w:rPr>
        <w:t>Capital Stock</w:t>
      </w:r>
      <w:r>
        <w:rPr>
          <w:rFonts w:ascii="Arial" w:cs="Arial" w:eastAsia="Arial" w:hAnsi="Arial"/>
          <w:sz w:val="17"/>
          <w:szCs w:val="17"/>
          <w:color w:val="auto"/>
        </w:rPr>
        <w:t>, for a description of the modification of warrant exercise prices and the resulting valuation that occurred during the quarter ended December 31, 2011.) The common shares issued in connection with the warrant exercise that were exchanged for shares of Series A Preferred Stock are treated as Treasury Stock in the accompanying Condensed Consolidated Balance Sheet at December 31, 2011.</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August 2010 Short-Term Notes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August 2010, the Company issued short-term, non-interest bearing, unsecured promissory notes (the “August 2010 Short-Term Notes”) having an aggregate principal amount, as adjusted, of $1,120,000, for a purchase price of $800,000. In connection with the 2011 Private Placement, as described in Note 7, a total of $840,000 of the aggregate principal amount of the August 2010 Short-Term Notes, plus a note cancellation premium of $94,500, were converted into 534,000 Units consisting of 534,000 shares of the Company’s common stock and three-year warrants to purchase 133,500 shares of the Company’s common stock at an exercise price of $2.50 per share; $105,000 of such amount was converted into a long-term note issued to Cato Holding Company; and $175,000 of such amount was not converted. In April 2011, the Company and the holder of the $175,000 note amended the note, whereby the Company paid $50,000 of the note balance within three days of the closing of the 2011 Private Placement, and was to make four monthly payments of $5,000 between May 2011 and August 2011, an additional nine monthly payments of $11,125 per month for the period from September 1, 2011 through May 1, 2012, plus a final payment on May 2, 2012 equal to any remaining balance. The amended note bears interest at 7% per annum. The note cancellation premium was recorded as interest expense. In September 2011, the Company and the holder agreed to further modify the payment schedule to require payments of $5,000 per month through November 1, 2011, six monthly payments of $11,125 for the period from December 1, 2011 through May 1, 2012, an additional payment of $11,125 on May 2, 2012, plus a final payment on June 30, 2012 equal to any remaining balance.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Notes Payable to Officer and Directors for Consulting Services</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May 11, 2011, and concurrent with the Merger, the 7% note payable to a director for principal and accrued interest totaling $14,362, plus a $5,138 note cancellation premium, was converted into 11,142 shares of common stock and a three-year warrant to purchase 2,785 shares of common stock at an exercise price of $2.50 per share. The related note cancellation premium was recorded as interest expense. Also, on May 11, 2011, the 7% note payable to an officer and director including principal and accrued interest totaling $35,999 was paid.</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Issuance of Long-Term Promissory Note and Cancellation of Note Payable to Cato BioVentures Under Line of Credit and Partial Cancellation of August 2010 Short-Term Notes</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April 2011, all amounts owed by the Company to Cato Holding Company ("CHC") or its affiliates were consolidated into a single note, in the principal amount of $352,273. Additionally, CHC released certain security interests in the Company’s personal property. The CHC note bears interest at 7% per annum, compounded monthly. Under the terms of the note, the Company is to make six monthly payments of $10,000 each beginning June 1, 2011; and thereafter will make payments of $12,500 monthly until the note is repaid in full. The Company may prepay the outstanding balance under this note in full or in part at any time during the term of this note without penalty.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Issuance of Long-Term Notes and Cancellation of Amounts Payable</w:t>
      </w:r>
    </w:p>
    <w:p>
      <w:pPr>
        <w:spacing w:after="0" w:line="24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February 25, 2011, the Company issued to Burr, Pilger, and Mayer, LLC (“BPM”)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$5.0 million, with the payment increasing to $50,000 (or the amount then owed under the note, if less) upon the Company completing a financing of over $10.0 million.</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April 29, 2011, the Company issued to Desjardins Securities, Inc. (“Desjardins”)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is to make payments of CDN $4,000 per month beginning May 31, 2011, increasing to CDN $6,000 per month on January 31, 2012. In addition, if, prior to June 30, 2012, the Company closes an equity financing or series of equity financings with aggregate proceeds of $5.0 million or more, then the Company shall make a payment of $39,600 to Desjardins within 10 business days of the closing of such transaction(s). Beginning on January 1, 2012, the Company shall also make payments equal to one-half percent (0.5%) of the net proceeds of all private or public equity financings closed during the term of the note. In connection with issuance of the note, the Company issued 39,600 shares of restricted common stock to Desjardins which, at the time of issuance, had a value of $1.75 per share.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May 5, 2011, the Company issued to McCarthy Tetrault LLP (“McCarthy”) an unsecured promissory note in the principal amount of CDN $502,797 for the amounts payable in connection with legal services provided to the Company. The McCarthy note bears interest at 7.5% and will be due, along with all accrued but unpaid interest on the earliest of (i) June 30, 2014, (ii) the consummation of a Change of Control, as defined in the McCarthy note, and (iii) any failure to pay principal or interest when due. The Company is to make payments of CDN $10,000 per month beginning May 31, 2011, increasing to CDN $15,000 per month on January 31, 2012. In addition, if, prior to June 30, 2012, the Company closes an equity financing or series of equity financings with aggregate proceeds of $5.0 million or more, then the Company shall make a payment of $100,000 to McCarthy within 10 business days of the closing of such transaction(s). Beginning on January 1, 2012, the Company shall also make payments equal to one percent (1%) of the net proceeds of all private or public equity financings closed during the term of the note. In connection with issuance of this note, the Company issued 100,000 shares of restricted common stock to McCarthy which had a value, at the time of issuance, of $1.75 per share.</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May 5, 2011, the Company and Morrison &amp; Foerster LLP (“Morrison &amp; Foerster”), the Company’s legal and intellectual property counsel, entered into Amendment No. 1 to the Morrison &amp; Foerster Note (“Amendment No. 1”). Under Amendment No. 1, the principal balance of the Morrison &amp; Foerster note was increased to $2,200,000, with an additional payment of $100,000 due within three business days of the date of Amendment No. 1, which amount has been paid. The Morrison &amp; Foerster note bears interest at 7.5% and principal will be due, along with all accrued but unpaid interest on the earliest of (i) March 31, 2016, (ii) the consummation of a Change of Control, as defined in the Morrison &amp; Foerster note, and (iii) any failure to pay principal or interest when due. The Company is to make payments of $10,000 per month until June 1, 2011 and thereafter will pay $15,000 per month through March 31, 2012, $25,000 per month through March 31, 2013, and $50,000 per month through maturity. In addition, the Company will make payments equal to five percent (5%) of the net proceeds of any equity financing closed during the term of the note until all outstanding principal and interest is paid in full. If the Company prepays the entire amount due by December 31, 2012, however, the amount of such payment shall be reduced by ten percent (10%), up to a maximum of $100,000. In connection with Amendment No. 1, the Company issued 200,000 shares of restricted common stock to Morrison &amp; Foerster which had a value, at the time of issuance, of $1.75 per share. In addition, the Company reduced the exercise price of the common stock warrants previously issued to Morrison &amp; Foerster from $3.00 to $2.00 per share. The change in the fair value of the warrants was recorded as a note discount and a corresponding increase in additional paid-in capital.</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Licensing and Collaborative Agreements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University Health Network</w:t>
      </w:r>
    </w:p>
    <w:p>
      <w:pPr>
        <w:spacing w:after="0" w:line="24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September 17, 2007, the Company and University Health Network ("UHN") entered a Sponsored Research Collaboration Agreement (“SRCA”) to develop certain stem cell technologies for drug discovery and drug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may elect to fund additional projects to April 30, 2012. On October 24, 2011, the Company and UHN amended the SRCA a fourth time to identify five key programs that will further support the Company’s core drug rescue initiatives and potential cell therapy applications. Under the terms of the fourth amendment, the Company is committed to make monthly payments of $50,000 per month from October 2011 through September 2012 to fund these programs.</w:t>
      </w:r>
    </w:p>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milestones set forth in the License Agreement, and to pay UHN royalties based on the receipt of revenue by the Company attributable to the licensed patents.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National Institutes of Health</w:t>
      </w:r>
    </w:p>
    <w:p>
      <w:pPr>
        <w:spacing w:after="0" w:line="24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fiscal years 2006 through 2008, the U.S. National Institutes of Health ("NIH") awarded the Company a $4.3 million grant to support preclinical development of AV-101, the Company’s lead drug candidate for treatment of neuropathic pain and other neurodegenerative diseases such as Huntington’s and Parkinson’s diseases. In April 2009, the NIH awarded the Company a $4.2 million grant to support the Phase I clinical development of AV-101, which amount was subsequently increased to a total of $4.6 million in July 2010. The Company recognized NIH grant revenue related to AV-101 in the amounts of $(18,000) (resulting from the subsequent adjustment of an accrual at September 30, 2011) and $714,000 in the three month and nine month periods ended December 31, 2011, respectively, and $264,000 and $1,224,000 in the three month and nine month periods ended December 31, 2010,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Cato Research Ltd.</w:t>
      </w:r>
    </w:p>
    <w:p>
      <w:pPr>
        <w:spacing w:after="0" w:line="24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Company has built a strategic development relationship with Cato Research Ltd. ("CRL"), a global contract research and development organization, or CRO. CRL has provided the Company with access to essential CRO services supporting its AV-101 preclinical and clinical development programs. The Company recorded research and development expenses for CRO services provided by CRL in the amounts of $360,000 and $1,019,000 in the three month and nine month periods ended December 31, 2011, respectively, and $124,000 and $338,000 in the three month and nine month periods ended December 31, 2010,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Capital Stock</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April 29, 2011, the Company issued 157,143 shares of its common stock at a per share price of $1.75 as a prepayment for CRO services to be performed by CRL during 2011.</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In December 2010, the Company agreed to issue 700,000 shares of common stock, valued at $1.50 per share, related to its execution of the second amendment to its SRCA with UHN as described in Note 6, </w:t>
      </w:r>
      <w:r>
        <w:rPr>
          <w:rFonts w:ascii="Arial" w:cs="Arial" w:eastAsia="Arial" w:hAnsi="Arial"/>
          <w:sz w:val="17"/>
          <w:szCs w:val="17"/>
          <w:i w:val="1"/>
          <w:iCs w:val="1"/>
          <w:color w:val="auto"/>
        </w:rPr>
        <w:t>Licensing and Collaborative Agreements</w:t>
      </w:r>
      <w:r>
        <w:rPr>
          <w:rFonts w:ascii="Arial" w:cs="Arial" w:eastAsia="Arial" w:hAnsi="Arial"/>
          <w:sz w:val="17"/>
          <w:szCs w:val="17"/>
          <w:color w:val="auto"/>
        </w:rPr>
        <w:t>. Such shares were issued in May 2011. In April 2011, the Company agreed to issue to UHN 100,000 shares of its common stock valued at $1.75 per share in conjunction with its execution of the third amendment to the SRCA, as also described in Note 6. Such shares were issued in May 2011.</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On May 10, 2011, the Company issued 75,000 shares of common stock, valued at $1.75 per share, to a strategic consultant for services rendered.</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2011 Private Placement</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May 11, 2011, and immediately preceding the closing of the Merger, VistaGen sold 2,216,106 Units in a private placement for aggregate gross offering proceeds of $3,878,197, including $2,369,194 in cash, a $500,000 short-term note receivable due on September 6, 2011, cancellation of $840,000 of short-term notes maturing on April 30, 2011, a note cancellation premium of $94,500, and cancellation of $74,503 of accounts payable (“2011 Private Placement”). The Units were sold for $1.75 per Unit and consisted of one share of common stock and a three-year warrant to purchase one-fourth (1/4) of one share of common stock at an exercise price of $2.50 per share. Warrants to purchase a total of 554,013 shares of common stock were issued to the purchasers of the Units. Concurrently, VistaGen issued to its placement agent three-year warrants to purchase 114,284 shares of its common stock at $2.50 per share, and agreed to pay $200,000 in placement agent fees, $150,000 of which amount was paid on May 11, 2011.</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October 2011, the Company restructured the terms of the $500,000 short term promissory note received in conjunction with the 2011 Private Placement. The note currently bears interest at 5% per annum. The maturity date has been extended to September 1, 2012 and the revised terms require payments to the Company as follows:</w:t>
      </w:r>
    </w:p>
    <w:p>
      <w:pPr>
        <w:spacing w:after="0" w:line="201" w:lineRule="exact"/>
        <w:rPr>
          <w:sz w:val="20"/>
          <w:szCs w:val="20"/>
          <w:color w:val="auto"/>
        </w:rPr>
      </w:pPr>
    </w:p>
    <w:p>
      <w:pPr>
        <w:ind w:left="360" w:hanging="272"/>
        <w:spacing w:after="0"/>
        <w:tabs>
          <w:tab w:leader="none" w:pos="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one payment of $50,000 on or before October 31, 2011;</w:t>
      </w:r>
    </w:p>
    <w:p>
      <w:pPr>
        <w:spacing w:after="0" w:line="20" w:lineRule="exact"/>
        <w:rPr>
          <w:rFonts w:ascii="Arial" w:cs="Arial" w:eastAsia="Arial" w:hAnsi="Arial"/>
          <w:sz w:val="17"/>
          <w:szCs w:val="17"/>
          <w:color w:val="auto"/>
        </w:rPr>
      </w:pPr>
    </w:p>
    <w:p>
      <w:pPr>
        <w:ind w:left="940" w:hanging="245"/>
        <w:spacing w:after="0"/>
        <w:tabs>
          <w:tab w:leader="none" w:pos="9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nine payments of $50,000 on or before the first day of each month commencing December 1, 2011 and ending August 1, 2012; and</w:t>
      </w:r>
    </w:p>
    <w:p>
      <w:pPr>
        <w:spacing w:after="0" w:line="9" w:lineRule="exact"/>
        <w:rPr>
          <w:rFonts w:ascii="Arial" w:cs="Arial" w:eastAsia="Arial" w:hAnsi="Arial"/>
          <w:sz w:val="17"/>
          <w:szCs w:val="17"/>
          <w:color w:val="auto"/>
        </w:rPr>
      </w:pPr>
    </w:p>
    <w:p>
      <w:pPr>
        <w:ind w:left="920" w:hanging="225"/>
        <w:spacing w:after="0"/>
        <w:tabs>
          <w:tab w:leader="none" w:pos="9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one final payment equal to the remaining balance of principal and interest due on or before September 1, 2012.</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outstanding principal balance of the note receivable at December 31, 2011 is $400,000.</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of Convertible Promissory Notes</w:t>
      </w:r>
    </w:p>
    <w:p>
      <w:pPr>
        <w:spacing w:after="0" w:line="240"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On May 11, 2011, concurrent with the Merger, holders of certain promissory notes issued by VistaGen from 2006 through 2010 converted their notes totaling aggregate principal and interest of $6,174,793 into 3,528,290 Units. These Units were the same Units issued in connection with the 2011 Private Placement.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of Preferred Stock</w:t>
      </w:r>
    </w:p>
    <w:p>
      <w:pPr>
        <w:spacing w:after="0" w:line="24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May 11, 2011, concurrent with the Merger, all holders of VistaGen's then-outstanding preferred stock converted all of their preferred shares into 2,884,655 shares of common stock so that, at the completion of the Merger, the Company had no shares of preferred stock outstanding.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Amounts of Capital Stock Authorized</w:t>
      </w:r>
    </w:p>
    <w:p>
      <w:pPr>
        <w:spacing w:after="0" w:line="24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Effective with the Merger, the Company was authorized to issue up to 400,000,000 shares of common stock, $0.001 par value and no shares of preferred stock. On October 28, 2011, the Company held a special meeting of its stockholders at which the stockholders approved a proposal to amend the Company’s Articles of Incorporation to (1) reduce the number of shares of common stock the Company is authorized to issue from 400,000,000 shares to 200,000,000 shares; (2) authorize the Company to issue up to 10,000,000 shares of preferred stock; and (3) authorize the Company’s Board of Directors to prescribe the classes, series and the number of each class or series of preferred stock and the voting powers, designations, preferences, limitations, restrictions and relative rights of each class or series of preferred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Preferred Stock</w:t>
      </w:r>
    </w:p>
    <w:p>
      <w:pPr>
        <w:spacing w:after="0" w:line="24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December 2011, the Company’s Board of Directors authorized the creation of a series of up to 500,000 shares of Series A Preferred Stock, par value $0.001 (“Series A Preferred”). Each share of Series A Preferred is convertible at the option of the holder into ten shares of the Company's common stock. The Series A Preferred ranks prior to the common stock for purposes of liquidation preference.</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(the "Record Date") shall be entitled to receive out of any assets at the time legally available therefore, an amount equal to such dividend declared on one share of common stock multiplied by the number of shares of common stock into which such share, or such fraction of a share, of Series A Preferred could be converted on the Record Date.</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Except with respect to transactions upon which the Series A Preferred shall be entitled to vote separately as a class, the Series A Preferred has no voting rights. The common stock into which the Series A Preferred is convertible shall, upon issuance, have all of the same voting rights as other issued and outstanding shares of the Company’s common stock.</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the event of the liquidation, dissolution or winding up of the affairs of the Company, after payment or provision for payment of the debts and other liabilities of the Company, the holders of Series A Preferred then outstanding shall be entitled to receive, out of the assets of the Company, an amount per share of Series A Preferred calculated by taking the total amount available for distribution to holders of all the Company's outstanding common stock before deduction of any preference payments for the Series A Preferred, divided by the total of (x), all of the then outstanding shares of the Company's common stock, plus (y) all of the shares of the Company's common stock into which all of the outstanding shares of the Series A Preferred can be converted before any payment shall be made or any assets distributed to the holders of the common stock or any other junior stock.</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At December 31, 2011, there were 437,055 shares of Series A Preferred outstanding, all issued to Platinum under the terms of the Note and Warrant Exchange Agreement described in Note 5 and the Common Stock Exchange Agreement, described below.</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Exchange Agreement with Platinum</w:t>
      </w:r>
    </w:p>
    <w:p>
      <w:pPr>
        <w:spacing w:after="0" w:line="24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December 22, 2011, the Company entered into a Common Stock Exchange Agreement (the "Exchange Agreement") with Platinum, pursuant to which Platinum converted 484,000 shares of the Company’s common stock into 45,980 shares of the newly created Series A Preferred (the "Exchange"). Each share of Series A Preferred issued to Platinum is convertible into ten shares of the Company’s common stock. In consideration for the Exchange, the Series A Preferred received by Platinum in connection with the Exchange is convertible into the equivalent of 0.95 shares of common stock surrendered in connection with the Exchange. The Company has determined the fair value of the common stock subject to the Exchange to be $1.55 per share and has reflected the 484,000 common shares as treasury stock on that basis in the accompanying Condensed Consolidated Balance Sheet at December 31, 2011.</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Fall 2011 Follow-On Offering</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Beginning in October 2011, the Company initiated a follow-on private placement of Units. These Units were essentially the same as the Units issued in connection with the 2011 Private Placement, namely, each Unit was priced at $1.75 and consisted of one share of the Company’s common stock and a three-year warrant to purchase one-fourth (1/4) of one share of the Company’s common stock at an exercise price of $2.50 per share. The Company sold a total of 63,570 Units and received aggregate cash proceeds of $111,248.</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Discounted Warrant Exercise Program</w:t>
      </w:r>
    </w:p>
    <w:p>
      <w:pPr>
        <w:spacing w:after="0" w:line="24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During the quarter ended December 31, 2011, the Company offered certain warrant holders the opportunity to exercise their warrants to purchase the Company’s common stock at a discount of approximately 50% of the original exercise price of their warrants for a limited time (the “Discounted Warrant Exercise Program”). Through December 31, 2011, warrants to purchase an aggregate of 3,093,396 shares of the Company’s common stock were exercised at reduced exercise prices by warrant holders, including warrants to purchase 1,599,858 shares of common stock exercised by Platinum under the terms of the Note and Warrant Exchange Agreement, as described in Note 5. The warrants exercised by Platinum were exercised at reduced prices ranging from $0.75 per share to $1.25 per share, compared to original exercise prices ranging from $1.50 per share to $2.50 per share, resulting in proceeds of $1,719,823 which was applied to the reduce the outstanding balance of the Platinum Note and accrued interest under the terms of the Note and Exchange Agreement.</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Other investors and service providers exercised warrants to purchase an aggregate of 1,000,997 shares of the Company’s common stock at reduced exercise prices ranging from $0.75 per share to $1.31 per share, compared to original exercise prices ranging from $1.50 per share to $2.625 per share. In conjunction with these exercises, the Company:</w:t>
      </w:r>
    </w:p>
    <w:p>
      <w:pPr>
        <w:spacing w:after="0" w:line="201" w:lineRule="exact"/>
        <w:rPr>
          <w:sz w:val="20"/>
          <w:szCs w:val="20"/>
          <w:color w:val="auto"/>
        </w:rPr>
      </w:pPr>
    </w:p>
    <w:p>
      <w:pPr>
        <w:jc w:val="both"/>
        <w:ind w:left="780" w:hanging="136"/>
        <w:spacing w:after="0" w:line="290" w:lineRule="auto"/>
        <w:tabs>
          <w:tab w:leader="none" w:pos="7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issued 937,871 shares of its common stock and received proceeds of $1,075,024, including $976,895 in cash plus amounts receivable aggregating $98,129, which amounts are included in Notes and other receivables from sale of common stock to and upon exercise of warrants by others at December 31, 2011, in the accompanying Condensed Consolidated Balance Sheets (all such amounts receivable had been collected by January 5, 2012);</w:t>
      </w:r>
    </w:p>
    <w:p>
      <w:pPr>
        <w:spacing w:after="0" w:line="1" w:lineRule="exact"/>
        <w:rPr>
          <w:rFonts w:ascii="Arial" w:cs="Arial" w:eastAsia="Arial" w:hAnsi="Arial"/>
          <w:sz w:val="15"/>
          <w:szCs w:val="15"/>
          <w:color w:val="auto"/>
        </w:rPr>
      </w:pPr>
    </w:p>
    <w:p>
      <w:pPr>
        <w:ind w:left="780" w:hanging="136"/>
        <w:spacing w:after="0" w:line="251" w:lineRule="auto"/>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issued 29,426 shares of its common stock to warrant holders who elected to exercise their warrants in lieu of payment by the Company in satisfaction of outstanding indebtedness to such holders totaling an aggregate of $30,128; and</w:t>
      </w:r>
    </w:p>
    <w:p>
      <w:pPr>
        <w:spacing w:after="0" w:line="1" w:lineRule="exact"/>
        <w:rPr>
          <w:rFonts w:ascii="Arial" w:cs="Arial" w:eastAsia="Arial" w:hAnsi="Arial"/>
          <w:sz w:val="17"/>
          <w:szCs w:val="17"/>
          <w:color w:val="auto"/>
        </w:rPr>
      </w:pPr>
    </w:p>
    <w:p>
      <w:pPr>
        <w:ind w:left="780" w:hanging="136"/>
        <w:spacing w:after="0" w:line="263" w:lineRule="auto"/>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issued 33,700 shares of its common stock to warrant holders who elected to exercise their warrants in lieu of payment by the Company in satisfaction of payment for services in the aggregate amount of $41,343 to be performed in the future by such holders.</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Additionally, in December 2011, the Company entered into an Agreement Regarding Payment of Invoices and Warrant Exercises with Cato Holding Company (“CHC”), CRL, and certain individual warrant holders affiliated with CHC and CRL (collectively, the “CHC Affiliates”) under the terms of which CHC and the CHC Affiliates exercised warrants to purchase an aggregate of 492,541 shares of the Company’s common stock at reduced exercise prices ranging from $0.88 per share to $1.25 per share, compared to original exercise prices ranging from $1.75 per share to $2.50 per share. As a result of these warrant exercises, the Company received cash payments of $60,207 in connection with the exercise of warrants to purchase 68,417 shares and, in lieu of cash payments for the remainder of the warrants to purchase 424,124 shares, CHC and CRL agreed to the satisfaction of outstanding indebtedness to CRL in the amount of $245,278 and pre-payment for future services in the amount of $226,449.</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determined that the increase in the fair value of the warrants exercised as a result of the Discounted Warrant Exercise Program was $618,352, of which $287,278 is a component of the loss on debt extinguishment related to the conversion of the Platinum Note, as described in Note 5, $101,233 is attributable to the modifications of the CHC and CHC Affiliates warrants and reflected in research and development expense, and $229,841 is reflected in general and administrative expense for the quarter ended December 31, 2011 in the accompanying Condensed Consolidated Statements of Operations. The warrants subject to the exercise price modifications were valued at the inception of the Discounted Warrant Exercise Program using the Black-Scholes Option Pricing Model and using the following assumptions: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00" w:type="dxa"/>
            <w:vAlign w:val="bottom"/>
            <w:gridSpan w:val="2"/>
          </w:tcPr>
          <w:p>
            <w:pPr>
              <w:ind w:left="1160"/>
              <w:spacing w:after="0"/>
              <w:rPr>
                <w:sz w:val="20"/>
                <w:szCs w:val="20"/>
                <w:color w:val="auto"/>
              </w:rPr>
            </w:pPr>
            <w:r>
              <w:rPr>
                <w:rFonts w:ascii="Arial" w:cs="Arial" w:eastAsia="Arial" w:hAnsi="Arial"/>
                <w:sz w:val="17"/>
                <w:szCs w:val="17"/>
                <w:b w:val="1"/>
                <w:bCs w:val="1"/>
                <w:color w:val="auto"/>
              </w:rPr>
              <w:t>Assumption:</w:t>
            </w:r>
          </w:p>
        </w:tc>
        <w:tc>
          <w:tcPr>
            <w:tcW w:w="15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b w:val="1"/>
                <w:bCs w:val="1"/>
                <w:color w:val="auto"/>
                <w:w w:val="98"/>
              </w:rPr>
              <w:t>Pre-modification</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ind w:right="375"/>
              <w:spacing w:after="0"/>
              <w:rPr>
                <w:sz w:val="20"/>
                <w:szCs w:val="20"/>
                <w:color w:val="auto"/>
              </w:rPr>
            </w:pPr>
            <w:r>
              <w:rPr>
                <w:rFonts w:ascii="Arial" w:cs="Arial" w:eastAsia="Arial" w:hAnsi="Arial"/>
                <w:sz w:val="17"/>
                <w:szCs w:val="17"/>
                <w:b w:val="1"/>
                <w:bCs w:val="1"/>
                <w:color w:val="auto"/>
                <w:w w:val="96"/>
              </w:rPr>
              <w:t>Post-modification</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Market price per share</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90"/>
              </w:rPr>
              <w:t>2.60</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8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2.60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Exercise price per share</w:t>
            </w:r>
          </w:p>
        </w:tc>
        <w:tc>
          <w:tcPr>
            <w:tcW w:w="15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880" w:type="dxa"/>
            <w:vAlign w:val="bottom"/>
            <w:gridSpan w:val="3"/>
          </w:tcPr>
          <w:p>
            <w:pPr>
              <w:jc w:val="right"/>
              <w:ind w:right="115"/>
              <w:spacing w:after="0"/>
              <w:rPr>
                <w:sz w:val="20"/>
                <w:szCs w:val="20"/>
                <w:color w:val="auto"/>
              </w:rPr>
            </w:pPr>
            <w:r>
              <w:rPr>
                <w:rFonts w:ascii="Arial" w:cs="Arial" w:eastAsia="Arial" w:hAnsi="Arial"/>
                <w:sz w:val="17"/>
                <w:szCs w:val="17"/>
                <w:color w:val="auto"/>
              </w:rPr>
              <w:t>1.50 - $2.625</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860" w:type="dxa"/>
            <w:vAlign w:val="bottom"/>
          </w:tcPr>
          <w:p>
            <w:pPr>
              <w:jc w:val="right"/>
              <w:ind w:right="75"/>
              <w:spacing w:after="0"/>
              <w:rPr>
                <w:sz w:val="20"/>
                <w:szCs w:val="20"/>
                <w:color w:val="auto"/>
              </w:rPr>
            </w:pPr>
            <w:r>
              <w:rPr>
                <w:rFonts w:ascii="Arial" w:cs="Arial" w:eastAsia="Arial" w:hAnsi="Arial"/>
                <w:sz w:val="17"/>
                <w:szCs w:val="17"/>
                <w:color w:val="auto"/>
              </w:rPr>
              <w:t>0.75 - $1.31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0.45%</w:t>
            </w:r>
          </w:p>
        </w:tc>
        <w:tc>
          <w:tcPr>
            <w:tcW w:w="24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Expected term (years)</w:t>
            </w:r>
          </w:p>
        </w:tc>
        <w:tc>
          <w:tcPr>
            <w:tcW w:w="15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0.90</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115"/>
              <w:spacing w:after="0"/>
              <w:rPr>
                <w:sz w:val="20"/>
                <w:szCs w:val="20"/>
                <w:color w:val="auto"/>
              </w:rPr>
            </w:pPr>
            <w:r>
              <w:rPr>
                <w:rFonts w:ascii="Arial" w:cs="Arial" w:eastAsia="Arial" w:hAnsi="Arial"/>
                <w:sz w:val="17"/>
                <w:szCs w:val="17"/>
                <w:color w:val="auto"/>
                <w:w w:val="90"/>
              </w:rPr>
              <w:t>3.25</w:t>
            </w:r>
          </w:p>
        </w:tc>
        <w:tc>
          <w:tcPr>
            <w:tcW w:w="240" w:type="dxa"/>
            <w:vAlign w:val="bottom"/>
          </w:tcPr>
          <w:p>
            <w:pPr>
              <w:spacing w:after="0"/>
              <w:rPr>
                <w:sz w:val="17"/>
                <w:szCs w:val="17"/>
                <w:color w:val="auto"/>
              </w:rPr>
            </w:pPr>
          </w:p>
        </w:tc>
        <w:tc>
          <w:tcPr>
            <w:tcW w:w="1860" w:type="dxa"/>
            <w:vAlign w:val="bottom"/>
          </w:tcPr>
          <w:p>
            <w:pPr>
              <w:jc w:val="right"/>
              <w:ind w:right="75"/>
              <w:spacing w:after="0"/>
              <w:rPr>
                <w:sz w:val="20"/>
                <w:szCs w:val="20"/>
                <w:color w:val="auto"/>
              </w:rPr>
            </w:pPr>
            <w:r>
              <w:rPr>
                <w:rFonts w:ascii="Arial" w:cs="Arial" w:eastAsia="Arial" w:hAnsi="Arial"/>
                <w:sz w:val="17"/>
                <w:szCs w:val="17"/>
                <w:color w:val="auto"/>
              </w:rPr>
              <w:t>0.25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Volatility</w:t>
            </w:r>
          </w:p>
        </w:tc>
        <w:tc>
          <w:tcPr>
            <w:tcW w:w="15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82.8%</w:t>
            </w:r>
          </w:p>
        </w:tc>
        <w:tc>
          <w:tcPr>
            <w:tcW w:w="24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Dividend rate</w:t>
            </w:r>
          </w:p>
        </w:tc>
        <w:tc>
          <w:tcPr>
            <w:tcW w:w="1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0.0%</w:t>
            </w:r>
          </w:p>
        </w:tc>
        <w:tc>
          <w:tcPr>
            <w:tcW w:w="24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vMerge w:val="restart"/>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60" w:type="dxa"/>
            <w:vAlign w:val="bottom"/>
            <w:vMerge w:val="continue"/>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7"/>
                <w:szCs w:val="17"/>
                <w:b w:val="1"/>
                <w:bCs w:val="1"/>
                <w:color w:val="auto"/>
              </w:rPr>
              <w:t>Weighted Average Fair Value per share</w:t>
            </w:r>
          </w:p>
        </w:tc>
        <w:tc>
          <w:tcPr>
            <w:tcW w:w="150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115"/>
              <w:spacing w:after="0"/>
              <w:rPr>
                <w:sz w:val="20"/>
                <w:szCs w:val="20"/>
                <w:color w:val="auto"/>
              </w:rPr>
            </w:pPr>
            <w:r>
              <w:rPr>
                <w:rFonts w:ascii="Arial" w:cs="Arial" w:eastAsia="Arial" w:hAnsi="Arial"/>
                <w:sz w:val="17"/>
                <w:szCs w:val="17"/>
                <w:b w:val="1"/>
                <w:bCs w:val="1"/>
                <w:color w:val="auto"/>
                <w:w w:val="90"/>
              </w:rPr>
              <w:t>1.30</w:t>
            </w:r>
          </w:p>
        </w:tc>
        <w:tc>
          <w:tcPr>
            <w:tcW w:w="24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1860" w:type="dxa"/>
            <w:vAlign w:val="bottom"/>
          </w:tcPr>
          <w:p>
            <w:pPr>
              <w:jc w:val="right"/>
              <w:ind w:right="75"/>
              <w:spacing w:after="0"/>
              <w:rPr>
                <w:sz w:val="20"/>
                <w:szCs w:val="20"/>
                <w:color w:val="auto"/>
              </w:rPr>
            </w:pPr>
            <w:r>
              <w:rPr>
                <w:rFonts w:ascii="Arial" w:cs="Arial" w:eastAsia="Arial" w:hAnsi="Arial"/>
                <w:sz w:val="17"/>
                <w:szCs w:val="17"/>
                <w:b w:val="1"/>
                <w:bCs w:val="1"/>
                <w:color w:val="auto"/>
              </w:rPr>
              <w:t>1.50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0"/>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00" w:type="dxa"/>
            <w:vAlign w:val="bottom"/>
          </w:tcPr>
          <w:p>
            <w:pPr>
              <w:jc w:val="right"/>
              <w:ind w:right="355"/>
              <w:spacing w:after="0"/>
              <w:rPr>
                <w:sz w:val="20"/>
                <w:szCs w:val="20"/>
                <w:color w:val="auto"/>
              </w:rPr>
            </w:pPr>
            <w:r>
              <w:rPr>
                <w:rFonts w:ascii="Arial" w:cs="Arial" w:eastAsia="Arial" w:hAnsi="Arial"/>
                <w:sz w:val="17"/>
                <w:szCs w:val="17"/>
                <w:color w:val="auto"/>
              </w:rPr>
              <w:t>-18-</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160" w:type="dxa"/>
            <w:vAlign w:val="bottom"/>
            <w:tcBorders>
              <w:bottom w:val="single" w:sz="8" w:color="808080"/>
            </w:tcBorders>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market price per share is based on the quoted market price of the Company’s common stock on the Over-the-Counter Bulletin Board on the date of the modification or the closest subsequent date on which there was quoted trading reported. Because of its short history as a public company, the Company has estimated volatility based on the historical volatilities of a peer group of public companies over the expected term of the option. The risk-free rate of interest is based on the quoted constant maturity rate for U.S Treasury Bills on the date of the modification for the term corresponding with the expected term of the warrant. The expected dividend rate is zero as the Company has not paid and does not expect to pay dividends in the near future.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Warrant Modifications</w:t>
      </w:r>
    </w:p>
    <w:p>
      <w:pPr>
        <w:spacing w:after="0" w:line="24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December 2011, the Company entered into a consulting agreement with a strategic consultant for general and capital markets advisory services. As consideration for the services to be provided under this agreement, the Company modified the term and exercise price of certain previously-issued warrants to purchase an aggregate of 384,184 shares of its common stock. The Company determined that the increase in the fair value of the modified warrants was $397,538, which is reflected in general and administrative expense for the quarter ended December 31, 2011 in the accompanying Condensed Consolidated Statements of Operations. The warrants modified were valued using the Black-Scholes Option Pricing Model and using the following assumptions:</w:t>
      </w:r>
    </w:p>
    <w:p>
      <w:pPr>
        <w:spacing w:after="0" w:line="187"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3900" w:type="dxa"/>
            <w:vAlign w:val="bottom"/>
            <w:gridSpan w:val="2"/>
          </w:tcPr>
          <w:p>
            <w:pPr>
              <w:spacing w:after="0"/>
              <w:rPr>
                <w:sz w:val="20"/>
                <w:szCs w:val="20"/>
                <w:color w:val="auto"/>
              </w:rPr>
            </w:pPr>
            <w:r>
              <w:rPr>
                <w:rFonts w:ascii="Arial" w:cs="Arial" w:eastAsia="Arial" w:hAnsi="Arial"/>
                <w:sz w:val="17"/>
                <w:szCs w:val="17"/>
                <w:b w:val="1"/>
                <w:bCs w:val="1"/>
                <w:color w:val="auto"/>
              </w:rPr>
              <w:t>Assumption:</w:t>
            </w:r>
          </w:p>
        </w:tc>
        <w:tc>
          <w:tcPr>
            <w:tcW w:w="1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w w:val="98"/>
              </w:rPr>
              <w:t>Pre-modification</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ind w:right="375"/>
              <w:spacing w:after="0"/>
              <w:rPr>
                <w:sz w:val="20"/>
                <w:szCs w:val="20"/>
                <w:color w:val="auto"/>
              </w:rPr>
            </w:pPr>
            <w:r>
              <w:rPr>
                <w:rFonts w:ascii="Arial" w:cs="Arial" w:eastAsia="Arial" w:hAnsi="Arial"/>
                <w:sz w:val="17"/>
                <w:szCs w:val="17"/>
                <w:b w:val="1"/>
                <w:bCs w:val="1"/>
                <w:color w:val="auto"/>
                <w:w w:val="96"/>
              </w:rPr>
              <w:t>Post-modification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Market price per share</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90"/>
              </w:rPr>
              <w:t>2.99</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8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Exercise price per share</w:t>
            </w:r>
          </w:p>
        </w:tc>
        <w:tc>
          <w:tcPr>
            <w:tcW w:w="1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115"/>
              <w:spacing w:after="0"/>
              <w:rPr>
                <w:sz w:val="20"/>
                <w:szCs w:val="20"/>
                <w:color w:val="auto"/>
              </w:rPr>
            </w:pPr>
            <w:r>
              <w:rPr>
                <w:rFonts w:ascii="Arial" w:cs="Arial" w:eastAsia="Arial" w:hAnsi="Arial"/>
                <w:sz w:val="17"/>
                <w:szCs w:val="17"/>
                <w:color w:val="auto"/>
              </w:rPr>
              <w:t>2.25 - $3.00</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860" w:type="dxa"/>
            <w:vAlign w:val="bottom"/>
          </w:tcPr>
          <w:p>
            <w:pPr>
              <w:jc w:val="right"/>
              <w:ind w:right="75"/>
              <w:spacing w:after="0"/>
              <w:rPr>
                <w:sz w:val="20"/>
                <w:szCs w:val="20"/>
                <w:color w:val="auto"/>
              </w:rPr>
            </w:pPr>
            <w:r>
              <w:rPr>
                <w:rFonts w:ascii="Arial" w:cs="Arial" w:eastAsia="Arial" w:hAnsi="Arial"/>
                <w:sz w:val="17"/>
                <w:szCs w:val="17"/>
                <w:color w:val="auto"/>
              </w:rPr>
              <w:t>1.125 - $1.50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 -</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0.29%</w:t>
            </w:r>
          </w:p>
        </w:tc>
        <w:tc>
          <w:tcPr>
            <w:tcW w:w="24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Expected term (years)</w:t>
            </w:r>
          </w:p>
        </w:tc>
        <w:tc>
          <w:tcPr>
            <w:tcW w:w="1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0.53 –</w:t>
            </w:r>
          </w:p>
        </w:tc>
        <w:tc>
          <w:tcPr>
            <w:tcW w:w="520" w:type="dxa"/>
            <w:vAlign w:val="bottom"/>
          </w:tcPr>
          <w:p>
            <w:pPr>
              <w:jc w:val="right"/>
              <w:ind w:right="115"/>
              <w:spacing w:after="0"/>
              <w:rPr>
                <w:sz w:val="20"/>
                <w:szCs w:val="20"/>
                <w:color w:val="auto"/>
              </w:rPr>
            </w:pPr>
            <w:r>
              <w:rPr>
                <w:rFonts w:ascii="Arial" w:cs="Arial" w:eastAsia="Arial" w:hAnsi="Arial"/>
                <w:sz w:val="17"/>
                <w:szCs w:val="17"/>
                <w:color w:val="auto"/>
                <w:w w:val="90"/>
              </w:rPr>
              <w:t>2.39</w:t>
            </w:r>
          </w:p>
        </w:tc>
        <w:tc>
          <w:tcPr>
            <w:tcW w:w="240" w:type="dxa"/>
            <w:vAlign w:val="bottom"/>
          </w:tcPr>
          <w:p>
            <w:pPr>
              <w:spacing w:after="0"/>
              <w:rPr>
                <w:sz w:val="17"/>
                <w:szCs w:val="17"/>
                <w:color w:val="auto"/>
              </w:rPr>
            </w:pPr>
          </w:p>
        </w:tc>
        <w:tc>
          <w:tcPr>
            <w:tcW w:w="1860" w:type="dxa"/>
            <w:vAlign w:val="bottom"/>
          </w:tcPr>
          <w:p>
            <w:pPr>
              <w:jc w:val="right"/>
              <w:ind w:right="75"/>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Volatility</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 –</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81.0%</w:t>
            </w:r>
          </w:p>
        </w:tc>
        <w:tc>
          <w:tcPr>
            <w:tcW w:w="24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7"/>
                <w:szCs w:val="17"/>
                <w:color w:val="auto"/>
              </w:rPr>
              <w:t>Dividend rate</w:t>
            </w: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0.0%</w:t>
            </w:r>
          </w:p>
        </w:tc>
        <w:tc>
          <w:tcPr>
            <w:tcW w:w="24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7"/>
                <w:szCs w:val="17"/>
                <w:b w:val="1"/>
                <w:bCs w:val="1"/>
                <w:color w:val="auto"/>
              </w:rPr>
              <w:t>Weighted Average Fair Value per share</w:t>
            </w:r>
          </w:p>
        </w:tc>
        <w:tc>
          <w:tcPr>
            <w:tcW w:w="124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1360" w:type="dxa"/>
            <w:vAlign w:val="bottom"/>
          </w:tcPr>
          <w:p>
            <w:pPr>
              <w:spacing w:after="0"/>
              <w:rPr>
                <w:sz w:val="19"/>
                <w:szCs w:val="19"/>
                <w:color w:val="auto"/>
              </w:rPr>
            </w:pPr>
          </w:p>
        </w:tc>
        <w:tc>
          <w:tcPr>
            <w:tcW w:w="520" w:type="dxa"/>
            <w:vAlign w:val="bottom"/>
          </w:tcPr>
          <w:p>
            <w:pPr>
              <w:jc w:val="right"/>
              <w:ind w:right="115"/>
              <w:spacing w:after="0"/>
              <w:rPr>
                <w:sz w:val="20"/>
                <w:szCs w:val="20"/>
                <w:color w:val="auto"/>
              </w:rPr>
            </w:pPr>
            <w:r>
              <w:rPr>
                <w:rFonts w:ascii="Arial" w:cs="Arial" w:eastAsia="Arial" w:hAnsi="Arial"/>
                <w:sz w:val="17"/>
                <w:szCs w:val="17"/>
                <w:b w:val="1"/>
                <w:bCs w:val="1"/>
                <w:color w:val="auto"/>
                <w:w w:val="90"/>
              </w:rPr>
              <w:t>1.00</w:t>
            </w:r>
          </w:p>
        </w:tc>
        <w:tc>
          <w:tcPr>
            <w:tcW w:w="24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1860" w:type="dxa"/>
            <w:vAlign w:val="bottom"/>
          </w:tcPr>
          <w:p>
            <w:pPr>
              <w:jc w:val="right"/>
              <w:ind w:right="75"/>
              <w:spacing w:after="0"/>
              <w:rPr>
                <w:sz w:val="20"/>
                <w:szCs w:val="20"/>
                <w:color w:val="auto"/>
              </w:rPr>
            </w:pPr>
            <w:r>
              <w:rPr>
                <w:rFonts w:ascii="Arial" w:cs="Arial" w:eastAsia="Arial" w:hAnsi="Arial"/>
                <w:sz w:val="17"/>
                <w:szCs w:val="17"/>
                <w:b w:val="1"/>
                <w:bCs w:val="1"/>
                <w:color w:val="auto"/>
              </w:rPr>
              <w:t>2.03</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December 2011, the Company also entered into a consulting agreement with an individual for strategic consulting services to be performed as requested by the Company’s Chief Executive Officer. As consideration for the services to be provided under this agreement, the Company modified the term and exercise price of certain previously-issued warrants to purchase an aggregate of 23,138 shares of its common stock and will pay the consultant $1,000 per month for the period June 2012 through December 2012. The Company determined that the increase in the fair value of the modified warrants was $13,052, which is reflected in general and administrative expense for the quarter ended December 31, 2011 in the accompanying Condensed Consolidated Statements of Operations. The warrants modified were valued using the Black-Scholes Option Pricing Model and using the following assumptions: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00" w:type="dxa"/>
            <w:vAlign w:val="bottom"/>
            <w:gridSpan w:val="2"/>
          </w:tcPr>
          <w:p>
            <w:pPr>
              <w:ind w:left="1160"/>
              <w:spacing w:after="0"/>
              <w:rPr>
                <w:sz w:val="20"/>
                <w:szCs w:val="20"/>
                <w:color w:val="auto"/>
              </w:rPr>
            </w:pPr>
            <w:r>
              <w:rPr>
                <w:rFonts w:ascii="Arial" w:cs="Arial" w:eastAsia="Arial" w:hAnsi="Arial"/>
                <w:sz w:val="17"/>
                <w:szCs w:val="17"/>
                <w:b w:val="1"/>
                <w:bCs w:val="1"/>
                <w:color w:val="auto"/>
              </w:rPr>
              <w:t>Assumption:</w:t>
            </w:r>
          </w:p>
        </w:tc>
        <w:tc>
          <w:tcPr>
            <w:tcW w:w="2860" w:type="dxa"/>
            <w:vAlign w:val="bottom"/>
            <w:gridSpan w:val="2"/>
          </w:tcPr>
          <w:p>
            <w:pPr>
              <w:ind w:left="1280"/>
              <w:spacing w:after="0"/>
              <w:rPr>
                <w:sz w:val="20"/>
                <w:szCs w:val="20"/>
                <w:color w:val="auto"/>
              </w:rPr>
            </w:pPr>
            <w:r>
              <w:rPr>
                <w:rFonts w:ascii="Arial" w:cs="Arial" w:eastAsia="Arial" w:hAnsi="Arial"/>
                <w:sz w:val="17"/>
                <w:szCs w:val="17"/>
                <w:b w:val="1"/>
                <w:bCs w:val="1"/>
                <w:color w:val="auto"/>
              </w:rPr>
              <w:t>Pre-modification</w:t>
            </w:r>
          </w:p>
        </w:tc>
        <w:tc>
          <w:tcPr>
            <w:tcW w:w="520" w:type="dxa"/>
            <w:vAlign w:val="bottom"/>
          </w:tcPr>
          <w:p>
            <w:pPr>
              <w:spacing w:after="0"/>
              <w:rPr>
                <w:sz w:val="19"/>
                <w:szCs w:val="19"/>
                <w:color w:val="auto"/>
              </w:rPr>
            </w:pPr>
          </w:p>
        </w:tc>
        <w:tc>
          <w:tcPr>
            <w:tcW w:w="2100" w:type="dxa"/>
            <w:vAlign w:val="bottom"/>
            <w:gridSpan w:val="2"/>
          </w:tcPr>
          <w:p>
            <w:pPr>
              <w:ind w:left="40"/>
              <w:spacing w:after="0"/>
              <w:rPr>
                <w:sz w:val="20"/>
                <w:szCs w:val="20"/>
                <w:color w:val="auto"/>
              </w:rPr>
            </w:pPr>
            <w:r>
              <w:rPr>
                <w:rFonts w:ascii="Arial" w:cs="Arial" w:eastAsia="Arial" w:hAnsi="Arial"/>
                <w:sz w:val="17"/>
                <w:szCs w:val="17"/>
                <w:b w:val="1"/>
                <w:bCs w:val="1"/>
                <w:color w:val="auto"/>
              </w:rPr>
              <w:t>Post-modification</w:t>
            </w:r>
          </w:p>
        </w:tc>
        <w:tc>
          <w:tcPr>
            <w:tcW w:w="1140" w:type="dxa"/>
            <w:vAlign w:val="bottom"/>
          </w:tcPr>
          <w:p>
            <w:pPr>
              <w:spacing w:after="0"/>
              <w:rPr>
                <w:sz w:val="19"/>
                <w:szCs w:val="19"/>
                <w:color w:val="auto"/>
              </w:rPr>
            </w:pPr>
          </w:p>
        </w:tc>
      </w:tr>
      <w:tr>
        <w:trPr>
          <w:trHeight w:val="206"/>
        </w:trPr>
        <w:tc>
          <w:tcPr>
            <w:tcW w:w="116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Market price per share</w:t>
            </w:r>
          </w:p>
        </w:tc>
        <w:tc>
          <w:tcPr>
            <w:tcW w:w="184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90"/>
              </w:rPr>
              <w:t>3.05</w:t>
            </w:r>
          </w:p>
        </w:tc>
        <w:tc>
          <w:tcPr>
            <w:tcW w:w="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3.05</w:t>
            </w:r>
          </w:p>
        </w:tc>
        <w:tc>
          <w:tcPr>
            <w:tcW w:w="1140" w:type="dxa"/>
            <w:vAlign w:val="bottom"/>
          </w:tcPr>
          <w:p>
            <w:pPr>
              <w:spacing w:after="0"/>
              <w:rPr>
                <w:sz w:val="17"/>
                <w:szCs w:val="17"/>
                <w:color w:val="auto"/>
              </w:rPr>
            </w:pPr>
          </w:p>
        </w:tc>
      </w:tr>
      <w:tr>
        <w:trPr>
          <w:trHeight w:val="205"/>
        </w:trPr>
        <w:tc>
          <w:tcPr>
            <w:tcW w:w="116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Exercise price per share</w:t>
            </w:r>
          </w:p>
        </w:tc>
        <w:tc>
          <w:tcPr>
            <w:tcW w:w="1840" w:type="dxa"/>
            <w:vAlign w:val="bottom"/>
          </w:tcPr>
          <w:p>
            <w:pPr>
              <w:ind w:left="128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15"/>
              <w:spacing w:after="0"/>
              <w:rPr>
                <w:sz w:val="20"/>
                <w:szCs w:val="20"/>
                <w:color w:val="auto"/>
              </w:rPr>
            </w:pPr>
            <w:r>
              <w:rPr>
                <w:rFonts w:ascii="Arial" w:cs="Arial" w:eastAsia="Arial" w:hAnsi="Arial"/>
                <w:sz w:val="17"/>
                <w:szCs w:val="17"/>
                <w:color w:val="auto"/>
              </w:rPr>
              <w:t>1.75 - $2.50</w:t>
            </w:r>
          </w:p>
        </w:tc>
        <w:tc>
          <w:tcPr>
            <w:tcW w:w="620" w:type="dxa"/>
            <w:vAlign w:val="bottom"/>
          </w:tcPr>
          <w:p>
            <w:pPr>
              <w:ind w:left="4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75"/>
              <w:spacing w:after="0"/>
              <w:rPr>
                <w:sz w:val="20"/>
                <w:szCs w:val="20"/>
                <w:color w:val="auto"/>
              </w:rPr>
            </w:pPr>
            <w:r>
              <w:rPr>
                <w:rFonts w:ascii="Arial" w:cs="Arial" w:eastAsia="Arial" w:hAnsi="Arial"/>
                <w:sz w:val="17"/>
                <w:szCs w:val="17"/>
                <w:color w:val="auto"/>
              </w:rPr>
              <w:t>0.88 - $1.25</w:t>
            </w:r>
          </w:p>
        </w:tc>
        <w:tc>
          <w:tcPr>
            <w:tcW w:w="1140" w:type="dxa"/>
            <w:vAlign w:val="bottom"/>
          </w:tcPr>
          <w:p>
            <w:pPr>
              <w:spacing w:after="0"/>
              <w:rPr>
                <w:sz w:val="17"/>
                <w:szCs w:val="17"/>
                <w:color w:val="auto"/>
              </w:rPr>
            </w:pPr>
          </w:p>
        </w:tc>
      </w:tr>
      <w:tr>
        <w:trPr>
          <w:trHeight w:val="205"/>
        </w:trPr>
        <w:tc>
          <w:tcPr>
            <w:tcW w:w="116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8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 -</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0.29%</w:t>
            </w:r>
          </w:p>
        </w:tc>
        <w:tc>
          <w:tcPr>
            <w:tcW w:w="6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1140" w:type="dxa"/>
            <w:vAlign w:val="bottom"/>
          </w:tcPr>
          <w:p>
            <w:pPr>
              <w:spacing w:after="0"/>
              <w:rPr>
                <w:sz w:val="17"/>
                <w:szCs w:val="17"/>
                <w:color w:val="auto"/>
              </w:rPr>
            </w:pPr>
          </w:p>
        </w:tc>
      </w:tr>
      <w:tr>
        <w:trPr>
          <w:trHeight w:val="205"/>
        </w:trPr>
        <w:tc>
          <w:tcPr>
            <w:tcW w:w="116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Expected term (years)</w:t>
            </w:r>
          </w:p>
        </w:tc>
        <w:tc>
          <w:tcPr>
            <w:tcW w:w="18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2.00 –</w:t>
            </w:r>
          </w:p>
        </w:tc>
        <w:tc>
          <w:tcPr>
            <w:tcW w:w="520" w:type="dxa"/>
            <w:vAlign w:val="bottom"/>
          </w:tcPr>
          <w:p>
            <w:pPr>
              <w:jc w:val="right"/>
              <w:ind w:right="115"/>
              <w:spacing w:after="0"/>
              <w:rPr>
                <w:sz w:val="20"/>
                <w:szCs w:val="20"/>
                <w:color w:val="auto"/>
              </w:rPr>
            </w:pPr>
            <w:r>
              <w:rPr>
                <w:rFonts w:ascii="Arial" w:cs="Arial" w:eastAsia="Arial" w:hAnsi="Arial"/>
                <w:sz w:val="17"/>
                <w:szCs w:val="17"/>
                <w:color w:val="auto"/>
                <w:w w:val="90"/>
              </w:rPr>
              <w:t>2.36</w:t>
            </w:r>
          </w:p>
        </w:tc>
        <w:tc>
          <w:tcPr>
            <w:tcW w:w="620" w:type="dxa"/>
            <w:vAlign w:val="bottom"/>
          </w:tcPr>
          <w:p>
            <w:pPr>
              <w:spacing w:after="0"/>
              <w:rPr>
                <w:sz w:val="17"/>
                <w:szCs w:val="17"/>
                <w:color w:val="auto"/>
              </w:rPr>
            </w:pPr>
          </w:p>
        </w:tc>
        <w:tc>
          <w:tcPr>
            <w:tcW w:w="1480" w:type="dxa"/>
            <w:vAlign w:val="bottom"/>
          </w:tcPr>
          <w:p>
            <w:pPr>
              <w:jc w:val="right"/>
              <w:ind w:right="75"/>
              <w:spacing w:after="0"/>
              <w:rPr>
                <w:sz w:val="20"/>
                <w:szCs w:val="20"/>
                <w:color w:val="auto"/>
              </w:rPr>
            </w:pPr>
            <w:r>
              <w:rPr>
                <w:rFonts w:ascii="Arial" w:cs="Arial" w:eastAsia="Arial" w:hAnsi="Arial"/>
                <w:sz w:val="17"/>
                <w:szCs w:val="17"/>
                <w:color w:val="auto"/>
              </w:rPr>
              <w:t>2.36</w:t>
            </w:r>
          </w:p>
        </w:tc>
        <w:tc>
          <w:tcPr>
            <w:tcW w:w="1140" w:type="dxa"/>
            <w:vAlign w:val="bottom"/>
          </w:tcPr>
          <w:p>
            <w:pPr>
              <w:spacing w:after="0"/>
              <w:rPr>
                <w:sz w:val="17"/>
                <w:szCs w:val="17"/>
                <w:color w:val="auto"/>
              </w:rPr>
            </w:pPr>
          </w:p>
        </w:tc>
      </w:tr>
      <w:tr>
        <w:trPr>
          <w:trHeight w:val="205"/>
        </w:trPr>
        <w:tc>
          <w:tcPr>
            <w:tcW w:w="116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Volatility</w:t>
            </w:r>
          </w:p>
        </w:tc>
        <w:tc>
          <w:tcPr>
            <w:tcW w:w="18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 –</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78.3%</w:t>
            </w:r>
          </w:p>
        </w:tc>
        <w:tc>
          <w:tcPr>
            <w:tcW w:w="6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1140" w:type="dxa"/>
            <w:vAlign w:val="bottom"/>
          </w:tcPr>
          <w:p>
            <w:pPr>
              <w:spacing w:after="0"/>
              <w:rPr>
                <w:sz w:val="17"/>
                <w:szCs w:val="17"/>
                <w:color w:val="auto"/>
              </w:rPr>
            </w:pPr>
          </w:p>
        </w:tc>
      </w:tr>
      <w:tr>
        <w:trPr>
          <w:trHeight w:val="205"/>
        </w:trPr>
        <w:tc>
          <w:tcPr>
            <w:tcW w:w="116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Dividend rate</w:t>
            </w:r>
          </w:p>
        </w:tc>
        <w:tc>
          <w:tcPr>
            <w:tcW w:w="1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0.0%</w:t>
            </w:r>
          </w:p>
        </w:tc>
        <w:tc>
          <w:tcPr>
            <w:tcW w:w="6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0.0%</w:t>
            </w:r>
          </w:p>
        </w:tc>
        <w:tc>
          <w:tcPr>
            <w:tcW w:w="1140" w:type="dxa"/>
            <w:vAlign w:val="bottom"/>
          </w:tcPr>
          <w:p>
            <w:pPr>
              <w:spacing w:after="0"/>
              <w:rPr>
                <w:sz w:val="17"/>
                <w:szCs w:val="17"/>
                <w:color w:val="auto"/>
              </w:rPr>
            </w:pPr>
          </w:p>
        </w:tc>
      </w:tr>
      <w:tr>
        <w:trPr>
          <w:trHeight w:val="205"/>
        </w:trPr>
        <w:tc>
          <w:tcPr>
            <w:tcW w:w="116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55"/>
        </w:trPr>
        <w:tc>
          <w:tcPr>
            <w:tcW w:w="4800" w:type="dxa"/>
            <w:vAlign w:val="bottom"/>
            <w:gridSpan w:val="2"/>
          </w:tcPr>
          <w:p>
            <w:pPr>
              <w:ind w:left="1160"/>
              <w:spacing w:after="0"/>
              <w:rPr>
                <w:sz w:val="20"/>
                <w:szCs w:val="20"/>
                <w:color w:val="auto"/>
              </w:rPr>
            </w:pPr>
            <w:r>
              <w:rPr>
                <w:rFonts w:ascii="Arial" w:cs="Arial" w:eastAsia="Arial" w:hAnsi="Arial"/>
                <w:sz w:val="17"/>
                <w:szCs w:val="17"/>
                <w:b w:val="1"/>
                <w:bCs w:val="1"/>
                <w:color w:val="auto"/>
              </w:rPr>
              <w:t>Weighted Average Fair Value per share</w:t>
            </w:r>
          </w:p>
        </w:tc>
        <w:tc>
          <w:tcPr>
            <w:tcW w:w="1840" w:type="dxa"/>
            <w:vAlign w:val="bottom"/>
          </w:tcPr>
          <w:p>
            <w:pPr>
              <w:ind w:left="1280"/>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spacing w:after="0"/>
              <w:rPr>
                <w:sz w:val="22"/>
                <w:szCs w:val="22"/>
                <w:color w:val="auto"/>
              </w:rPr>
            </w:pPr>
          </w:p>
        </w:tc>
        <w:tc>
          <w:tcPr>
            <w:tcW w:w="520" w:type="dxa"/>
            <w:vAlign w:val="bottom"/>
          </w:tcPr>
          <w:p>
            <w:pPr>
              <w:jc w:val="right"/>
              <w:ind w:right="115"/>
              <w:spacing w:after="0"/>
              <w:rPr>
                <w:sz w:val="20"/>
                <w:szCs w:val="20"/>
                <w:color w:val="auto"/>
              </w:rPr>
            </w:pPr>
            <w:r>
              <w:rPr>
                <w:rFonts w:ascii="Arial" w:cs="Arial" w:eastAsia="Arial" w:hAnsi="Arial"/>
                <w:sz w:val="17"/>
                <w:szCs w:val="17"/>
                <w:b w:val="1"/>
                <w:bCs w:val="1"/>
                <w:color w:val="auto"/>
                <w:w w:val="90"/>
              </w:rPr>
              <w:t>1.69</w:t>
            </w:r>
          </w:p>
        </w:tc>
        <w:tc>
          <w:tcPr>
            <w:tcW w:w="62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1480" w:type="dxa"/>
            <w:vAlign w:val="bottom"/>
          </w:tcPr>
          <w:p>
            <w:pPr>
              <w:jc w:val="right"/>
              <w:ind w:right="75"/>
              <w:spacing w:after="0"/>
              <w:rPr>
                <w:sz w:val="20"/>
                <w:szCs w:val="20"/>
                <w:color w:val="auto"/>
              </w:rPr>
            </w:pPr>
            <w:r>
              <w:rPr>
                <w:rFonts w:ascii="Arial" w:cs="Arial" w:eastAsia="Arial" w:hAnsi="Arial"/>
                <w:sz w:val="17"/>
                <w:szCs w:val="17"/>
                <w:b w:val="1"/>
                <w:bCs w:val="1"/>
                <w:color w:val="auto"/>
              </w:rPr>
              <w:t>2.25</w:t>
            </w:r>
          </w:p>
        </w:tc>
        <w:tc>
          <w:tcPr>
            <w:tcW w:w="1140" w:type="dxa"/>
            <w:vAlign w:val="bottom"/>
          </w:tcPr>
          <w:p>
            <w:pPr>
              <w:spacing w:after="0"/>
              <w:rPr>
                <w:sz w:val="22"/>
                <w:szCs w:val="22"/>
                <w:color w:val="auto"/>
              </w:rPr>
            </w:pPr>
          </w:p>
        </w:tc>
      </w:tr>
      <w:tr>
        <w:trPr>
          <w:trHeight w:val="577"/>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840" w:type="dxa"/>
            <w:vAlign w:val="bottom"/>
          </w:tcPr>
          <w:p>
            <w:pPr>
              <w:ind w:left="780"/>
              <w:spacing w:after="0"/>
              <w:rPr>
                <w:sz w:val="20"/>
                <w:szCs w:val="20"/>
                <w:color w:val="auto"/>
              </w:rPr>
            </w:pPr>
            <w:r>
              <w:rPr>
                <w:rFonts w:ascii="Arial" w:cs="Arial" w:eastAsia="Arial" w:hAnsi="Arial"/>
                <w:sz w:val="17"/>
                <w:szCs w:val="17"/>
                <w:color w:val="auto"/>
              </w:rPr>
              <w:t>-19-</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3"/>
        </w:trPr>
        <w:tc>
          <w:tcPr>
            <w:tcW w:w="1160" w:type="dxa"/>
            <w:vAlign w:val="bottom"/>
            <w:tcBorders>
              <w:bottom w:val="single" w:sz="8" w:color="808080"/>
            </w:tcBorders>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Following the exercises under the Discounted Warrant Exercise Program and other warrant modifications described above, at December 31, 2011, the Company had outstanding warrants to purchase shares of its common stock at a weighted average exercise price of $2.00 per share as follows:</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Exercise Price</w:t>
            </w:r>
          </w:p>
        </w:tc>
        <w:tc>
          <w:tcPr>
            <w:tcW w:w="80" w:type="dxa"/>
            <w:vAlign w:val="bottom"/>
          </w:tcPr>
          <w:p>
            <w:pPr>
              <w:spacing w:after="0"/>
              <w:rPr>
                <w:sz w:val="19"/>
                <w:szCs w:val="19"/>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Expiration Date</w:t>
            </w: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Warrants Outstanding</w:t>
            </w:r>
          </w:p>
        </w:tc>
        <w:tc>
          <w:tcPr>
            <w:tcW w:w="6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2080" w:type="dxa"/>
            <w:vAlign w:val="bottom"/>
            <w:shd w:val="clear" w:color="auto" w:fill="CCEEFF"/>
          </w:tcPr>
          <w:p>
            <w:pPr>
              <w:jc w:val="center"/>
              <w:ind w:right="215"/>
              <w:spacing w:after="0"/>
              <w:rPr>
                <w:sz w:val="20"/>
                <w:szCs w:val="20"/>
                <w:color w:val="auto"/>
              </w:rPr>
            </w:pPr>
            <w:r>
              <w:rPr>
                <w:rFonts w:ascii="Arial" w:cs="Arial" w:eastAsia="Arial" w:hAnsi="Arial"/>
                <w:sz w:val="17"/>
                <w:szCs w:val="17"/>
                <w:color w:val="auto"/>
                <w:w w:val="90"/>
              </w:rPr>
              <w:t>0.88</w:t>
            </w:r>
          </w:p>
        </w:tc>
        <w:tc>
          <w:tcPr>
            <w:tcW w:w="80" w:type="dxa"/>
            <w:vAlign w:val="bottom"/>
            <w:shd w:val="clear" w:color="auto" w:fill="CCEEFF"/>
          </w:tcPr>
          <w:p>
            <w:pPr>
              <w:spacing w:after="0"/>
              <w:rPr>
                <w:sz w:val="17"/>
                <w:szCs w:val="17"/>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5/17/2012 to 5/11/2014</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316,042</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2080" w:type="dxa"/>
            <w:vAlign w:val="bottom"/>
          </w:tcPr>
          <w:p>
            <w:pPr>
              <w:jc w:val="center"/>
              <w:ind w:right="215"/>
              <w:spacing w:after="0"/>
              <w:rPr>
                <w:sz w:val="20"/>
                <w:szCs w:val="20"/>
                <w:color w:val="auto"/>
              </w:rPr>
            </w:pPr>
            <w:r>
              <w:rPr>
                <w:rFonts w:ascii="Arial" w:cs="Arial" w:eastAsia="Arial" w:hAnsi="Arial"/>
                <w:sz w:val="17"/>
                <w:szCs w:val="17"/>
                <w:color w:val="auto"/>
                <w:w w:val="90"/>
              </w:rPr>
              <w:t>1.00</w:t>
            </w:r>
          </w:p>
        </w:tc>
        <w:tc>
          <w:tcPr>
            <w:tcW w:w="2880" w:type="dxa"/>
            <w:vAlign w:val="bottom"/>
            <w:gridSpan w:val="2"/>
          </w:tcPr>
          <w:p>
            <w:pPr>
              <w:jc w:val="center"/>
              <w:ind w:left="35"/>
              <w:spacing w:after="0"/>
              <w:rPr>
                <w:sz w:val="20"/>
                <w:szCs w:val="20"/>
                <w:color w:val="auto"/>
              </w:rPr>
            </w:pPr>
            <w:r>
              <w:rPr>
                <w:rFonts w:ascii="Arial" w:cs="Arial" w:eastAsia="Arial" w:hAnsi="Arial"/>
                <w:sz w:val="17"/>
                <w:szCs w:val="17"/>
                <w:color w:val="auto"/>
                <w:w w:val="89"/>
              </w:rPr>
              <w:t>11/4/2014</w:t>
            </w:r>
          </w:p>
        </w:tc>
        <w:tc>
          <w:tcPr>
            <w:tcW w:w="2540" w:type="dxa"/>
            <w:vAlign w:val="bottom"/>
            <w:gridSpan w:val="3"/>
          </w:tcPr>
          <w:p>
            <w:pPr>
              <w:jc w:val="right"/>
              <w:spacing w:after="0"/>
              <w:rPr>
                <w:sz w:val="20"/>
                <w:szCs w:val="20"/>
                <w:color w:val="auto"/>
              </w:rPr>
            </w:pPr>
            <w:r>
              <w:rPr>
                <w:rFonts w:ascii="Arial" w:cs="Arial" w:eastAsia="Arial" w:hAnsi="Arial"/>
                <w:sz w:val="17"/>
                <w:szCs w:val="17"/>
                <w:color w:val="auto"/>
              </w:rPr>
              <w:t>1,500</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2080" w:type="dxa"/>
            <w:vAlign w:val="bottom"/>
            <w:shd w:val="clear" w:color="auto" w:fill="CCEEFF"/>
          </w:tcPr>
          <w:p>
            <w:pPr>
              <w:jc w:val="center"/>
              <w:ind w:right="235"/>
              <w:spacing w:after="0"/>
              <w:rPr>
                <w:sz w:val="20"/>
                <w:szCs w:val="20"/>
                <w:color w:val="auto"/>
              </w:rPr>
            </w:pPr>
            <w:r>
              <w:rPr>
                <w:rFonts w:ascii="Arial" w:cs="Arial" w:eastAsia="Arial" w:hAnsi="Arial"/>
                <w:sz w:val="17"/>
                <w:szCs w:val="17"/>
                <w:color w:val="auto"/>
                <w:w w:val="93"/>
              </w:rPr>
              <w:t>1.125</w:t>
            </w:r>
          </w:p>
        </w:tc>
        <w:tc>
          <w:tcPr>
            <w:tcW w:w="288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1"/>
              </w:rPr>
              <w:t>12/28/2012</w:t>
            </w:r>
          </w:p>
        </w:tc>
        <w:tc>
          <w:tcPr>
            <w:tcW w:w="26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119,900</w:t>
            </w:r>
          </w:p>
        </w:tc>
      </w:tr>
      <w:tr>
        <w:trPr>
          <w:trHeight w:val="205"/>
        </w:trPr>
        <w:tc>
          <w:tcPr>
            <w:tcW w:w="20" w:type="dxa"/>
            <w:vAlign w:val="bottom"/>
          </w:tcPr>
          <w:p>
            <w:pPr>
              <w:spacing w:after="0"/>
              <w:rPr>
                <w:sz w:val="17"/>
                <w:szCs w:val="17"/>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2080" w:type="dxa"/>
            <w:vAlign w:val="bottom"/>
          </w:tcPr>
          <w:p>
            <w:pPr>
              <w:jc w:val="center"/>
              <w:ind w:right="215"/>
              <w:spacing w:after="0"/>
              <w:rPr>
                <w:sz w:val="20"/>
                <w:szCs w:val="20"/>
                <w:color w:val="auto"/>
              </w:rPr>
            </w:pPr>
            <w:r>
              <w:rPr>
                <w:rFonts w:ascii="Arial" w:cs="Arial" w:eastAsia="Arial" w:hAnsi="Arial"/>
                <w:sz w:val="17"/>
                <w:szCs w:val="17"/>
                <w:color w:val="auto"/>
                <w:w w:val="90"/>
              </w:rPr>
              <w:t>1.25</w:t>
            </w:r>
          </w:p>
        </w:tc>
        <w:tc>
          <w:tcPr>
            <w:tcW w:w="8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7"/>
                <w:szCs w:val="17"/>
                <w:color w:val="auto"/>
                <w:w w:val="91"/>
              </w:rPr>
              <w:t>5/11/2014 to 12/31/2014</w:t>
            </w:r>
          </w:p>
        </w:tc>
        <w:tc>
          <w:tcPr>
            <w:tcW w:w="2540" w:type="dxa"/>
            <w:vAlign w:val="bottom"/>
            <w:gridSpan w:val="3"/>
          </w:tcPr>
          <w:p>
            <w:pPr>
              <w:jc w:val="right"/>
              <w:spacing w:after="0"/>
              <w:rPr>
                <w:sz w:val="20"/>
                <w:szCs w:val="20"/>
                <w:color w:val="auto"/>
              </w:rPr>
            </w:pPr>
            <w:r>
              <w:rPr>
                <w:rFonts w:ascii="Arial" w:cs="Arial" w:eastAsia="Arial" w:hAnsi="Arial"/>
                <w:sz w:val="17"/>
                <w:szCs w:val="17"/>
                <w:color w:val="auto"/>
              </w:rPr>
              <w:t>120,280</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2080" w:type="dxa"/>
            <w:vAlign w:val="bottom"/>
            <w:shd w:val="clear" w:color="auto" w:fill="CCEEFF"/>
          </w:tcPr>
          <w:p>
            <w:pPr>
              <w:jc w:val="center"/>
              <w:ind w:right="215"/>
              <w:spacing w:after="0"/>
              <w:rPr>
                <w:sz w:val="20"/>
                <w:szCs w:val="20"/>
                <w:color w:val="auto"/>
              </w:rPr>
            </w:pPr>
            <w:r>
              <w:rPr>
                <w:rFonts w:ascii="Arial" w:cs="Arial" w:eastAsia="Arial" w:hAnsi="Arial"/>
                <w:sz w:val="17"/>
                <w:szCs w:val="17"/>
                <w:color w:val="auto"/>
                <w:w w:val="90"/>
              </w:rPr>
              <w:t>1.50</w:t>
            </w:r>
          </w:p>
        </w:tc>
        <w:tc>
          <w:tcPr>
            <w:tcW w:w="2880" w:type="dxa"/>
            <w:vAlign w:val="bottom"/>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91"/>
              </w:rPr>
              <w:t>12/31/2012</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375,000</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2080" w:type="dxa"/>
            <w:vAlign w:val="bottom"/>
          </w:tcPr>
          <w:p>
            <w:pPr>
              <w:jc w:val="center"/>
              <w:ind w:right="215"/>
              <w:spacing w:after="0"/>
              <w:rPr>
                <w:sz w:val="20"/>
                <w:szCs w:val="20"/>
                <w:color w:val="auto"/>
              </w:rPr>
            </w:pPr>
            <w:r>
              <w:rPr>
                <w:rFonts w:ascii="Arial" w:cs="Arial" w:eastAsia="Arial" w:hAnsi="Arial"/>
                <w:sz w:val="17"/>
                <w:szCs w:val="17"/>
                <w:color w:val="auto"/>
                <w:w w:val="90"/>
              </w:rPr>
              <w:t>1.75</w:t>
            </w:r>
          </w:p>
        </w:tc>
        <w:tc>
          <w:tcPr>
            <w:tcW w:w="2880" w:type="dxa"/>
            <w:vAlign w:val="bottom"/>
            <w:gridSpan w:val="2"/>
          </w:tcPr>
          <w:p>
            <w:pPr>
              <w:jc w:val="center"/>
              <w:ind w:left="15"/>
              <w:spacing w:after="0"/>
              <w:rPr>
                <w:sz w:val="20"/>
                <w:szCs w:val="20"/>
                <w:color w:val="auto"/>
              </w:rPr>
            </w:pPr>
            <w:r>
              <w:rPr>
                <w:rFonts w:ascii="Arial" w:cs="Arial" w:eastAsia="Arial" w:hAnsi="Arial"/>
                <w:sz w:val="17"/>
                <w:szCs w:val="17"/>
                <w:color w:val="auto"/>
                <w:w w:val="91"/>
              </w:rPr>
              <w:t>12/31/2013</w:t>
            </w:r>
          </w:p>
        </w:tc>
        <w:tc>
          <w:tcPr>
            <w:tcW w:w="2540" w:type="dxa"/>
            <w:vAlign w:val="bottom"/>
            <w:gridSpan w:val="3"/>
          </w:tcPr>
          <w:p>
            <w:pPr>
              <w:jc w:val="right"/>
              <w:spacing w:after="0"/>
              <w:rPr>
                <w:sz w:val="20"/>
                <w:szCs w:val="20"/>
                <w:color w:val="auto"/>
              </w:rPr>
            </w:pPr>
            <w:r>
              <w:rPr>
                <w:rFonts w:ascii="Arial" w:cs="Arial" w:eastAsia="Arial" w:hAnsi="Arial"/>
                <w:sz w:val="17"/>
                <w:szCs w:val="17"/>
                <w:color w:val="auto"/>
              </w:rPr>
              <w:t>643,184</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2080" w:type="dxa"/>
            <w:vAlign w:val="bottom"/>
            <w:shd w:val="clear" w:color="auto" w:fill="CCEEFF"/>
          </w:tcPr>
          <w:p>
            <w:pPr>
              <w:jc w:val="center"/>
              <w:ind w:right="215"/>
              <w:spacing w:after="0"/>
              <w:rPr>
                <w:sz w:val="20"/>
                <w:szCs w:val="20"/>
                <w:color w:val="auto"/>
              </w:rPr>
            </w:pPr>
            <w:r>
              <w:rPr>
                <w:rFonts w:ascii="Arial" w:cs="Arial" w:eastAsia="Arial" w:hAnsi="Arial"/>
                <w:sz w:val="17"/>
                <w:szCs w:val="17"/>
                <w:color w:val="auto"/>
                <w:w w:val="90"/>
              </w:rPr>
              <w:t>2.00</w:t>
            </w:r>
          </w:p>
        </w:tc>
        <w:tc>
          <w:tcPr>
            <w:tcW w:w="80" w:type="dxa"/>
            <w:vAlign w:val="bottom"/>
            <w:shd w:val="clear" w:color="auto" w:fill="CCEEFF"/>
          </w:tcPr>
          <w:p>
            <w:pPr>
              <w:spacing w:after="0"/>
              <w:rPr>
                <w:sz w:val="17"/>
                <w:szCs w:val="17"/>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8/3/2013 to 12/31/2014</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609,000</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2080" w:type="dxa"/>
            <w:vAlign w:val="bottom"/>
          </w:tcPr>
          <w:p>
            <w:pPr>
              <w:jc w:val="center"/>
              <w:ind w:right="215"/>
              <w:spacing w:after="0"/>
              <w:rPr>
                <w:sz w:val="20"/>
                <w:szCs w:val="20"/>
                <w:color w:val="auto"/>
              </w:rPr>
            </w:pPr>
            <w:r>
              <w:rPr>
                <w:rFonts w:ascii="Arial" w:cs="Arial" w:eastAsia="Arial" w:hAnsi="Arial"/>
                <w:sz w:val="17"/>
                <w:szCs w:val="17"/>
                <w:color w:val="auto"/>
                <w:w w:val="90"/>
              </w:rPr>
              <w:t>2.25</w:t>
            </w:r>
          </w:p>
        </w:tc>
        <w:tc>
          <w:tcPr>
            <w:tcW w:w="2880" w:type="dxa"/>
            <w:vAlign w:val="bottom"/>
            <w:gridSpan w:val="2"/>
          </w:tcPr>
          <w:p>
            <w:pPr>
              <w:jc w:val="center"/>
              <w:ind w:left="15"/>
              <w:spacing w:after="0"/>
              <w:rPr>
                <w:sz w:val="20"/>
                <w:szCs w:val="20"/>
                <w:color w:val="auto"/>
              </w:rPr>
            </w:pPr>
            <w:r>
              <w:rPr>
                <w:rFonts w:ascii="Arial" w:cs="Arial" w:eastAsia="Arial" w:hAnsi="Arial"/>
                <w:sz w:val="17"/>
                <w:szCs w:val="17"/>
                <w:color w:val="auto"/>
                <w:w w:val="92"/>
              </w:rPr>
              <w:t>6/28/2012</w:t>
            </w:r>
          </w:p>
        </w:tc>
        <w:tc>
          <w:tcPr>
            <w:tcW w:w="2540" w:type="dxa"/>
            <w:vAlign w:val="bottom"/>
            <w:gridSpan w:val="3"/>
          </w:tcPr>
          <w:p>
            <w:pPr>
              <w:jc w:val="right"/>
              <w:spacing w:after="0"/>
              <w:rPr>
                <w:sz w:val="20"/>
                <w:szCs w:val="20"/>
                <w:color w:val="auto"/>
              </w:rPr>
            </w:pPr>
            <w:r>
              <w:rPr>
                <w:rFonts w:ascii="Arial" w:cs="Arial" w:eastAsia="Arial" w:hAnsi="Arial"/>
                <w:sz w:val="17"/>
                <w:szCs w:val="17"/>
                <w:color w:val="auto"/>
              </w:rPr>
              <w:t>2,500</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2080" w:type="dxa"/>
            <w:vAlign w:val="bottom"/>
            <w:shd w:val="clear" w:color="auto" w:fill="CCEEFF"/>
          </w:tcPr>
          <w:p>
            <w:pPr>
              <w:jc w:val="center"/>
              <w:ind w:right="215"/>
              <w:spacing w:after="0"/>
              <w:rPr>
                <w:sz w:val="20"/>
                <w:szCs w:val="20"/>
                <w:color w:val="auto"/>
              </w:rPr>
            </w:pPr>
            <w:r>
              <w:rPr>
                <w:rFonts w:ascii="Arial" w:cs="Arial" w:eastAsia="Arial" w:hAnsi="Arial"/>
                <w:sz w:val="17"/>
                <w:szCs w:val="17"/>
                <w:color w:val="auto"/>
                <w:w w:val="90"/>
              </w:rPr>
              <w:t>2.50</w:t>
            </w:r>
          </w:p>
        </w:tc>
        <w:tc>
          <w:tcPr>
            <w:tcW w:w="288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89"/>
              </w:rPr>
              <w:t>5/11/2014</w:t>
            </w:r>
          </w:p>
        </w:tc>
        <w:tc>
          <w:tcPr>
            <w:tcW w:w="2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618,822</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2080" w:type="dxa"/>
            <w:vAlign w:val="bottom"/>
          </w:tcPr>
          <w:p>
            <w:pPr>
              <w:jc w:val="center"/>
              <w:ind w:right="235"/>
              <w:spacing w:after="0"/>
              <w:rPr>
                <w:sz w:val="20"/>
                <w:szCs w:val="20"/>
                <w:color w:val="auto"/>
              </w:rPr>
            </w:pPr>
            <w:r>
              <w:rPr>
                <w:rFonts w:ascii="Arial" w:cs="Arial" w:eastAsia="Arial" w:hAnsi="Arial"/>
                <w:sz w:val="17"/>
                <w:szCs w:val="17"/>
                <w:color w:val="auto"/>
                <w:w w:val="93"/>
              </w:rPr>
              <w:t>2.625</w:t>
            </w:r>
          </w:p>
        </w:tc>
        <w:tc>
          <w:tcPr>
            <w:tcW w:w="2880" w:type="dxa"/>
            <w:vAlign w:val="bottom"/>
            <w:gridSpan w:val="2"/>
          </w:tcPr>
          <w:p>
            <w:pPr>
              <w:jc w:val="center"/>
              <w:ind w:left="15"/>
              <w:spacing w:after="0"/>
              <w:rPr>
                <w:sz w:val="20"/>
                <w:szCs w:val="20"/>
                <w:color w:val="auto"/>
              </w:rPr>
            </w:pPr>
            <w:r>
              <w:rPr>
                <w:rFonts w:ascii="Arial" w:cs="Arial" w:eastAsia="Arial" w:hAnsi="Arial"/>
                <w:sz w:val="17"/>
                <w:szCs w:val="17"/>
                <w:color w:val="auto"/>
                <w:w w:val="91"/>
              </w:rPr>
              <w:t>12/31/2013</w:t>
            </w:r>
          </w:p>
        </w:tc>
        <w:tc>
          <w:tcPr>
            <w:tcW w:w="2540" w:type="dxa"/>
            <w:vAlign w:val="bottom"/>
            <w:gridSpan w:val="3"/>
          </w:tcPr>
          <w:p>
            <w:pPr>
              <w:jc w:val="right"/>
              <w:spacing w:after="0"/>
              <w:rPr>
                <w:sz w:val="20"/>
                <w:szCs w:val="20"/>
                <w:color w:val="auto"/>
              </w:rPr>
            </w:pPr>
            <w:r>
              <w:rPr>
                <w:rFonts w:ascii="Arial" w:cs="Arial" w:eastAsia="Arial" w:hAnsi="Arial"/>
                <w:sz w:val="17"/>
                <w:szCs w:val="17"/>
                <w:color w:val="auto"/>
              </w:rPr>
              <w:t>588,200</w:t>
            </w:r>
          </w:p>
        </w:tc>
        <w:tc>
          <w:tcPr>
            <w:tcW w:w="6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2080" w:type="dxa"/>
            <w:vAlign w:val="bottom"/>
            <w:tcBorders>
              <w:bottom w:val="single" w:sz="8" w:color="CCEEFF"/>
            </w:tcBorders>
            <w:shd w:val="clear" w:color="auto" w:fill="CCEEFF"/>
          </w:tcPr>
          <w:p>
            <w:pPr>
              <w:jc w:val="center"/>
              <w:ind w:right="215"/>
              <w:spacing w:after="0"/>
              <w:rPr>
                <w:sz w:val="20"/>
                <w:szCs w:val="20"/>
                <w:color w:val="auto"/>
              </w:rPr>
            </w:pPr>
            <w:r>
              <w:rPr>
                <w:rFonts w:ascii="Arial" w:cs="Arial" w:eastAsia="Arial" w:hAnsi="Arial"/>
                <w:sz w:val="17"/>
                <w:szCs w:val="17"/>
                <w:color w:val="auto"/>
                <w:w w:val="90"/>
              </w:rPr>
              <w:t>6.00</w:t>
            </w:r>
          </w:p>
        </w:tc>
        <w:tc>
          <w:tcPr>
            <w:tcW w:w="8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6/28/2012 to 12/31/2013</w:t>
            </w: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57,300</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540" w:type="dxa"/>
            <w:vAlign w:val="bottom"/>
            <w:gridSpan w:val="3"/>
          </w:tcPr>
          <w:p>
            <w:pPr>
              <w:jc w:val="right"/>
              <w:spacing w:after="0"/>
              <w:rPr>
                <w:sz w:val="20"/>
                <w:szCs w:val="20"/>
                <w:color w:val="auto"/>
              </w:rPr>
            </w:pPr>
            <w:r>
              <w:rPr>
                <w:rFonts w:ascii="Arial" w:cs="Arial" w:eastAsia="Arial" w:hAnsi="Arial"/>
                <w:sz w:val="17"/>
                <w:szCs w:val="17"/>
                <w:color w:val="auto"/>
              </w:rPr>
              <w:t>3,451,728</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The following table provides a roll-forward of the number of outstanding shares of the Company’s common stock from March 31, 2011 through December 31, 2011, reflecting the impact of the Merger, the exercise of modified warrants and other transactions described in the notes to these Condensed Consolidated Financial Statements. As described in Note 1, </w:t>
      </w:r>
      <w:r>
        <w:rPr>
          <w:rFonts w:ascii="Arial" w:cs="Arial" w:eastAsia="Arial" w:hAnsi="Arial"/>
          <w:sz w:val="17"/>
          <w:szCs w:val="17"/>
          <w:i w:val="1"/>
          <w:iCs w:val="1"/>
          <w:color w:val="auto"/>
        </w:rPr>
        <w:t>History and Organization</w:t>
      </w:r>
      <w:r>
        <w:rPr>
          <w:rFonts w:ascii="Arial" w:cs="Arial" w:eastAsia="Arial" w:hAnsi="Arial"/>
          <w:sz w:val="17"/>
          <w:szCs w:val="17"/>
          <w:color w:val="auto"/>
        </w:rPr>
        <w:t>, as a result of the Merger, the business of VistaGen became the business of Excaliber and after the Merger, Excaliber changed its name to “VistaGen Therapeutics, Inc.”</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7"/>
                <w:szCs w:val="17"/>
                <w:color w:val="auto"/>
                <w:w w:val="95"/>
              </w:rPr>
              <w:t>VistaGen Therapeutics,</w:t>
            </w:r>
          </w:p>
        </w:tc>
      </w:tr>
      <w:tr>
        <w:trPr>
          <w:trHeight w:val="223"/>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Excaliber Enterprises, Ltd.</w:t>
            </w:r>
          </w:p>
        </w:tc>
        <w:tc>
          <w:tcPr>
            <w:tcW w:w="1920" w:type="dxa"/>
            <w:vAlign w:val="bottom"/>
            <w:gridSpan w:val="2"/>
          </w:tcPr>
          <w:p>
            <w:pPr>
              <w:jc w:val="right"/>
              <w:ind w:right="880"/>
              <w:spacing w:after="0"/>
              <w:rPr>
                <w:sz w:val="20"/>
                <w:szCs w:val="20"/>
                <w:color w:val="auto"/>
              </w:rPr>
            </w:pPr>
            <w:r>
              <w:rPr>
                <w:rFonts w:ascii="Arial" w:cs="Arial" w:eastAsia="Arial" w:hAnsi="Arial"/>
                <w:sz w:val="17"/>
                <w:szCs w:val="17"/>
                <w:color w:val="auto"/>
              </w:rPr>
              <w:t>Inc.</w:t>
            </w:r>
          </w:p>
        </w:tc>
      </w:t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Common stock outstanding at March 31, 2011</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5,848,707</w:t>
            </w:r>
          </w:p>
        </w:tc>
        <w:tc>
          <w:tcPr>
            <w:tcW w:w="2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3,672,110</w:t>
            </w:r>
          </w:p>
        </w:tc>
      </w:t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Shares repurchased from shareholders</w:t>
            </w:r>
          </w:p>
        </w:tc>
        <w:tc>
          <w:tcPr>
            <w:tcW w:w="2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(5,064,207)</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Shares issued in 2011 Private Placement</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2,216,106</w:t>
            </w:r>
          </w:p>
        </w:tc>
        <w:tc>
          <w:tcPr>
            <w:tcW w:w="100" w:type="dxa"/>
            <w:vAlign w:val="bottom"/>
            <w:shd w:val="clear" w:color="auto" w:fill="CCEEFF"/>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Shares issued upon conversion of convertible promissory notes</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3,528,290</w:t>
            </w:r>
          </w:p>
        </w:tc>
        <w:tc>
          <w:tcPr>
            <w:tcW w:w="100" w:type="dxa"/>
            <w:vAlign w:val="bottom"/>
            <w:shd w:val="clear" w:color="auto" w:fill="CCEEFF"/>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Shares issued upon conversion of all series of preferred stock</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2,884,655</w:t>
            </w: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Shares issued to UHN under the SRCA</w:t>
            </w: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7"/>
                <w:szCs w:val="17"/>
                <w:color w:val="auto"/>
              </w:rPr>
              <w:t>800,000</w:t>
            </w:r>
          </w:p>
        </w:tc>
      </w:tr>
      <w:tr>
        <w:trPr>
          <w:trHeight w:val="211"/>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Shares issued for services</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571,743</w:t>
            </w:r>
          </w:p>
        </w:tc>
      </w:tr>
      <w:tr>
        <w:trPr>
          <w:trHeight w:val="205"/>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Common stock outstanding at Merger</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784,500</w:t>
            </w:r>
          </w:p>
        </w:tc>
        <w:tc>
          <w:tcPr>
            <w:tcW w:w="2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13,672,904</w:t>
            </w:r>
          </w:p>
        </w:tc>
      </w:tr>
      <w:tr>
        <w:trPr>
          <w:trHeight w:val="205"/>
        </w:trPr>
        <w:tc>
          <w:tcPr>
            <w:tcW w:w="7320" w:type="dxa"/>
            <w:vAlign w:val="bottom"/>
          </w:tcPr>
          <w:p>
            <w:pPr>
              <w:spacing w:after="0"/>
              <w:rPr>
                <w:sz w:val="17"/>
                <w:szCs w:val="17"/>
                <w:color w:val="auto"/>
              </w:rPr>
            </w:pPr>
          </w:p>
        </w:tc>
        <w:tc>
          <w:tcPr>
            <w:tcW w:w="19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Common stock issued for VistaGen common</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6,836,452</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(13,672,904)</w:t>
            </w:r>
          </w:p>
        </w:tc>
      </w:tr>
      <w:tr>
        <w:trPr>
          <w:trHeight w:val="205"/>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5"/>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Common stock outstanding post-Merger</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7,620,952</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7320" w:type="dxa"/>
            <w:vAlign w:val="bottom"/>
          </w:tcPr>
          <w:p>
            <w:pPr>
              <w:spacing w:after="0"/>
              <w:rPr>
                <w:sz w:val="17"/>
                <w:szCs w:val="17"/>
                <w:color w:val="auto"/>
              </w:rPr>
            </w:pPr>
          </w:p>
        </w:tc>
        <w:tc>
          <w:tcPr>
            <w:tcW w:w="19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Two-for-one post-Merger forward stock split</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7,620,952</w:t>
            </w: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73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0"/>
              </w:rPr>
              <w:t>Shares issued upon exercise of modified warrants, including 1,599,858 shares subject to Note and Warrant</w:t>
            </w: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Exchange Agreement with Platinum</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3,093,396</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5"/>
        </w:trPr>
        <w:tc>
          <w:tcPr>
            <w:tcW w:w="7320" w:type="dxa"/>
            <w:vAlign w:val="bottom"/>
          </w:tcPr>
          <w:p>
            <w:pPr>
              <w:spacing w:after="0"/>
              <w:rPr>
                <w:sz w:val="20"/>
                <w:szCs w:val="20"/>
                <w:color w:val="auto"/>
              </w:rPr>
            </w:pPr>
            <w:r>
              <w:rPr>
                <w:rFonts w:ascii="Arial" w:cs="Arial" w:eastAsia="Arial" w:hAnsi="Arial"/>
                <w:sz w:val="17"/>
                <w:szCs w:val="17"/>
                <w:color w:val="auto"/>
              </w:rPr>
              <w:t>Shares issued in Fall 2011 Follow-on Offering</w:t>
            </w:r>
          </w:p>
        </w:tc>
        <w:tc>
          <w:tcPr>
            <w:tcW w:w="2180" w:type="dxa"/>
            <w:vAlign w:val="bottom"/>
            <w:gridSpan w:val="3"/>
          </w:tcPr>
          <w:p>
            <w:pPr>
              <w:jc w:val="right"/>
              <w:ind w:right="220"/>
              <w:spacing w:after="0"/>
              <w:rPr>
                <w:sz w:val="20"/>
                <w:szCs w:val="20"/>
                <w:color w:val="auto"/>
              </w:rPr>
            </w:pPr>
            <w:r>
              <w:rPr>
                <w:rFonts w:ascii="Arial" w:cs="Arial" w:eastAsia="Arial" w:hAnsi="Arial"/>
                <w:sz w:val="17"/>
                <w:szCs w:val="17"/>
                <w:color w:val="auto"/>
              </w:rPr>
              <w:t>63,570</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Shares issued upon exercise of employee stock options</w:t>
            </w:r>
          </w:p>
        </w:tc>
        <w:tc>
          <w:tcPr>
            <w:tcW w:w="12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113,636</w:t>
            </w:r>
          </w:p>
        </w:tc>
        <w:tc>
          <w:tcPr>
            <w:tcW w:w="22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7320" w:type="dxa"/>
            <w:vAlign w:val="bottom"/>
          </w:tcPr>
          <w:p>
            <w:pPr>
              <w:spacing w:after="0"/>
              <w:rPr>
                <w:sz w:val="17"/>
                <w:szCs w:val="17"/>
                <w:color w:val="auto"/>
              </w:rPr>
            </w:pPr>
          </w:p>
        </w:tc>
        <w:tc>
          <w:tcPr>
            <w:tcW w:w="19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Common stock issued at December 31, 2011</w:t>
            </w:r>
          </w:p>
        </w:tc>
        <w:tc>
          <w:tcPr>
            <w:tcW w:w="21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18,512,506</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5"/>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Less treasury stock:</w:t>
            </w: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ind w:left="160"/>
              <w:spacing w:after="0"/>
              <w:rPr>
                <w:sz w:val="20"/>
                <w:szCs w:val="20"/>
                <w:color w:val="auto"/>
              </w:rPr>
            </w:pPr>
            <w:r>
              <w:rPr>
                <w:rFonts w:ascii="Arial" w:cs="Arial" w:eastAsia="Arial" w:hAnsi="Arial"/>
                <w:sz w:val="17"/>
                <w:szCs w:val="17"/>
                <w:color w:val="auto"/>
              </w:rPr>
              <w:t>Shares exchanged for Series A Preferred under the terms of the:</w:t>
            </w: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Common Stock Exchange Agreement with Platinum</w:t>
            </w:r>
          </w:p>
        </w:tc>
        <w:tc>
          <w:tcPr>
            <w:tcW w:w="2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(484,000)</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320" w:type="dxa"/>
            <w:vAlign w:val="bottom"/>
          </w:tcPr>
          <w:p>
            <w:pPr>
              <w:ind w:left="160"/>
              <w:spacing w:after="0"/>
              <w:rPr>
                <w:sz w:val="20"/>
                <w:szCs w:val="20"/>
                <w:color w:val="auto"/>
              </w:rPr>
            </w:pPr>
            <w:r>
              <w:rPr>
                <w:rFonts w:ascii="Arial" w:cs="Arial" w:eastAsia="Arial" w:hAnsi="Arial"/>
                <w:sz w:val="17"/>
                <w:szCs w:val="17"/>
                <w:color w:val="auto"/>
              </w:rPr>
              <w:t>Note and Warrant Exchange Agreement with Platinum</w:t>
            </w:r>
          </w:p>
        </w:tc>
        <w:tc>
          <w:tcPr>
            <w:tcW w:w="120" w:type="dxa"/>
            <w:vAlign w:val="bottom"/>
          </w:tcPr>
          <w:p>
            <w:pPr>
              <w:spacing w:after="0"/>
              <w:rPr>
                <w:sz w:val="17"/>
                <w:szCs w:val="17"/>
                <w:color w:val="auto"/>
              </w:rPr>
            </w:pPr>
          </w:p>
        </w:tc>
        <w:tc>
          <w:tcPr>
            <w:tcW w:w="2060" w:type="dxa"/>
            <w:vAlign w:val="bottom"/>
            <w:gridSpan w:val="2"/>
          </w:tcPr>
          <w:p>
            <w:pPr>
              <w:jc w:val="right"/>
              <w:ind w:right="180"/>
              <w:spacing w:after="0"/>
              <w:rPr>
                <w:sz w:val="20"/>
                <w:szCs w:val="20"/>
                <w:color w:val="auto"/>
              </w:rPr>
            </w:pPr>
            <w:r>
              <w:rPr>
                <w:rFonts w:ascii="Arial" w:cs="Arial" w:eastAsia="Arial" w:hAnsi="Arial"/>
                <w:sz w:val="17"/>
                <w:szCs w:val="17"/>
                <w:color w:val="auto"/>
              </w:rPr>
              <w:t>(1,599,858)</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7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Treasury stock held at December 31, 2011</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(2,083,858)</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5"/>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5"/>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Common stock outstanding at December 31, 2011</w:t>
            </w:r>
          </w:p>
        </w:tc>
        <w:tc>
          <w:tcPr>
            <w:tcW w:w="21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16,428,648</w:t>
            </w: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567"/>
        </w:trPr>
        <w:tc>
          <w:tcPr>
            <w:tcW w:w="7320" w:type="dxa"/>
            <w:vAlign w:val="bottom"/>
            <w:tcBorders>
              <w:top w:val="single" w:sz="8" w:color="CCEEFF"/>
            </w:tcBorders>
          </w:tcPr>
          <w:p>
            <w:pPr>
              <w:ind w:left="5580"/>
              <w:spacing w:after="0"/>
              <w:rPr>
                <w:sz w:val="20"/>
                <w:szCs w:val="20"/>
                <w:color w:val="auto"/>
              </w:rPr>
            </w:pPr>
            <w:r>
              <w:rPr>
                <w:rFonts w:ascii="Arial" w:cs="Arial" w:eastAsia="Arial" w:hAnsi="Arial"/>
                <w:sz w:val="17"/>
                <w:szCs w:val="17"/>
                <w:color w:val="auto"/>
              </w:rPr>
              <w:t>-20-</w:t>
            </w:r>
          </w:p>
        </w:tc>
        <w:tc>
          <w:tcPr>
            <w:tcW w:w="120" w:type="dxa"/>
            <w:vAlign w:val="bottom"/>
            <w:tcBorders>
              <w:top w:val="single" w:sz="8" w:color="CCEEFF"/>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7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Related Party Transactions</w:t>
      </w:r>
    </w:p>
    <w:p>
      <w:pPr>
        <w:spacing w:after="0" w:line="24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Cato Holding Company dba Cato BioVentures ("CBV"), the parent of CRL, is currently the Company’s largest stockholder, holding common stock and warrants to purchase common stock. Prior to conversion of the 2006/2007 Notes and the August 2010 Short-Term Notes, and the conversion of preferred stock into shares of common stock on May 11, 2011, CBV held 2006/2007 Notes, August 2010 Short-Terms Notes, and a majority of the Company's Series B-1 Preferred Stock. Shawn Singh, the Company’s Chief Executive Officer and member of its Board of Directors, served as Managing Principal of CBV and as an officer of CRL until August 2009. As described in Note 5,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xml:space="preserve">, in April 2011, CBV loaned the Company $352,273 under a promissory note. During fiscal year 2007, the Company entered into a contract research organization arrangement with CRL related to the development of its lead drug candidate, AV-101, under which the Company incurred expenses of $360,000 and $1,019,000 in the three month and nine month periods ended December 31, 2011, respectively, and $124,000 and $338,000 in the three month and nine month periods ended December 31, 2010, respectively, the majority of which were reimbursed under the NIH grant. Total interest expense on notes payable to CBV was $9,000 and $85,000 in the three month and nine month periods ended December 31, 2011, respectively, and $26,000 and $70,000 in the three month and nine month periods ended December 31, 2010, respectively, with the majority of amounts reported for all periods prior to May 2011 converted to equity. On April 29, 2011, the Company issued 157,143 shares of common stock, valued at $1.75 per share, as prepayment for research and development services to be performed by CRL during 2011. As described in Note 7,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in December 2011, the Company entered into an Agreement Regarding Payment of Invoices and Warrant Exercises with CHC, CRL and the CHC affiliates under which CHC and the CHC Affiliates exercised warrants at discounted exercise prices to purchase an aggregate of 492,541 shares of the Company’s common stock and the Company received $60,207 cash, and, in lieu of cash payment for certain of the warrant exercises, settled outstanding liabilities of $245,278 for past services received from CRL and prepaid $226,449 for future services to be received from CRL.</w:t>
      </w:r>
    </w:p>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 xml:space="preserve">Prior to his appointment as one of the Company’s officers (on a part-time basis) and directors, in April 2003, the Company retained Mr. Singh as a consultant to provide legal and other consulting services. During the course of the consultancy, as payment for his services, the Company issued him warrants to purchase 55,898 shares of common stock at $0.80 per share and a 7% promissory note in the principal amount of $26,419. On May 11, 2011, and concurrent with the Merger, the Company paid the outstanding balance of principal and accrued interest totaling $35,999 (see Note 5, </w:t>
      </w:r>
      <w:r>
        <w:rPr>
          <w:rFonts w:ascii="Arial" w:cs="Arial" w:eastAsia="Arial" w:hAnsi="Arial"/>
          <w:sz w:val="15"/>
          <w:szCs w:val="15"/>
          <w:i w:val="1"/>
          <w:iCs w:val="1"/>
          <w:color w:val="auto"/>
        </w:rPr>
        <w:t>Convertible Promissory Notes and Other Notes Payable</w:t>
      </w:r>
      <w:r>
        <w:rPr>
          <w:rFonts w:ascii="Arial" w:cs="Arial" w:eastAsia="Arial" w:hAnsi="Arial"/>
          <w:sz w:val="15"/>
          <w:szCs w:val="15"/>
          <w:color w:val="auto"/>
        </w:rPr>
        <w:t>). Upon the approval by the Board of Directors, in December 2006, the Company accepted a full-recourse promissory note in the amount of $103,411 from Mr. Singh in payment of the exercise price for options and warrants to purchase an aggregate of 126,389 shares of the Company’s common stock. The note bears interest at a rate of 4.90% per annum and is due and payable no later than the earlier of (i) December 1, 2016 or (ii) ten days prior to the Company becoming subject to the requirements of the Securities Exchange Act of 1934, as amended (“Exchange Act”). On May 11, 2011, in connection with the Merger, the $128,185 outstanding balance of the principal and accrued interest on this note was cancelled in accordance with Mr. Singh's employment agreement and recorded as additional compensation.</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March 2007, the Company accepted a full recourse promissory note in the amount of $46,360 from Franklin Rice, its former Chief Financial Officer and a former director of the Company in exchange for his exercise of options to purchase 52,681 shares of the Company’s common stock. The note bears interest at a rate of 4.90% per annum and is due and payable no later than the earlier of (i) March 1, 2017 or (ii) ten days prior to the Company becoming subject to the requirements of the Exchange Act. On May 11, 2011, in connection with the Merger, the $56,979 outstanding balance of principal and accrued interest on this note was cancelled in accordance with Mr. Rice's employment agreement and recorded as additional compensation.</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previously engaged Jon A. Saxe, a current director, separately from his duties as a director, as a management consultant from July 1, 2000 through June 30, 2010 to provide strategic and other business advisory services. As payment for consulting services rendered through June 30, 2010, Mr. Saxe has been issued warrants and non-qualified options to purchase an aggregate of 250,815 shares of the Company’s common stock, of which he has exercised warrants to purchase for 18,568 shares. Additionally, Mr. Saxe was issued a 7% promissory note in the amount of $8,004. On May 11, 2011, the $14,362 balance of the note and related accrued interest plus a note cancellation premium of $5,138 was converted to 11,142 shares of the Company’s common stock and a three-year warrant to purchase 2,784 shares of common stock at an exercise price of $2.50 per share. In lieu of payment from the Company, in December 2011, Mr. Saxe exercised the warrant as a part of the Discounted Warrant Exercise Program at an exercise price of $1.25 per share in satisfaction for amounts owed to him in conjunction with his service as a member of the Board of Directors.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5,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for a summary of convertible promissory notes and other notes payable to related parties.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Subsequent Events</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January 2012, investors and consultants exercised warrants to purchase an additional 27,863 shares of the Company’s common stock under the Discounted Warrant Exercise Program and the Company received $31,104 in cash proceeds.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January 2012, the Company issued an aggregate of 50,000 shares of its common stock and three-year warrants to purchase an aggregate of 50,000 shares of its common stock to two service providers as compensation for services.</w:t>
      </w:r>
    </w:p>
    <w:p>
      <w:pPr>
        <w:spacing w:after="0" w:line="186"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44" w:lineRule="exact"/>
        <w:rPr>
          <w:sz w:val="20"/>
          <w:szCs w:val="20"/>
          <w:color w:val="auto"/>
        </w:rPr>
      </w:pPr>
    </w:p>
    <w:p>
      <w:pPr>
        <w:jc w:val="both"/>
        <w:ind w:firstLine="547"/>
        <w:spacing w:after="0" w:line="274" w:lineRule="auto"/>
        <w:rPr>
          <w:sz w:val="20"/>
          <w:szCs w:val="20"/>
          <w:color w:val="auto"/>
        </w:rPr>
      </w:pPr>
      <w:r>
        <w:rPr>
          <w:rFonts w:ascii="Arial" w:cs="Arial" w:eastAsia="Arial" w:hAnsi="Arial"/>
          <w:sz w:val="16"/>
          <w:szCs w:val="16"/>
          <w:i w:val="1"/>
          <w:iCs w:val="1"/>
          <w:color w:val="auto"/>
        </w:rPr>
        <w:t>The following discussion contains certain forward-looking statements, within the meaning of the “safe harbor” provisions of the Private Securities Reform Act of 1995, the attainment of which involves various risks and uncertainties. Forward-looking statements may be identified by the use of forward-looking terminology such as “may,” “will,” “expect,” “believe,” “estimate,” “plan,” “anticipate,” “continue,” or similar terms, variations of those terms or the negative of those terms. Our actual results may differ materially from those described in these forward-looking statements due to, among other factors, the results of research and development efforts, the results of pre-clinical and clinical testing, the effect of regulation by the United States Food and Drug Administration (FDA) and other agencies, the impact of competitive products, product development, commercialization and technological difficulties, the Company’s ability to obtain additional financing, the effect of our accounting policies, and other risks detailed in our filings with the Securities and Exchange Commission.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We are a biotechnology company applying human pluripotent stem cell technology for drug rescue and cell therapy.</w:t>
      </w:r>
    </w:p>
    <w:p>
      <w:pPr>
        <w:spacing w:after="0" w:line="24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 xml:space="preserve">Drug rescue involves the combination of human pluripotent stem cell technology with modern medicinal chemistry to generate new chemical variants (“drug rescue variants”) of promising small molecule drug candidates that pharmaceutical companies have discontinued during preclinical or early clinical development (“put on the shelf”) due to heart or liver toxicity. We anticipate that our stem cell technology platform, </w:t>
      </w:r>
      <w:r>
        <w:rPr>
          <w:rFonts w:ascii="Arial" w:cs="Arial" w:eastAsia="Arial" w:hAnsi="Arial"/>
          <w:sz w:val="15"/>
          <w:szCs w:val="15"/>
          <w:i w:val="1"/>
          <w:iCs w:val="1"/>
          <w:color w:val="auto"/>
        </w:rPr>
        <w:t>Human Clinical Trials in a Test Tube</w:t>
      </w:r>
      <w:r>
        <w:rPr>
          <w:rFonts w:ascii="Arial" w:cs="Arial" w:eastAsia="Arial" w:hAnsi="Arial"/>
          <w:sz w:val="15"/>
          <w:szCs w:val="15"/>
          <w:color w:val="auto"/>
        </w:rPr>
        <w:t xml:space="preserve"> </w:t>
      </w:r>
      <w:r>
        <w:rPr>
          <w:rFonts w:ascii="Arial" w:cs="Arial" w:eastAsia="Arial" w:hAnsi="Arial"/>
          <w:sz w:val="7"/>
          <w:szCs w:val="7"/>
          <w:color w:val="auto"/>
        </w:rPr>
        <w:t>TM</w:t>
      </w:r>
      <w:r>
        <w:rPr>
          <w:rFonts w:ascii="Arial" w:cs="Arial" w:eastAsia="Arial" w:hAnsi="Arial"/>
          <w:sz w:val="15"/>
          <w:szCs w:val="15"/>
          <w:color w:val="auto"/>
        </w:rPr>
        <w:t xml:space="preserve">, will allow us to assess the heart and liver toxicity profile of new drug candidates with greater speed and precision than nonclinical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techniques and technologies currently used in the drug development process. Our drug rescue model is designed to leverage both the pharmaceutical company’s prior investment in preclinical development of once-promising drug candidates put on the shelf and the predictive toxicology and drug development capabilities of our </w:t>
      </w:r>
      <w:r>
        <w:rPr>
          <w:rFonts w:ascii="Arial" w:cs="Arial" w:eastAsia="Arial" w:hAnsi="Arial"/>
          <w:sz w:val="15"/>
          <w:szCs w:val="15"/>
          <w:i w:val="1"/>
          <w:iCs w:val="1"/>
          <w:color w:val="auto"/>
        </w:rPr>
        <w:t>Human Clinical Trials in a Test Tube</w:t>
      </w:r>
      <w:r>
        <w:rPr>
          <w:rFonts w:ascii="Arial" w:cs="Arial" w:eastAsia="Arial" w:hAnsi="Arial"/>
          <w:sz w:val="15"/>
          <w:szCs w:val="15"/>
          <w:color w:val="auto"/>
        </w:rPr>
        <w:t xml:space="preserve"> </w:t>
      </w:r>
      <w:r>
        <w:rPr>
          <w:rFonts w:ascii="Arial" w:cs="Arial" w:eastAsia="Arial" w:hAnsi="Arial"/>
          <w:sz w:val="7"/>
          <w:szCs w:val="7"/>
          <w:color w:val="auto"/>
        </w:rPr>
        <w:t>TM</w:t>
      </w:r>
      <w:r>
        <w:rPr>
          <w:rFonts w:ascii="Arial" w:cs="Arial" w:eastAsia="Arial" w:hAnsi="Arial"/>
          <w:sz w:val="15"/>
          <w:szCs w:val="15"/>
          <w:color w:val="auto"/>
        </w:rPr>
        <w:t xml:space="preserve"> platform.</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 xml:space="preserve">Our </w:t>
      </w:r>
      <w:r>
        <w:rPr>
          <w:rFonts w:ascii="Arial" w:cs="Arial" w:eastAsia="Arial" w:hAnsi="Arial"/>
          <w:sz w:val="15"/>
          <w:szCs w:val="15"/>
          <w:i w:val="1"/>
          <w:iCs w:val="1"/>
          <w:color w:val="auto"/>
        </w:rPr>
        <w:t>Human Clinical Trials in a Test Tube</w:t>
      </w:r>
      <w:r>
        <w:rPr>
          <w:rFonts w:ascii="Arial" w:cs="Arial" w:eastAsia="Arial" w:hAnsi="Arial"/>
          <w:sz w:val="15"/>
          <w:szCs w:val="15"/>
          <w:color w:val="auto"/>
        </w:rPr>
        <w:t xml:space="preserve"> </w:t>
      </w:r>
      <w:r>
        <w:rPr>
          <w:rFonts w:ascii="Arial" w:cs="Arial" w:eastAsia="Arial" w:hAnsi="Arial"/>
          <w:sz w:val="7"/>
          <w:szCs w:val="7"/>
          <w:color w:val="auto"/>
        </w:rPr>
        <w:t>TM</w:t>
      </w:r>
      <w:r>
        <w:rPr>
          <w:rFonts w:ascii="Arial" w:cs="Arial" w:eastAsia="Arial" w:hAnsi="Arial"/>
          <w:sz w:val="15"/>
          <w:szCs w:val="15"/>
          <w:color w:val="auto"/>
        </w:rPr>
        <w:t xml:space="preserve"> platform is based a combination of proprietary and exclusively licensed stem cell technologies, including technologies developed over the last 20 years by Canadian scientist, Dr. Gordon Keller, and Dr. Ralph Snodgrass, VistaGen’s founder and our President and Chief Scientific Officer. Dr. Keller is currently the Director of the University Health Network’s McEwen Centre for Regenerative Medicine in Toronto. Dr. Keller’s research is focused on understanding and controlling stem cell differentiation (development) and production of multiple types of mature, functional, human cells from pluripotent stem cells, including heart cells and liver cells that can be used in our biological assay systems (drug screening systems) for drug rescue. Dr. Snodgrass has nearly 20 years of experience in both academia and industry in the development and application of stem cell differentiation systems for drug discovery and development.</w:t>
      </w:r>
    </w:p>
    <w:p>
      <w:pPr>
        <w:spacing w:after="0" w:line="18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With mature heart cells produced from stem cells, we have developed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 a three-dimensional (“3D”) bioassay system. We believe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 is capable of predicting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cardiac effects, both toxic and non-toxic, of small molecule drug candidates before they are tested in humans. Our immediate goal is to leverage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 to generate and monetize a pipeline of small molecule drug candidates through drug rescue collaborations. We intend to expand our drug rescue capabilities by developing </w:t>
      </w:r>
      <w:r>
        <w:rPr>
          <w:rFonts w:ascii="Arial" w:cs="Arial" w:eastAsia="Arial" w:hAnsi="Arial"/>
          <w:sz w:val="16"/>
          <w:szCs w:val="16"/>
          <w:i w:val="1"/>
          <w:iCs w:val="1"/>
          <w:color w:val="auto"/>
        </w:rPr>
        <w:t>LiverSafe 3D</w:t>
      </w:r>
      <w:r>
        <w:rPr>
          <w:rFonts w:ascii="Arial" w:cs="Arial" w:eastAsia="Arial" w:hAnsi="Arial"/>
          <w:sz w:val="16"/>
          <w:szCs w:val="16"/>
          <w:color w:val="auto"/>
        </w:rPr>
        <w:t xml:space="preserve"> ™, a human liver cell-based toxicity and metabolism bioassay system.</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3" w:lineRule="exact"/>
        <w:rPr>
          <w:sz w:val="20"/>
          <w:szCs w:val="20"/>
          <w:color w:val="auto"/>
        </w:rPr>
      </w:pPr>
    </w:p>
    <w:p>
      <w:pPr>
        <w:ind w:right="260"/>
        <w:spacing w:after="0" w:line="260" w:lineRule="auto"/>
        <w:rPr>
          <w:sz w:val="20"/>
          <w:szCs w:val="20"/>
          <w:color w:val="auto"/>
        </w:rPr>
      </w:pPr>
      <w:r>
        <w:rPr>
          <w:rFonts w:ascii="Arial" w:cs="Arial" w:eastAsia="Arial" w:hAnsi="Arial"/>
          <w:sz w:val="17"/>
          <w:szCs w:val="17"/>
          <w:color w:val="auto"/>
        </w:rPr>
        <w:t xml:space="preserve">In parallel with our drug rescue activities, we plan to advance pilot nonclinical development of cell therapy programs focused on heart, liver and cartilage repair, as well as autologous bone marrow transplantation. Each of these cell therapy programs is based on the proprietary differentiation and production capabilities of our </w:t>
      </w:r>
      <w:r>
        <w:rPr>
          <w:rFonts w:ascii="Arial" w:cs="Arial" w:eastAsia="Arial" w:hAnsi="Arial"/>
          <w:sz w:val="17"/>
          <w:szCs w:val="17"/>
          <w:i w:val="1"/>
          <w:iCs w:val="1"/>
          <w:color w:val="auto"/>
        </w:rPr>
        <w:t xml:space="preserve">Human Clinical Trials in a Test Tube </w:t>
      </w:r>
      <w:r>
        <w:rPr>
          <w:rFonts w:ascii="Arial" w:cs="Arial" w:eastAsia="Arial" w:hAnsi="Arial"/>
          <w:sz w:val="8"/>
          <w:szCs w:val="8"/>
          <w:color w:val="auto"/>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w:t>
      </w:r>
    </w:p>
    <w:p>
      <w:pPr>
        <w:spacing w:after="0" w:line="204"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With grant funding from the U.S. National Institutes of Health (“NIH”), we are also developing AV-101, an orally available small molecule prodrug candidate aimed at the multi-billion dollar neurological disease and disorders market. AV-101 is currently in Phase I development in the U.S. for treatment of neuropathic pain, a serious and chronic condition causing pain after an injury or disease of the peripheral or central nervous system. Neuropathic pain affects approximately 1.8 million people in the U.S. alone. To date, we have been awarded over $8.9 million of grant funding from the NIH for preclinical and Phase I clinical development of AV-101.</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plan is to acquire rights to drug candidates that third-parties, including academic research institutions and biotechnology, medicinal chemistry and pharmaceutical companies have put on the shelf due to heart or liver toxicity, collaborate with contract medicinal chemistry and preclinical development service companies, and generate a pipeline of proprietary small molecule drug rescue variants which may be as effective and commercially promising as the third-party’s original (toxic) drug candidate but without the toxicity that caused it to be put on the shelf. We plan to have economic participation rights in each drug candidate that we generate in connection with our drug rescue programs.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w:t>
      </w:r>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Our critical accounting policies and estimates and recent accounting pronouncements are disclosed in our Form 8-K/A for the fiscal year ended March 31, 2011, as filed with the United States Securities and Exchange Commission on August 12, 2011, and in Note 3 to the accompanying unaudited Condensed Consolidated Financial Statements included in Part 1, Item 1 of this Quarterly Report on Form 10-Q.</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80" w:type="dxa"/>
            <w:vAlign w:val="bottom"/>
            <w:gridSpan w:val="2"/>
          </w:tcPr>
          <w:p>
            <w:pPr>
              <w:spacing w:after="0"/>
              <w:rPr>
                <w:sz w:val="20"/>
                <w:szCs w:val="20"/>
                <w:color w:val="auto"/>
              </w:rPr>
            </w:pPr>
            <w:r>
              <w:rPr>
                <w:rFonts w:ascii="Arial" w:cs="Arial" w:eastAsia="Arial" w:hAnsi="Arial"/>
                <w:sz w:val="17"/>
                <w:szCs w:val="17"/>
                <w:b w:val="1"/>
                <w:bCs w:val="1"/>
                <w:color w:val="auto"/>
              </w:rPr>
              <w:t>Results of Operations</w:t>
            </w: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67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Comparison of Three Months Ended December 31, 2011 and 2010</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780" w:type="dxa"/>
            <w:vAlign w:val="bottom"/>
            <w:gridSpan w:val="2"/>
          </w:tcPr>
          <w:p>
            <w:pPr>
              <w:spacing w:after="0"/>
              <w:rPr>
                <w:sz w:val="20"/>
                <w:szCs w:val="20"/>
                <w:color w:val="auto"/>
              </w:rPr>
            </w:pPr>
            <w:r>
              <w:rPr>
                <w:rFonts w:ascii="Arial" w:cs="Arial" w:eastAsia="Arial" w:hAnsi="Arial"/>
                <w:sz w:val="17"/>
                <w:szCs w:val="17"/>
                <w:i w:val="1"/>
                <w:iCs w:val="1"/>
                <w:color w:val="auto"/>
              </w:rPr>
              <w:t>Revenue</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780" w:type="dxa"/>
            <w:vAlign w:val="bottom"/>
            <w:gridSpan w:val="2"/>
          </w:tcPr>
          <w:p>
            <w:pPr>
              <w:spacing w:after="0"/>
              <w:rPr>
                <w:sz w:val="20"/>
                <w:szCs w:val="20"/>
                <w:color w:val="auto"/>
              </w:rPr>
            </w:pPr>
            <w:r>
              <w:rPr>
                <w:rFonts w:ascii="Arial" w:cs="Arial" w:eastAsia="Arial" w:hAnsi="Arial"/>
                <w:sz w:val="17"/>
                <w:szCs w:val="17"/>
                <w:color w:val="auto"/>
              </w:rPr>
              <w:t>The following table compares the primary revenue sources between the periods (in $000):</w:t>
            </w:r>
          </w:p>
        </w:tc>
        <w:tc>
          <w:tcPr>
            <w:tcW w:w="620" w:type="dxa"/>
            <w:vAlign w:val="bottom"/>
          </w:tcPr>
          <w:p>
            <w:pPr>
              <w:spacing w:after="0"/>
              <w:rPr>
                <w:sz w:val="24"/>
                <w:szCs w:val="24"/>
                <w:color w:val="auto"/>
              </w:rPr>
            </w:pPr>
          </w:p>
        </w:tc>
        <w:tc>
          <w:tcPr>
            <w:tcW w:w="1920" w:type="dxa"/>
            <w:vAlign w:val="bottom"/>
            <w:gridSpan w:val="4"/>
            <w:vMerge w:val="restart"/>
          </w:tcPr>
          <w:p>
            <w:pPr>
              <w:jc w:val="right"/>
              <w:ind w:right="2"/>
              <w:spacing w:after="0"/>
              <w:rPr>
                <w:sz w:val="20"/>
                <w:szCs w:val="20"/>
                <w:color w:val="auto"/>
              </w:rPr>
            </w:pPr>
            <w:r>
              <w:rPr>
                <w:rFonts w:ascii="Arial" w:cs="Arial" w:eastAsia="Arial" w:hAnsi="Arial"/>
                <w:sz w:val="17"/>
                <w:szCs w:val="17"/>
                <w:color w:val="auto"/>
              </w:rPr>
              <w:t>Three Months Ended</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20" w:type="dxa"/>
            <w:vAlign w:val="bottom"/>
            <w:gridSpan w:val="4"/>
            <w:vMerge w:val="continue"/>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2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7"/>
                <w:szCs w:val="17"/>
                <w:color w:val="auto"/>
              </w:rPr>
              <w:t>December 31,</w:t>
            </w:r>
          </w:p>
        </w:tc>
        <w:tc>
          <w:tcPr>
            <w:tcW w:w="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2011</w:t>
            </w:r>
          </w:p>
        </w:tc>
        <w:tc>
          <w:tcPr>
            <w:tcW w:w="3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2010</w:t>
            </w: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7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20" w:type="dxa"/>
            <w:vAlign w:val="bottom"/>
            <w:vMerge w:val="continue"/>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NIH - AV-101 grant</w:t>
            </w:r>
          </w:p>
        </w:tc>
        <w:tc>
          <w:tcPr>
            <w:tcW w:w="136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w:t>
            </w:r>
          </w:p>
        </w:tc>
        <w:tc>
          <w:tcPr>
            <w:tcW w:w="720" w:type="dxa"/>
            <w:vAlign w:val="bottom"/>
            <w:shd w:val="clear" w:color="auto" w:fill="CCEEFF"/>
          </w:tcPr>
          <w:p>
            <w:pPr>
              <w:jc w:val="right"/>
              <w:ind w:right="562"/>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CIRM grant</w:t>
            </w: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Subcontract revenue</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7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5"/>
        </w:trPr>
        <w:tc>
          <w:tcPr>
            <w:tcW w:w="1720" w:type="dxa"/>
            <w:vAlign w:val="bottom"/>
            <w:vMerge w:val="restart"/>
          </w:tcPr>
          <w:p>
            <w:pPr>
              <w:spacing w:after="0"/>
              <w:rPr>
                <w:sz w:val="17"/>
                <w:szCs w:val="17"/>
                <w:color w:val="auto"/>
              </w:rPr>
            </w:pPr>
          </w:p>
        </w:tc>
        <w:tc>
          <w:tcPr>
            <w:tcW w:w="506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20" w:type="dxa"/>
            <w:vAlign w:val="bottom"/>
            <w:vMerge w:val="continue"/>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36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720" w:type="dxa"/>
            <w:vAlign w:val="bottom"/>
            <w:shd w:val="clear" w:color="auto" w:fill="CCEEFF"/>
          </w:tcPr>
          <w:p>
            <w:pPr>
              <w:jc w:val="right"/>
              <w:ind w:right="562"/>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NIH grant revenue decreased compared to the prior year as external effort slowed while we made preparations in the quarter ended December 31, 2011 to commence a Phase 1b study in early calendar 2012. The negative income in the December 2011 quarter resulted from the normal-course adjustment of an accrual for reimbursable grant costs that had been made in the quarter ended September 30, 2011. Work under the California Institute of Regenerative Medicine ("CIRM") grant was completed in the quarter ended September 30, 2011. Subcontract revenue continued at a slower pace under the terms of the arrangement that extends through May 2012.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240"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Research and development expense totaled $1,306,000 for the quarter ended December 31, 2011, an increase from $447,000 for the quarter ended December 31, 2010. The following table compares the primary components of research and development expense between the periods (in $000):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7"/>
                <w:szCs w:val="17"/>
                <w:color w:val="auto"/>
              </w:rPr>
              <w:t>Three Months Ended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December 31,</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2011</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w w:val="84"/>
              </w:rPr>
              <w:t>2010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6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vMerge w:val="continue"/>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Salaries and benefits</w:t>
            </w:r>
          </w:p>
        </w:tc>
        <w:tc>
          <w:tcPr>
            <w:tcW w:w="2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129</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119</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UHN research under SRCA</w:t>
            </w:r>
          </w:p>
        </w:tc>
        <w:tc>
          <w:tcPr>
            <w:tcW w:w="2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Technology licenses and royalties</w:t>
            </w: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Project-related third-party research and supplies:</w:t>
            </w:r>
          </w:p>
        </w:tc>
        <w:tc>
          <w:tcPr>
            <w:tcW w:w="2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3860" w:type="dxa"/>
            <w:vAlign w:val="bottom"/>
          </w:tcPr>
          <w:p>
            <w:pPr>
              <w:ind w:left="180"/>
              <w:spacing w:after="0"/>
              <w:rPr>
                <w:sz w:val="20"/>
                <w:szCs w:val="20"/>
                <w:color w:val="auto"/>
              </w:rPr>
            </w:pPr>
            <w:r>
              <w:rPr>
                <w:rFonts w:ascii="Arial" w:cs="Arial" w:eastAsia="Arial" w:hAnsi="Arial"/>
                <w:sz w:val="17"/>
                <w:szCs w:val="17"/>
                <w:color w:val="auto"/>
              </w:rPr>
              <w:t>AV-101</w:t>
            </w: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460</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117</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3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CIRM</w:t>
            </w:r>
          </w:p>
        </w:tc>
        <w:tc>
          <w:tcPr>
            <w:tcW w:w="2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7"/>
                <w:szCs w:val="17"/>
                <w:color w:val="auto"/>
              </w:rPr>
              <w:t>All other including CardioSafe and LiverSafe</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Rent</w:t>
            </w:r>
          </w:p>
        </w:tc>
        <w:tc>
          <w:tcPr>
            <w:tcW w:w="2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Depreciation</w:t>
            </w:r>
          </w:p>
        </w:tc>
        <w:tc>
          <w:tcPr>
            <w:tcW w:w="2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Warrant modification expense</w:t>
            </w:r>
          </w:p>
        </w:tc>
        <w:tc>
          <w:tcPr>
            <w:tcW w:w="2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6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vMerge w:val="continue"/>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Total Research and Development Expense</w:t>
            </w:r>
          </w:p>
        </w:tc>
        <w:tc>
          <w:tcPr>
            <w:tcW w:w="2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1,306</w:t>
            </w:r>
          </w:p>
        </w:tc>
        <w:tc>
          <w:tcPr>
            <w:tcW w:w="5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447</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40" w:type="dxa"/>
            <w:vAlign w:val="bottom"/>
            <w:vMerge w:val="restart"/>
          </w:tcPr>
          <w:p>
            <w:pPr>
              <w:jc w:val="right"/>
              <w:ind w:right="1715"/>
              <w:spacing w:after="0"/>
              <w:rPr>
                <w:sz w:val="20"/>
                <w:szCs w:val="20"/>
                <w:color w:val="auto"/>
              </w:rPr>
            </w:pPr>
            <w:r>
              <w:rPr>
                <w:rFonts w:ascii="Arial" w:cs="Arial" w:eastAsia="Arial" w:hAnsi="Arial"/>
                <w:sz w:val="17"/>
                <w:szCs w:val="17"/>
                <w:color w:val="auto"/>
              </w:rPr>
              <w:t>-23-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16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156" w:gutter="0" w:footer="0" w:header="0"/>
        </w:sectPr>
      </w:pPr>
    </w:p>
    <w:bookmarkStart w:id="25" w:name="page26"/>
    <w:bookmarkEnd w:id="2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Salary and benefits expense increased as a result of the impact of new research personnel added since December 2010 and a bonus granted in December 2011. The $89,000 increase in sponsored research at UHN related to our stem cell research collaboration with Dr. Gordon Keller’s laboratory reflects the expansion of this effort in accordance with the October 2011 amendment to the collaboration agreement. Technology licenses and royalty expense for 2010 reflected the adjustment of royalty expense to reflect a provision in one of our arrangements that permits an offset for patent prosecution costs we incur. The increase in AV-101-related project expenses reflects on-going non-grant-reimbursable effort conducted by third-party collaborators, including Cato Research Laboratories, whose efforts included costs of $121,000 to develop new NIH grant applications for subsequent phases of the project. The CIRM grant expired at the end of September 2011 and grant-related effort has ceased. Other non-grant project expenses include $23,000 attributable to a new stem cell research collaboration in 2011, compared with a net reclassification of expenses from non-grant to grant-related projects in 2010. Warrant modification expense is attributable to the Agreement Regarding Payment of Invoices and Warrant Exercises with Cato Holding Company described in Note 7 to the Condensed Consolidated Financial Statements included in Item 1 of this Form 10-Q. We do not track internal research and development expenses, including compensation costs, by project as we do not currently believe that such project accounting is feasible nor required given the overlap of project resources, including staffing, that are dedicated to our research and development projects.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40"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General and administrative expense was $1,548,000 for the quarter ended December 31, 2011, compared with $2,665,000 for the quarter ended December 31, 2010. The following table compares the primary components of general and administrative expenses between the periods (in $000):</w:t>
      </w:r>
    </w:p>
    <w:p>
      <w:pPr>
        <w:spacing w:after="0" w:line="190" w:lineRule="exact"/>
        <w:rPr>
          <w:sz w:val="20"/>
          <w:szCs w:val="20"/>
          <w:color w:val="auto"/>
        </w:rPr>
      </w:pPr>
    </w:p>
    <w:tbl>
      <w:tblPr>
        <w:tblLayout w:type="fixed"/>
        <w:tblInd w:w="116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120" w:type="dxa"/>
            <w:vAlign w:val="bottom"/>
            <w:gridSpan w:val="4"/>
          </w:tcPr>
          <w:p>
            <w:pPr>
              <w:jc w:val="right"/>
              <w:ind w:right="140"/>
              <w:spacing w:after="0"/>
              <w:rPr>
                <w:sz w:val="20"/>
                <w:szCs w:val="20"/>
                <w:color w:val="auto"/>
              </w:rPr>
            </w:pPr>
            <w:r>
              <w:rPr>
                <w:rFonts w:ascii="Arial" w:cs="Arial" w:eastAsia="Arial" w:hAnsi="Arial"/>
                <w:sz w:val="17"/>
                <w:szCs w:val="17"/>
                <w:color w:val="auto"/>
              </w:rPr>
              <w:t>Three Months Ended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7"/>
                <w:szCs w:val="17"/>
                <w:color w:val="auto"/>
                <w:w w:val="89"/>
              </w:rPr>
              <w:t>December 31,</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2011</w:t>
            </w: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2010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Salaries and benefits</w:t>
            </w:r>
          </w:p>
        </w:tc>
        <w:tc>
          <w:tcPr>
            <w:tcW w:w="2460" w:type="dxa"/>
            <w:vAlign w:val="bottom"/>
            <w:gridSpan w:val="2"/>
            <w:shd w:val="clear" w:color="auto" w:fill="CCEEFF"/>
          </w:tcPr>
          <w:p>
            <w:pPr>
              <w:jc w:val="right"/>
              <w:ind w:right="59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9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339</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Consulting services</w:t>
            </w:r>
          </w:p>
        </w:tc>
        <w:tc>
          <w:tcPr>
            <w:tcW w:w="1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Legal, accounting and other professional fees</w:t>
            </w: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178</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2,123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Insurance</w:t>
            </w:r>
          </w:p>
        </w:tc>
        <w:tc>
          <w:tcPr>
            <w:tcW w:w="1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Travel and entertainment</w:t>
            </w: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Rent and utilities</w:t>
            </w:r>
          </w:p>
        </w:tc>
        <w:tc>
          <w:tcPr>
            <w:tcW w:w="1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Warrant modification expense</w:t>
            </w: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641</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All other expenses</w:t>
            </w:r>
          </w:p>
        </w:tc>
        <w:tc>
          <w:tcPr>
            <w:tcW w:w="17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Total General and Administrative Expense</w:t>
            </w:r>
          </w:p>
        </w:tc>
        <w:tc>
          <w:tcPr>
            <w:tcW w:w="2460" w:type="dxa"/>
            <w:vAlign w:val="bottom"/>
            <w:gridSpan w:val="2"/>
            <w:shd w:val="clear" w:color="auto" w:fill="CCEEFF"/>
          </w:tcPr>
          <w:p>
            <w:pPr>
              <w:jc w:val="right"/>
              <w:ind w:right="59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1,548</w:t>
            </w:r>
          </w:p>
        </w:tc>
        <w:tc>
          <w:tcPr>
            <w:tcW w:w="9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2,665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the quarter ended December 31, 2010, we expensed $2,117,000 of legal, accounting and other fees that we had incurred in anticipation of a potential listing on the Toronto Stock Exchange when we decided not to proceed with that initiative. Offsetting that decrease are increases in salaries and benefits related to additional employee headcount, in stock based compensation due to both grant activity and expense related to non-employee options as our stock price increases, and in business development initiatives and other in strategic consulting. Additionally, we incurred non-cash warrant modification expense of $641,000 related to reducing the exercise price and, in some cases, extending the term, of certain outstanding warrants to purchase our common stock as described in Note 7 to the Condensed Consolidated Financial Statements included in Item 1 of this Form 10-Q.</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Net</w:t>
      </w:r>
    </w:p>
    <w:p>
      <w:pPr>
        <w:spacing w:after="0" w:line="24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Other expense, net for the quarter ended December 31 2011 consisted of the $1,193,500 loss on early debt extinguishment related to the December 2011 conversion of the Platinum Note into equity, as described in Note 5 to the Condensed Consolidated Financial Statements included in Item 1 of this Form 10-Q, and interest expense of $456,000. Other expense for the quarter ended December 31, 2010 consisted of $1,009,000 of interest expense offset by a $144,000 decrease in the fair value of the then-outstanding Platinum Notes extension option and warrant liability, both of which were terminated in conjunction with the May 2011 restructuring of the Platinum Notes. The decrease in interest expense resulted primarily from the conversion of convertible promissory notes into equity in connection with the Merger in May 2011.</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2"/>
        </w:trPr>
        <w:tc>
          <w:tcPr>
            <w:tcW w:w="6900" w:type="dxa"/>
            <w:vAlign w:val="bottom"/>
            <w:gridSpan w:val="3"/>
          </w:tcPr>
          <w:p>
            <w:pPr>
              <w:spacing w:after="0"/>
              <w:rPr>
                <w:rFonts w:ascii="Arial" w:cs="Arial" w:eastAsia="Arial" w:hAnsi="Arial"/>
                <w:sz w:val="15"/>
                <w:szCs w:val="15"/>
                <w:i w:val="1"/>
                <w:iCs w:val="1"/>
                <w:color w:val="0000EE"/>
              </w:rPr>
            </w:pPr>
            <w:hyperlink w:anchor="page2">
              <w:r>
                <w:rPr>
                  <w:rFonts w:ascii="Arial" w:cs="Arial" w:eastAsia="Arial" w:hAnsi="Arial"/>
                  <w:sz w:val="15"/>
                  <w:szCs w:val="15"/>
                  <w:i w:val="1"/>
                  <w:iCs w:val="1"/>
                  <w:color w:val="0000EE"/>
                </w:rPr>
                <w:t>Table of Contents</w:t>
              </w:r>
            </w:hyperlink>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90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Comparison of Nine Months Ended December 31, 2011 and 2010</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900" w:type="dxa"/>
            <w:vAlign w:val="bottom"/>
            <w:gridSpan w:val="3"/>
          </w:tcPr>
          <w:p>
            <w:pPr>
              <w:spacing w:after="0"/>
              <w:rPr>
                <w:sz w:val="20"/>
                <w:szCs w:val="20"/>
                <w:color w:val="auto"/>
              </w:rPr>
            </w:pPr>
            <w:r>
              <w:rPr>
                <w:rFonts w:ascii="Arial" w:cs="Arial" w:eastAsia="Arial" w:hAnsi="Arial"/>
                <w:sz w:val="17"/>
                <w:szCs w:val="17"/>
                <w:i w:val="1"/>
                <w:iCs w:val="1"/>
                <w:color w:val="auto"/>
              </w:rPr>
              <w:t>Revenue</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900" w:type="dxa"/>
            <w:vAlign w:val="bottom"/>
            <w:gridSpan w:val="3"/>
          </w:tcPr>
          <w:p>
            <w:pPr>
              <w:spacing w:after="0"/>
              <w:rPr>
                <w:sz w:val="20"/>
                <w:szCs w:val="20"/>
                <w:color w:val="auto"/>
              </w:rPr>
            </w:pPr>
            <w:r>
              <w:rPr>
                <w:rFonts w:ascii="Arial" w:cs="Arial" w:eastAsia="Arial" w:hAnsi="Arial"/>
                <w:sz w:val="17"/>
                <w:szCs w:val="17"/>
                <w:color w:val="auto"/>
              </w:rPr>
              <w:t>The following table compares the primary revenue sources between the periods (in $000):</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20" w:type="dxa"/>
            <w:vAlign w:val="bottom"/>
            <w:gridSpan w:val="4"/>
          </w:tcPr>
          <w:p>
            <w:pPr>
              <w:jc w:val="right"/>
              <w:ind w:right="180"/>
              <w:spacing w:after="0"/>
              <w:rPr>
                <w:sz w:val="20"/>
                <w:szCs w:val="20"/>
                <w:color w:val="auto"/>
              </w:rPr>
            </w:pPr>
            <w:r>
              <w:rPr>
                <w:rFonts w:ascii="Arial" w:cs="Arial" w:eastAsia="Arial" w:hAnsi="Arial"/>
                <w:sz w:val="17"/>
                <w:szCs w:val="17"/>
                <w:color w:val="auto"/>
              </w:rPr>
              <w:t>Nine Months Ended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7"/>
                <w:szCs w:val="17"/>
                <w:color w:val="auto"/>
                <w:w w:val="89"/>
              </w:rPr>
              <w:t>December 31,</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2011</w:t>
            </w: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2010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8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NIH - AV-101 grant</w:t>
            </w:r>
          </w:p>
        </w:tc>
        <w:tc>
          <w:tcPr>
            <w:tcW w:w="1520" w:type="dxa"/>
            <w:vAlign w:val="bottom"/>
            <w:gridSpan w:val="2"/>
            <w:shd w:val="clear" w:color="auto" w:fill="CCEEFF"/>
          </w:tcPr>
          <w:p>
            <w:pPr>
              <w:jc w:val="right"/>
              <w:ind w:right="59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w:t>
            </w:r>
          </w:p>
        </w:tc>
        <w:tc>
          <w:tcPr>
            <w:tcW w:w="9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Arial" w:cs="Arial" w:eastAsia="Arial" w:hAnsi="Arial"/>
                <w:sz w:val="17"/>
                <w:szCs w:val="17"/>
                <w:color w:val="auto"/>
              </w:rPr>
              <w:t>CIRM grant</w:t>
            </w: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79</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Subcontract revenue</w:t>
            </w:r>
          </w:p>
        </w:tc>
        <w:tc>
          <w:tcPr>
            <w:tcW w:w="7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8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0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520" w:type="dxa"/>
            <w:vAlign w:val="bottom"/>
            <w:gridSpan w:val="2"/>
            <w:shd w:val="clear" w:color="auto" w:fill="CCEEFF"/>
          </w:tcPr>
          <w:p>
            <w:pPr>
              <w:jc w:val="right"/>
              <w:ind w:right="59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w:t>
            </w:r>
          </w:p>
        </w:tc>
        <w:tc>
          <w:tcPr>
            <w:tcW w:w="9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1,718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NIH grant revenue decreased as a result of decreases in direct labor and third party billable expense reimbursements related to the rescheduling of certain AV-101 grant-funded work to future periods. Grant revenue from the California Institute of Regenerative Medicine ("CIRM") project decreased as the grant reached completion at September 30, 2011.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 totaled $3,561,000 for the nine months ended December 31, 2011, compared with $1,814,000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2010. The following table compares the primary components of research and development expense between the periods (in $000):</w:t>
      </w:r>
    </w:p>
    <w:p>
      <w:pPr>
        <w:spacing w:after="0" w:line="229" w:lineRule="exact"/>
        <w:rPr>
          <w:sz w:val="20"/>
          <w:szCs w:val="20"/>
          <w:color w:val="auto"/>
        </w:rPr>
      </w:pPr>
    </w:p>
    <w:tbl>
      <w:tblPr>
        <w:tblLayout w:type="fixed"/>
        <w:tblInd w:w="116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ind w:left="34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December 31,</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2011</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w w:val="84"/>
              </w:rPr>
              <w:t>2010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Salaries and benefits</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411</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UHN research under SRCA</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Technology licenses and royalties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221</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Project-related third-party research and supplies: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60" w:type="dxa"/>
            <w:vAlign w:val="bottom"/>
          </w:tcPr>
          <w:p>
            <w:pPr>
              <w:ind w:left="160"/>
              <w:spacing w:after="0"/>
              <w:rPr>
                <w:sz w:val="20"/>
                <w:szCs w:val="20"/>
                <w:color w:val="auto"/>
              </w:rPr>
            </w:pPr>
            <w:r>
              <w:rPr>
                <w:rFonts w:ascii="Arial" w:cs="Arial" w:eastAsia="Arial" w:hAnsi="Arial"/>
                <w:sz w:val="17"/>
                <w:szCs w:val="17"/>
                <w:color w:val="auto"/>
              </w:rPr>
              <w:t>AV-101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1,366</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CIRM</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7"/>
                <w:szCs w:val="17"/>
                <w:color w:val="auto"/>
              </w:rPr>
              <w:t>All other including CardioSafe and LiverSafe</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1,544</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Rent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76</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Depreciation</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Warrant modification expense</w:t>
            </w: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Total Research and Development Expense</w:t>
            </w:r>
          </w:p>
        </w:tc>
        <w:tc>
          <w:tcPr>
            <w:tcW w:w="26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3,561</w:t>
            </w:r>
          </w:p>
        </w:tc>
        <w:tc>
          <w:tcPr>
            <w:tcW w:w="5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1,814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Salary and benefits expense increased due to the impact of new research personnel added since December 2010 and a bonus granted in December 2011. Sponsored research at UHN related to our stem cell research collaboration with Dr. Gordon Keller’s laboratory reflects the issuance in fiscal 2012 of $175,000 in (non-cash) stock-based compensation and payment of $350,000 in research consulting expense to UHN to further expand the scope and duration of our rights under our long term strategic stem cell research collaboration agreement. Technology licenses and royalty expense for 2010 reflected the adjustment of royalty expense to reflect a provision in one of our arrangements that permits an offset for patent prosecution costs we incur. The increase in AV-101-related project expense reflects increased third-party grant-reimbursable-costs of $369,000 related to the Phase 1 development of AV-101 as well as on-going non-grant-reimbursable effort conducted by third-party collaborators, including Cato Research Laboratories, whose efforts included costs of $426,000 to develop new NIH grant applications for subsequent phases of the project as well as for general project management. The CIRM grant expired at the end of September 2011. Other non-grant project expense includes $54,000 attributable to a new stem cell research collaboration in 2011. Warrant modification expense is attributable to the Agreement Regarding Payment of Invoices and Warrant Exercises with Cato Holding Company described in Note 7 to the Condensed Consolidated Financial Statements included in Item 1 of this Form 10-Q. We do not track internal research and development expenses, including compensation costs, by project as we do not currently believe that such project accounting is feasible nor required given the overlap of project resources, including staffing, that are dedicated to our research and development projects.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40" w:lineRule="exact"/>
        <w:rPr>
          <w:sz w:val="20"/>
          <w:szCs w:val="20"/>
          <w:color w:val="auto"/>
        </w:rPr>
      </w:pPr>
    </w:p>
    <w:p>
      <w:pPr>
        <w:jc w:val="both"/>
        <w:spacing w:after="0" w:line="346" w:lineRule="auto"/>
        <w:rPr>
          <w:sz w:val="20"/>
          <w:szCs w:val="20"/>
          <w:color w:val="auto"/>
        </w:rPr>
      </w:pPr>
      <w:r>
        <w:rPr>
          <w:rFonts w:ascii="Arial" w:cs="Arial" w:eastAsia="Arial" w:hAnsi="Arial"/>
          <w:sz w:val="15"/>
          <w:szCs w:val="15"/>
          <w:color w:val="auto"/>
        </w:rPr>
        <w:t>General and administrative expense was $3,569,000 for the nine months ended December 31, 2011, a decrease of $186,000 from the $3,755,000 reported for the nine months ended December 31, 2010. The following table compares the primary components of general and administrative expense between the periods (in $000):</w:t>
      </w:r>
    </w:p>
    <w:p>
      <w:pPr>
        <w:spacing w:after="0" w:line="144" w:lineRule="exact"/>
        <w:rPr>
          <w:sz w:val="20"/>
          <w:szCs w:val="20"/>
          <w:color w:val="auto"/>
        </w:rPr>
      </w:pPr>
    </w:p>
    <w:tbl>
      <w:tblPr>
        <w:tblLayout w:type="fixed"/>
        <w:tblInd w:w="116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120" w:type="dxa"/>
            <w:vAlign w:val="bottom"/>
            <w:gridSpan w:val="4"/>
          </w:tcPr>
          <w:p>
            <w:pPr>
              <w:jc w:val="right"/>
              <w:ind w:right="180"/>
              <w:spacing w:after="0"/>
              <w:rPr>
                <w:sz w:val="20"/>
                <w:szCs w:val="20"/>
                <w:color w:val="auto"/>
              </w:rPr>
            </w:pPr>
            <w:r>
              <w:rPr>
                <w:rFonts w:ascii="Arial" w:cs="Arial" w:eastAsia="Arial" w:hAnsi="Arial"/>
                <w:sz w:val="17"/>
                <w:szCs w:val="17"/>
                <w:color w:val="auto"/>
              </w:rPr>
              <w:t>Nine Months Ended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7"/>
                <w:szCs w:val="17"/>
                <w:color w:val="auto"/>
                <w:w w:val="89"/>
              </w:rPr>
              <w:t>December 31,</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2011</w:t>
            </w: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2010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Salaries and benefits</w:t>
            </w:r>
          </w:p>
        </w:tc>
        <w:tc>
          <w:tcPr>
            <w:tcW w:w="2460" w:type="dxa"/>
            <w:vAlign w:val="bottom"/>
            <w:gridSpan w:val="2"/>
            <w:shd w:val="clear" w:color="auto" w:fill="CCEEFF"/>
          </w:tcPr>
          <w:p>
            <w:pPr>
              <w:jc w:val="right"/>
              <w:ind w:right="59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9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1,036</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Consulting Services</w:t>
            </w:r>
          </w:p>
        </w:tc>
        <w:tc>
          <w:tcPr>
            <w:tcW w:w="1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Legal, accounting and other professional fees</w:t>
            </w: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668</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2,407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Insurance</w:t>
            </w:r>
          </w:p>
        </w:tc>
        <w:tc>
          <w:tcPr>
            <w:tcW w:w="1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Travel and entertainment</w:t>
            </w: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38</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Rent and utilities</w:t>
            </w:r>
          </w:p>
        </w:tc>
        <w:tc>
          <w:tcPr>
            <w:tcW w:w="1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7"/>
                <w:szCs w:val="17"/>
                <w:color w:val="auto"/>
              </w:rPr>
              <w:t>Warrant modification expense</w:t>
            </w: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641</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All other expenses</w:t>
            </w:r>
          </w:p>
        </w:tc>
        <w:tc>
          <w:tcPr>
            <w:tcW w:w="17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Total General and Administrative Expense</w:t>
            </w:r>
          </w:p>
        </w:tc>
        <w:tc>
          <w:tcPr>
            <w:tcW w:w="2460" w:type="dxa"/>
            <w:vAlign w:val="bottom"/>
            <w:gridSpan w:val="2"/>
            <w:shd w:val="clear" w:color="auto" w:fill="CCEEFF"/>
          </w:tcPr>
          <w:p>
            <w:pPr>
              <w:jc w:val="right"/>
              <w:ind w:right="59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3,569</w:t>
            </w:r>
          </w:p>
        </w:tc>
        <w:tc>
          <w:tcPr>
            <w:tcW w:w="9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3,755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 the quarter ended December 31, 2010, we expensed $2,117,000 of legal, accounting and other fees that we had incurred in anticipation of a potential listing on the Toronto Stock Exchange when we decided not to proceed with that initiative. Excluding the impact of that transaction, legal and accounting fees have increased in the nine months ended December 31, 2011 primarily as a result of costs related to the Merger and to becoming a public company in May 2011 and maintaining our status as such. The increase in salaries and benefits expense reflects the impact of headcount increases, reduced officer compensation levels in 2010 and payments aggregating $85,000 representing partial recovery of the reduction paid in May 2011, as well as $185,000 of compensation attributed to two officers related to the May 2011 the cancellation of certain notes receivable from Officers, as described in Note 8 to the Condensed Consolidated Financial Statements included in Item 1 of this Form 10-Q. During 2011, we have also incurred increased consulting and other outside service costs related to expanded business development, investor relations and awareness initiatives. Non-cash expense related to stock-based compensation for the nine months ended December 31, 2011 has increased by $170,000 due to both additional option grants and to the impact of our increased stock price on expense related to non-employee option grants. Additionally, in 2011, we incurred non-cash warrant modification expense of $641,000 related to reducing the exercise price and, in some cases, extending the term of certain outstanding warrants to purchase our common stock, as described in Note 7 to the Condensed Consolidated Financial Statements included in Item 1 of this Form 10-Q.</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Net</w:t>
      </w:r>
    </w:p>
    <w:p>
      <w:pPr>
        <w:spacing w:after="0" w:line="24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Other expense, net for the nine months ended December 31 2011 consisted of the $1,193,500 loss on early debt extinguishment related to the December 2011 conversion of the Platinum Note into equity, as described in Note 5 to the Condensed Consolidated Financial Statements included in Item 1 of this Form 10-Q, interest expense of $1,638,000, and a $78,000 net charge for the increase in the fair value of the Platinum Notes extension option and warrant liability, both of which were terminated in conjunction with the May 2011 restructuring of the Platinum Notes. Other expense for the nine months ended December 31, 2010 consisted of $2,251,000 of interest expense offset by a $157,000 benefit for the decrease in the fair value of the then-outstanding Platinum Notes extension option and warrant liability. The decrease in interest expense between the periods resulted primarily from the conversion of convertible promissory notes into equity in connection with the Merger in May 2011.</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At December 31, 2011, we had cash and cash equivalents of $166,000. See Note 9, </w:t>
      </w:r>
      <w:r>
        <w:rPr>
          <w:rFonts w:ascii="Arial" w:cs="Arial" w:eastAsia="Arial" w:hAnsi="Arial"/>
          <w:sz w:val="17"/>
          <w:szCs w:val="17"/>
          <w:i w:val="1"/>
          <w:iCs w:val="1"/>
          <w:color w:val="auto"/>
        </w:rPr>
        <w:t>Subsequent Events</w:t>
      </w:r>
      <w:r>
        <w:rPr>
          <w:rFonts w:ascii="Arial" w:cs="Arial" w:eastAsia="Arial" w:hAnsi="Arial"/>
          <w:sz w:val="17"/>
          <w:szCs w:val="17"/>
          <w:color w:val="auto"/>
        </w:rPr>
        <w:t>, to the Condensed Consolidated Financial Statements included in Part I of this Form 10-Q regarding additional capital the Company has raised through warrant exercises since that date.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Since its inception in May 1998, VistaGen has financed its operations and technology acquisitions primarily through the issuance and sale of equity securities for cash consideration and convertible promissory notes and short-term promissory notes, as well as from government research grant awards and strategic collaboration payments.</w:t>
      </w:r>
    </w:p>
    <w:p>
      <w:pPr>
        <w:spacing w:after="0" w:line="201"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On May 11, 2011, immediately prior to the Merger (see Note 1 to the accompanying Condensed Consolidated Financial Statements), we sold 2,216,106 Units in the 2011 Private Placement. The Units were sold at a price of $1.75 per Unit and consisted of one share of common stock and one warrant entitling the holder to purchase one-fourth (1/4) of one share of common stock at an exercise price of $2.50 per share. The warrants, which collectively allow for the purchase of 554,013 shares of common stock, expire on May 11, 2014. Proceeds from the sale of the Units were $2,369,194 in cash, a $500,000 note due on September 6, 2011, cancellation of $840,000 of our short-term notes which were payable on April 30, 2011, a note cancellation premium of $94,500, and cancellation of $74,503 of accounts payable. At September 30, 2011, the $500,000 promissory note due on September 6, 2011 remained unpaid. In October 2011, we restructured the note to require a series of monthly payments through September 2012 (see Note 7 to the accompanying Condensed Consolidated Financial Statements),</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At the time of the Merger, (i) outstanding convertible promissory notes in the amount of $6,174,793, including principal and accrued interest; and (ii) all 2,884,655 then-outstanding shares of preferred stock were converted into shares of common stock. The holders of the notes that converted and all holders of the preferred stock exchanged their securities for an aggregate of 3,206,471 shares of our common stock, which shares were part of the 6,836,452 shares of our common stock issued for the outstanding shares of VistaGen's common stock.</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Subsequent to the Merger and through December 31, 2011, we have cancelled the $4.0 million principal balance of the outstanding convertible note payable to Platinum and warrants to purchase 1,599,858 shares of our common stock held by Platinum in exchange for the issuance to Platinum of 437,055 shares of a newly-created series of preferred stock desegrated as Series A Preferred Stock and described in Note 7, Capital Stock, to the Condensed Consolidated Financial Statements included in Part I of this Form 10-Q. Additionally, we have modified the exercise price and, in some cases, the term of outstanding warrants and warrant holders have exercised warrants to purchase 1,493,538 shares of our common stock. As a result of these exercises, we have received cash proceeds of $1.1 million, satisfied outstanding liabilities for services aggregating approximately $275,000 in lieu of payment, and arranged satisfaction for future services of approximately $268,000 in lieu of payment. We also sold 63,570 Units, each Unit consisting of one share of our common stock and a three-year warrant to purchase ¼ of one share of our common stock, in a follow-on private placement and received cash proceeds of approximately $111,000.</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We believe our current cash and cash equivalents, including the cash proceeds from the warrant exercises described in Note 9, </w:t>
      </w:r>
      <w:r>
        <w:rPr>
          <w:rFonts w:ascii="Arial" w:cs="Arial" w:eastAsia="Arial" w:hAnsi="Arial"/>
          <w:sz w:val="16"/>
          <w:szCs w:val="16"/>
          <w:i w:val="1"/>
          <w:iCs w:val="1"/>
          <w:color w:val="auto"/>
        </w:rPr>
        <w:t>Subsequent Events</w:t>
      </w:r>
      <w:r>
        <w:rPr>
          <w:rFonts w:ascii="Arial" w:cs="Arial" w:eastAsia="Arial" w:hAnsi="Arial"/>
          <w:sz w:val="16"/>
          <w:szCs w:val="16"/>
          <w:color w:val="auto"/>
        </w:rPr>
        <w:t>, to the Condensed Consolidated Financial Statements included in Part I of this Form 10-Q will not enable us to fund our operations through the next twelve months. We anticipate that our cash expenditures during the next twelve months will be approximately $7 million. However, we have demonstrated the ability to manage our costs aggressively and increase our operating efficiencies while advancing our stem cell technology platform and AV-101 development programs. To further advance drug rescue applications of our stem cell technology platform, pilot preclinical cell therapy initiatives, and clinical development of AV-101, as well as support our operating activities, we expect our monthly operating costs associated with salaries and benefits, regulatory and public company consulting, contract research and development, legal, accounting and other working capital costs to increase. In the past, we have relied primarily on government grant awards, private placements of our debt and equity securities, and strategic collaborations to meet our operating budget and achieve our business objectives, and we plan to continue that practice in the future. The economic conditions during 2010 and 2011, including the tightening of available funding in the financial markets, delayed the extent of advancement on our stem cell technology and clinical development programs. Although we have been successful in the past with raising sufficient capital, and we will continue to pursue additional financing opportunities to meet our business objectives, there can be no assurance that additional capital will be available to us in sufficient amounts or on terms favorable to us, if at all. If we are unable to complete one or more private placements, or otherwise obtain sufficient financing through strategic collaborations or government grant awards, we may be required to delay, scale back or discontinue certain drug rescue and/or research and development activities, and this may adversely affect our ability to operate as a going concern. If additional funds are obtained by selling equity or debt securities, substantial dilution to existing stockholders may result. Our future working capital requirements will depend on many factors, including without limitation, the scope and nature of our drug rescue and research and development efforts, the success of such programs, our ability to obtain government grant awards and our ability to enter into strategic collaborations with institutions on terms acceptable to us.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changes in cash and cash equivalents for the periods stated (in thousands):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6"/>
          </w:tcPr>
          <w:p>
            <w:pPr>
              <w:jc w:val="right"/>
              <w:ind w:right="86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7"/>
                <w:szCs w:val="17"/>
                <w:color w:val="auto"/>
              </w:rPr>
              <w:t>December 31,</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(2,847)</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5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(13)</w:t>
            </w:r>
          </w:p>
        </w:tc>
        <w:tc>
          <w:tcPr>
            <w:tcW w:w="5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4"/>
              </w:rPr>
              <w:t>Net cash provided by financing activities, including sale of Units and warrant exercises in 2011 and</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issuance of notes and warrants in 2010</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2,888</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We have no off-balance sheet arrangements.</w:t>
      </w:r>
    </w:p>
    <w:p>
      <w:pPr>
        <w:spacing w:after="0" w:line="23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44"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Our management, with the participation of our Chief Executive Officer and Acting Chief Financial Officer, evaluated the effectiveness of our disclosure controls and procedures (as defined in Rule 13a-15(e) of the Exchange Act) as of the end of the period covered by this report. Based on that evaluation, our Chief Executive Officer and our Acting Chief Financial Officer concluded that our disclosure controls and procedures as of the end of the period covered by this report were effective.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40"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set forth in our amended report on Form 8-K/A filed with the Securities and Exchange Commission on June 8, 2011, and as further amended and filed on December 20, 2011, which could materially affect our business, financial condition or future results. The risks described in our Form 8-K/A are not the only risks facing our Company. Additional risks and uncertainties not currently known to us or that we currently deem to be immaterial also may materially adversely affect our business, financial condition and/or operating results.</w:t>
      </w:r>
    </w:p>
    <w:p>
      <w:pPr>
        <w:spacing w:after="0" w:line="202"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See our amended report on Form 8-K/A for the fiscal year ended March 31, 2011, as filed with the United States Securities and Exchange Commission on August 12, 2011.</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w:t>
      </w:r>
    </w:p>
    <w:p>
      <w:pPr>
        <w:spacing w:after="0" w:line="200" w:lineRule="exact"/>
        <w:rPr>
          <w:sz w:val="20"/>
          <w:szCs w:val="20"/>
          <w:color w:val="auto"/>
        </w:rPr>
      </w:pPr>
    </w:p>
    <w:p>
      <w:pPr>
        <w:sectPr>
          <w:pgSz w:w="11900" w:h="16838" w:orient="portrait"/>
          <w:cols w:equalWidth="0" w:num="2">
            <w:col w:w="520" w:space="680"/>
            <w:col w:w="10220"/>
          </w:cols>
          <w:pgMar w:left="240" w:top="131" w:right="239" w:bottom="1440" w:gutter="0" w:footer="0" w:header="0"/>
          <w:type w:val="continuous"/>
        </w:sectPr>
      </w:pPr>
    </w:p>
    <w:p>
      <w:pPr>
        <w:spacing w:after="0" w:line="4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Exhibit</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49657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657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4840"/>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31115</wp:posOffset>
            </wp:positionV>
            <wp:extent cx="668337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83375" cy="1651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5020" w:space="720"/>
            <w:col w:w="5680"/>
          </w:cols>
          <w:pgMar w:left="240" w:top="131" w:right="239" w:bottom="1440" w:gutter="0" w:footer="0" w:header="0"/>
          <w:type w:val="continuous"/>
        </w:sectPr>
      </w:pPr>
    </w:p>
    <w:p>
      <w:pPr>
        <w:ind w:left="900" w:right="100" w:hanging="662"/>
        <w:spacing w:after="0" w:line="277" w:lineRule="auto"/>
        <w:tabs>
          <w:tab w:leader="none" w:pos="88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Certification of the Principal Executive Officer required by Rule 13a-14(a) under the Securities 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-278130</wp:posOffset>
            </wp:positionV>
            <wp:extent cx="7253605" cy="260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60350"/>
                    </a:xfrm>
                    <a:prstGeom prst="rect">
                      <a:avLst/>
                    </a:prstGeom>
                    <a:noFill/>
                  </pic:spPr>
                </pic:pic>
              </a:graphicData>
            </a:graphic>
          </wp:anchor>
        </w:drawing>
      </w:r>
    </w:p>
    <w:p>
      <w:pPr>
        <w:spacing w:after="0" w:line="144" w:lineRule="exact"/>
        <w:rPr>
          <w:sz w:val="20"/>
          <w:szCs w:val="20"/>
          <w:color w:val="auto"/>
        </w:rPr>
      </w:pPr>
    </w:p>
    <w:p>
      <w:pPr>
        <w:ind w:left="900" w:right="140" w:hanging="662"/>
        <w:spacing w:after="0" w:line="277" w:lineRule="auto"/>
        <w:tabs>
          <w:tab w:leader="none" w:pos="88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Certification of the Principal Financial Officer required by Rule 13a-14(a) under the Securities 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-278130</wp:posOffset>
            </wp:positionV>
            <wp:extent cx="7253605" cy="260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60350"/>
                    </a:xfrm>
                    <a:prstGeom prst="rect">
                      <a:avLst/>
                    </a:prstGeom>
                    <a:noFill/>
                  </pic:spPr>
                </pic:pic>
              </a:graphicData>
            </a:graphic>
          </wp:anchor>
        </w:drawing>
      </w:r>
    </w:p>
    <w:p>
      <w:pPr>
        <w:spacing w:after="0" w:line="144" w:lineRule="exact"/>
        <w:rPr>
          <w:sz w:val="20"/>
          <w:szCs w:val="20"/>
          <w:color w:val="auto"/>
        </w:rPr>
      </w:pPr>
    </w:p>
    <w:p>
      <w:pPr>
        <w:ind w:left="900" w:right="440" w:hanging="599"/>
        <w:spacing w:after="0" w:line="277"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-278130</wp:posOffset>
            </wp:positionV>
            <wp:extent cx="7253605" cy="260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60350"/>
                    </a:xfrm>
                    <a:prstGeom prst="rect">
                      <a:avLst/>
                    </a:prstGeom>
                    <a:noFill/>
                  </pic:spPr>
                </pic:pic>
              </a:graphicData>
            </a:graphic>
          </wp:anchor>
        </w:drawing>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1" w:name="page32"/>
    <w:bookmarkEnd w:id="3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19" w:lineRule="exact"/>
        <w:rPr>
          <w:sz w:val="20"/>
          <w:szCs w:val="20"/>
          <w:color w:val="auto"/>
        </w:rPr>
      </w:pPr>
    </w:p>
    <w:p>
      <w:pPr>
        <w:ind w:firstLine="650"/>
        <w:spacing w:after="0" w:line="27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VISTAGEN THERAPEUTICS, INC.</w:t>
      </w:r>
    </w:p>
    <w:p>
      <w:pPr>
        <w:spacing w:after="0" w:line="215"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13970</wp:posOffset>
            </wp:positionV>
            <wp:extent cx="294703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47035" cy="16510"/>
                    </a:xfrm>
                    <a:prstGeom prst="rect">
                      <a:avLst/>
                    </a:prstGeom>
                    <a:noFill/>
                  </pic:spPr>
                </pic:pic>
              </a:graphicData>
            </a:graphic>
          </wp:anchor>
        </w:drawing>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Shawn K. Singh, J.D.</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7"/>
          <w:szCs w:val="17"/>
          <w:i w:val="1"/>
          <w:iCs w:val="1"/>
          <w:color w:val="auto"/>
        </w:rPr>
        <w:t>Chief Executive Officer (Principal Executive Officer)</w:t>
      </w:r>
    </w:p>
    <w:p>
      <w:pPr>
        <w:spacing w:after="0" w:line="204"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/s/ Jerrold D. Dotson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13970</wp:posOffset>
            </wp:positionV>
            <wp:extent cx="294703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47035" cy="16510"/>
                    </a:xfrm>
                    <a:prstGeom prst="rect">
                      <a:avLst/>
                    </a:prstGeom>
                    <a:noFill/>
                  </pic:spPr>
                </pic:pic>
              </a:graphicData>
            </a:graphic>
          </wp:anchor>
        </w:drawing>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Jerrold D. Dotson</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7"/>
          <w:szCs w:val="17"/>
          <w:i w:val="1"/>
          <w:iCs w:val="1"/>
          <w:color w:val="auto"/>
        </w:rPr>
        <w:t>Acting Chief Financial Officer (Principal Financial and</w:t>
      </w:r>
    </w:p>
    <w:p>
      <w:pPr>
        <w:spacing w:after="0" w:line="10" w:lineRule="exact"/>
        <w:rPr>
          <w:sz w:val="20"/>
          <w:szCs w:val="20"/>
          <w:color w:val="auto"/>
        </w:rPr>
      </w:pPr>
    </w:p>
    <w:p>
      <w:pPr>
        <w:ind w:left="5120"/>
        <w:spacing w:after="0"/>
        <w:rPr>
          <w:sz w:val="20"/>
          <w:szCs w:val="20"/>
          <w:color w:val="auto"/>
        </w:rPr>
      </w:pPr>
      <w:r>
        <w:rPr>
          <w:rFonts w:ascii="Arial" w:cs="Arial" w:eastAsia="Arial" w:hAnsi="Arial"/>
          <w:sz w:val="17"/>
          <w:szCs w:val="17"/>
          <w:i w:val="1"/>
          <w:iCs w:val="1"/>
          <w:color w:val="auto"/>
        </w:rPr>
        <w:t>Accounting Officer)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14, 2012</w:t>
      </w:r>
    </w:p>
    <w:p>
      <w:pPr>
        <w:sectPr>
          <w:pgSz w:w="11900" w:h="16838" w:orient="portrait"/>
          <w:cols w:equalWidth="0" w:num="1">
            <w:col w:w="11420"/>
          </w:cols>
          <w:pgMar w:left="240" w:top="13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7"/>
          <w:szCs w:val="17"/>
          <w:b w:val="1"/>
          <w:bCs w:val="1"/>
          <w:color w:val="auto"/>
        </w:rPr>
        <w:t>EX 31.1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Shawn K. Singh, certify that;</w:t>
      </w:r>
    </w:p>
    <w:p>
      <w:pPr>
        <w:spacing w:after="0" w:line="240" w:lineRule="exact"/>
        <w:rPr>
          <w:sz w:val="20"/>
          <w:szCs w:val="20"/>
          <w:color w:val="auto"/>
        </w:rPr>
      </w:pPr>
    </w:p>
    <w:p>
      <w:pPr>
        <w:ind w:left="600" w:hanging="597"/>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VistaGen Therapeutics, Inc.;</w:t>
      </w:r>
    </w:p>
    <w:p>
      <w:pPr>
        <w:spacing w:after="0" w:line="240" w:lineRule="exact"/>
        <w:rPr>
          <w:rFonts w:ascii="Arial" w:cs="Arial" w:eastAsia="Arial" w:hAnsi="Arial"/>
          <w:sz w:val="17"/>
          <w:szCs w:val="17"/>
          <w:color w:val="auto"/>
        </w:rPr>
      </w:pPr>
    </w:p>
    <w:p>
      <w:pPr>
        <w:ind w:firstLine="3"/>
        <w:spacing w:after="0" w:line="309"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67" w:lineRule="exact"/>
        <w:rPr>
          <w:rFonts w:ascii="Arial" w:cs="Arial" w:eastAsia="Arial" w:hAnsi="Arial"/>
          <w:sz w:val="16"/>
          <w:szCs w:val="16"/>
          <w:color w:val="auto"/>
        </w:rPr>
      </w:pPr>
    </w:p>
    <w:p>
      <w:pPr>
        <w:ind w:firstLine="3"/>
        <w:spacing w:after="0" w:line="277" w:lineRule="auto"/>
        <w:tabs>
          <w:tab w:leader="none" w:pos="666"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7"/>
          <w:szCs w:val="17"/>
          <w:color w:val="auto"/>
        </w:rPr>
      </w:pPr>
    </w:p>
    <w:p>
      <w:pPr>
        <w:ind w:firstLine="3"/>
        <w:spacing w:after="0" w:line="346" w:lineRule="auto"/>
        <w:tabs>
          <w:tab w:leader="none" w:pos="654"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43" w:lineRule="exact"/>
        <w:rPr>
          <w:rFonts w:ascii="Arial" w:cs="Arial" w:eastAsia="Arial" w:hAnsi="Arial"/>
          <w:sz w:val="15"/>
          <w:szCs w:val="15"/>
          <w:color w:val="auto"/>
        </w:rPr>
      </w:pPr>
    </w:p>
    <w:p>
      <w:pPr>
        <w:jc w:val="both"/>
        <w:ind w:firstLine="310"/>
        <w:spacing w:after="0" w:line="264" w:lineRule="auto"/>
        <w:tabs>
          <w:tab w:leader="none" w:pos="919"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firstLine="310"/>
        <w:spacing w:after="0" w:line="264" w:lineRule="auto"/>
        <w:tabs>
          <w:tab w:leader="none" w:pos="964"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firstLine="310"/>
        <w:spacing w:after="0" w:line="277" w:lineRule="auto"/>
        <w:tabs>
          <w:tab w:leader="none" w:pos="974"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jc w:val="both"/>
        <w:ind w:firstLine="310"/>
        <w:spacing w:after="0" w:line="264" w:lineRule="auto"/>
        <w:tabs>
          <w:tab w:leader="none" w:pos="1052"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firstLine="3"/>
        <w:spacing w:after="0" w:line="277" w:lineRule="auto"/>
        <w:tabs>
          <w:tab w:leader="none" w:pos="79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7"/>
          <w:szCs w:val="17"/>
          <w:color w:val="auto"/>
        </w:rPr>
      </w:pPr>
    </w:p>
    <w:p>
      <w:pPr>
        <w:ind w:firstLine="310"/>
        <w:spacing w:after="0" w:line="277" w:lineRule="auto"/>
        <w:tabs>
          <w:tab w:leader="none" w:pos="941"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firstLine="310"/>
        <w:spacing w:after="0" w:line="277" w:lineRule="auto"/>
        <w:tabs>
          <w:tab w:leader="none" w:pos="1022"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tcPr>
          <w:p>
            <w:pPr>
              <w:spacing w:after="0"/>
              <w:rPr>
                <w:sz w:val="20"/>
                <w:szCs w:val="20"/>
                <w:color w:val="auto"/>
              </w:rPr>
            </w:pPr>
            <w:r>
              <w:rPr>
                <w:rFonts w:ascii="Arial" w:cs="Arial" w:eastAsia="Arial" w:hAnsi="Arial"/>
                <w:sz w:val="17"/>
                <w:szCs w:val="17"/>
                <w:color w:val="auto"/>
              </w:rPr>
              <w:t>February 14, 2012</w:t>
            </w:r>
          </w:p>
        </w:tc>
        <w:tc>
          <w:tcPr>
            <w:tcW w:w="262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/s/ Shawn K. Singh</w:t>
            </w:r>
          </w:p>
        </w:tc>
        <w:tc>
          <w:tcPr>
            <w:tcW w:w="0" w:type="dxa"/>
            <w:vAlign w:val="bottom"/>
          </w:tcPr>
          <w:p>
            <w:pPr>
              <w:spacing w:after="0"/>
              <w:rPr>
                <w:sz w:val="1"/>
                <w:szCs w:val="1"/>
                <w:color w:val="auto"/>
              </w:rPr>
            </w:pPr>
          </w:p>
        </w:tc>
      </w:tr>
      <w:tr>
        <w:trPr>
          <w:trHeight w:val="222"/>
        </w:trPr>
        <w:tc>
          <w:tcPr>
            <w:tcW w:w="3760" w:type="dxa"/>
            <w:vAlign w:val="bottom"/>
          </w:tcPr>
          <w:p>
            <w:pPr>
              <w:ind w:left="300"/>
              <w:spacing w:after="0"/>
              <w:rPr>
                <w:sz w:val="20"/>
                <w:szCs w:val="20"/>
                <w:color w:val="auto"/>
              </w:rPr>
            </w:pPr>
            <w:r>
              <w:rPr>
                <w:rFonts w:ascii="Arial" w:cs="Arial" w:eastAsia="Arial" w:hAnsi="Arial"/>
                <w:sz w:val="17"/>
                <w:szCs w:val="17"/>
                <w:color w:val="auto"/>
              </w:rPr>
              <w:t>Shawn K. Singh, JD</w:t>
            </w:r>
          </w:p>
        </w:tc>
        <w:tc>
          <w:tcPr>
            <w:tcW w:w="3940" w:type="dxa"/>
            <w:vAlign w:val="bottom"/>
            <w:gridSpan w:val="2"/>
            <w:vMerge w:val="restart"/>
          </w:tcPr>
          <w:p>
            <w:pPr>
              <w:jc w:val="right"/>
              <w:spacing w:after="0"/>
              <w:rPr>
                <w:sz w:val="20"/>
                <w:szCs w:val="20"/>
                <w:color w:val="auto"/>
              </w:rPr>
            </w:pPr>
            <w:r>
              <w:rPr>
                <w:rFonts w:ascii="Arial" w:cs="Arial" w:eastAsia="Arial" w:hAnsi="Arial"/>
                <w:sz w:val="17"/>
                <w:szCs w:val="17"/>
                <w:color w:val="auto"/>
              </w:rPr>
              <w:t>Principal Executive Officer</w:t>
            </w:r>
          </w:p>
        </w:tc>
        <w:tc>
          <w:tcPr>
            <w:tcW w:w="0" w:type="dxa"/>
            <w:vAlign w:val="bottom"/>
          </w:tcPr>
          <w:p>
            <w:pPr>
              <w:spacing w:after="0"/>
              <w:rPr>
                <w:sz w:val="1"/>
                <w:szCs w:val="1"/>
                <w:color w:val="auto"/>
              </w:rPr>
            </w:pPr>
          </w:p>
        </w:tc>
      </w:tr>
      <w:tr>
        <w:trPr>
          <w:trHeight w:val="205"/>
        </w:trPr>
        <w:tc>
          <w:tcPr>
            <w:tcW w:w="3760" w:type="dxa"/>
            <w:vAlign w:val="bottom"/>
          </w:tcPr>
          <w:p>
            <w:pPr>
              <w:spacing w:after="0"/>
              <w:rPr>
                <w:sz w:val="17"/>
                <w:szCs w:val="17"/>
                <w:color w:val="auto"/>
              </w:rPr>
            </w:pPr>
          </w:p>
        </w:tc>
        <w:tc>
          <w:tcPr>
            <w:tcW w:w="3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3"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7"/>
          <w:szCs w:val="17"/>
          <w:b w:val="1"/>
          <w:bCs w:val="1"/>
          <w:color w:val="auto"/>
        </w:rPr>
        <w:t>EX 31.2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Jerrold D. Dotson, certify that:</w:t>
      </w:r>
    </w:p>
    <w:p>
      <w:pPr>
        <w:spacing w:after="0" w:line="240" w:lineRule="exact"/>
        <w:rPr>
          <w:sz w:val="20"/>
          <w:szCs w:val="20"/>
          <w:color w:val="auto"/>
        </w:rPr>
      </w:pPr>
    </w:p>
    <w:p>
      <w:pPr>
        <w:ind w:left="600" w:hanging="597"/>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VistaGen Therapeutics, Inc.;</w:t>
      </w:r>
    </w:p>
    <w:p>
      <w:pPr>
        <w:spacing w:after="0" w:line="240" w:lineRule="exact"/>
        <w:rPr>
          <w:rFonts w:ascii="Arial" w:cs="Arial" w:eastAsia="Arial" w:hAnsi="Arial"/>
          <w:sz w:val="17"/>
          <w:szCs w:val="17"/>
          <w:color w:val="auto"/>
        </w:rPr>
      </w:pPr>
    </w:p>
    <w:p>
      <w:pPr>
        <w:ind w:firstLine="3"/>
        <w:spacing w:after="0" w:line="309"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67" w:lineRule="exact"/>
        <w:rPr>
          <w:rFonts w:ascii="Arial" w:cs="Arial" w:eastAsia="Arial" w:hAnsi="Arial"/>
          <w:sz w:val="16"/>
          <w:szCs w:val="16"/>
          <w:color w:val="auto"/>
        </w:rPr>
      </w:pPr>
    </w:p>
    <w:p>
      <w:pPr>
        <w:ind w:firstLine="3"/>
        <w:spacing w:after="0" w:line="277" w:lineRule="auto"/>
        <w:tabs>
          <w:tab w:leader="none" w:pos="666"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7"/>
          <w:szCs w:val="17"/>
          <w:color w:val="auto"/>
        </w:rPr>
      </w:pPr>
    </w:p>
    <w:p>
      <w:pPr>
        <w:ind w:firstLine="3"/>
        <w:spacing w:after="0" w:line="346" w:lineRule="auto"/>
        <w:tabs>
          <w:tab w:leader="none" w:pos="654"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43" w:lineRule="exact"/>
        <w:rPr>
          <w:rFonts w:ascii="Arial" w:cs="Arial" w:eastAsia="Arial" w:hAnsi="Arial"/>
          <w:sz w:val="15"/>
          <w:szCs w:val="15"/>
          <w:color w:val="auto"/>
        </w:rPr>
      </w:pPr>
    </w:p>
    <w:p>
      <w:pPr>
        <w:jc w:val="both"/>
        <w:ind w:firstLine="310"/>
        <w:spacing w:after="0" w:line="264" w:lineRule="auto"/>
        <w:tabs>
          <w:tab w:leader="none" w:pos="919"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firstLine="310"/>
        <w:spacing w:after="0" w:line="264" w:lineRule="auto"/>
        <w:tabs>
          <w:tab w:leader="none" w:pos="964"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firstLine="310"/>
        <w:spacing w:after="0" w:line="277" w:lineRule="auto"/>
        <w:tabs>
          <w:tab w:leader="none" w:pos="974"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jc w:val="both"/>
        <w:ind w:firstLine="310"/>
        <w:spacing w:after="0" w:line="264" w:lineRule="auto"/>
        <w:tabs>
          <w:tab w:leader="none" w:pos="1052"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firstLine="3"/>
        <w:spacing w:after="0" w:line="277" w:lineRule="auto"/>
        <w:tabs>
          <w:tab w:leader="none" w:pos="791"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7"/>
          <w:szCs w:val="17"/>
          <w:color w:val="auto"/>
        </w:rPr>
      </w:pPr>
    </w:p>
    <w:p>
      <w:pPr>
        <w:ind w:firstLine="310"/>
        <w:spacing w:after="0" w:line="277" w:lineRule="auto"/>
        <w:tabs>
          <w:tab w:leader="none" w:pos="941"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firstLine="310"/>
        <w:spacing w:after="0" w:line="277" w:lineRule="auto"/>
        <w:tabs>
          <w:tab w:leader="none" w:pos="1022"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February 14, 2012</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Jerrold D. Dotson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6985</wp:posOffset>
            </wp:positionV>
            <wp:extent cx="210058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00580" cy="16510"/>
                    </a:xfrm>
                    <a:prstGeom prst="rect">
                      <a:avLst/>
                    </a:prstGeom>
                    <a:noFill/>
                  </pic:spPr>
                </pic:pic>
              </a:graphicData>
            </a:graphic>
          </wp:anchor>
        </w:drawing>
      </w:r>
    </w:p>
    <w:p>
      <w:pPr>
        <w:spacing w:after="0" w:line="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Jerrold D. Dotson</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123"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7"/>
          <w:szCs w:val="17"/>
          <w:b w:val="1"/>
          <w:bCs w:val="1"/>
          <w:color w:val="auto"/>
        </w:rPr>
        <w:t>EX 32</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 connection with the Quarterly Report on Form 10-Q of VistaGen Therapeutics, Inc. (the “Company”) for the quarter ended December 31, 2011 as filed with the Securities and Exchange Commission on the date hereof (the “Report”), Shawn K. Singh, JD, the Company’s Principal Executive Officer, and Jerrold D. Dotson, the Company’s Acting Principal Financial Officer, certify, pursuant to 18 U.S.C. §1350, as adopted pursuant to §906 of the Sarbanes-Oxley Act of 2002, that to the best of their knowledge:</w:t>
      </w:r>
    </w:p>
    <w:p>
      <w:pPr>
        <w:spacing w:after="0" w:line="204" w:lineRule="exact"/>
        <w:rPr>
          <w:sz w:val="20"/>
          <w:szCs w:val="20"/>
          <w:color w:val="auto"/>
        </w:rPr>
      </w:pPr>
    </w:p>
    <w:p>
      <w:pPr>
        <w:ind w:left="620" w:hanging="216"/>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 of Section 13(a) or Section 15 (d) of the Securities Exchange Act of 1934, and</w:t>
      </w:r>
    </w:p>
    <w:p>
      <w:pPr>
        <w:spacing w:after="0" w:line="240" w:lineRule="exact"/>
        <w:rPr>
          <w:rFonts w:ascii="Arial" w:cs="Arial" w:eastAsia="Arial" w:hAnsi="Arial"/>
          <w:sz w:val="17"/>
          <w:szCs w:val="17"/>
          <w:color w:val="auto"/>
        </w:rPr>
      </w:pPr>
    </w:p>
    <w:p>
      <w:pPr>
        <w:ind w:left="620" w:hanging="216"/>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February 14, 2012</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Shawn K. Singh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Shawn K. Singh, JD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Jerrold D. Dotson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Jerrold D. Dotson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Acting Principal Financial Officer</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lvl w:ilvl="1">
      <w:lvlJc w:val="left"/>
      <w:lvlText w:val="o"/>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lvl w:ilvl="1">
      <w:lvlJc w:val="left"/>
      <w:lvlText w:val="(%2)"/>
      <w:numFmt w:val="lowerLetter"/>
      <w:start w:val="2"/>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32"/>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2020-02-25T20:09:50Z</dcterms:created>
  <dcterms:modified xsi:type="dcterms:W3CDTF">2020-02-25T20:09:50Z</dcterms:modified>
</cp:coreProperties>
</file>