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jc w:val="right"/>
        <w:ind w:left="4200" w:right="4200" w:hanging="4192"/>
        <w:spacing w:after="0" w:line="566" w:lineRule="auto"/>
        <w:tabs>
          <w:tab w:leader="none" w:pos="584"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March 31, 2016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4380" w:right="4020" w:hanging="4372"/>
        <w:spacing w:after="0" w:line="547" w:lineRule="auto"/>
        <w:tabs>
          <w:tab w:leader="none" w:pos="587"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Commission file number: 000-54014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VistaGen Therapeutics,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360" w:type="dxa"/>
            <w:vAlign w:val="bottom"/>
          </w:tcPr>
          <w:p>
            <w:pPr>
              <w:jc w:val="center"/>
              <w:ind w:right="2090"/>
              <w:spacing w:after="0"/>
              <w:rPr>
                <w:sz w:val="20"/>
                <w:szCs w:val="20"/>
                <w:color w:val="auto"/>
              </w:rPr>
            </w:pPr>
            <w:r>
              <w:rPr>
                <w:rFonts w:ascii="Arial" w:cs="Arial" w:eastAsia="Arial" w:hAnsi="Arial"/>
                <w:sz w:val="18"/>
                <w:szCs w:val="18"/>
                <w:b w:val="1"/>
                <w:bCs w:val="1"/>
                <w:color w:val="auto"/>
                <w:w w:val="90"/>
              </w:rPr>
              <w:t>Nevada</w:t>
            </w:r>
          </w:p>
        </w:tc>
        <w:tc>
          <w:tcPr>
            <w:tcW w:w="3540" w:type="dxa"/>
            <w:vAlign w:val="bottom"/>
          </w:tcPr>
          <w:p>
            <w:pPr>
              <w:jc w:val="center"/>
              <w:ind w:left="2130"/>
              <w:spacing w:after="0"/>
              <w:rPr>
                <w:sz w:val="20"/>
                <w:szCs w:val="20"/>
                <w:color w:val="auto"/>
              </w:rPr>
            </w:pPr>
            <w:r>
              <w:rPr>
                <w:rFonts w:ascii="Arial" w:cs="Arial" w:eastAsia="Arial" w:hAnsi="Arial"/>
                <w:sz w:val="18"/>
                <w:szCs w:val="18"/>
                <w:b w:val="1"/>
                <w:bCs w:val="1"/>
                <w:color w:val="auto"/>
                <w:w w:val="91"/>
              </w:rPr>
              <w:t>20-5093315</w:t>
            </w:r>
          </w:p>
        </w:tc>
      </w:tr>
      <w:tr>
        <w:trPr>
          <w:trHeight w:val="216"/>
        </w:trPr>
        <w:tc>
          <w:tcPr>
            <w:tcW w:w="4360" w:type="dxa"/>
            <w:vAlign w:val="bottom"/>
          </w:tcPr>
          <w:p>
            <w:pPr>
              <w:jc w:val="center"/>
              <w:ind w:right="2110"/>
              <w:spacing w:after="0"/>
              <w:rPr>
                <w:sz w:val="20"/>
                <w:szCs w:val="20"/>
                <w:color w:val="auto"/>
              </w:rPr>
            </w:pPr>
            <w:r>
              <w:rPr>
                <w:rFonts w:ascii="Arial" w:cs="Arial" w:eastAsia="Arial" w:hAnsi="Arial"/>
                <w:sz w:val="18"/>
                <w:szCs w:val="18"/>
                <w:color w:val="auto"/>
                <w:w w:val="92"/>
              </w:rPr>
              <w:t>(State or other jurisdiction of</w:t>
            </w:r>
          </w:p>
        </w:tc>
        <w:tc>
          <w:tcPr>
            <w:tcW w:w="3540" w:type="dxa"/>
            <w:vAlign w:val="bottom"/>
          </w:tcPr>
          <w:p>
            <w:pPr>
              <w:jc w:val="center"/>
              <w:ind w:left="2130"/>
              <w:spacing w:after="0"/>
              <w:rPr>
                <w:sz w:val="20"/>
                <w:szCs w:val="20"/>
                <w:color w:val="auto"/>
              </w:rPr>
            </w:pPr>
            <w:r>
              <w:rPr>
                <w:rFonts w:ascii="Arial" w:cs="Arial" w:eastAsia="Arial" w:hAnsi="Arial"/>
                <w:sz w:val="18"/>
                <w:szCs w:val="18"/>
                <w:color w:val="auto"/>
                <w:w w:val="93"/>
              </w:rPr>
              <w:t>(I.R.S. Employer</w:t>
            </w:r>
          </w:p>
        </w:tc>
      </w:tr>
      <w:tr>
        <w:trPr>
          <w:trHeight w:val="230"/>
        </w:trPr>
        <w:tc>
          <w:tcPr>
            <w:tcW w:w="4360" w:type="dxa"/>
            <w:vAlign w:val="bottom"/>
          </w:tcPr>
          <w:p>
            <w:pPr>
              <w:jc w:val="center"/>
              <w:ind w:right="2110"/>
              <w:spacing w:after="0"/>
              <w:rPr>
                <w:sz w:val="20"/>
                <w:szCs w:val="20"/>
                <w:color w:val="auto"/>
              </w:rPr>
            </w:pPr>
            <w:r>
              <w:rPr>
                <w:rFonts w:ascii="Arial" w:cs="Arial" w:eastAsia="Arial" w:hAnsi="Arial"/>
                <w:sz w:val="18"/>
                <w:szCs w:val="18"/>
                <w:color w:val="auto"/>
                <w:w w:val="92"/>
              </w:rPr>
              <w:t>incorporation or organization)</w:t>
            </w:r>
          </w:p>
        </w:tc>
        <w:tc>
          <w:tcPr>
            <w:tcW w:w="3540" w:type="dxa"/>
            <w:vAlign w:val="bottom"/>
          </w:tcPr>
          <w:p>
            <w:pPr>
              <w:jc w:val="center"/>
              <w:ind w:left="211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2840" w:type="dxa"/>
            <w:vAlign w:val="bottom"/>
            <w:gridSpan w:val="3"/>
          </w:tcPr>
          <w:p>
            <w:pPr>
              <w:jc w:val="center"/>
              <w:ind w:right="1450"/>
              <w:spacing w:after="0"/>
              <w:rPr>
                <w:sz w:val="20"/>
                <w:szCs w:val="20"/>
                <w:color w:val="auto"/>
              </w:rPr>
            </w:pPr>
            <w:r>
              <w:rPr>
                <w:rFonts w:ascii="Arial" w:cs="Arial" w:eastAsia="Arial" w:hAnsi="Arial"/>
                <w:sz w:val="18"/>
                <w:szCs w:val="18"/>
                <w:color w:val="auto"/>
                <w:w w:val="90"/>
              </w:rPr>
              <w:t>Title of each class</w:t>
            </w:r>
          </w:p>
        </w:tc>
        <w:tc>
          <w:tcPr>
            <w:tcW w:w="5180" w:type="dxa"/>
            <w:vAlign w:val="bottom"/>
            <w:gridSpan w:val="6"/>
          </w:tcPr>
          <w:p>
            <w:pPr>
              <w:jc w:val="center"/>
              <w:ind w:left="189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180" w:type="dxa"/>
            <w:vAlign w:val="bottom"/>
            <w:gridSpan w:val="4"/>
            <w:shd w:val="clear" w:color="auto" w:fill="000000"/>
          </w:tcPr>
          <w:p>
            <w:pPr>
              <w:spacing w:after="0" w:line="20" w:lineRule="exact"/>
              <w:rPr>
                <w:sz w:val="1"/>
                <w:szCs w:val="1"/>
                <w:color w:val="auto"/>
              </w:rPr>
            </w:pPr>
          </w:p>
        </w:tc>
      </w:tr>
      <w:tr>
        <w:trPr>
          <w:trHeight w:val="237"/>
        </w:trPr>
        <w:tc>
          <w:tcPr>
            <w:tcW w:w="4880" w:type="dxa"/>
            <w:vAlign w:val="bottom"/>
            <w:gridSpan w:val="4"/>
          </w:tcPr>
          <w:p>
            <w:pPr>
              <w:jc w:val="center"/>
              <w:ind w:left="430"/>
              <w:spacing w:after="0"/>
              <w:rPr>
                <w:sz w:val="20"/>
                <w:szCs w:val="20"/>
                <w:color w:val="auto"/>
              </w:rPr>
            </w:pPr>
            <w:r>
              <w:rPr>
                <w:rFonts w:ascii="Arial" w:cs="Arial" w:eastAsia="Arial" w:hAnsi="Arial"/>
                <w:sz w:val="18"/>
                <w:szCs w:val="18"/>
                <w:color w:val="auto"/>
                <w:w w:val="89"/>
              </w:rPr>
              <w:t>Common Stock, par value $0.001 per share</w:t>
            </w:r>
          </w:p>
        </w:tc>
        <w:tc>
          <w:tcPr>
            <w:tcW w:w="1980" w:type="dxa"/>
            <w:vAlign w:val="bottom"/>
          </w:tcPr>
          <w:p>
            <w:pPr>
              <w:spacing w:after="0"/>
              <w:rPr>
                <w:sz w:val="20"/>
                <w:szCs w:val="20"/>
                <w:color w:val="auto"/>
              </w:rPr>
            </w:pPr>
          </w:p>
        </w:tc>
        <w:tc>
          <w:tcPr>
            <w:tcW w:w="3200" w:type="dxa"/>
            <w:vAlign w:val="bottom"/>
            <w:gridSpan w:val="5"/>
          </w:tcPr>
          <w:p>
            <w:pPr>
              <w:jc w:val="center"/>
              <w:spacing w:after="0"/>
              <w:rPr>
                <w:sz w:val="20"/>
                <w:szCs w:val="20"/>
                <w:color w:val="auto"/>
              </w:rPr>
            </w:pPr>
            <w:r>
              <w:rPr>
                <w:rFonts w:ascii="Arial" w:cs="Arial" w:eastAsia="Arial" w:hAnsi="Arial"/>
                <w:sz w:val="18"/>
                <w:szCs w:val="18"/>
                <w:color w:val="auto"/>
                <w:w w:val="94"/>
              </w:rPr>
              <w:t>The NASDAQ Capital Market</w:t>
            </w:r>
          </w:p>
        </w:tc>
      </w:tr>
      <w:tr>
        <w:trPr>
          <w:trHeight w:val="392"/>
        </w:trPr>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3"/>
        </w:trPr>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000" w:type="dxa"/>
            <w:vAlign w:val="bottom"/>
            <w:tcBorders>
              <w:top w:val="single" w:sz="8" w:color="auto"/>
            </w:tcBorders>
            <w:gridSpan w:val="2"/>
          </w:tcPr>
          <w:p>
            <w:pPr>
              <w:jc w:val="center"/>
              <w:ind w:right="1230"/>
              <w:spacing w:after="0"/>
              <w:rPr>
                <w:sz w:val="20"/>
                <w:szCs w:val="20"/>
                <w:color w:val="auto"/>
              </w:rPr>
            </w:pPr>
            <w:r>
              <w:rPr>
                <w:rFonts w:ascii="Arial" w:cs="Arial" w:eastAsia="Arial" w:hAnsi="Arial"/>
                <w:sz w:val="18"/>
                <w:szCs w:val="18"/>
                <w:b w:val="1"/>
                <w:bCs w:val="1"/>
                <w:color w:val="auto"/>
                <w:w w:val="88"/>
              </w:rPr>
              <w:t>None</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8540" w:type="dxa"/>
            <w:vAlign w:val="bottom"/>
            <w:gridSpan w:val="7"/>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60" w:type="dxa"/>
            <w:vAlign w:val="bottom"/>
          </w:tcPr>
          <w:p>
            <w:pPr>
              <w:ind w:left="100"/>
              <w:spacing w:after="0"/>
              <w:rPr>
                <w:sz w:val="20"/>
                <w:szCs w:val="20"/>
                <w:color w:val="auto"/>
              </w:rPr>
            </w:pPr>
            <w:r>
              <w:rPr>
                <w:rFonts w:ascii="Arial" w:cs="Arial" w:eastAsia="Arial" w:hAnsi="Arial"/>
                <w:sz w:val="18"/>
                <w:szCs w:val="18"/>
                <w:color w:val="auto"/>
                <w:w w:val="77"/>
              </w:rPr>
              <w:t>Yes</w:t>
            </w:r>
          </w:p>
        </w:tc>
        <w:tc>
          <w:tcPr>
            <w:tcW w:w="300" w:type="dxa"/>
            <w:vAlign w:val="bottom"/>
          </w:tcPr>
          <w:p>
            <w:pPr>
              <w:ind w:left="120"/>
              <w:spacing w:after="0"/>
              <w:rPr>
                <w:sz w:val="20"/>
                <w:szCs w:val="20"/>
                <w:color w:val="auto"/>
              </w:rPr>
            </w:pPr>
            <w:r>
              <w:rPr>
                <w:rFonts w:ascii="Arial" w:cs="Arial" w:eastAsia="Arial" w:hAnsi="Arial"/>
                <w:sz w:val="18"/>
                <w:szCs w:val="18"/>
                <w:color w:val="auto"/>
              </w:rPr>
              <w:t>o</w:t>
            </w:r>
          </w:p>
        </w:tc>
        <w:tc>
          <w:tcPr>
            <w:tcW w:w="860" w:type="dxa"/>
            <w:vAlign w:val="bottom"/>
          </w:tcPr>
          <w:p>
            <w:pPr>
              <w:ind w:left="140"/>
              <w:spacing w:after="0"/>
              <w:rPr>
                <w:sz w:val="20"/>
                <w:szCs w:val="20"/>
                <w:color w:val="auto"/>
              </w:rPr>
            </w:pPr>
            <w:r>
              <w:rPr>
                <w:rFonts w:ascii="Arial" w:cs="Arial" w:eastAsia="Arial" w:hAnsi="Arial"/>
                <w:sz w:val="18"/>
                <w:szCs w:val="18"/>
                <w:color w:val="auto"/>
              </w:rPr>
              <w:t>No  x</w:t>
            </w:r>
          </w:p>
        </w:tc>
      </w:tr>
      <w:tr>
        <w:trPr>
          <w:trHeight w:val="432"/>
        </w:trPr>
        <w:tc>
          <w:tcPr>
            <w:tcW w:w="8540" w:type="dxa"/>
            <w:vAlign w:val="bottom"/>
            <w:gridSpan w:val="7"/>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60" w:type="dxa"/>
            <w:vAlign w:val="bottom"/>
          </w:tcPr>
          <w:p>
            <w:pPr>
              <w:ind w:left="60"/>
              <w:spacing w:after="0"/>
              <w:rPr>
                <w:sz w:val="20"/>
                <w:szCs w:val="20"/>
                <w:color w:val="auto"/>
              </w:rPr>
            </w:pPr>
            <w:r>
              <w:rPr>
                <w:rFonts w:ascii="Arial" w:cs="Arial" w:eastAsia="Arial" w:hAnsi="Arial"/>
                <w:sz w:val="18"/>
                <w:szCs w:val="18"/>
                <w:color w:val="auto"/>
              </w:rPr>
              <w:t>o</w:t>
            </w:r>
          </w:p>
        </w:tc>
        <w:tc>
          <w:tcPr>
            <w:tcW w:w="300" w:type="dxa"/>
            <w:vAlign w:val="bottom"/>
          </w:tcPr>
          <w:p>
            <w:pPr>
              <w:ind w:left="20"/>
              <w:spacing w:after="0"/>
              <w:rPr>
                <w:sz w:val="20"/>
                <w:szCs w:val="20"/>
                <w:color w:val="auto"/>
              </w:rPr>
            </w:pPr>
            <w:r>
              <w:rPr>
                <w:rFonts w:ascii="Arial" w:cs="Arial" w:eastAsia="Arial" w:hAnsi="Arial"/>
                <w:sz w:val="18"/>
                <w:szCs w:val="18"/>
                <w:color w:val="auto"/>
              </w:rPr>
              <w:t>No</w:t>
            </w:r>
          </w:p>
        </w:tc>
        <w:tc>
          <w:tcPr>
            <w:tcW w:w="860" w:type="dxa"/>
            <w:vAlign w:val="bottom"/>
          </w:tcPr>
          <w:p>
            <w:pPr>
              <w:ind w:left="80"/>
              <w:spacing w:after="0"/>
              <w:rPr>
                <w:sz w:val="20"/>
                <w:szCs w:val="20"/>
                <w:color w:val="auto"/>
              </w:rPr>
            </w:pPr>
            <w:r>
              <w:rPr>
                <w:rFonts w:ascii="Arial" w:cs="Arial" w:eastAsia="Arial" w:hAnsi="Arial"/>
                <w:sz w:val="18"/>
                <w:szCs w:val="18"/>
                <w:color w:val="auto"/>
              </w:rPr>
              <w:t>x</w:t>
            </w: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ectPr>
          <w:pgSz w:w="11900" w:h="16838" w:orient="portrait"/>
          <w:cols w:equalWidth="0" w:num="1">
            <w:col w:w="11420"/>
          </w:cols>
          <w:pgMar w:left="240" w:top="530" w:right="239" w:bottom="1440" w:gutter="0" w:footer="0" w:header="0"/>
        </w:sectPr>
      </w:pPr>
    </w:p>
    <w:bookmarkStart w:id="1" w:name="page2"/>
    <w:bookmarkEnd w:id="1"/>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84"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13" w:lineRule="exact"/>
        <w:rPr>
          <w:sz w:val="20"/>
          <w:szCs w:val="20"/>
          <w:color w:val="auto"/>
        </w:rPr>
      </w:pPr>
    </w:p>
    <w:p>
      <w:pPr>
        <w:sectPr>
          <w:pgSz w:w="11900" w:h="16838" w:orient="portrait"/>
          <w:cols w:equalWidth="0" w:num="8">
            <w:col w:w="1620" w:space="140"/>
            <w:col w:w="80" w:space="700"/>
            <w:col w:w="1200" w:space="180"/>
            <w:col w:w="520" w:space="720"/>
            <w:col w:w="1520" w:space="140"/>
            <w:col w:w="1040" w:space="720"/>
            <w:col w:w="1960" w:space="140"/>
            <w:col w:w="740"/>
          </w:cols>
          <w:pgMar w:left="240" w:top="584" w:right="239" w:bottom="1440" w:gutter="0" w:footer="0" w:header="0"/>
          <w:type w:val="continuous"/>
        </w:sectPr>
      </w:pPr>
    </w:p>
    <w:p>
      <w:pPr>
        <w:ind w:left="5160"/>
        <w:spacing w:after="0"/>
        <w:rPr>
          <w:sz w:val="20"/>
          <w:szCs w:val="20"/>
          <w:color w:val="auto"/>
        </w:rPr>
      </w:pPr>
      <w:r>
        <w:rPr>
          <w:rFonts w:ascii="Arial" w:cs="Arial" w:eastAsia="Arial" w:hAnsi="Arial"/>
          <w:sz w:val="18"/>
          <w:szCs w:val="18"/>
          <w:color w:val="auto"/>
        </w:rPr>
        <w:t>(Do not check if a</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smaller reporting company)</w:t>
      </w:r>
    </w:p>
    <w:p>
      <w:pPr>
        <w:sectPr>
          <w:pgSz w:w="11900" w:h="16838" w:orient="portrait"/>
          <w:cols w:equalWidth="0" w:num="1">
            <w:col w:w="11420"/>
          </w:cols>
          <w:pgMar w:left="240" w:top="584" w:right="2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11" w:lineRule="exact"/>
        <w:rPr>
          <w:sz w:val="20"/>
          <w:szCs w:val="20"/>
          <w:color w:val="auto"/>
        </w:rPr>
      </w:pPr>
    </w:p>
    <w:p>
      <w:pPr>
        <w:sectPr>
          <w:pgSz w:w="11900" w:h="16838" w:orient="portrait"/>
          <w:cols w:equalWidth="0" w:num="5">
            <w:col w:w="7440" w:space="160"/>
            <w:col w:w="260" w:space="140"/>
            <w:col w:w="100" w:space="220"/>
            <w:col w:w="220" w:space="140"/>
            <w:col w:w="2740"/>
          </w:cols>
          <w:pgMar w:left="240" w:top="584" w:right="239" w:bottom="1440" w:gutter="0" w:footer="0" w:header="0"/>
          <w:type w:val="continuous"/>
        </w:sectPr>
      </w:pPr>
    </w:p>
    <w:p>
      <w:pPr>
        <w:spacing w:after="0" w:line="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aggregate market value of the common stock of the registrant held by non-affiliates of the registrant on September 30, 2015, the last business day of the registrant’s second fiscal quarter, was: $13,691,410.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June 22, 2016, there were 7,970,705 shares of the registrant’s common stock, $0.001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261620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2280" w:type="dxa"/>
            <w:vAlign w:val="bottom"/>
            <w:gridSpan w:val="13"/>
          </w:tcPr>
          <w:p>
            <w:pPr>
              <w:spacing w:after="0"/>
              <w:rPr>
                <w:rFonts w:ascii="Arial" w:cs="Arial" w:eastAsia="Arial" w:hAnsi="Arial"/>
                <w:sz w:val="16"/>
                <w:szCs w:val="16"/>
                <w:i w:val="1"/>
                <w:iCs w:val="1"/>
                <w:color w:val="0000EE"/>
              </w:rPr>
            </w:pPr>
            <w:hyperlink w:anchor="page3">
              <w:r>
                <w:rPr>
                  <w:rFonts w:ascii="Arial" w:cs="Arial" w:eastAsia="Arial" w:hAnsi="Arial"/>
                  <w:sz w:val="16"/>
                  <w:szCs w:val="16"/>
                  <w:i w:val="1"/>
                  <w:iCs w:val="1"/>
                  <w:color w:val="0000EE"/>
                </w:rPr>
                <w:t>Table of Contents</w:t>
              </w:r>
            </w:hyperlink>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gridSpan w:val="11"/>
          </w:tcPr>
          <w:p>
            <w:pPr>
              <w:ind w:left="44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Item No.</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1680" w:type="dxa"/>
            <w:vAlign w:val="bottom"/>
            <w:tcBorders>
              <w:bottom w:val="single" w:sz="8" w:color="CCEEFF"/>
            </w:tcBorders>
            <w:gridSpan w:val="11"/>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40" w:type="dxa"/>
            <w:vAlign w:val="bottom"/>
            <w:gridSpan w:val="10"/>
          </w:tcPr>
          <w:p>
            <w:pPr>
              <w:ind w:left="14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180" w:type="dxa"/>
            <w:vAlign w:val="bottom"/>
            <w:gridSpan w:val="2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gridSpan w:val="4"/>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1A.</w:t>
              </w:r>
            </w:hyperlink>
          </w:p>
        </w:tc>
        <w:tc>
          <w:tcPr>
            <w:tcW w:w="8180" w:type="dxa"/>
            <w:vAlign w:val="bottom"/>
            <w:gridSpan w:val="22"/>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3"/>
          </w:tcPr>
          <w:p>
            <w:pPr>
              <w:spacing w:after="0" w:line="17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1B.</w:t>
              </w:r>
            </w:hyperlink>
          </w:p>
        </w:tc>
        <w:tc>
          <w:tcPr>
            <w:tcW w:w="580" w:type="dxa"/>
            <w:vAlign w:val="bottom"/>
          </w:tcPr>
          <w:p>
            <w:pPr>
              <w:spacing w:after="0"/>
              <w:rPr>
                <w:sz w:val="15"/>
                <w:szCs w:val="15"/>
                <w:color w:val="auto"/>
              </w:rPr>
            </w:pPr>
          </w:p>
        </w:tc>
        <w:tc>
          <w:tcPr>
            <w:tcW w:w="8180" w:type="dxa"/>
            <w:vAlign w:val="bottom"/>
            <w:gridSpan w:val="22"/>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Unresolved Staff Comments</w:t>
              </w:r>
            </w:hyperlink>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40" w:type="dxa"/>
            <w:vAlign w:val="bottom"/>
            <w:gridSpan w:val="10"/>
            <w:shd w:val="clear" w:color="auto" w:fill="CCEEFF"/>
          </w:tcPr>
          <w:p>
            <w:pPr>
              <w:ind w:left="142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2.</w:t>
              </w:r>
            </w:hyperlink>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180" w:type="dxa"/>
            <w:vAlign w:val="bottom"/>
            <w:gridSpan w:val="22"/>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Properties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40" w:type="dxa"/>
            <w:vAlign w:val="bottom"/>
            <w:gridSpan w:val="10"/>
          </w:tcPr>
          <w:p>
            <w:pPr>
              <w:ind w:left="142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3.</w:t>
              </w:r>
            </w:hyperlink>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180" w:type="dxa"/>
            <w:vAlign w:val="bottom"/>
            <w:gridSpan w:val="22"/>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Legal Proceedings</w:t>
              </w:r>
            </w:hyperlink>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40" w:type="dxa"/>
            <w:vAlign w:val="bottom"/>
            <w:gridSpan w:val="10"/>
            <w:shd w:val="clear" w:color="auto" w:fill="CCEEFF"/>
          </w:tcPr>
          <w:p>
            <w:pPr>
              <w:ind w:left="142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4.</w:t>
              </w:r>
            </w:hyperlink>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Mine Safety Disclosures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tcBorders>
            <w:gridSpan w:val="8"/>
          </w:tcPr>
          <w:p>
            <w:pPr>
              <w:spacing w:after="0" w:line="176"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w:t>
              </w:r>
            </w:hyperlink>
          </w:p>
        </w:tc>
        <w:tc>
          <w:tcPr>
            <w:tcW w:w="140" w:type="dxa"/>
            <w:vAlign w:val="bottom"/>
            <w:tcBorders>
              <w:top w:val="single" w:sz="8" w:color="0000EE"/>
            </w:tcBorders>
          </w:tcPr>
          <w:p>
            <w:pPr>
              <w:spacing w:after="0"/>
              <w:rPr>
                <w:sz w:val="15"/>
                <w:szCs w:val="15"/>
                <w:color w:val="auto"/>
              </w:rPr>
            </w:pPr>
          </w:p>
        </w:tc>
        <w:tc>
          <w:tcPr>
            <w:tcW w:w="700" w:type="dxa"/>
            <w:vAlign w:val="bottom"/>
            <w:tcBorders>
              <w:top w:val="single" w:sz="8" w:color="CCEEFF"/>
            </w:tcBorders>
            <w:gridSpan w:val="3"/>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40" w:type="dxa"/>
            <w:vAlign w:val="bottom"/>
            <w:gridSpan w:val="10"/>
            <w:shd w:val="clear" w:color="auto" w:fill="CCEEFF"/>
          </w:tcPr>
          <w:p>
            <w:pPr>
              <w:ind w:left="142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5.</w:t>
              </w:r>
            </w:hyperlink>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180" w:type="dxa"/>
            <w:vAlign w:val="bottom"/>
            <w:gridSpan w:val="22"/>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Market for Registrant’s Common Equity, Related Stockholder Matters and Issuer Purchases of Equity</w:t>
              </w:r>
            </w:hyperlink>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72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Securities</w:t>
              </w:r>
            </w:hyperlink>
          </w:p>
        </w:tc>
        <w:tc>
          <w:tcPr>
            <w:tcW w:w="6280" w:type="dxa"/>
            <w:vAlign w:val="bottom"/>
            <w:tcBorders>
              <w:top w:val="single" w:sz="8" w:color="0000EE"/>
              <w:bottom w:val="single" w:sz="8" w:color="CCEEFF"/>
            </w:tcBorders>
            <w:gridSpan w:val="16"/>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40" w:type="dxa"/>
            <w:vAlign w:val="bottom"/>
            <w:gridSpan w:val="10"/>
          </w:tcPr>
          <w:p>
            <w:pPr>
              <w:ind w:left="142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6.</w:t>
              </w:r>
            </w:hyperlink>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180" w:type="dxa"/>
            <w:vAlign w:val="bottom"/>
            <w:gridSpan w:val="22"/>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Selected Financial Data</w:t>
              </w:r>
            </w:hyperlink>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40" w:type="dxa"/>
            <w:vAlign w:val="bottom"/>
            <w:gridSpan w:val="10"/>
            <w:shd w:val="clear" w:color="auto" w:fill="CCEEFF"/>
          </w:tcPr>
          <w:p>
            <w:pPr>
              <w:ind w:left="142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7.</w:t>
              </w:r>
            </w:hyperlink>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180" w:type="dxa"/>
            <w:vAlign w:val="bottom"/>
            <w:gridSpan w:val="22"/>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Management’s Discussion and Analysis of Financial Condition and Results of Operations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4"/>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7A.</w:t>
              </w:r>
            </w:hyperlink>
          </w:p>
        </w:tc>
        <w:tc>
          <w:tcPr>
            <w:tcW w:w="8180" w:type="dxa"/>
            <w:vAlign w:val="bottom"/>
            <w:gridSpan w:val="22"/>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Quantitative and Qualitative Disclosures About Market Risk</w:t>
              </w:r>
            </w:hyperlink>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89"/>
              </w:rPr>
              <w:t>82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40" w:type="dxa"/>
            <w:vAlign w:val="bottom"/>
            <w:gridSpan w:val="10"/>
            <w:shd w:val="clear" w:color="auto" w:fill="CCEEFF"/>
          </w:tcPr>
          <w:p>
            <w:pPr>
              <w:ind w:left="142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w:t>
              </w:r>
            </w:hyperlink>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180" w:type="dxa"/>
            <w:vAlign w:val="bottom"/>
            <w:gridSpan w:val="22"/>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Financial Statements and Supplementary Data</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40" w:type="dxa"/>
            <w:vAlign w:val="bottom"/>
            <w:gridSpan w:val="10"/>
          </w:tcPr>
          <w:p>
            <w:pPr>
              <w:ind w:left="1420"/>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9.</w:t>
              </w:r>
            </w:hyperlink>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180" w:type="dxa"/>
            <w:vAlign w:val="bottom"/>
            <w:gridSpan w:val="22"/>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Changes in and Disagreements with Accountants on Accounting and Financial Disclosure</w:t>
              </w:r>
            </w:hyperlink>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3"/>
              </w:rPr>
              <w:t>130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9A.</w:t>
              </w:r>
            </w:hyperlink>
          </w:p>
        </w:tc>
        <w:tc>
          <w:tcPr>
            <w:tcW w:w="8180" w:type="dxa"/>
            <w:vAlign w:val="bottom"/>
            <w:gridSpan w:val="22"/>
            <w:shd w:val="clear" w:color="auto" w:fill="CCEEFF"/>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Controls and Procedures</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60" w:type="dxa"/>
            <w:vAlign w:val="bottom"/>
            <w:tcBorders>
              <w:top w:val="single" w:sz="8" w:color="0000EE"/>
            </w:tcBorders>
            <w:gridSpan w:val="3"/>
          </w:tcPr>
          <w:p>
            <w:pPr>
              <w:spacing w:after="0" w:line="17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9B.</w:t>
              </w:r>
            </w:hyperlink>
          </w:p>
        </w:tc>
        <w:tc>
          <w:tcPr>
            <w:tcW w:w="58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Other Information</w:t>
              </w:r>
            </w:hyperlink>
          </w:p>
        </w:tc>
        <w:tc>
          <w:tcPr>
            <w:tcW w:w="6420" w:type="dxa"/>
            <w:vAlign w:val="bottom"/>
            <w:tcBorders>
              <w:top w:val="single" w:sz="8" w:color="CCEEFF"/>
            </w:tcBorders>
            <w:gridSpan w:val="13"/>
          </w:tcPr>
          <w:p>
            <w:pPr>
              <w:spacing w:after="0"/>
              <w:rPr>
                <w:sz w:val="15"/>
                <w:szCs w:val="15"/>
                <w:color w:val="auto"/>
              </w:rPr>
            </w:pPr>
          </w:p>
        </w:tc>
        <w:tc>
          <w:tcPr>
            <w:tcW w:w="9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PART III</w:t>
              </w:r>
            </w:hyperlink>
          </w:p>
        </w:tc>
        <w:tc>
          <w:tcPr>
            <w:tcW w:w="1540" w:type="dxa"/>
            <w:vAlign w:val="bottom"/>
            <w:tcBorders>
              <w:bottom w:val="single" w:sz="8" w:color="CCEEFF"/>
            </w:tcBorders>
            <w:gridSpan w:val="8"/>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gridSpan w:val="11"/>
          </w:tcPr>
          <w:p>
            <w:pPr>
              <w:ind w:left="1420"/>
              <w:spacing w:after="0" w:line="176" w:lineRule="exact"/>
              <w:rPr>
                <w:rFonts w:ascii="Arial" w:cs="Arial" w:eastAsia="Arial" w:hAnsi="Arial"/>
                <w:sz w:val="18"/>
                <w:szCs w:val="18"/>
                <w:color w:val="0000EE"/>
                <w:w w:val="95"/>
              </w:rPr>
            </w:pPr>
            <w:hyperlink w:anchor="page137">
              <w:r>
                <w:rPr>
                  <w:rFonts w:ascii="Arial" w:cs="Arial" w:eastAsia="Arial" w:hAnsi="Arial"/>
                  <w:sz w:val="18"/>
                  <w:szCs w:val="18"/>
                  <w:color w:val="0000EE"/>
                  <w:w w:val="95"/>
                </w:rPr>
                <w:t>10.</w:t>
              </w:r>
            </w:hyperlink>
          </w:p>
        </w:tc>
        <w:tc>
          <w:tcPr>
            <w:tcW w:w="580" w:type="dxa"/>
            <w:vAlign w:val="bottom"/>
          </w:tcPr>
          <w:p>
            <w:pPr>
              <w:spacing w:after="0"/>
              <w:rPr>
                <w:sz w:val="15"/>
                <w:szCs w:val="15"/>
                <w:color w:val="auto"/>
              </w:rPr>
            </w:pPr>
          </w:p>
        </w:tc>
        <w:tc>
          <w:tcPr>
            <w:tcW w:w="8180" w:type="dxa"/>
            <w:vAlign w:val="bottom"/>
            <w:gridSpan w:val="22"/>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Directors, Executive Officers and Corporate Governance</w:t>
              </w:r>
            </w:hyperlink>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3"/>
              </w:rPr>
              <w:t>131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40" w:type="dxa"/>
            <w:vAlign w:val="bottom"/>
            <w:gridSpan w:val="10"/>
            <w:shd w:val="clear" w:color="auto" w:fill="CCEEFF"/>
          </w:tcPr>
          <w:p>
            <w:pPr>
              <w:ind w:left="1420"/>
              <w:spacing w:after="0" w:line="176" w:lineRule="exact"/>
              <w:rPr>
                <w:rFonts w:ascii="Arial" w:cs="Arial" w:eastAsia="Arial" w:hAnsi="Arial"/>
                <w:sz w:val="18"/>
                <w:szCs w:val="18"/>
                <w:color w:val="0000EE"/>
                <w:w w:val="79"/>
              </w:rPr>
            </w:pPr>
            <w:hyperlink w:anchor="page142">
              <w:r>
                <w:rPr>
                  <w:rFonts w:ascii="Arial" w:cs="Arial" w:eastAsia="Arial" w:hAnsi="Arial"/>
                  <w:sz w:val="18"/>
                  <w:szCs w:val="18"/>
                  <w:color w:val="0000EE"/>
                  <w:w w:val="79"/>
                </w:rPr>
                <w:t>11.</w:t>
              </w:r>
            </w:hyperlink>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180" w:type="dxa"/>
            <w:vAlign w:val="bottom"/>
            <w:gridSpan w:val="22"/>
            <w:shd w:val="clear" w:color="auto" w:fill="CCEEFF"/>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Executive Compensation</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80" w:type="dxa"/>
            <w:vAlign w:val="bottom"/>
            <w:gridSpan w:val="11"/>
          </w:tcPr>
          <w:p>
            <w:pPr>
              <w:ind w:left="1420"/>
              <w:spacing w:after="0" w:line="176" w:lineRule="exact"/>
              <w:rPr>
                <w:rFonts w:ascii="Arial" w:cs="Arial" w:eastAsia="Arial" w:hAnsi="Arial"/>
                <w:sz w:val="18"/>
                <w:szCs w:val="18"/>
                <w:color w:val="0000EE"/>
                <w:w w:val="95"/>
              </w:rPr>
            </w:pPr>
            <w:hyperlink w:anchor="page153">
              <w:r>
                <w:rPr>
                  <w:rFonts w:ascii="Arial" w:cs="Arial" w:eastAsia="Arial" w:hAnsi="Arial"/>
                  <w:sz w:val="18"/>
                  <w:szCs w:val="18"/>
                  <w:color w:val="0000EE"/>
                  <w:w w:val="95"/>
                </w:rPr>
                <w:t>12.</w:t>
              </w:r>
            </w:hyperlink>
          </w:p>
        </w:tc>
        <w:tc>
          <w:tcPr>
            <w:tcW w:w="580" w:type="dxa"/>
            <w:vAlign w:val="bottom"/>
          </w:tcPr>
          <w:p>
            <w:pPr>
              <w:spacing w:after="0"/>
              <w:rPr>
                <w:sz w:val="15"/>
                <w:szCs w:val="15"/>
                <w:color w:val="auto"/>
              </w:rPr>
            </w:pPr>
          </w:p>
        </w:tc>
        <w:tc>
          <w:tcPr>
            <w:tcW w:w="8180" w:type="dxa"/>
            <w:vAlign w:val="bottom"/>
            <w:gridSpan w:val="22"/>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Security Ownership of Certain Beneficial Owners and Management and Related Stockholder Matters</w:t>
              </w:r>
            </w:hyperlink>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3"/>
              </w:rPr>
              <w:t>147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80" w:type="dxa"/>
            <w:vAlign w:val="bottom"/>
            <w:gridSpan w:val="11"/>
            <w:shd w:val="clear" w:color="auto" w:fill="CCEEFF"/>
          </w:tcPr>
          <w:p>
            <w:pPr>
              <w:ind w:left="1420"/>
              <w:spacing w:after="0" w:line="176" w:lineRule="exact"/>
              <w:rPr>
                <w:rFonts w:ascii="Arial" w:cs="Arial" w:eastAsia="Arial" w:hAnsi="Arial"/>
                <w:sz w:val="18"/>
                <w:szCs w:val="18"/>
                <w:color w:val="0000EE"/>
                <w:w w:val="95"/>
              </w:rPr>
            </w:pPr>
            <w:hyperlink w:anchor="page160">
              <w:r>
                <w:rPr>
                  <w:rFonts w:ascii="Arial" w:cs="Arial" w:eastAsia="Arial" w:hAnsi="Arial"/>
                  <w:sz w:val="18"/>
                  <w:szCs w:val="18"/>
                  <w:color w:val="0000EE"/>
                  <w:w w:val="95"/>
                </w:rPr>
                <w:t>13.</w:t>
              </w:r>
            </w:hyperlink>
          </w:p>
        </w:tc>
        <w:tc>
          <w:tcPr>
            <w:tcW w:w="580" w:type="dxa"/>
            <w:vAlign w:val="bottom"/>
            <w:shd w:val="clear" w:color="auto" w:fill="CCEEFF"/>
          </w:tcPr>
          <w:p>
            <w:pPr>
              <w:spacing w:after="0"/>
              <w:rPr>
                <w:sz w:val="15"/>
                <w:szCs w:val="15"/>
                <w:color w:val="auto"/>
              </w:rPr>
            </w:pPr>
          </w:p>
        </w:tc>
        <w:tc>
          <w:tcPr>
            <w:tcW w:w="8180" w:type="dxa"/>
            <w:vAlign w:val="bottom"/>
            <w:gridSpan w:val="22"/>
            <w:shd w:val="clear" w:color="auto" w:fill="CCEEFF"/>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Certain Relationships and Related Transactions, and Director Independence</w:t>
              </w:r>
            </w:hyperlink>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154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80" w:type="dxa"/>
            <w:vAlign w:val="bottom"/>
            <w:gridSpan w:val="11"/>
          </w:tcPr>
          <w:p>
            <w:pPr>
              <w:ind w:left="1420"/>
              <w:spacing w:after="0" w:line="176" w:lineRule="exact"/>
              <w:rPr>
                <w:rFonts w:ascii="Arial" w:cs="Arial" w:eastAsia="Arial" w:hAnsi="Arial"/>
                <w:sz w:val="18"/>
                <w:szCs w:val="18"/>
                <w:color w:val="0000EE"/>
                <w:w w:val="95"/>
              </w:rPr>
            </w:pPr>
            <w:hyperlink w:anchor="page161">
              <w:r>
                <w:rPr>
                  <w:rFonts w:ascii="Arial" w:cs="Arial" w:eastAsia="Arial" w:hAnsi="Arial"/>
                  <w:sz w:val="18"/>
                  <w:szCs w:val="18"/>
                  <w:color w:val="0000EE"/>
                  <w:w w:val="95"/>
                </w:rPr>
                <w:t>14.</w:t>
              </w:r>
            </w:hyperlink>
          </w:p>
        </w:tc>
        <w:tc>
          <w:tcPr>
            <w:tcW w:w="580" w:type="dxa"/>
            <w:vAlign w:val="bottom"/>
          </w:tcPr>
          <w:p>
            <w:pPr>
              <w:spacing w:after="0"/>
              <w:rPr>
                <w:sz w:val="15"/>
                <w:szCs w:val="15"/>
                <w:color w:val="auto"/>
              </w:rPr>
            </w:pPr>
          </w:p>
        </w:tc>
        <w:tc>
          <w:tcPr>
            <w:tcW w:w="8180" w:type="dxa"/>
            <w:vAlign w:val="bottom"/>
            <w:gridSpan w:val="22"/>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Principal Accounting Fees and Services</w:t>
              </w:r>
            </w:hyperlink>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3"/>
              </w:rPr>
              <w:t>155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60" w:type="dxa"/>
            <w:vAlign w:val="bottom"/>
            <w:gridSpan w:val="12"/>
            <w:shd w:val="clear" w:color="auto" w:fill="CCEEFF"/>
          </w:tcPr>
          <w:p>
            <w:pPr>
              <w:spacing w:after="0" w:line="176" w:lineRule="exact"/>
              <w:rPr>
                <w:rFonts w:ascii="Arial" w:cs="Arial" w:eastAsia="Arial" w:hAnsi="Arial"/>
                <w:sz w:val="18"/>
                <w:szCs w:val="18"/>
                <w:b w:val="1"/>
                <w:bCs w:val="1"/>
                <w:color w:val="0000EE"/>
              </w:rPr>
            </w:pPr>
            <w:hyperlink w:anchor="page163">
              <w:r>
                <w:rPr>
                  <w:rFonts w:ascii="Arial" w:cs="Arial" w:eastAsia="Arial" w:hAnsi="Arial"/>
                  <w:sz w:val="18"/>
                  <w:szCs w:val="18"/>
                  <w:b w:val="1"/>
                  <w:bCs w:val="1"/>
                  <w:color w:val="0000EE"/>
                </w:rPr>
                <w:t>PART IV</w:t>
              </w:r>
            </w:hyperlink>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0000EE"/>
            </w:tcBorders>
            <w:gridSpan w:val="3"/>
          </w:tcPr>
          <w:p>
            <w:pPr>
              <w:spacing w:after="0"/>
              <w:rPr>
                <w:sz w:val="15"/>
                <w:szCs w:val="15"/>
                <w:color w:val="auto"/>
              </w:rPr>
            </w:pPr>
          </w:p>
        </w:tc>
        <w:tc>
          <w:tcPr>
            <w:tcW w:w="980" w:type="dxa"/>
            <w:vAlign w:val="bottom"/>
            <w:tcBorders>
              <w:top w:val="single" w:sz="8" w:color="CCEEFF"/>
            </w:tcBorders>
            <w:gridSpan w:val="8"/>
          </w:tcPr>
          <w:p>
            <w:pPr>
              <w:ind w:left="720"/>
              <w:spacing w:after="0" w:line="176" w:lineRule="exact"/>
              <w:rPr>
                <w:rFonts w:ascii="Arial" w:cs="Arial" w:eastAsia="Arial" w:hAnsi="Arial"/>
                <w:sz w:val="18"/>
                <w:szCs w:val="18"/>
                <w:color w:val="0000EE"/>
                <w:w w:val="95"/>
              </w:rPr>
            </w:pPr>
            <w:hyperlink w:anchor="page160">
              <w:r>
                <w:rPr>
                  <w:rFonts w:ascii="Arial" w:cs="Arial" w:eastAsia="Arial" w:hAnsi="Arial"/>
                  <w:sz w:val="18"/>
                  <w:szCs w:val="18"/>
                  <w:color w:val="0000EE"/>
                  <w:w w:val="95"/>
                </w:rPr>
                <w:t>15.</w:t>
              </w:r>
            </w:hyperlink>
          </w:p>
        </w:tc>
        <w:tc>
          <w:tcPr>
            <w:tcW w:w="580" w:type="dxa"/>
            <w:vAlign w:val="bottom"/>
            <w:tcBorders>
              <w:top w:val="single" w:sz="8" w:color="CCEEFF"/>
            </w:tcBorders>
          </w:tcPr>
          <w:p>
            <w:pPr>
              <w:spacing w:after="0"/>
              <w:rPr>
                <w:sz w:val="15"/>
                <w:szCs w:val="15"/>
                <w:color w:val="auto"/>
              </w:rPr>
            </w:pPr>
          </w:p>
        </w:tc>
        <w:tc>
          <w:tcPr>
            <w:tcW w:w="8180" w:type="dxa"/>
            <w:vAlign w:val="bottom"/>
            <w:tcBorders>
              <w:top w:val="single" w:sz="8" w:color="CCEEFF"/>
            </w:tcBorders>
            <w:gridSpan w:val="22"/>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Exhibits and Financial Statement Schedules</w:t>
              </w:r>
            </w:hyperlink>
          </w:p>
        </w:tc>
        <w:tc>
          <w:tcPr>
            <w:tcW w:w="9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60" w:type="dxa"/>
            <w:vAlign w:val="bottom"/>
            <w:gridSpan w:val="12"/>
          </w:tcPr>
          <w:p>
            <w:pPr>
              <w:spacing w:after="0" w:line="176" w:lineRule="exact"/>
              <w:rPr>
                <w:rFonts w:ascii="Arial" w:cs="Arial" w:eastAsia="Arial" w:hAnsi="Arial"/>
                <w:sz w:val="18"/>
                <w:szCs w:val="18"/>
                <w:b w:val="1"/>
                <w:bCs w:val="1"/>
                <w:color w:val="0000EE"/>
              </w:rPr>
            </w:pPr>
            <w:hyperlink w:anchor="page163">
              <w:r>
                <w:rPr>
                  <w:rFonts w:ascii="Arial" w:cs="Arial" w:eastAsia="Arial" w:hAnsi="Arial"/>
                  <w:sz w:val="18"/>
                  <w:szCs w:val="18"/>
                  <w:b w:val="1"/>
                  <w:bCs w:val="1"/>
                  <w:color w:val="0000EE"/>
                </w:rPr>
                <w:t>EXHIBIT INDEX</w:t>
              </w:r>
            </w:hyperlink>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3"/>
              </w:rPr>
              <w:t>157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60" w:type="dxa"/>
            <w:vAlign w:val="bottom"/>
            <w:gridSpan w:val="12"/>
            <w:shd w:val="clear" w:color="auto" w:fill="CCEEFF"/>
          </w:tcPr>
          <w:p>
            <w:pPr>
              <w:spacing w:after="0" w:line="176" w:lineRule="exact"/>
              <w:rPr>
                <w:rFonts w:ascii="Arial" w:cs="Arial" w:eastAsia="Arial" w:hAnsi="Arial"/>
                <w:sz w:val="18"/>
                <w:szCs w:val="18"/>
                <w:b w:val="1"/>
                <w:bCs w:val="1"/>
                <w:color w:val="0000EE"/>
              </w:rPr>
            </w:pPr>
            <w:hyperlink w:anchor="page168">
              <w:r>
                <w:rPr>
                  <w:rFonts w:ascii="Arial" w:cs="Arial" w:eastAsia="Arial" w:hAnsi="Arial"/>
                  <w:sz w:val="18"/>
                  <w:szCs w:val="18"/>
                  <w:b w:val="1"/>
                  <w:bCs w:val="1"/>
                  <w:color w:val="0000EE"/>
                </w:rPr>
                <w:t>SIGNATURES</w:t>
              </w:r>
            </w:hyperlink>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Annual Report on Form 10-K (</w:t>
      </w:r>
      <w:r>
        <w:rPr>
          <w:rFonts w:ascii="Arial" w:cs="Arial" w:eastAsia="Arial" w:hAnsi="Arial"/>
          <w:sz w:val="17"/>
          <w:szCs w:val="17"/>
          <w:i w:val="1"/>
          <w:iCs w:val="1"/>
          <w:color w:val="auto"/>
        </w:rPr>
        <w:t>Annual Report</w:t>
      </w:r>
      <w:r>
        <w:rPr>
          <w:rFonts w:ascii="Arial" w:cs="Arial" w:eastAsia="Arial" w:hAnsi="Arial"/>
          <w:sz w:val="17"/>
          <w:szCs w:val="17"/>
          <w:color w:val="auto"/>
        </w:rPr>
        <w:t>) contains forward-looking statements that involve substantial risks and uncertainties. All statements contained in this Annual Report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81" w:lineRule="exact"/>
        <w:rPr>
          <w:sz w:val="20"/>
          <w:szCs w:val="20"/>
          <w:color w:val="auto"/>
        </w:rPr>
      </w:pPr>
    </w:p>
    <w:p>
      <w:pPr>
        <w:ind w:left="580" w:hanging="383"/>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lead product candidate, AV-101, initially as a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and subsequently as a treatment for additional diseases and disorders involving the Central Nervous System;</w:t>
      </w:r>
    </w:p>
    <w:p>
      <w:pPr>
        <w:spacing w:after="0" w:line="197" w:lineRule="exact"/>
        <w:rPr>
          <w:rFonts w:ascii="Arial" w:cs="Arial" w:eastAsia="Arial" w:hAnsi="Arial"/>
          <w:sz w:val="18"/>
          <w:szCs w:val="18"/>
          <w:color w:val="auto"/>
        </w:rPr>
      </w:pPr>
    </w:p>
    <w:p>
      <w:pPr>
        <w:ind w:left="580" w:right="320" w:hanging="383"/>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97" w:lineRule="exact"/>
        <w:rPr>
          <w:rFonts w:ascii="Arial" w:cs="Arial" w:eastAsia="Arial" w:hAnsi="Arial"/>
          <w:sz w:val="18"/>
          <w:szCs w:val="18"/>
          <w:color w:val="auto"/>
        </w:rPr>
      </w:pPr>
    </w:p>
    <w:p>
      <w:pPr>
        <w:ind w:left="580" w:hanging="383"/>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52"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the U.S. National Institute of Mental Health, our third-party contract manufacturer(s), contract research organization(s) and other third-party non-clinical and clinical development collaborators and regulatory service providers;</w:t>
      </w:r>
    </w:p>
    <w:p>
      <w:pPr>
        <w:spacing w:after="0" w:line="197" w:lineRule="exact"/>
        <w:rPr>
          <w:rFonts w:ascii="Arial" w:cs="Arial" w:eastAsia="Arial" w:hAnsi="Arial"/>
          <w:sz w:val="18"/>
          <w:szCs w:val="18"/>
          <w:color w:val="auto"/>
        </w:rPr>
      </w:pPr>
    </w:p>
    <w:p>
      <w:pPr>
        <w:ind w:left="580" w:hanging="383"/>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obtain and maintain intellectual property protection for our core assets;</w:t>
      </w:r>
    </w:p>
    <w:p>
      <w:pPr>
        <w:spacing w:after="0" w:line="252" w:lineRule="exact"/>
        <w:rPr>
          <w:rFonts w:ascii="Arial" w:cs="Arial" w:eastAsia="Arial" w:hAnsi="Arial"/>
          <w:sz w:val="18"/>
          <w:szCs w:val="18"/>
          <w:b w:val="1"/>
          <w:bCs w:val="1"/>
          <w:color w:val="auto"/>
        </w:rPr>
      </w:pPr>
    </w:p>
    <w:p>
      <w:pPr>
        <w:ind w:left="580" w:hanging="383"/>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52" w:lineRule="exact"/>
        <w:rPr>
          <w:rFonts w:ascii="Arial" w:cs="Arial" w:eastAsia="Arial" w:hAnsi="Arial"/>
          <w:sz w:val="18"/>
          <w:szCs w:val="18"/>
          <w:color w:val="auto"/>
        </w:rPr>
      </w:pPr>
    </w:p>
    <w:p>
      <w:pPr>
        <w:ind w:left="580" w:right="520" w:hanging="383"/>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97"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97" w:lineRule="exact"/>
        <w:rPr>
          <w:rFonts w:ascii="Arial" w:cs="Arial" w:eastAsia="Arial" w:hAnsi="Arial"/>
          <w:sz w:val="18"/>
          <w:szCs w:val="18"/>
          <w:color w:val="auto"/>
        </w:rPr>
      </w:pPr>
    </w:p>
    <w:p>
      <w:pPr>
        <w:ind w:left="580" w:hanging="383"/>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particularly in Part I, Item 1A, titled “</w:t>
      </w:r>
      <w:r>
        <w:rPr>
          <w:rFonts w:ascii="Arial" w:cs="Arial" w:eastAsia="Arial" w:hAnsi="Arial"/>
          <w:sz w:val="17"/>
          <w:szCs w:val="17"/>
          <w:i w:val="1"/>
          <w:iCs w:val="1"/>
          <w:color w:val="auto"/>
        </w:rPr>
        <w:t>Risk Factors</w:t>
      </w:r>
      <w:r>
        <w:rPr>
          <w:rFonts w:ascii="Arial" w:cs="Arial" w:eastAsia="Arial" w:hAnsi="Arial"/>
          <w:sz w:val="17"/>
          <w:szCs w:val="17"/>
          <w:color w:val="auto"/>
        </w:rPr>
        <w:t>”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should read this Annual Report and the documents that we have filed as exhibits to the Annual Report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“VistaGen,” the “Company,” “we,” “us,” and “our” refer to VistaGen Therapeutics, Inc., a Nevada corporation.</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7"/>
          <w:szCs w:val="17"/>
          <w:i w:val="1"/>
          <w:iCs w:val="1"/>
          <w:color w:val="auto"/>
        </w:rPr>
        <w:t>CNS</w:t>
      </w:r>
      <w:r>
        <w:rPr>
          <w:rFonts w:ascii="Arial" w:cs="Arial" w:eastAsia="Arial" w:hAnsi="Arial"/>
          <w:sz w:val="17"/>
          <w:szCs w:val="17"/>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7"/>
          <w:szCs w:val="17"/>
          <w:i w:val="1"/>
          <w:iCs w:val="1"/>
          <w:color w:val="auto"/>
        </w:rPr>
        <w:t>MDD</w:t>
      </w:r>
      <w:r>
        <w:rPr>
          <w:rFonts w:ascii="Arial" w:cs="Arial" w:eastAsia="Arial" w:hAnsi="Arial"/>
          <w:sz w:val="17"/>
          <w:szCs w:val="17"/>
          <w:color w:val="auto"/>
        </w:rPr>
        <w:t>) in patients with an inadequate response to standard antidepressants approved by the U.S. Food and Drug Administration (</w:t>
      </w:r>
      <w:r>
        <w:rPr>
          <w:rFonts w:ascii="Arial" w:cs="Arial" w:eastAsia="Arial" w:hAnsi="Arial"/>
          <w:sz w:val="17"/>
          <w:szCs w:val="17"/>
          <w:i w:val="1"/>
          <w:iCs w:val="1"/>
          <w:color w:val="auto"/>
        </w:rPr>
        <w:t>FDA</w:t>
      </w:r>
      <w:r>
        <w:rPr>
          <w:rFonts w:ascii="Arial" w:cs="Arial" w:eastAsia="Arial" w:hAnsi="Arial"/>
          <w:sz w:val="17"/>
          <w:szCs w:val="17"/>
          <w:color w:val="auto"/>
        </w:rPr>
        <w:t>). We believe AV-101 may also have potential therapeutic utility in CNS indications beyond MDD, including chronic neuropathic pain, epilepsy, Huntington’s disease and Parkinson’s disease.</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AV-101’s mechanism of action, as an N-methyl D aspartate receptor (</w:t>
      </w:r>
      <w:r>
        <w:rPr>
          <w:rFonts w:ascii="Arial" w:cs="Arial" w:eastAsia="Arial" w:hAnsi="Arial"/>
          <w:sz w:val="18"/>
          <w:szCs w:val="18"/>
          <w:i w:val="1"/>
          <w:iCs w:val="1"/>
          <w:color w:val="auto"/>
        </w:rPr>
        <w:t>NMDAR</w:t>
      </w:r>
      <w:r>
        <w:rPr>
          <w:rFonts w:ascii="Arial" w:cs="Arial" w:eastAsia="Arial" w:hAnsi="Arial"/>
          <w:sz w:val="18"/>
          <w:szCs w:val="18"/>
          <w:color w:val="auto"/>
        </w:rPr>
        <w:t>) antagonist binding selectively at the glycine binding (</w:t>
      </w:r>
      <w:r>
        <w:rPr>
          <w:rFonts w:ascii="Arial" w:cs="Arial" w:eastAsia="Arial" w:hAnsi="Arial"/>
          <w:sz w:val="18"/>
          <w:szCs w:val="18"/>
          <w:i w:val="1"/>
          <w:iCs w:val="1"/>
          <w:color w:val="auto"/>
        </w:rPr>
        <w:t>GlyB</w:t>
      </w:r>
      <w:r>
        <w:rPr>
          <w:rFonts w:ascii="Arial" w:cs="Arial" w:eastAsia="Arial" w:hAnsi="Arial"/>
          <w:sz w:val="18"/>
          <w:szCs w:val="18"/>
          <w:color w:val="auto"/>
        </w:rPr>
        <w:t>) co-agonist site of the NMDAR, is fundamentally differentiated from all FDA-approved antidepressants, as well as all atypical antipsychotics used adjunctively with standard, FDA-approved antidepressants.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ongoing Phase 2a clinical study of AV-101 in subjects with treatment-resistant MDD is being conducted and funded by the U.S. National Institute of Mental Health (</w:t>
      </w:r>
      <w:r>
        <w:rPr>
          <w:rFonts w:ascii="Arial" w:cs="Arial" w:eastAsia="Arial" w:hAnsi="Arial"/>
          <w:sz w:val="17"/>
          <w:szCs w:val="17"/>
          <w:i w:val="1"/>
          <w:iCs w:val="1"/>
          <w:color w:val="auto"/>
        </w:rPr>
        <w:t>NIMH</w:t>
      </w:r>
      <w:r>
        <w:rPr>
          <w:rFonts w:ascii="Arial" w:cs="Arial" w:eastAsia="Arial" w:hAnsi="Arial"/>
          <w:sz w:val="17"/>
          <w:szCs w:val="17"/>
          <w:color w:val="auto"/>
        </w:rPr>
        <w:t>) under our February 2015 Cooperative Research and Development Agreement (</w:t>
      </w:r>
      <w:r>
        <w:rPr>
          <w:rFonts w:ascii="Arial" w:cs="Arial" w:eastAsia="Arial" w:hAnsi="Arial"/>
          <w:sz w:val="17"/>
          <w:szCs w:val="17"/>
          <w:i w:val="1"/>
          <w:iCs w:val="1"/>
          <w:color w:val="auto"/>
        </w:rPr>
        <w:t>CRADA</w:t>
      </w:r>
      <w:r>
        <w:rPr>
          <w:rFonts w:ascii="Arial" w:cs="Arial" w:eastAsia="Arial" w:hAnsi="Arial"/>
          <w:sz w:val="17"/>
          <w:szCs w:val="17"/>
          <w:color w:val="auto"/>
        </w:rPr>
        <w:t>) with the NIMH. The first patient in this NIMH-sponsored Phase 2a study was dosed in November 2015.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low dose intravenous (</w:t>
      </w:r>
      <w:r>
        <w:rPr>
          <w:rFonts w:ascii="Arial" w:cs="Arial" w:eastAsia="Arial" w:hAnsi="Arial"/>
          <w:sz w:val="17"/>
          <w:szCs w:val="17"/>
          <w:i w:val="1"/>
          <w:iCs w:val="1"/>
          <w:color w:val="auto"/>
        </w:rPr>
        <w:t>I.V.</w:t>
      </w:r>
      <w:r>
        <w:rPr>
          <w:rFonts w:ascii="Arial" w:cs="Arial" w:eastAsia="Arial" w:hAnsi="Arial"/>
          <w:sz w:val="17"/>
          <w:szCs w:val="17"/>
          <w:color w:val="auto"/>
        </w:rPr>
        <w:t>) ketamine on treatment-resistant depression. These NIMH studies, as well as clinical research by others, have demonstrated robust antidepressant effects in patients with treatment-resistant MDD within hours of a single low dose of I.V. ketamine and stimulated research and development around a new generation of antidepressants with potential to deliver ketamine-like fast-acting antidepressant benefits without ketamine’s serious side effects.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preparing to launch our Phase 2b clinical study of AV-101 for the adjunctive treatment of MDD in patients with an inadequate response to standard, FDA-approved antidepressants. We anticipate commencement of this multi-center, multi-dose, double blind, placebo-controlled Phase 2b efficacy and safety study at the end of the fourth quarter of 2016.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and Executive Director, MGH Clinical Trials Network and Institute, will be the Principal Investigator of our Phase 2b study of AV-101 in MDD. Dr. Fava was the co-Principal Investigator with Dr. A. John Rush of the largest clinical trial ever conducted in depression, the STAR*D study, whose findings were published in journals such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anticipate top line results in this Phase 2b study in the second quarter of 2018.</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clinical development of AV-101, we are focused on advancing potential commercial applications of our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technology platform with respect to drug rescue programs aimed at developing proprietary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drug candidate pipeline. We are also focused on potential regenerative medicine (</w:t>
      </w:r>
      <w:r>
        <w:rPr>
          <w:rFonts w:ascii="Arial" w:cs="Arial" w:eastAsia="Arial" w:hAnsi="Arial"/>
          <w:sz w:val="18"/>
          <w:szCs w:val="18"/>
          <w:i w:val="1"/>
          <w:iCs w:val="1"/>
          <w:color w:val="auto"/>
        </w:rPr>
        <w:t>RM</w:t>
      </w:r>
      <w:r>
        <w:rPr>
          <w:rFonts w:ascii="Arial" w:cs="Arial" w:eastAsia="Arial" w:hAnsi="Arial"/>
          <w:sz w:val="18"/>
          <w:szCs w:val="18"/>
          <w:color w:val="auto"/>
        </w:rPr>
        <w:t>) applications using blood, cartilage, heart and/or liver cells derived from hPSCs, and may pursue these applications in collaboration with third-parties.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World Health Organization (</w:t>
      </w:r>
      <w:r>
        <w:rPr>
          <w:rFonts w:ascii="Arial" w:cs="Arial" w:eastAsia="Arial" w:hAnsi="Arial"/>
          <w:sz w:val="17"/>
          <w:szCs w:val="17"/>
          <w:i w:val="1"/>
          <w:iCs w:val="1"/>
          <w:color w:val="auto"/>
        </w:rPr>
        <w:t>WHO</w:t>
      </w:r>
      <w:r>
        <w:rPr>
          <w:rFonts w:ascii="Arial" w:cs="Arial" w:eastAsia="Arial" w:hAnsi="Arial"/>
          <w:sz w:val="17"/>
          <w:szCs w:val="17"/>
          <w:color w:val="auto"/>
        </w:rPr>
        <w:t>) estimates that 350 million people worldwide are affected by depression. According to the U.S. National Institutes of Health (</w:t>
      </w:r>
      <w:r>
        <w:rPr>
          <w:rFonts w:ascii="Arial" w:cs="Arial" w:eastAsia="Arial" w:hAnsi="Arial"/>
          <w:sz w:val="17"/>
          <w:szCs w:val="17"/>
          <w:i w:val="1"/>
          <w:iCs w:val="1"/>
          <w:color w:val="auto"/>
        </w:rPr>
        <w:t>NIH</w:t>
      </w:r>
      <w:r>
        <w:rPr>
          <w:rFonts w:ascii="Arial" w:cs="Arial" w:eastAsia="Arial" w:hAnsi="Arial"/>
          <w:sz w:val="17"/>
          <w:szCs w:val="17"/>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7"/>
          <w:szCs w:val="17"/>
          <w:i w:val="1"/>
          <w:iCs w:val="1"/>
          <w:color w:val="auto"/>
        </w:rPr>
        <w:t>CDC</w:t>
      </w:r>
      <w:r>
        <w:rPr>
          <w:rFonts w:ascii="Arial" w:cs="Arial" w:eastAsia="Arial" w:hAnsi="Arial"/>
          <w:sz w:val="17"/>
          <w:szCs w:val="17"/>
          <w:color w:val="auto"/>
        </w:rPr>
        <w:t>) one in 10 Americans over the age of 12 takes an antidepressant medication.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standard, FDA-approved antidepressants target neurotransmitter reuptake inhibition – either serotonin (</w:t>
      </w:r>
      <w:r>
        <w:rPr>
          <w:rFonts w:ascii="Arial" w:cs="Arial" w:eastAsia="Arial" w:hAnsi="Arial"/>
          <w:sz w:val="17"/>
          <w:szCs w:val="17"/>
          <w:i w:val="1"/>
          <w:iCs w:val="1"/>
          <w:color w:val="auto"/>
        </w:rPr>
        <w:t>SSRIs</w:t>
      </w:r>
      <w:r>
        <w:rPr>
          <w:rFonts w:ascii="Arial" w:cs="Arial" w:eastAsia="Arial" w:hAnsi="Arial"/>
          <w:sz w:val="17"/>
          <w:szCs w:val="17"/>
          <w:color w:val="auto"/>
        </w:rPr>
        <w:t>) or serotonin/norepinephrine (</w:t>
      </w:r>
      <w:r>
        <w:rPr>
          <w:rFonts w:ascii="Arial" w:cs="Arial" w:eastAsia="Arial" w:hAnsi="Arial"/>
          <w:sz w:val="17"/>
          <w:szCs w:val="17"/>
          <w:i w:val="1"/>
          <w:iCs w:val="1"/>
          <w:color w:val="auto"/>
        </w:rPr>
        <w:t>SNRIs</w:t>
      </w:r>
      <w:r>
        <w:rPr>
          <w:rFonts w:ascii="Arial" w:cs="Arial" w:eastAsia="Arial" w:hAnsi="Arial"/>
          <w:sz w:val="17"/>
          <w:szCs w:val="17"/>
          <w:color w:val="auto"/>
        </w:rPr>
        <w:t>). Even when effective, these standard depression medications take many weeks to achieve adequate antidepressant effects. Nearly two out of every three drug-treated depression patients, including an estimated 6.9 million drug-treated MDD patients in the U.S., obtain inadequate therapeutic benefit from initial treatment with a standard antidepressant. Unfortunately, even after treatment with as many as four different standard antidepressants, nearly one out of every three drug-treated depression patients do not achieve adequate therapeutic benefits. Such treatment-resistant depression patients often seek to treat their depression with non-drug-related approaches, such as Electroconvulsive Therapy (ECT), or to augment their inadequate response to standard antidepressants by adding an atypical antipsychotic (such as, for example, aripiprazole) to their treatment regimen, despite the only modest potential therapeutic benefit and significant risk of additional side effects.</w:t>
      </w:r>
    </w:p>
    <w:p>
      <w:pPr>
        <w:sectPr>
          <w:pgSz w:w="11900" w:h="16838" w:orient="portrait"/>
          <w:cols w:equalWidth="0" w:num="1">
            <w:col w:w="11420"/>
          </w:cols>
          <w:pgMar w:left="240" w:top="13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5" w:name="page6"/>
    <w:bookmarkEnd w:id="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standard antidepressants have risks of significant side effects, including, among others, potentially anxiety, metabolic syndrome, sleep disturbance and sexual dysfunction. They also have a “Black Box” warning due to risks of worsening depression and suicide in certain groups. Use of atypical antipsychotics to augment inadequately performing standard antidepressants increases the risk of serious side effects, including, potentially, tardive dyskinesia, significant weight gain, diabetes and heart disease, while offering only a modest potential increase in therapeutic benefit. Use of ECT increases the risk of serious side effects, including, headaches, tiredness, disorientation, intense sleepiness, hallucinations and long-term memory loss.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AV-101, our orally available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7"/>
          <w:szCs w:val="17"/>
          <w:i w:val="1"/>
          <w:iCs w:val="1"/>
          <w:color w:val="auto"/>
        </w:rPr>
        <w:t>Journal of Pharmacology and Experimental Therapeutics,</w:t>
      </w:r>
      <w:r>
        <w:rPr>
          <w:rFonts w:ascii="Arial" w:cs="Arial" w:eastAsia="Arial" w:hAnsi="Arial"/>
          <w:sz w:val="17"/>
          <w:szCs w:val="17"/>
          <w:color w:val="auto"/>
        </w:rPr>
        <w:t xml:space="preserve"> in an article entitled, </w:t>
      </w:r>
      <w:r>
        <w:rPr>
          <w:rFonts w:ascii="Arial" w:cs="Arial" w:eastAsia="Arial" w:hAnsi="Arial"/>
          <w:sz w:val="17"/>
          <w:szCs w:val="17"/>
          <w:i w:val="1"/>
          <w:iCs w:val="1"/>
          <w:color w:val="auto"/>
        </w:rPr>
        <w:t>The prodrug 4-chlorokynurenine causes ketamine-like antidepressant effects, but not side effects, by NMDA/glycineB-site inhibition,</w:t>
      </w:r>
      <w:r>
        <w:rPr>
          <w:rFonts w:ascii="Arial" w:cs="Arial" w:eastAsia="Arial" w:hAnsi="Arial"/>
          <w:sz w:val="17"/>
          <w:szCs w:val="17"/>
          <w:color w:val="auto"/>
        </w:rPr>
        <w:t xml:space="preserve"> 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the NMDAR antagonist ketamine. In the same preclinical studies, a standard antidepressant, the SSRI fluoxetine, did not induce rapid onset antidepressant-like responses. In addition, these studies confirmed that the fast-acting antidepressive effects of AV-101 were mediated through the GlyB site and involved the activation of a key neurological pathway, the alpha-amino-3-hydroxy-5-methyl-4-isoxazolepropionic acid </w:t>
      </w:r>
      <w:r>
        <w:rPr>
          <w:rFonts w:ascii="Arial" w:cs="Arial" w:eastAsia="Arial" w:hAnsi="Arial"/>
          <w:sz w:val="17"/>
          <w:szCs w:val="17"/>
          <w:b w:val="1"/>
          <w:bCs w:val="1"/>
          <w:color w:val="auto"/>
        </w:rPr>
        <w:t>(</w:t>
      </w:r>
      <w:r>
        <w:rPr>
          <w:rFonts w:ascii="Arial" w:cs="Arial" w:eastAsia="Arial" w:hAnsi="Arial"/>
          <w:sz w:val="17"/>
          <w:szCs w:val="17"/>
          <w:i w:val="1"/>
          <w:iCs w:val="1"/>
          <w:color w:val="auto"/>
        </w:rPr>
        <w:t>AMPA</w:t>
      </w:r>
      <w:r>
        <w:rPr>
          <w:rFonts w:ascii="Arial" w:cs="Arial" w:eastAsia="Arial" w:hAnsi="Arial"/>
          <w:sz w:val="17"/>
          <w:szCs w:val="17"/>
          <w:color w:val="auto"/>
        </w:rPr>
        <w:t>) receptor pathway. Activation of the AMPA receptor pathway is a common feature of fast-acting antidepressants.</w:t>
      </w:r>
    </w:p>
    <w:p>
      <w:pPr>
        <w:spacing w:after="0" w:line="20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Following the completion of our NIH-funded, randomized, double blind, placebo-controlled Phase 1a and Phase 1b safety studies, we are now collaborating with the NIMH in Phase 2a. Under our February 2015 CRADA, the NIMH is sponsoring, and Dr. Carlos Zarate Jr. of the NIMH as Principal Investigator is conducting, our ongoing Phase 2a efficacy and safety study of AV-101 in subjects with treatment-resistant MDD. The trial is expected to enroll 20 to 28 patients. The first patient was dosed in November 2015, and we currently anticipate receiving topline results in the second quarter of 2017.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preparing to launch our Phase 2b clinical study of AV-101 for the adjunctive treatment of MDD in patients with an inadequate response to standard, FDA-approved antidepressants. We anticipate the launch of this Phase 2b study, with Dr. Maurizio Fava of Harvard Medical School serving as Principal Investigator, at the end of the fourth quarter of 2016. We anticipate top line results from this Phase 2b study in the second quarter of 2018. Although no assurances can be given, we currently estimate that AV-101 may be ready for commercialization in 2021.</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Several preclinical studies support the hypothesis that AV-101 also has the potential to treat multiple additional CNS disorders and neurodegenerative diseases beyond MDD, including chronic neuropathic pain, epilepsy, Parkinson’s disease and Huntington’s disease, where modulation of the NMDAR, AMPA pathway and/or active metabolites of AV-101 may achieve therapeutic benefit.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bioassay system capable of predicting potential human heart toxicity of small molecule NCEs</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long before they are ever tested in animal and human studies. Our current strategic interests involving our stem cell technology platform include (i) advancing current internal efforts focused 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drug rescue to expand our drug candidate pipeline with selected proprietary small molecule NCEs, leveraging substantial prior research and development investments by pharmaceutical companies and others related to public domain NCEs terminated before FDA approval due to heart toxicity risks and (ii) establishing collaborative arrangements with qualified third-parties focused on regenerative medicine (RM) applications, including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involving hPSC-derived blood, bone, cartilage, heart and/or liver cells.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core strategy is to develop, and commercialize innovative small molecule CNS drugs that address significant unmet medical needs. We have assembled a management team and a team of scientific, clinical, and regulatory advisors, including recognized experts in the fields of depression, multiple other CNS diseases and disorders, and stem cell biology, with significant industry and regulatory experience to lead and execute the development and commercialization of AV-101 and any additional CNS or other product candidates we may develop internally or acquire from third-parties.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are to:</w:t>
      </w:r>
    </w:p>
    <w:p>
      <w:pPr>
        <w:spacing w:after="0" w:line="248" w:lineRule="exact"/>
        <w:rPr>
          <w:sz w:val="20"/>
          <w:szCs w:val="20"/>
          <w:color w:val="auto"/>
        </w:rPr>
      </w:pPr>
    </w:p>
    <w:p>
      <w:pPr>
        <w:jc w:val="both"/>
        <w:ind w:left="580" w:hanging="383"/>
        <w:spacing w:after="0" w:line="270"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Develop and commercialize AV-101 for depression, including, initially, as an adjunctive treatment for MDD patients with an inadequate response to standard, FDA-approved antidepressants. </w:t>
      </w:r>
      <w:r>
        <w:rPr>
          <w:rFonts w:ascii="Arial" w:cs="Arial" w:eastAsia="Arial" w:hAnsi="Arial"/>
          <w:sz w:val="17"/>
          <w:szCs w:val="17"/>
          <w:color w:val="auto"/>
        </w:rPr>
        <w:t>Under our 2015 CRADA with the NIMH, in collaboration with Dr. Carlos Zarate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NIMH, we launched our ongoing NIMH-sponsored AV-101 MDD Phase 2a clinical study in patients with treatment resistant MDD. The first patient in this study was dosed in November 2015. We are currently preparing to launch our multi-center Phase 2b clinical study of AV-101 for the adjunctive treatment of MDD in patients with an inadequate response to standard, FDA-approved, antidepressants. We are developing AV-101 internally, and may either continue to do so through our submission of a New Drug Application (</w:t>
      </w:r>
      <w:r>
        <w:rPr>
          <w:rFonts w:ascii="Arial" w:cs="Arial" w:eastAsia="Arial" w:hAnsi="Arial"/>
          <w:sz w:val="17"/>
          <w:szCs w:val="17"/>
          <w:i w:val="1"/>
          <w:iCs w:val="1"/>
          <w:color w:val="auto"/>
        </w:rPr>
        <w:t>NDA</w:t>
      </w:r>
      <w:r>
        <w:rPr>
          <w:rFonts w:ascii="Arial" w:cs="Arial" w:eastAsia="Arial" w:hAnsi="Arial"/>
          <w:sz w:val="17"/>
          <w:szCs w:val="17"/>
          <w:color w:val="auto"/>
        </w:rPr>
        <w:t>) to the FDA or, prior to submitting an AV-101 NDA, collaborate with a pharmaceutical company with a strong commercial presence in depression and other CNS markets. If AV-101 is approved by the FDA and other regulatory agencies, we may collaborate with one or more pharmaceutical companies with extensive commercial capabilities in multiple depression and other CNS markets and/or contract with a specialty sales force focused primarily on psychiatrists and long-term care physicians who are high prescribers of standard antidepressants and atypical antipsychotics.</w:t>
      </w:r>
    </w:p>
    <w:p>
      <w:pPr>
        <w:spacing w:after="0" w:line="204" w:lineRule="exact"/>
        <w:rPr>
          <w:rFonts w:ascii="Arial" w:cs="Arial" w:eastAsia="Arial" w:hAnsi="Arial"/>
          <w:sz w:val="17"/>
          <w:szCs w:val="17"/>
          <w:color w:val="auto"/>
        </w:rPr>
      </w:pPr>
    </w:p>
    <w:p>
      <w:pPr>
        <w:jc w:val="both"/>
        <w:ind w:left="580" w:hanging="383"/>
        <w:spacing w:after="0" w:line="274"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Leverage the commercial potential of AV-101 by expanding our development and commercialization programs to additional CNS-related diseases and disorders. </w:t>
      </w:r>
      <w:r>
        <w:rPr>
          <w:rFonts w:ascii="Arial" w:cs="Arial" w:eastAsia="Arial" w:hAnsi="Arial"/>
          <w:sz w:val="17"/>
          <w:szCs w:val="17"/>
          <w:color w:val="auto"/>
        </w:rPr>
        <w:t>We believe AV-101 has broad therapeutic potential. Accordingly, we may pursue clinical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opportunities for AV-101 across a range of CNS-related indications that are underserved by currently available CNS medicines and represent significant unmet medical needs. Based on AV-101 preclinical studies, and by leveraging our successful NIH-funded AV-101 Phase 1a and 1b clinical safety studies, we may now have opportunities to expand Phase 2 development of AV-101 beyond MDD to include, among other CNS-related indications, chronic neuropathic pain, epilepsy, Huntington’s disease and Parkinson’s disease.</w:t>
      </w:r>
    </w:p>
    <w:p>
      <w:pPr>
        <w:spacing w:after="0" w:line="200" w:lineRule="exact"/>
        <w:rPr>
          <w:rFonts w:ascii="Arial" w:cs="Arial" w:eastAsia="Arial" w:hAnsi="Arial"/>
          <w:sz w:val="17"/>
          <w:szCs w:val="17"/>
          <w:color w:val="auto"/>
        </w:rPr>
      </w:pPr>
    </w:p>
    <w:p>
      <w:pPr>
        <w:jc w:val="both"/>
        <w:ind w:left="580" w:hanging="383"/>
        <w:spacing w:after="0" w:line="255"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Capitalize on our drug rescue and RM opportunities using our stem cell technology. </w:t>
      </w:r>
      <w:r>
        <w:rPr>
          <w:rFonts w:ascii="Arial" w:cs="Arial" w:eastAsia="Arial" w:hAnsi="Arial"/>
          <w:sz w:val="18"/>
          <w:szCs w:val="18"/>
          <w:i w:val="1"/>
          <w:iCs w:val="1"/>
          <w:color w:val="auto"/>
        </w:rPr>
        <w:t>CardioSafe</w:t>
      </w:r>
      <w:r>
        <w:rPr>
          <w:rFonts w:ascii="Arial" w:cs="Arial" w:eastAsia="Arial" w:hAnsi="Arial"/>
          <w:sz w:val="18"/>
          <w:szCs w:val="18"/>
          <w:b w:val="1"/>
          <w:bCs w:val="1"/>
          <w:color w:val="auto"/>
        </w:rPr>
        <w:t xml:space="preserve"> </w:t>
      </w:r>
      <w:r>
        <w:rPr>
          <w:rFonts w:ascii="Arial" w:cs="Arial" w:eastAsia="Arial" w:hAnsi="Arial"/>
          <w:sz w:val="18"/>
          <w:szCs w:val="18"/>
          <w:color w:val="auto"/>
        </w:rPr>
        <w:t>3D enables us to screen NCEs in drug rescue</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intended to produce proprietary NCEs for our internal drug candidate pipeline, without incurring many of the substantial costs and risks typically inherent in new drug discovery and nonclinical drug development. We are also focused on establishing new strategic collaborations, including potential license and/or spin-off opportunities, involving potential RM applications of our stem cell platform. As most of our resources are currently focused on the clinical development of AV-101, we believe one or more strategic licensing or development collaborations and/or spin-off transactions involving RM applications of our stem cell technology platform could allow us to realize potential value from our stem cell technology platform while focusing primarily on clinical development of AV-101, other CNS drug candidates we may acquire and/or drug candidates we may develop through internal drug rescue.</w:t>
      </w:r>
    </w:p>
    <w:p>
      <w:pPr>
        <w:spacing w:after="0" w:line="212" w:lineRule="exact"/>
        <w:rPr>
          <w:rFonts w:ascii="Arial" w:cs="Arial" w:eastAsia="Arial" w:hAnsi="Arial"/>
          <w:sz w:val="18"/>
          <w:szCs w:val="18"/>
          <w:color w:val="auto"/>
        </w:rPr>
      </w:pPr>
    </w:p>
    <w:p>
      <w:pPr>
        <w:jc w:val="both"/>
        <w:ind w:left="580" w:hanging="383"/>
        <w:spacing w:after="0" w:line="261"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Pursue in-licensing and acquisition of other product candidates for treatment of CNS-related disorders. </w:t>
      </w:r>
      <w:r>
        <w:rPr>
          <w:rFonts w:ascii="Arial" w:cs="Arial" w:eastAsia="Arial" w:hAnsi="Arial"/>
          <w:sz w:val="18"/>
          <w:szCs w:val="18"/>
          <w:color w:val="auto"/>
        </w:rPr>
        <w:t>While our resources are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primarily on clinical development of AV-101 for MDD, we anticipate pursuing license or acquisition of additional CNS-related product candidates. These may be developed independently or in partnerships. We believe a diversified CNS product candidate portfolio will mitigate risks inherent in drug development and increase the likelihood of our success.</w:t>
      </w:r>
    </w:p>
    <w:p>
      <w:pPr>
        <w:spacing w:after="0" w:line="207" w:lineRule="exact"/>
        <w:rPr>
          <w:rFonts w:ascii="Arial" w:cs="Arial" w:eastAsia="Arial" w:hAnsi="Arial"/>
          <w:sz w:val="18"/>
          <w:szCs w:val="18"/>
          <w:color w:val="auto"/>
        </w:rPr>
      </w:pPr>
    </w:p>
    <w:p>
      <w:pPr>
        <w:jc w:val="both"/>
        <w:ind w:left="580" w:hanging="383"/>
        <w:spacing w:after="0" w:line="314"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Grow our internal development pipeline through drug rescue using our stem cell technology platform. </w:t>
      </w:r>
      <w:r>
        <w:rPr>
          <w:rFonts w:ascii="Arial" w:cs="Arial" w:eastAsia="Arial" w:hAnsi="Arial"/>
          <w:sz w:val="16"/>
          <w:szCs w:val="16"/>
          <w:color w:val="auto"/>
        </w:rPr>
        <w:t>We have developed our cardiac bioassay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system,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drug rescue applications intended to produce proprietary small molecule NCEs for our internal drug development pipeline, without incurring many of the substantial costs and risks typically inherent in new drug discovery and nonclinical drug development.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Opportunities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 (L-4-chlorokynurenine or 4-Cl-KYN)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Mechanism of Action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AV-101 is an orally available, clinical-stage prodrug candidate that readily gains access to the CNS after systemic administration and is rapidly converted in the brain into its active metabolite, 7-chlorokynurenic acid (</w:t>
      </w:r>
      <w:r>
        <w:rPr>
          <w:rFonts w:ascii="Arial" w:cs="Arial" w:eastAsia="Arial" w:hAnsi="Arial"/>
          <w:sz w:val="18"/>
          <w:szCs w:val="18"/>
          <w:i w:val="1"/>
          <w:iCs w:val="1"/>
          <w:color w:val="auto"/>
        </w:rPr>
        <w:t>7-Cl-KYNA</w:t>
      </w:r>
      <w:r>
        <w:rPr>
          <w:rFonts w:ascii="Arial" w:cs="Arial" w:eastAsia="Arial" w:hAnsi="Arial"/>
          <w:sz w:val="18"/>
          <w:szCs w:val="18"/>
          <w:color w:val="auto"/>
        </w:rPr>
        <w:t>), a well-characterized, potent and highly selective antagonist of the NMDAR at the GlyB co-agonist site.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evidence suggests that AV-101’s modulation of NMDAR signaling may provide fast-acting antidepressant effects in the treatment of MDD. In addition, as confirmed in our AV-101 Phase 1 clinical studies, targeting the GlyB site of the NMDAR does not have the adverse effects typically associated with classic NMDAR antagonists, such as ketamine, and other NMDA channel blockers.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Depression is a serious medical illness that can occur at any time over a person’s life. If not effectively treated, depression is likely to become a chronic disease. Just experiencing one episode of depression places an individual at a 50% risk for experiencing another episode, and further increases the chances of having more depression episodes in the future. The WHO estimates that depression is the leading cause of disability worldwide, and is a major contributor to the global burden of disease, affecting 350 million people globally. According to the CDC, approximately one in every 10 Americans aged 12 and over takes antidepressant medication.</w:t>
      </w:r>
    </w:p>
    <w:p>
      <w:pPr>
        <w:sectPr>
          <w:pgSz w:w="11900" w:h="16838" w:orient="portrait"/>
          <w:cols w:equalWidth="0" w:num="1">
            <w:col w:w="11420"/>
          </w:cols>
          <w:pgMar w:left="240" w:top="130"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7" w:name="page8"/>
    <w:bookmarkEnd w:id="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most people will experience depressed mood at some point during their lifetime, MDD is different. MDD is the chronic, pervasive feeling of apathy,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Depression is also associated with an increased risk of suicide.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 Antidepressants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many people, depression cannot be controlled for any length of time without treatment. Standard medications available in the multi-billion dollar global antidepressant market, including commonly-prescribed SSRIs and SNRIs, have limited effectiveness, and, because of their mechanism of action, must be taken for several weeks or months before certain patients experience any significant therapeutic benefit. In addition, most standard antidepressants have an FDA-required “Black Box” safety warning due to a risk, in certain groups, of worsening depression and an increased risk of suicidal thoughts and behaviors during treatment, a property not expected to occur with AV-101. About two out of every three depression sufferers, including an estimated 6.9 million drug-treated MDD patients in the U.S., do not receive adequate therapeutic benefits from their initial treatment with a standard antidepressant, and the likelihood of achieving remission of depressive symptoms declines with each successive treatment attempt. Even after multiple treatment attempts, approximately one out of every three depression sufferers still fails to find an effective standard antidepressant. In addition, this trial and error process and the systemic effects of the various antidepressants involved, increases the risks of patient tolerability issues and serious side effects, including suicidal thoughts and behaviors in certain groups.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Augmentation Strategies for Major Depressive Disorder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many MDD sufferers, FDA-approved antidepressants provide less than adequate therapeutic benefit. If an MDD patient fails to respond adequately to a standard antidepressant, typically (A) the dose of their current antidepressant can be adjusted, (B) a change can be made to a different antidepressant medication, or (C) the current antidepressant regimen can be augmented with another drug. Atypical antipsychotics have recently become a common focus for augmentation of inadequate standard antidepressant therapy. Although augmenting treatment-refractory or treatment-resistant depression with atypical antipsychotics may be effective as adjunctive therapy for some MDD patients, their use as augmentation therapy increases the risk of adverse effects, such as akathisia (restlessness, a feeling of inner distress or an inability to sit still), fatigue, and weight gain.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Ketamine and NIH Clinical Studies in Major Depressive Disorder</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Intravenous (</w:t>
      </w:r>
      <w:r>
        <w:rPr>
          <w:rFonts w:ascii="Arial" w:cs="Arial" w:eastAsia="Arial" w:hAnsi="Arial"/>
          <w:sz w:val="16"/>
          <w:szCs w:val="16"/>
          <w:i w:val="1"/>
          <w:iCs w:val="1"/>
          <w:color w:val="auto"/>
        </w:rPr>
        <w:t>I.V.</w:t>
      </w:r>
      <w:r>
        <w:rPr>
          <w:rFonts w:ascii="Arial" w:cs="Arial" w:eastAsia="Arial" w:hAnsi="Arial"/>
          <w:sz w:val="16"/>
          <w:szCs w:val="16"/>
          <w:color w:val="auto"/>
        </w:rPr>
        <w:t>) 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is a rapid-acting general anesthetic approved by the FDA in the 1970s. The use of ketamine (an NMDA receptor antagonist which acts as an NMDA channel blocker) to treat MDD has been studied in multiple clinical trials conducted by depression experts at several clinical research centers, including the NIMH, including Dr. Carlos Zarate, Jr. is the NIMH’s Chief of Experimental Therapeutics &amp; Pathophysiology Branch and of the Section on Neurobiology and Treatment of Mood and Anxiety Disorders and Clinical Professor of Psychiatry and Behavioral Sciences at The George Washington University. In randomized, placebo-controlled, double blind clinical trials reported by Dr. Zarate and others at the NIMH, a single low dose of I.V. ketamine (0.5 mg/kg over 40 minutes) produced robust and rapid antidepressant effects in MDD patients who had not responded to standard FDA-approved antidepressants. These results were in contrast to the very slow onset of traditional antidepressant therapies, notably SSRIs and SNRIs, that usually require many weeks or months of chronic usage to achieve similar antidepressant effects in certain patients. The potential for widespread therapeutic use of current FDA-approved I.V. ketamine, a Schedule III drug, for MDD is limited by its potential for abuse, dissociative and psychosis-like side effects and by practical challenges associated with the necessity of I.V. administration in a medical center. Notwithstanding these limitations, however, the discovery of ketamine’s fast-acting antidepressant effects, when administered in a low dose by I.V., revolutionized thinking about the current MDD treatment paradigm involving FDA-approved SSRIs and/or SNRIs, and increased interest in the development of a new generation of antidepressants with a fast-acting mechanism of action similar to ketamine’s. Our orally available AV-101 is among the next generation of antidepressants with potential to deliver fast-acting ketamine-like antidepressant effects, without ketamine’s side effects nor requiring I.V. administration.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and Major Depressive Disorder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AV-101 is an orally available prodrug candidate that produces, in the brain, 7-Cl-KYNA, one of the most potent and selective antagonists of the GlyB site of the NMDAR, resulting in the down-regulation of NMDAR signaling. Growing evidence suggests that the glutamatergic system is central to the neurobiology and treatment of MDD and other mood disorders.</w:t>
      </w:r>
    </w:p>
    <w:p>
      <w:pPr>
        <w:spacing w:after="0" w:line="2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AV-101’s mechanism of action is fundamentally differentiated from all standard antidepressants and all atypical antipsychotics used to augment inadequate response with standard antidepressants, placing it among a new generation of glutamatergic antidepressants with potential to treat millions of MDD sufferers worldwide who are poorly served by SSRIs, SNRIs and other current depression therapies. AV-101 is functionally, but not structurally, similar to an active metabolite of ketamine in that both induce antidepressant activity via glutamatergic activation involving AMPA receptor pathways. However, because AV-101 down-regulates the NMDAR channel activity, whereas ketamine blocks it, AV-101 does not cause ketamine-like side effects, such as hallucinations. AV-101, as a prodrug, produces in the brain an antagonist that down-regulates the NMDAR by selectively binding to the functionally required GlyB site of the NMDAR. Strong experimental evidence confirms that down-regulating the NMDAR by targeting the GlyB site can produce potent antidepressive effects and bypass adverse effects that result when ketamine blocks the NMDAR ion channel. Experimental evidence supports the conclusion that this NMDAR modulation by AV-101 may then result in a glutamatergic activation that depends on the AMPA receptor pathway, resulting in an increase in neuronal connections, synaptogenesis, that has been associated with the fast-acting antidepressant effects similar to those seen with an active metabolite of ketamine.</w:t>
      </w:r>
    </w:p>
    <w:p>
      <w:pPr>
        <w:sectPr>
          <w:pgSz w:w="11900" w:h="16838" w:orient="portrait"/>
          <w:cols w:equalWidth="0" w:num="1">
            <w:col w:w="11420"/>
          </w:cols>
          <w:pgMar w:left="240" w:top="130"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recently published preclinical studies, AV-101 has demonstrated the antidepressant-like activity of ketamine, including rapid onset and extended duration of effect, without causing ketamine’s serious side effects. In two NIH-funded randomized, double blind, placebo-controlled Phase 1 safety studies, AV-101 was safe, well-tolerated and not associated with any severe adverse events, even at the highest dose. There were no signs of sedation, hallucinations or schizophrenia-like side effects often associated with ketamine and traditional NMDAR channel blockers.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Building on over $8.8 million of prior grant award funding to VistaGen from the NIH for preclinical, and Phase 1a and Phase 1b clinical development of AV-101, in February 2015, we entered into a CRADA with the NIMH. Under the CRADA, we are collaborating with Dr. Carlos Zarate and the NIMH on a Phase 2a clinical study of AV-101 as a chronic monotherapy in subjects with treatment-resistant MDD. Pursuant to the CRADA, this study is being conducted at the NIMH by Dr. Zarate and being fully-funded by the NIMH. The primary objective of the NIH-funded Phase 2a study will be to evaluate the ability of AV-101 to improve overall depressive symptoms in subjects with treatment-resistant MDD, specifically whether subjects with MDD have a greater decrease in depressive symptoms when treated with AV-101 than with placebo. The first patient in this Phase 2a study was dosed in November 2015. We anticipate top line results in this study in the second quarter of 2017.</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preparing to launch our Phase 2b clinical study of AV-101 for the adjunctive treatment of MDD in patients with an inadequate response to standard antidepressants. This study will be an acute adjunctive study with clinical objectives intended to further inform the ultimate clinical usage of AV-101. We anticipate the launch of this multi-center, multi-dose, double blind, placebo-controlled Phase 2b efficacy and safety study, which is expected to enroll approximately 325 patients, in the fourth quarter of 2016. The Principal Investigator of the study will be Dr. Maurizio Fava of Harvard Medical School. Dr. Fava was the co-Principal Investigator with Dr. A. John Rush of the largest clinical trial ever conducted in depression, the STAR*D study, whose findings were published in journals such the New England Journal of Medicine (</w:t>
      </w:r>
      <w:r>
        <w:rPr>
          <w:rFonts w:ascii="Arial" w:cs="Arial" w:eastAsia="Arial" w:hAnsi="Arial"/>
          <w:sz w:val="18"/>
          <w:szCs w:val="18"/>
          <w:i w:val="1"/>
          <w:iCs w:val="1"/>
          <w:color w:val="auto"/>
        </w:rPr>
        <w:t>NEJM</w:t>
      </w:r>
      <w:r>
        <w:rPr>
          <w:rFonts w:ascii="Arial" w:cs="Arial" w:eastAsia="Arial" w:hAnsi="Arial"/>
          <w:sz w:val="18"/>
          <w:szCs w:val="18"/>
          <w:color w:val="auto"/>
        </w:rPr>
        <w:t>) and the Journal of the American Medical Association (</w:t>
      </w:r>
      <w:r>
        <w:rPr>
          <w:rFonts w:ascii="Arial" w:cs="Arial" w:eastAsia="Arial" w:hAnsi="Arial"/>
          <w:sz w:val="18"/>
          <w:szCs w:val="18"/>
          <w:i w:val="1"/>
          <w:iCs w:val="1"/>
          <w:color w:val="auto"/>
        </w:rPr>
        <w:t>JAMA</w:t>
      </w:r>
      <w:r>
        <w:rPr>
          <w:rFonts w:ascii="Arial" w:cs="Arial" w:eastAsia="Arial" w:hAnsi="Arial"/>
          <w:sz w:val="18"/>
          <w:szCs w:val="18"/>
          <w:color w:val="auto"/>
        </w:rPr>
        <w:t>). We anticipate top line results in this study in the second quarter of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Preclinical Studies in Chronic Neuropathic Pain, Epilepsy, Parkinson’s disease and Huntington’s disease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well-established nonclinical models of depression, AV-101 preclinical data in several other CNS-related disorders support our hypothesis that AV-101 has therapeutic and commercial potential beyond treatment of depression.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Neuropathic Pain and Acute Tissue Injury Hyperalgesia</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effect of AV-101 on chronic neuropathic pain due to inflammation and nerve damage was assessed in rats by using multiple models of neuropathic pain, including the Chung nerve ligation model. AV-101 effects were compared to either saline, MK-801 or gabapentin controls. AV-101 had a positive effect on chronic neuropathic pain in the Chung model, with no observed adverse behavioral effects. The efficacy observed for AV-101 in both the acute and chronic neuropathic pain model systems was dose dependent, and the drug response was not associated with any side effects within the range of doses administered.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positive antihyperalgesic effect of in the Chung ligation model, AV-101 has been evaluated in two standard tissue injury model systems: inflammatory thermal hyperalgesia and the formalin paw test. AV-101 was compared to two positive controls, the classic NMDAR antagonist MK-801 (a channel blocker discontinued in preclinical development by Merck due to neurotoxicity) and the anticonvulsant gabapentin. A significant drug response was defined as a response that was greater than or equal to 2 standard deviations (</w:t>
      </w:r>
      <w:r>
        <w:rPr>
          <w:rFonts w:ascii="Arial" w:cs="Arial" w:eastAsia="Arial" w:hAnsi="Arial"/>
          <w:sz w:val="17"/>
          <w:szCs w:val="17"/>
          <w:i w:val="1"/>
          <w:iCs w:val="1"/>
          <w:color w:val="auto"/>
        </w:rPr>
        <w:t>SD</w:t>
      </w:r>
      <w:r>
        <w:rPr>
          <w:rFonts w:ascii="Arial" w:cs="Arial" w:eastAsia="Arial" w:hAnsi="Arial"/>
          <w:sz w:val="17"/>
          <w:szCs w:val="17"/>
          <w:color w:val="auto"/>
        </w:rPr>
        <w:t>) from the response produced by the vehicle only, the solution used to deliver the drugs. Animal behavior and motor function were observed and evaluated throughout the study.</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formalin hyperalgesia model, as has been reported by others, MK-801 caused significant spontaneous locomotor activity that prevented assessment of its analgesic activity. However, AV-101 displayed dose-dependent antihyperpathic effects in the absence of behavioral deficits for both Phase 1 (acute nociceptive pain) and Phase 2 (chronic and neuropathic pain) of hyperalgesia. In contrast, gabapentin did not have a significant anti-hyperalgesia response at any dose during Phase 1, but showed a significant positive response during Phase 2.</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carrageenan inflammatory thermal hyperalgesia model, neither MK-801, gabapentin, nor AV-101 had an effect on acute thermal nociception, but produced a dose dependent block of the carrageenan-induced hyperalgesia that were greater than 2 SD of the vehicle: There were no behavioral changes observed at any AV-101 dose, but signs of behavioral and motor dysfunction were observed for gabapentin and MK-801 treated animals. The profile of analgesic activity observed for AV-101 in the formalin and inflammatory thermal hyperalgesia model systems supports the conclusion that AV-101 demonstrates anti-hyperalgesia activity in validated models of facilitated pain processing produced by peripheral tissue inflammation.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Epilepsy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AV-101 has been shown to protect against seizures in animal models of epilepsy, providing preclinical support for its potential as a novel treatment of epilepsy. Epilepsy is one of the most prevalent neurological disorders, affecting almost 1% of the worldwide population. Approximately 2.5 million Americans have epilepsy. Nearly half of the people suffering from epilepsy are not effectively treated with currently available medications. In addition, the anticonvulsants used today can cause significant side effects, which frequently interfere with compliance.</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Glutamate is a neurotransmitter that is critically involved in the pathophysiology of epilepsy. Through its stimulation of the NMDAR subtype, glutamate has been implicated in the neuropathology and clinical symptoms of the disease. In support of this, NMDAR antagonists are potent anticonvulsants. However, classic NMDAR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NMDAR function and are therefore anticonvulsant and neuroprotective. Importantly, GlyB site antagonists have fewer and less severe side effects than classic NMDAR antagonists and other antiepileptic agents, making them a safer potential alternative to, and one expected to be associated with greater patient compliance than, available anticonvulsant medications.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AV-101 has two additional therapeutically important properties as a drug candidate for treatment of epilepsy:</w:t>
      </w:r>
    </w:p>
    <w:p>
      <w:pPr>
        <w:spacing w:after="0" w:line="252" w:lineRule="exact"/>
        <w:rPr>
          <w:sz w:val="20"/>
          <w:szCs w:val="20"/>
          <w:color w:val="auto"/>
        </w:rPr>
      </w:pPr>
    </w:p>
    <w:p>
      <w:pPr>
        <w:jc w:val="both"/>
        <w:ind w:left="580" w:hanging="374"/>
        <w:spacing w:after="0" w:line="279"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71" w:lineRule="exact"/>
        <w:rPr>
          <w:rFonts w:ascii="Arial" w:cs="Arial" w:eastAsia="Arial" w:hAnsi="Arial"/>
          <w:sz w:val="17"/>
          <w:szCs w:val="17"/>
          <w:color w:val="auto"/>
        </w:rPr>
      </w:pPr>
    </w:p>
    <w:p>
      <w:pPr>
        <w:ind w:left="620" w:right="20" w:hanging="414"/>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active metabolite of AV-101, 4-Cl-3-hydroxyanthranilic acid, inhibits the synthesis of quinolinic acid, an endogenous NMDAR agonist that causes convulsions and excitotoxic neuronal damage.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ability of astrocytes to respond to pathology and/or injury becoming activated resulting in an enhanced focal delivery of an anti-epileptic active metabolite of AV-101, and the dual action resulting from AV-101 as a NMDAR GlyB antagonist and quinolinic acid synthesis inhibitor, make AV-101 a potential Phase 2a development candidate for treatment of epilepsy.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Parkinson’s Disease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AV-101 has been shown to activate ventral tegmental area (</w:t>
      </w:r>
      <w:r>
        <w:rPr>
          <w:rFonts w:ascii="Arial" w:cs="Arial" w:eastAsia="Arial" w:hAnsi="Arial"/>
          <w:sz w:val="18"/>
          <w:szCs w:val="18"/>
          <w:i w:val="1"/>
          <w:iCs w:val="1"/>
          <w:color w:val="auto"/>
        </w:rPr>
        <w:t>VTA</w:t>
      </w:r>
      <w:r>
        <w:rPr>
          <w:rFonts w:ascii="Arial" w:cs="Arial" w:eastAsia="Arial" w:hAnsi="Arial"/>
          <w:sz w:val="18"/>
          <w:szCs w:val="18"/>
          <w:color w:val="auto"/>
        </w:rPr>
        <w:t>) dopaminergic (</w:t>
      </w:r>
      <w:r>
        <w:rPr>
          <w:rFonts w:ascii="Arial" w:cs="Arial" w:eastAsia="Arial" w:hAnsi="Arial"/>
          <w:sz w:val="18"/>
          <w:szCs w:val="18"/>
          <w:i w:val="1"/>
          <w:iCs w:val="1"/>
          <w:color w:val="auto"/>
        </w:rPr>
        <w:t>DA</w:t>
      </w:r>
      <w:r>
        <w:rPr>
          <w:rFonts w:ascii="Arial" w:cs="Arial" w:eastAsia="Arial" w:hAnsi="Arial"/>
          <w:sz w:val="18"/>
          <w:szCs w:val="18"/>
          <w:color w:val="auto"/>
        </w:rPr>
        <w:t>) neurons. Kynurenic acid (</w:t>
      </w:r>
      <w:r>
        <w:rPr>
          <w:rFonts w:ascii="Arial" w:cs="Arial" w:eastAsia="Arial" w:hAnsi="Arial"/>
          <w:sz w:val="18"/>
          <w:szCs w:val="18"/>
          <w:i w:val="1"/>
          <w:iCs w:val="1"/>
          <w:color w:val="auto"/>
        </w:rPr>
        <w:t>KYNA</w:t>
      </w:r>
      <w:r>
        <w:rPr>
          <w:rFonts w:ascii="Arial" w:cs="Arial" w:eastAsia="Arial" w:hAnsi="Arial"/>
          <w:sz w:val="18"/>
          <w:szCs w:val="18"/>
          <w:color w:val="auto"/>
        </w:rPr>
        <w:t>) is an endogenous NMDAR antagonist, as well as a blocker of the alpha-7-nicotinic acid receptor. Mounting evidence suggests that this compound participates in the pathophysiology of schizophrenia. Preclinical studies have shown that elevated levels of endogenous KYNA are associated with increased firing of midbrain DA neurons. AV-101 is converted to the selective NMDAR GlyB antagonist 7-Cl-KYNA, which is 20 times more potent and selective than KYNA in binding the GlyB site. Utilizing extra cellular single unit cell recording techniques, we have shown that AV-101, which is converted to the selective NMDAR GlyB antagonist 7-Cl-KYNA, significantly increases the firing rate and percent burst firing activity of VTA DA neurons. These results have potential therapeutic implications for Parkinson’s disease.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Huntington’s Disease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Working together with metabotropic glutamate receptors, the NMDAR ensures the establishment of long-term potentiation (</w:t>
      </w:r>
      <w:r>
        <w:rPr>
          <w:rFonts w:ascii="Arial" w:cs="Arial" w:eastAsia="Arial" w:hAnsi="Arial"/>
          <w:sz w:val="17"/>
          <w:szCs w:val="17"/>
          <w:i w:val="1"/>
          <w:iCs w:val="1"/>
          <w:color w:val="auto"/>
        </w:rPr>
        <w:t>LTP</w:t>
      </w:r>
      <w:r>
        <w:rPr>
          <w:rFonts w:ascii="Arial" w:cs="Arial" w:eastAsia="Arial" w:hAnsi="Arial"/>
          <w:sz w:val="17"/>
          <w:szCs w:val="17"/>
          <w:color w:val="auto"/>
        </w:rPr>
        <w:t>), a process believed to be responsible for the acquisition of information. These functions are mediated by calcium entry through the NMDAR-associated channel, which in turn influences a wide variety of cellular components, like cytoskeletal proteins or second- messenger synthases. However, over activation at the NMDAR triggers an excessive entry of calcium ions, initiating a series of cytoplasmic and nuclear processes that promote excitotoxicity, neuronal cell death through necrosis as well as apoptosis. These mechanisms have been implicated in several neurodegenerative diseases, and typically involve dysregulation of the endogenous levels of KYNA and quinolinic acid, with a reduction of KYNA and an increase of quinolinic acid.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Huntington's disease (</w:t>
      </w:r>
      <w:r>
        <w:rPr>
          <w:rFonts w:ascii="Arial" w:cs="Arial" w:eastAsia="Arial" w:hAnsi="Arial"/>
          <w:sz w:val="18"/>
          <w:szCs w:val="18"/>
          <w:i w:val="1"/>
          <w:iCs w:val="1"/>
          <w:color w:val="auto"/>
        </w:rPr>
        <w:t>HD</w:t>
      </w:r>
      <w:r>
        <w:rPr>
          <w:rFonts w:ascii="Arial" w:cs="Arial" w:eastAsia="Arial" w:hAnsi="Arial"/>
          <w:sz w:val="18"/>
          <w:szCs w:val="18"/>
          <w:color w:val="auto"/>
        </w:rPr>
        <w:t>) is an inherited disorder that causes degeneration of brain cells, called neurons, in motor control regions of the brain, as well as other areas. Symptoms of the disease, which gets progressively worse, include uncontrolled movements (called chorea), abnormal body postures, and changes in behavior, emotion, judgment, and cognition. HD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tissue levels of two neurotoxic metabolites of the pathway of tryptophan degradation, quinolinic acid (</w:t>
      </w:r>
      <w:r>
        <w:rPr>
          <w:rFonts w:ascii="Arial" w:cs="Arial" w:eastAsia="Arial" w:hAnsi="Arial"/>
          <w:sz w:val="18"/>
          <w:szCs w:val="18"/>
          <w:i w:val="1"/>
          <w:iCs w:val="1"/>
          <w:color w:val="auto"/>
        </w:rPr>
        <w:t>QUIN</w:t>
      </w:r>
      <w:r>
        <w:rPr>
          <w:rFonts w:ascii="Arial" w:cs="Arial" w:eastAsia="Arial" w:hAnsi="Arial"/>
          <w:sz w:val="18"/>
          <w:szCs w:val="18"/>
          <w:color w:val="auto"/>
        </w:rPr>
        <w:t>) and 3-hydroxykynurenine (</w:t>
      </w:r>
      <w:r>
        <w:rPr>
          <w:rFonts w:ascii="Arial" w:cs="Arial" w:eastAsia="Arial" w:hAnsi="Arial"/>
          <w:sz w:val="18"/>
          <w:szCs w:val="18"/>
          <w:i w:val="1"/>
          <w:iCs w:val="1"/>
          <w:color w:val="auto"/>
        </w:rPr>
        <w:t>3-HK</w:t>
      </w:r>
      <w:r>
        <w:rPr>
          <w:rFonts w:ascii="Arial" w:cs="Arial" w:eastAsia="Arial" w:hAnsi="Arial"/>
          <w:sz w:val="18"/>
          <w:szCs w:val="18"/>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ectPr>
          <w:pgSz w:w="11900" w:h="16838" w:orient="portrait"/>
          <w:cols w:equalWidth="0" w:num="1">
            <w:col w:w="11420"/>
          </w:cols>
          <w:pgMar w:left="240" w:top="130"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0" w:name="page11"/>
    <w:bookmarkEnd w:id="1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OUIN and to potentially increase local concentrations of 7-Cl-KYNA, presents an exciting opportunity for Phase 2a clinical investigation of AV-101 as a potential chronic treatment of the symptoms of HD.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AV-101 Nonclinical Pharmacology, Pharmacokinetic (</w:t>
      </w:r>
      <w:r>
        <w:rPr>
          <w:rFonts w:ascii="Arial" w:cs="Arial" w:eastAsia="Arial" w:hAnsi="Arial"/>
          <w:sz w:val="18"/>
          <w:szCs w:val="18"/>
          <w:b w:val="1"/>
          <w:bCs w:val="1"/>
          <w:i w:val="1"/>
          <w:iCs w:val="1"/>
          <w:color w:val="auto"/>
        </w:rPr>
        <w:t>PK</w:t>
      </w:r>
      <w:r>
        <w:rPr>
          <w:rFonts w:ascii="Arial" w:cs="Arial" w:eastAsia="Arial" w:hAnsi="Arial"/>
          <w:sz w:val="18"/>
          <w:szCs w:val="18"/>
          <w:b w:val="1"/>
          <w:bCs w:val="1"/>
          <w:color w:val="auto"/>
        </w:rPr>
        <w:t>)/toxicokinetic (</w:t>
      </w:r>
      <w:r>
        <w:rPr>
          <w:rFonts w:ascii="Arial" w:cs="Arial" w:eastAsia="Arial" w:hAnsi="Arial"/>
          <w:sz w:val="18"/>
          <w:szCs w:val="18"/>
          <w:b w:val="1"/>
          <w:bCs w:val="1"/>
          <w:i w:val="1"/>
          <w:iCs w:val="1"/>
          <w:color w:val="auto"/>
        </w:rPr>
        <w:t>TK</w:t>
      </w:r>
      <w:r>
        <w:rPr>
          <w:rFonts w:ascii="Arial" w:cs="Arial" w:eastAsia="Arial" w:hAnsi="Arial"/>
          <w:sz w:val="18"/>
          <w:szCs w:val="18"/>
          <w:b w:val="1"/>
          <w:bCs w:val="1"/>
          <w:color w:val="auto"/>
        </w:rPr>
        <w:t>), and Toxicology Programs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comprehensive nonclinical pharmacology, pharmacokinetic (</w:t>
      </w:r>
      <w:r>
        <w:rPr>
          <w:rFonts w:ascii="Arial" w:cs="Arial" w:eastAsia="Arial" w:hAnsi="Arial"/>
          <w:sz w:val="17"/>
          <w:szCs w:val="17"/>
          <w:i w:val="1"/>
          <w:iCs w:val="1"/>
          <w:color w:val="auto"/>
        </w:rPr>
        <w:t>PK</w:t>
      </w:r>
      <w:r>
        <w:rPr>
          <w:rFonts w:ascii="Arial" w:cs="Arial" w:eastAsia="Arial" w:hAnsi="Arial"/>
          <w:sz w:val="17"/>
          <w:szCs w:val="17"/>
          <w:color w:val="auto"/>
        </w:rPr>
        <w:t>)/toxicokinetic (</w:t>
      </w:r>
      <w:r>
        <w:rPr>
          <w:rFonts w:ascii="Arial" w:cs="Arial" w:eastAsia="Arial" w:hAnsi="Arial"/>
          <w:sz w:val="17"/>
          <w:szCs w:val="17"/>
          <w:i w:val="1"/>
          <w:iCs w:val="1"/>
          <w:color w:val="auto"/>
        </w:rPr>
        <w:t>TK</w:t>
      </w:r>
      <w:r>
        <w:rPr>
          <w:rFonts w:ascii="Arial" w:cs="Arial" w:eastAsia="Arial" w:hAnsi="Arial"/>
          <w:sz w:val="17"/>
          <w:szCs w:val="17"/>
          <w:color w:val="auto"/>
        </w:rPr>
        <w:t xml:space="preserve">), and toxicology program has been conducted to support the clinical use of AV-101 in multiple CNS-related indications. The primary pharmacological activity of AV-101 has been investigated in a series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Pharmacology (absorption, distribution, metabolism, and excretion), PK/TK, and toxicology studies have been conducted with AV-101 in rats, dogs, and monkeys. The excellent safety profile of AV-101 was confirmed by pilot tolerability, single-dose range finding, and repeated-dose toxicology studies in rats, dogs and monkeys. In multiple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genotoxicity studies (bacterial mutation, chromosomal aberration, mouse lymphoma TK+/-, and micronucleus tests), AV-101 and its active metabolite, 7-Cl-KYNA, demonstrated no genotoxic potential.</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behavioral effects of AV-101 assessed in a Good Laboratory Practice (</w:t>
      </w:r>
      <w:r>
        <w:rPr>
          <w:rFonts w:ascii="Arial" w:cs="Arial" w:eastAsia="Arial" w:hAnsi="Arial"/>
          <w:sz w:val="16"/>
          <w:szCs w:val="16"/>
          <w:i w:val="1"/>
          <w:iCs w:val="1"/>
          <w:color w:val="auto"/>
        </w:rPr>
        <w:t>GLP</w:t>
      </w:r>
      <w:r>
        <w:rPr>
          <w:rFonts w:ascii="Arial" w:cs="Arial" w:eastAsia="Arial" w:hAnsi="Arial"/>
          <w:sz w:val="16"/>
          <w:szCs w:val="16"/>
          <w:color w:val="auto"/>
        </w:rPr>
        <w:t>) Irwin test in rats show it to have no adverse effect on the CNS following single oral administration at doses up to 2,000 mg/kg. Although AV-101 inhibited the human ether à-go-go–related gene (</w:t>
      </w:r>
      <w:r>
        <w:rPr>
          <w:rFonts w:ascii="Arial" w:cs="Arial" w:eastAsia="Arial" w:hAnsi="Arial"/>
          <w:sz w:val="16"/>
          <w:szCs w:val="16"/>
          <w:i w:val="1"/>
          <w:iCs w:val="1"/>
          <w:color w:val="auto"/>
        </w:rPr>
        <w:t>hERG</w:t>
      </w:r>
      <w:r>
        <w:rPr>
          <w:rFonts w:ascii="Arial" w:cs="Arial" w:eastAsia="Arial" w:hAnsi="Arial"/>
          <w:sz w:val="16"/>
          <w:szCs w:val="16"/>
          <w:color w:val="auto"/>
        </w:rPr>
        <w:t>) current in a dose-dependent manner (median concentration that causes 50% inhibition for the inhibitory effect [IC50] of 70.5 μM), its active metabolite, 7-Cl-KYNA, showed no inhibitory effect on the hERG channel current. Electrocardiograms (</w:t>
      </w:r>
      <w:r>
        <w:rPr>
          <w:rFonts w:ascii="Arial" w:cs="Arial" w:eastAsia="Arial" w:hAnsi="Arial"/>
          <w:sz w:val="16"/>
          <w:szCs w:val="16"/>
          <w:i w:val="1"/>
          <w:iCs w:val="1"/>
          <w:color w:val="auto"/>
        </w:rPr>
        <w:t>ECGs</w:t>
      </w:r>
      <w:r>
        <w:rPr>
          <w:rFonts w:ascii="Arial" w:cs="Arial" w:eastAsia="Arial" w:hAnsi="Arial"/>
          <w:sz w:val="16"/>
          <w:szCs w:val="16"/>
          <w:color w:val="auto"/>
        </w:rPr>
        <w:t xml:space="preserve">) recorded during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dog toxicology studies showed no AV-101–related adverse cardiovascular effects. Furthermore, in a pivotal GLP dog 14-day toxicology study, no treatment-related effects on ECGs, including QT interval and QTc, at dose levels up to 120 mg/kg/d. No evidence of any treatment-related adverse effects on the respiratory system has been noted with AV-101.</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Oral administration of AV-101 to Sprague-Dawley rats and mice was shown to result in rapid absorption of AV-101 (rats: time to maximum plasma concentration [Tmax], approximately 0.25 to 0.5 hours), adequate bioavailability (rats: approximately 39% to 94%), and plasma elimination half-life (rats: t1/2 approximately 1 to 3 hours). Furthermore, in rats 7-Cl-KYNA was detected in the plasma and reached the maximum plasma concentration (</w:t>
      </w:r>
      <w:r>
        <w:rPr>
          <w:rFonts w:ascii="Arial" w:cs="Arial" w:eastAsia="Arial" w:hAnsi="Arial"/>
          <w:sz w:val="16"/>
          <w:szCs w:val="16"/>
          <w:i w:val="1"/>
          <w:iCs w:val="1"/>
          <w:color w:val="auto"/>
        </w:rPr>
        <w:t>Cmax</w:t>
      </w:r>
      <w:r>
        <w:rPr>
          <w:rFonts w:ascii="Arial" w:cs="Arial" w:eastAsia="Arial" w:hAnsi="Arial"/>
          <w:sz w:val="16"/>
          <w:szCs w:val="16"/>
          <w:color w:val="auto"/>
        </w:rPr>
        <w:t>) approximately 0.25 to 0.5 hours after oral administration, suggesting a rapid conversion of AV-101 to 7-Cl-KYNA. Pharmacokinetic analyses were conducted in many of the toxicology studies in rats, dogs, and monkeys. These analyses showed that the AV-101-related clinical signs observed in dogs (versus monkeys) were associated with a similar, and at some does a significantly higher, exposure. Furthermore, although AUC and Cmax values increased non-proportionately with dose level in dogs, AUC values only marginally increased with dose in monkeys, with little change in Cmax values.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Low levels of potential metabolites of AV-101 were detected following in vitro incubations with hepatocytes from the mouse, rat, dog, monkey, and humans, indicating little concern with liver metabolism issues. No appreciable conversion of AV-101 to D-4-Cl-KYN during these hepatocyte incubations was noted. Results from cytochrome P-450 (</w:t>
      </w:r>
      <w:r>
        <w:rPr>
          <w:rFonts w:ascii="Arial" w:cs="Arial" w:eastAsia="Arial" w:hAnsi="Arial"/>
          <w:sz w:val="18"/>
          <w:szCs w:val="18"/>
          <w:i w:val="1"/>
          <w:iCs w:val="1"/>
          <w:color w:val="auto"/>
        </w:rPr>
        <w:t>CYP</w:t>
      </w:r>
      <w:r>
        <w:rPr>
          <w:rFonts w:ascii="Arial" w:cs="Arial" w:eastAsia="Arial" w:hAnsi="Arial"/>
          <w:sz w:val="18"/>
          <w:szCs w:val="18"/>
          <w:color w:val="auto"/>
        </w:rPr>
        <w:t>) inhibition and induction studies showed that AV-101 was not a potent inhibitor or inducer of the human CYP isoforms evaluated.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Single-dose studies in rats and monkeys did not show evidence of toxicity at maximal doses of 2,000 mg/kg. In dogs, consistent with the expected drug mechanism of action, oral administration of AV-101 resulted in CNS-related clinical signs, including decreased activity, abnormal gait/stance, ataxia, and prostration at the maximum tolerated dose.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repeated-dose (14-day) ocular toxicity study in Sprague-Dawley rats (unpigmented) and brown Norway rats (pigmented) at dose levels up to 2,000 mg/kg/d did not reveal any signs of retinal degeneration at any dose level or rat strain. A subsequent pivotal GLP 14-day repeated-dose toxicity study in Sprague-Dawley rats showed no treatment-related ocular findings after daily dosing of AV-101 for 14 consecutive days at dose levels up to 2,000 mg/kg/d.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GLP 14-day repeated-dose CNS toxicity study conducted in dogs, at dose levels up to 100 mg/kg/d showed no treatment-related lesions in the brain of any animal. The pivotal GLP 14-day repeated-dose toxicity study in Beagle dogs, also showed no treatment-related CNS findings after daily dosing of AV-101 for 14 consecutive days at dose levels up to 120 mg/kg/d.</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genotoxic potential of AV-101 and 7-Cl-KYNA was assessed in multiple in vitro genotoxicity studies (bacterial reverse mutation, chromosomal aberration, mouse lymphoma TK+/-, and micronucleus tests), and the overall results confirmed that both AV-101 and 7-Cl-KYNA are not mutagenic.</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rat Olney lesion study was conducted to assess the potential CNS toxicity. No lesions were observed in the brain after a single oral dose of AV-101 at doses up to 2,000 mg/kg.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Nonclinical Pharmacology Studies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Pharmacodynamics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Much of the nonclinical pharmacology information of AV-101 is derived from many published research results on 4-Cl-KYN or 7-Cl-KYNA. Primary pharmacodynamic studies conducted in rodent models for neuropathic pain demonstrated AV-101’s antihyperalgesic activity in models of facilitated pain processing, its analgesic properties, its ability to provide neuroprotection from excitotoxic death, its ability to reduce seizures, and its activity in multiple preclinical models of depression.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Nonclinical Absorption, Distribution, Metabolism and Excretion Studies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rats, area under the concentration-time curve from time of dosing extrapolated to infinity (AUC0-∞) values were proportional to dose for AV-101, but Cmax was less than proportional to dose, suggesting a saturation of absorption rate. 7-Cl-KYNA Cmax was less than proportional to dose, and generally females tended to have a higher exposure to AV-101 than males, but no sex difference was noted for 7-Cl-KYNA exposure. In the repeated-dose studies, D-4-Cl-KYN, 4-Cl-KYN, and 7-Cl-KYNA mean area under the concentration-time curves from time of dosing to the last sampling time (AUC0-t) and AUC0-∞ values were higher on Day 14 than on Day 1 in both sexes of most treatment groups, indicating that exposure increased following daily repeated dosing of AV-101. Sex differences were noted for D-4-Cl-KYN and 4-Cl-KYN, with mean AUC0-t and AUC0-∞ estimates higher in females relative to males for most treatment groups. Conversely, mean AUC0-t and AUC0-∞ values of 7-Cl-KYNA were generally higher in males relative to females.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dogs, AUC0-∞ values were slightly less than proportional to dose up to 100 mg/kg AV-101 and Cmax values were less than proportional to dose, suggesting a saturation of absorption. No consistent sex differences were noted for Cmax or AUC values. AUC0-∞ and Cmax values for 7-Cl-KYNA were less than proportional to dose. In the repeated-dose study, D-4-Cl-KYN, 4-Cl-KYN, and 7-Cl-KYNA showed a proportional increase in Cmax with the administered dose level of AV-101 in both sexes. There was no evidence of plasma accumulation for any of the analytes. Sex differences were noted for D-4-Cl-KYN, with slightly higher mean AUC0-t and AUC0-∞ estimates in females relative to males on Day 1 and Day 14, in all treatment groups. For 7-Cl-KYNA, mean Cmax was elevated in females relative to males at all dose levels on Days 1 and Day 14, and mean AUC0-t and AUC0-∞ estimates were also generally higher in females relative to males at all dose levels. No clear sex differences were noted for 4-Cl-KYN.</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monkeys, AUC0-∞ values were relatively proportional to dose, but Cmax values were not proportional to dose (comparable or lower Cmax with increasing doses). The AUC0-∞ and Cmax values for 7-Cl-KYNA were less than proportional to dose, and no major sex differences were noted.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Nonclinical Toxicology Studies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safety profile of AV-101 was determined in single-dose, range-finding, and repeated-dose toxicology studies in rats and dogs, and in a single-dose study in monkeys. A GLP CNS safety pharmacology study in rats that included a microscopic evaluation for Olney lesions was also conducted. Additionally, pivotal GLP 14-day repeated-dose toxicology studies in rats and dogs have been conducted. The genotoxic potentials of AV-101 and 7-Cl-KYNA were assessed in multiple in vitro and in vivo genotoxicity studies, including bacterial reverse mutation, chromosomal aberration, mouse lymphoma TK+/-, and micronucleus tests. Neither was determined to be mutagenic.</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Local tolerance studies have not been conducted with AV-101. However, no lesions in the gastrointestinal tract were observed after oral administration of AV-101 in the repeated-dose toxicity studies in the rat and dog.</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results of the pivotal 14-day studies show the dog to be the most sensitive species. The dog NOAEL was determined to be the highest dose level (120 mg/kg/d), and therefore the maximum recommended starting dose (</w:t>
      </w:r>
      <w:r>
        <w:rPr>
          <w:rFonts w:ascii="Arial" w:cs="Arial" w:eastAsia="Arial" w:hAnsi="Arial"/>
          <w:sz w:val="17"/>
          <w:szCs w:val="17"/>
          <w:i w:val="1"/>
          <w:iCs w:val="1"/>
          <w:color w:val="auto"/>
        </w:rPr>
        <w:t>MRSD</w:t>
      </w:r>
      <w:r>
        <w:rPr>
          <w:rFonts w:ascii="Arial" w:cs="Arial" w:eastAsia="Arial" w:hAnsi="Arial"/>
          <w:sz w:val="17"/>
          <w:szCs w:val="17"/>
          <w:color w:val="auto"/>
        </w:rPr>
        <w:t>) would be 6.5 mg/kg (12 mg/kg/d x 0.54 [conversion factor]) or 390 mg per subject for a 60-kg person. As a further added margin of safety for the clinical use of AV-101, the Company applied an additional safety factor to the calculated MRSD, and set the starting dose in the proposed Phase 1a clinical trial at 0.5 mg/kg (i.e., 30 mg for 60 kg subjects).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Phase 1 Clinical Safety Studies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safety data from two NIH-funded AV-101 Phase 1 clinical safety studies indicate that AV-101 was safe and well tolerated in healthy subjects at all doses tested. There were no adverse effects (</w:t>
      </w:r>
      <w:r>
        <w:rPr>
          <w:rFonts w:ascii="Arial" w:cs="Arial" w:eastAsia="Arial" w:hAnsi="Arial"/>
          <w:sz w:val="18"/>
          <w:szCs w:val="18"/>
          <w:i w:val="1"/>
          <w:iCs w:val="1"/>
          <w:color w:val="auto"/>
        </w:rPr>
        <w:t>AEs</w:t>
      </w:r>
      <w:r>
        <w:rPr>
          <w:rFonts w:ascii="Arial" w:cs="Arial" w:eastAsia="Arial" w:hAnsi="Arial"/>
          <w:sz w:val="18"/>
          <w:szCs w:val="18"/>
          <w:color w:val="auto"/>
        </w:rPr>
        <w:t>) reported by subjects that received AV-101 that were graded as probably related to study drug. The type and distribution of AEs reported by the healthy subjects in these studies were considered to be typical for studies in healthy volunteers. All AEs were completely resolved, and no Serious Adverse Events (</w:t>
      </w:r>
      <w:r>
        <w:rPr>
          <w:rFonts w:ascii="Arial" w:cs="Arial" w:eastAsia="Arial" w:hAnsi="Arial"/>
          <w:sz w:val="18"/>
          <w:szCs w:val="18"/>
          <w:i w:val="1"/>
          <w:iCs w:val="1"/>
          <w:color w:val="auto"/>
        </w:rPr>
        <w:t>SAEs</w:t>
      </w:r>
      <w:r>
        <w:rPr>
          <w:rFonts w:ascii="Arial" w:cs="Arial" w:eastAsia="Arial" w:hAnsi="Arial"/>
          <w:sz w:val="18"/>
          <w:szCs w:val="18"/>
          <w:color w:val="auto"/>
        </w:rPr>
        <w:t>) were reported.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 Phase 1 safety and pharmacokinetic studies were not designed to measure or evaluate the potential antidepressant effects of AV-101, approximately 9% (5/54) of the subjects receiving AV-101 and 0% (0/30) of the subjects receiving placebo reported “feelings of well-being” (coded as euphoric mood), similar to the fast-acting antidepressant effects reported in the literature with ketamine.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Clinical Safety Study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Phase 1a, randomized, double blind, placebo-controlled study to evaluate the safety and PK of single doses of AV-101 in healthy volunteers was conducted (VSG-CL-001). Seven cohorts (30, 120, 360, 720, 1,080, 1,440, and 1,800 mg) with six subjects per cohort (1:1, AV-101: placebo) were to be enrolled in the study. For the first five cohorts (30, 120, 360, 710 and 1,080 mg) only two subjects were dosed at a time as a pair (1:1, AV-101: placebo) on Day 1. The safety and tolerability of AV-101 in each pair of subjects was assessed by the investigator before proceeding to the next pair within the dose cohort of the study. If no safety concerns were found after analysis of the laboratory samples, physical assessments, and results of the neurological and ophthalmological examinations, the next two subjects in the cohort were dosed, but no sooner than 48 hours after the previous pair of subjects. The next cohort was dosed when the investigator and medical monitor agreed that it was safe to proceed based on review of the previous dose group’s preliminary safety information. In addition, PK assessments were to be reviewed for each cohort starting with the 720 mg through the 1,800 mg dose cohort. A minimum of four evaluable subjects (two AV-101 and two placebo) were required for determination of tolerability and safety of a dose level. The PK stopping criteria would be reached when the 4-C1-KYN mean AUC0-t reaches 900,486 ng·h/mL, or a mean Cmax of 81,633 ng/mL, or a PK extrapolation predicts exceeding one of these values in the next cohort.</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the subjects from the 1,440 mg cohort were dosed during a single day (3 subjects receiving active drug and 3 subjects receiving placebo). The safety and tolerability of AV-101 in the 1,440 mg dose cohort was to be assessed by the investigator and medical monitor before proceeding to the 1,800 mg dose cohort. If no safety concerns were found after analysis of the laboratory samples including the PK results, physical assessments, and results of the neurological and ophthalmological examinations for the 1,440 mg cohort, the 1,800-mg cohort was to be dosed. However, the PK stopping criteria were reached by one subject in the 1,440-mg cohort, and the dosing was stopped and did not proceed to the planned 1,800 mg cohort.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Clinical Study Pharmacokinetics Summary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Validated bioanalytical methods were used to measure plasma analyte concentrations. These assays had lower limits of quantification of 2 ng/mL for 7-Cl-KYNA and 5 ng/mL for 4-Cl-KYN and D-4-Cl- KYN. Pharmacokinetic parameters were calculated by using WinNonlin Pro v. 5.2. Parameters calculated included observed maximal concentration (Cmax), observed time to Cmax (Tmax), area under the concentration-time curve to the last sample collected (AUC0-t) or extrapolated to infinity (AUC0-∞), and half-life (t1/2). Concentrations of all three analytes were measurable in both plasma and urine after administration of each of the six dose levels: 30, 120, 360, 720, 1,080 and 1,440 mg.</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Concentration-time data were obtained after dosing of the six cohorts. Three subjects received AV-101 and three received placebo in each cohort. Plasma concentrations of 4-Cl-KYN and 7-Cl-KYNA were obtained in addition to urine concentrations of these two analytes. Plasma and urine concentrations of D-4-Cl-KYN also were determined, but will be reported only for the first two cohorts.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study was conducted under dose escalation stopping criteria as determined by the FDA of 4-Cl-KYN mean Cmax and AUC limits of 81,633 ng/mL and 900,486 ng·h/mL, respectively. Although these criteria were not met for the mean data of the 1,440-mg dose, one subject had a Cmax that was slightly greater than the limit of 81,633 ng/mL. Therefore, dose escalation to the planned seventh cohort of 1,800 mg of AV-101 did not occur in this study. However, from a safety perspective, a maximum tolerable dose was not achieved. Also, maximum AUC values at the highest dose level remained substantially lower than the limit.</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Concentrations of all three analytes were measurable in both plasma and urine after administration of all dose levels, although many of the samples from the 30-mg dose group had concentrations below the limit of quantification for 7-Cl-KYNA. Plasma concentration-time profiles were consistent with rapid absorption of the oral dose and first-order elimination. The plasma concentration-time profiles were well defined for 4-Cl-KYN at all dose levels. Maximum concentrations occurred fairly rapidly, with individual values of Tmax ranging from 0.5 to 2 hours, with greater values tending to be in the higher dose groups. Individual t1/2 values were fairly consistent within cohorts, and mean values ranged from 1.80 to 3.33 hours. Mean t1/2 values also tended to increase with increasing dose. Mean Cmax and AUC0-∞ values appeared to be approximately dose proportional except for those of the highest dose group.</w:t>
      </w:r>
    </w:p>
    <w:p>
      <w:pPr>
        <w:sectPr>
          <w:pgSz w:w="11900" w:h="16838" w:orient="portrait"/>
          <w:cols w:equalWidth="0" w:num="1">
            <w:col w:w="11420"/>
          </w:cols>
          <w:pgMar w:left="240" w:top="13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3" w:name="page14"/>
    <w:bookmarkEnd w:id="1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7-Cl-KYNA plasma concentration-time profiles were not well defined for the 30-mg dose. Most samples for the 30-mg dose cohort had concentrations below the lower limits of quantification, and t1/2 values could not be calculated; however, profiles were sufficient after the 120-mg and greater doses to calculate all parameters.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general, 7-Cl-KYNA maximum concentrations occurred at the same time or later than those for 4-Cl-KYN, as may be expected since 7-Cl-KYNA is a metabolite of 4-Cl-KYN. Individual values of Tmax ranged from 0.5 to 2 hours for both analytes. Individual 7-Cl-KYNA t1/2 values were fairly consistent within cohorts, and mean values ranged from 2.17 to 3.19 hours. Mean t1/2 values did not appear to be dose-related. Mean 7-Cl-KYNA Cmax values were somewhat dose proportional for the two initial dose groups, but tended to increase in a more than dose-proportional manner. Similarly, mean 7-Cl-KYNA AUC0-t values for all dose groups and AUC0-∞ values for dose groups of 120 mg or greater tended to increase in a more than dose-proportional manner. Mean plasma concentrations of 4-Cl-KYN (Figure 1) and 7-Cl-KYNA (Figure 2) are depicted for all six cohorts.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with the 120-mg dose cohort, the plasma concentration-time profiles were well defined for both 4-Cl-KYN and 7-Cl-KYNA at the four higher dose levels.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Interestingly, the mean concentration-time profiles suggest that maximum concentrations were lower than expected, particularly for 7-Cl-KYNA.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Dose Proportionality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4-Cl-KYN, mean Cmax and AUC0-∞ values appeared to be approximately dose proportional except for those of the highest dose group. These values are presented by dose in Figure 3 (Cmax) and in Figure 4 (AUC0-∞) below. Figure 3 indicates that for 4-Cl-KYN the mean Cmax values are approximately dose linear and proportional up to a dose of 1,080 mg of AV-101. After a dose of 1,440 mg, the mean Cmax values increased only 8.8% while the dose increased by 33.3%. This is evident in the deviation of the graph from linearity at the highest dose.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 4-Cl-KYN mean Cmax values were not linear after the 1,080-mg dose, AUC0-∞ values are approximately linear and dose proportional throughout the dose range. The nonlinearity of Cmax values at the highest dose could be a result of an outlier or simply variability in a small number of subjects (Cmax values of 44,600, 54,900, and 89,500 ng/mL were observed after the dose of 1,040-mg AV-101), it suggests that the rate or extent of absorption could be limited. The fact that AUC0-∞ values were linear throughout the dose range suggests that the extent of absorption was not a limitation, but the rate of absorption may be limited at doses above 1,080 mg.</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lack of linearity of the 4-Cl-KYN mean Cmax values would be expected to have a similar effect on the 7-Cl-KYNA mean Cmax values. Similarly, because the extent of absorption of 4-Cl-KYN was linear throughout the dose range, exposure to 7-Cl-KYNA would be expected to also be linear. Mean values of 7-Cl-KYNA are presented by dose in Figure 5 (Cmax) and in Figure 6 (AUC0-∞).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Clinical Study Safety Summary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(2 AEs) when compared with that at the 120-mg dose (1 AE), 360-mg dose (1 AE), 720-mg dose (0 AEs), 1,080-mg dose (0 AEs), or 1,440-mg dose (2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2 days of onset. This AE was also considered not serious.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Even though these safety studies were not designed to quantitatively assess effects on mood, during the interviews 2 out of 3 subjects who received the highest dose (1440 mg) of AV-101, voluntarily acknowledged positive effects on mood. Similar comments were not made by any of the 18 placebo group subjects. One incident lasted approximately 15 minutes after study drug dosing, and the other event of euphoria lasted approximately 3 hours after study drug dosing. There were no other reported AEs for this cohort. The events resolved and were considered not serious.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Clinical Safety Study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to have been dosed for 14 consecutive days. Each subject was given a paper diary and instructed to record daily dose administration, concomitant medications, and AEs during the 14-day treatment period.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safety and tolerability of AV-101 were assessed by evaluating AEs and by physical examinations, vital signs, and clinical laboratory tests (chemistry and hematology assessments) that were performed on Days 1, 7 (±1 day), and 14. Blood sampling for PK was performed on Days 1, 2, 14, and 15. Additionally, ophthalmological examinations were performed at screening and Day 15. Physical examinations, including vital signs, 12-lead ECGs, neurocognitive tests, and ataxia tests were performed on Day 1 and Day 14. Before proceeding to the next higher dose, the following criteria were met:</w:t>
      </w:r>
    </w:p>
    <w:p>
      <w:pPr>
        <w:spacing w:after="0" w:line="171" w:lineRule="exact"/>
        <w:rPr>
          <w:sz w:val="20"/>
          <w:szCs w:val="20"/>
          <w:color w:val="auto"/>
        </w:rPr>
      </w:pPr>
    </w:p>
    <w:p>
      <w:pPr>
        <w:ind w:left="580" w:hanging="383"/>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Blinded safety and tolerability data were reviewed and assessed as being satisfactory by the investigator and medical monitor; and</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PK assessments were reviewed by the blinded Cato Research PK specialist to determine if the PK stopping criteria were reached.</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doses evaluated in this Phase 1b multi-dose study of AV-101 were based on results obtained in a previously conducted Phase 1a single-dose study of AV-101 in healthy adults. The dose-escalation design was consistent with a standard scheme, and careful monitoring occurred to ensure the safety of all subjects.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minimum toxic dose was defined as the dose at which the stopping criteria were reached. For this study, the minimum toxic dose was to be (1) the dose at which a drug-related SAE occurred in an AV-101–treated subject, or (2) the dose at which a severe AE that warranted stopping the study, as determined by the investigator and medical monitor, occurred in an AV-101–treated subject within a cohort. The minimum toxic dose was not reached in this study.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total of 40 AEs were reported by 24 of 37 (64.9%) subjects receiving AV-101, and 17 AEs were reported by 10 of 13 (76.9%) subject receiving placebo (Table 2).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 No SAEs were reported.</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the reported AEs were nervous system disorders (23 subjects, 46% of subjects) and gastrointestinal disorders (7 subjects, 14.0%). The remaining AEs were classified as eye disorders (3 subjects, 6.0%); psychiatric disorders (3 subjects, 6.0%); respiratory, thoracic, and mediastinal disorders (3, 6.0%); skin and subcutaneous tissue disorders (3 subjects, 6.0%); general disorders and administration site conditions (2 subjects, 4.0%); cardiac disorders (1 subject, 2.0%); infections and infestations (1 subject, 2.0%); musculoskeletal and connective tissue disorders (1 subject, 2.0%); and renal disorders (1 subject, 2.0%).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distribution of AEs by System Organ Class was similar among the cohorts with the exception of headaches and gastrointestinal disorders. Eight of the 18 (44.4%) reported headaches were in the placebo group, 6 (33.3%) were in the 1,080-mg group, 3 (16.7%) were in the 1,440-mg group, and 1 (5.6%) was in the 360-mg group. Three (42.9%) of the 7 reported gastrointestinal disorders were in the 360-mg group, 2 (28.6%) were in the placebo group, 1 (14.3%) was in the 1,080-mg group, and 1 (14.3%) was in the 1,440-mg group.</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determination of the relationship of the AE to the study drug was made when the data were unblinded. Ten of the 15 AEs (66.7%) that occurred in the 360-mg AV-101 group, 10 of the 14 AEs (71.4%) that occurred in the 1,040-mg AV-101 group, 7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8 (14.0%) were of moderate intensity. There were 2 moderate intensity AEs in the 360-mg AV-101 group; 1 was unrelated pain in the right foot, and 1 was a possibly related headache. All other moderate AEs occurred in the placebo group and included nausea or vomiting (2 AEs), headache (2 AEs), and rash around the neck (1 AE). No SAEs were reported.</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though these safety studies were not designed to quantitatively assess effects on mood, during the interviews 3 (one each in the 360, 1080, and the 1440 mg cohort) out of 36 subjects who received AV-101, voluntarily acknowledged positive effects on mood, whereas none of 12 subjects on placebo expressed similar feelings.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Clinical Study Pharmacokinetics Summary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Concentration-time data were obtained after dosing of the three cohorts. Plasma concentrations of 4-Cl-KYN (AV-101) and the metabolite, 7-Cl-KYNA, were obtained from subjects that received AV-101. PK parameters were calculated by using WinNonlin Pro Version 5.3. Parameters calculated included Cmax, Tmax, AUC0-t, AUC0-∞, and t1/2.</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Plasma concentration-time profiles obtained for 4-Cl-KYN after administration of once-daily oral doses of 360, 1,080, or 1,440 mg AV-101 were consistent with rapid absorption of the oral dose and first-order elimination of both 4-Cl-KYN and 7-Cl-KYNA, with evidence of multicompartment kinetics, particularly for the metabolite 7-Cl-KYNA. Several subjects had plasma concentration-time profiles with a last measurable sample that appeared to be an outlier or suggested multicompartment kinetics, making it challenging to identify a terminal log-linear elimination phase. Particularly for 7-Cl-KYNA, using the last two measurable samples to calculate t1/2 resulted in unrealistic values for some subjects.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Plasma concentration-time profiles for 4-Cl-KYN were more consistently single compartment, but several had a subtle multicompartment appearance. To be consistent in the calculation of t1/2 and to report a meaningful value, the final three samples with measurable concentrations were used to calculate t1/2 for subjects for whom those samples appeared to be log-linear. Otherwise, the last sample was essentially treated as an outlier, and the prior samples in the log-linear phase were used to calculate t1/2 (these samples had a higher coefficient of determination value than the last three samples). In addition, the AUC0-∞ values reported are calculated using the predicted last value rather than observed.</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absolute bioavailability evaluation is not possible from the data; however, an estimate of exposure can be done by comparing the AUC at the same doses. The mean AUC0-∞ values in the Phase 1b study were higher at all three doses than seen in Phase 1a study, suggesting similar or even higher bioavailability than that in the Phase 1a study, i.e. ≥ 31%.</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the PK of AV-101 was fully characterized across the range of doses in this study. Plasma concentration-time profiles obtained for 4-Cl-KYN (AV-101) and 7-Cl-KYNA after administration of a single and multiple, once daily oral doses of 360, 1,080, or 1,440 mg were consistent with rapid absorption of the oral dose and first-order elimination of both analytes, with evidence of multi-compartment kinetics, particularly for the metabolite 7-Cl-KYNA.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Clinical Safety Program - Summary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safety data from two NIH-funded AV-101 Phase 1 clinical safety studies indicate that AV-101 was safe and well tolerated in healthy subjects at all doses tested. There were no AEs reported by subjects who received AV-101 that were graded as probably related to study drug. The type and distribution of AEs reported by subjects in the studies were considered to be typical for studies in healthy volunteers. All of the AEs were completely resolved. No SAEs were reported.</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 Phase 1 safety and pharmacokinetic studies were not designed to measure or evaluate the potential antidepressant effects of AV-101, approximately 9% (5/54) of the subjects receiving AV-101 and 0% (0/30) of the subjects receiving placebo reported “feelings of well-being” (coded as euphoric mood), similar to the fast-acting antidepressant effects reported in the literature with ketamine.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five reports of feelings of well-being occurred in one subject each at 360 (7%, 1/15 subjects) and 1,080 mg (7%, 1/15 subjects), and three subjects at 1,440 mg (20%, 3/15 subjects) in the Phase 1a and Phase 1b clinical studies, combined. Four of the five subjects reporting feelings of well-being did not have any other adverse experiences, and one subject (1,080 mg) also reported a mild headache. These results suggest a dose response and that AV-101 at the higher doses may lead to an increased positive mood.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 Cell Technology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stem cell technology platform is based on proprietary and licensed technologies for directing the differentiation of human pluripotent stem cells (</w:t>
      </w:r>
      <w:r>
        <w:rPr>
          <w:rFonts w:ascii="Arial" w:cs="Arial" w:eastAsia="Arial" w:hAnsi="Arial"/>
          <w:sz w:val="18"/>
          <w:szCs w:val="18"/>
          <w:i w:val="1"/>
          <w:iCs w:val="1"/>
          <w:color w:val="auto"/>
        </w:rPr>
        <w:t>hPSCs</w:t>
      </w:r>
      <w:r>
        <w:rPr>
          <w:rFonts w:ascii="Arial" w:cs="Arial" w:eastAsia="Arial" w:hAnsi="Arial"/>
          <w:sz w:val="18"/>
          <w:szCs w:val="18"/>
          <w:color w:val="auto"/>
        </w:rPr>
        <w:t>) and producing multiple types of mature, non-transformed, functional, adult human cells for potential drug rescue and regenerative medicine (RM) applications. .</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use our hPSC-derived heart cells (cardiomyocytes) in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our novel, customized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bioassay system, to predict potential cardiotoxicity of drug rescue NCEs. As a result of their high purity and functionality, we believe our hPSC-derived heart cells provide potential therapeutic and commercial opportunities related to RM, including cardiac tissue engineering and cardiac cell therapy. Similarly, we believe blood, cartilage and liver cells derived from our stem cell technology provide an additional diverse range of RM opportunities.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ectPr>
          <w:pgSz w:w="11900" w:h="16838" w:orient="portrait"/>
          <w:cols w:equalWidth="0" w:num="1">
            <w:col w:w="11420"/>
          </w:cols>
          <w:pgMar w:left="240" w:top="130" w:right="239"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Human pluripotent stem cells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 many ways relevant to drug development and RM.</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Human pluripotent stem cells are either embryonic stem cells (</w:t>
      </w:r>
      <w:r>
        <w:rPr>
          <w:rFonts w:ascii="Arial" w:cs="Arial" w:eastAsia="Arial" w:hAnsi="Arial"/>
          <w:sz w:val="16"/>
          <w:szCs w:val="16"/>
          <w:i w:val="1"/>
          <w:iCs w:val="1"/>
          <w:color w:val="auto"/>
        </w:rPr>
        <w:t>hESCs</w:t>
      </w:r>
      <w:r>
        <w:rPr>
          <w:rFonts w:ascii="Arial" w:cs="Arial" w:eastAsia="Arial" w:hAnsi="Arial"/>
          <w:sz w:val="16"/>
          <w:szCs w:val="16"/>
          <w:color w:val="auto"/>
        </w:rPr>
        <w:t>) or induced pluripotent stem cells (</w:t>
      </w:r>
      <w:r>
        <w:rPr>
          <w:rFonts w:ascii="Arial" w:cs="Arial" w:eastAsia="Arial" w:hAnsi="Arial"/>
          <w:sz w:val="16"/>
          <w:szCs w:val="16"/>
          <w:i w:val="1"/>
          <w:iCs w:val="1"/>
          <w:color w:val="auto"/>
        </w:rPr>
        <w:t>iPSCs</w:t>
      </w:r>
      <w:r>
        <w:rPr>
          <w:rFonts w:ascii="Arial" w:cs="Arial" w:eastAsia="Arial" w:hAnsi="Arial"/>
          <w:sz w:val="16"/>
          <w:szCs w:val="16"/>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for RM applications. We use multiple types of these mature cells as the foundation to design and develop novel, customized bioassay systems to test the safety and efficacy of NCEs </w:t>
      </w:r>
      <w:r>
        <w:rPr>
          <w:rFonts w:ascii="Arial" w:cs="Arial" w:eastAsia="Arial" w:hAnsi="Arial"/>
          <w:sz w:val="16"/>
          <w:szCs w:val="16"/>
          <w:i w:val="1"/>
          <w:iCs w:val="1"/>
          <w:color w:val="auto"/>
        </w:rPr>
        <w:t>in vitro</w:t>
      </w:r>
      <w:r>
        <w:rPr>
          <w:rFonts w:ascii="Arial" w:cs="Arial" w:eastAsia="Arial" w:hAnsi="Arial"/>
          <w:sz w:val="16"/>
          <w:szCs w:val="16"/>
          <w:color w:val="auto"/>
        </w:rPr>
        <w:t>. These cells also have potential for diverse RM applications.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stem cell technology platform is based on proprietary and licensed technologies for controlling the differentiation of human pluripotent stem cells (</w:t>
      </w:r>
      <w:r>
        <w:rPr>
          <w:rFonts w:ascii="Arial" w:cs="Arial" w:eastAsia="Arial" w:hAnsi="Arial"/>
          <w:sz w:val="18"/>
          <w:szCs w:val="18"/>
          <w:i w:val="1"/>
          <w:iCs w:val="1"/>
          <w:color w:val="auto"/>
        </w:rPr>
        <w:t>hPSCs</w:t>
      </w:r>
      <w:r>
        <w:rPr>
          <w:rFonts w:ascii="Arial" w:cs="Arial" w:eastAsia="Arial" w:hAnsi="Arial"/>
          <w:sz w:val="18"/>
          <w:szCs w:val="18"/>
          <w:color w:val="auto"/>
        </w:rPr>
        <w:t>) and producing multiple types of mature, non-transformed, functional, adult human cells for potential drug rescue and regenerative medicine (RM) applications. .</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use our hPSC-derived heart cells (cardiomyocytes) in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our novel, customized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bioassay system, to predict potential cardiotoxicity of drug rescue NCEs. As a result of their high purity and functionality, we believe our hPSC-derived heart cells provide potential therapeutic and commercial opportunities related to RM, including cardiac tissue engineering and cardiac cell therapy. Similarly, we believe blood, cartilage and liver cells derived from our stem cell technology provide an additional diverse range of RM opportunities.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Heart Cells (Cardiomyocytes) and </w:t>
      </w:r>
      <w:r>
        <w:rPr>
          <w:rFonts w:ascii="Arial" w:cs="Arial" w:eastAsia="Arial" w:hAnsi="Arial"/>
          <w:sz w:val="18"/>
          <w:szCs w:val="18"/>
          <w:b w:val="1"/>
          <w:bCs w:val="1"/>
          <w:i w:val="1"/>
          <w:iCs w:val="1"/>
          <w:color w:val="auto"/>
        </w:rPr>
        <w:t>CardioSafe</w:t>
      </w:r>
      <w:r>
        <w:rPr>
          <w:rFonts w:ascii="Arial" w:cs="Arial" w:eastAsia="Arial" w:hAnsi="Arial"/>
          <w:sz w:val="18"/>
          <w:szCs w:val="18"/>
          <w:b w:val="1"/>
          <w:bCs w:val="1"/>
          <w:color w:val="auto"/>
        </w:rPr>
        <w:t xml:space="preserve"> 3D Drug Rescue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produce fully functional, non-transformed hPSC-derived cardiomyocytes (</w:t>
      </w:r>
      <w:r>
        <w:rPr>
          <w:rFonts w:ascii="Arial" w:cs="Arial" w:eastAsia="Arial" w:hAnsi="Arial"/>
          <w:sz w:val="18"/>
          <w:szCs w:val="18"/>
          <w:i w:val="1"/>
          <w:iCs w:val="1"/>
          <w:color w:val="auto"/>
        </w:rPr>
        <w:t>hPSC-CMs</w:t>
      </w:r>
      <w:r>
        <w:rPr>
          <w:rFonts w:ascii="Arial" w:cs="Arial" w:eastAsia="Arial" w:hAnsi="Arial"/>
          <w:sz w:val="18"/>
          <w:szCs w:val="18"/>
          <w:color w:val="auto"/>
        </w:rPr>
        <w:t>)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We believe our hPSC-CMs are suitable for both drug development and RM applications.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limitations of current preclinical drug testing systems used by pharmaceutical companies and others contribute to the high failure rate of NCEs. Incorporating novel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using early in preclinical development offers the potential to improve clinical predictability, decrease development costs, and avoid adverse patient effects, late-stage clinical termination, and product recall from the market. In addition to normal expression all of the key ion channels of the human heart (calcium, potassium and sodium) and various cardiomyocytic markers of the human heart,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cardiac toxicity assays screening for both direct cardiomyocyte cytotoxicity and arrhythmogenesis (or development of irregular beating patterns). We believe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sensitive, stable, reproducible and capable of generating data enabling a more accurate prediction of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cardiac effects of NCEs than is possible with existing preclinical testing systems, particularly the hERG assay.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Clinical Predictivity of the FDA-Required hERG Assay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hERG assay, which uses either transformed hamster ovary cells or human kidney cells, is currently the only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cardiac safety assay required by FDA Guidelines (</w:t>
      </w:r>
      <w:r>
        <w:rPr>
          <w:rFonts w:ascii="Arial" w:cs="Arial" w:eastAsia="Arial" w:hAnsi="Arial"/>
          <w:sz w:val="17"/>
          <w:szCs w:val="17"/>
          <w:i w:val="1"/>
          <w:iCs w:val="1"/>
          <w:color w:val="auto"/>
        </w:rPr>
        <w:t>ICH57B</w:t>
      </w:r>
      <w:r>
        <w:rPr>
          <w:rFonts w:ascii="Arial" w:cs="Arial" w:eastAsia="Arial" w:hAnsi="Arial"/>
          <w:sz w:val="17"/>
          <w:szCs w:val="17"/>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 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Broad Clinical Predictivity of CardioSafe </w:t>
      </w:r>
      <w:r>
        <w:rPr>
          <w:rFonts w:ascii="Arial" w:cs="Arial" w:eastAsia="Arial" w:hAnsi="Arial"/>
          <w:sz w:val="18"/>
          <w:szCs w:val="18"/>
          <w:b w:val="1"/>
          <w:bCs w:val="1"/>
          <w:color w:val="auto"/>
        </w:rPr>
        <w:t>3D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developed and validated two clinically relevant functional components of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consists of a suite of five fluorescence or luminescence based high-throughput hPSC-CM assays. These five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assays measure five the following important drug-induced cardiac biological effects:</w:t>
      </w:r>
    </w:p>
    <w:p>
      <w:pPr>
        <w:spacing w:after="0" w:line="187" w:lineRule="exact"/>
        <w:rPr>
          <w:sz w:val="20"/>
          <w:szCs w:val="20"/>
          <w:color w:val="auto"/>
        </w:rPr>
      </w:pPr>
    </w:p>
    <w:p>
      <w:pPr>
        <w:ind w:left="660" w:hanging="27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cell viability;</w:t>
      </w:r>
    </w:p>
    <w:p>
      <w:pPr>
        <w:spacing w:after="0" w:line="23" w:lineRule="exact"/>
        <w:rPr>
          <w:rFonts w:ascii="Arial" w:cs="Arial" w:eastAsia="Arial" w:hAnsi="Arial"/>
          <w:sz w:val="18"/>
          <w:szCs w:val="18"/>
          <w:color w:val="auto"/>
        </w:rPr>
      </w:pPr>
    </w:p>
    <w:p>
      <w:pPr>
        <w:ind w:left="660" w:hanging="27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apoptosis;</w:t>
      </w:r>
    </w:p>
    <w:p>
      <w:pPr>
        <w:spacing w:after="0" w:line="9" w:lineRule="exact"/>
        <w:rPr>
          <w:rFonts w:ascii="Arial" w:cs="Arial" w:eastAsia="Arial" w:hAnsi="Arial"/>
          <w:sz w:val="18"/>
          <w:szCs w:val="18"/>
          <w:color w:val="auto"/>
        </w:rPr>
      </w:pPr>
    </w:p>
    <w:p>
      <w:pPr>
        <w:ind w:left="660" w:hanging="27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mitochondrial membrane depolarization;</w:t>
      </w:r>
    </w:p>
    <w:p>
      <w:pPr>
        <w:spacing w:after="0" w:line="9" w:lineRule="exact"/>
        <w:rPr>
          <w:rFonts w:ascii="Arial" w:cs="Arial" w:eastAsia="Arial" w:hAnsi="Arial"/>
          <w:sz w:val="18"/>
          <w:szCs w:val="18"/>
          <w:color w:val="auto"/>
        </w:rPr>
      </w:pPr>
    </w:p>
    <w:p>
      <w:pPr>
        <w:ind w:left="660" w:hanging="27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oxidative stress; and</w:t>
      </w:r>
    </w:p>
    <w:p>
      <w:pPr>
        <w:spacing w:after="0" w:line="9" w:lineRule="exact"/>
        <w:rPr>
          <w:rFonts w:ascii="Arial" w:cs="Arial" w:eastAsia="Arial" w:hAnsi="Arial"/>
          <w:sz w:val="18"/>
          <w:szCs w:val="18"/>
          <w:color w:val="auto"/>
        </w:rPr>
      </w:pPr>
    </w:p>
    <w:p>
      <w:pPr>
        <w:ind w:left="660" w:hanging="27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energy metabolism disruption.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suite of five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cytotoxicity assays provide measurement of cardiac drug effects with high sensitivity that are consistent with expected cardiac responses to drugs in numerous classes. We believe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provides valuable and comprehensive bioanalytical tools for assessing the effects of pharmaceutical compounds on cardiac cytotoxicity and can elucidate for us specific mechanisms of cardiac toxicity, thereby laying what we believe is a novel and advantageous foundation for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drug rescue programs.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other component of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assay system is a sensitive and reliable medium throughput multi-electrode array (</w:t>
      </w:r>
      <w:r>
        <w:rPr>
          <w:rFonts w:ascii="Arial" w:cs="Arial" w:eastAsia="Arial" w:hAnsi="Arial"/>
          <w:sz w:val="16"/>
          <w:szCs w:val="16"/>
          <w:i w:val="1"/>
          <w:iCs w:val="1"/>
          <w:color w:val="auto"/>
        </w:rPr>
        <w:t>MEA</w:t>
      </w:r>
      <w:r>
        <w:rPr>
          <w:rFonts w:ascii="Arial" w:cs="Arial" w:eastAsia="Arial" w:hAnsi="Arial"/>
          <w:sz w:val="16"/>
          <w:szCs w:val="16"/>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has been validated with reported clinical results involving twelve drugs, each with known toxic or non-toxic cardiac effects in humans.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CardioSafe </w:t>
      </w:r>
      <w:r>
        <w:rPr>
          <w:rFonts w:ascii="Arial" w:cs="Arial" w:eastAsia="Arial" w:hAnsi="Arial"/>
          <w:sz w:val="17"/>
          <w:szCs w:val="17"/>
          <w:color w:val="auto"/>
        </w:rPr>
        <w:t>3D is capable of assessing important electrophysiological activity of drugs or new drug candidates, including spike amplitude, beat period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field potential duration. Our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MEA assay, which we refer to as </w:t>
      </w:r>
      <w:r>
        <w:rPr>
          <w:rFonts w:ascii="Arial" w:cs="Arial" w:eastAsia="Arial" w:hAnsi="Arial"/>
          <w:sz w:val="17"/>
          <w:szCs w:val="17"/>
          <w:i w:val="1"/>
          <w:iCs w:val="1"/>
          <w:color w:val="auto"/>
        </w:rPr>
        <w:t>ECG in a test tube</w:t>
      </w:r>
      <w:r>
        <w:rPr>
          <w:rFonts w:ascii="Arial" w:cs="Arial" w:eastAsia="Arial" w:hAnsi="Arial"/>
          <w:sz w:val="17"/>
          <w:szCs w:val="17"/>
          <w:color w:val="auto"/>
        </w:rPr>
        <w:t xml:space="preserve">™, was reproducible and consistent with the known human cardiac effects of numerous compounds studied, based on the mechanisms of action and dosage of the compounds. For instance, by using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provides valuable and comprehensive bioanalytical tools for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cardiac safety screening, well beyond the capabilities of the hERG assay. The table below reflects the broad cardiotoxicity screening capabilities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which we believe go far beyond what is possible to assess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using the FDA-required hERG assay: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gridSpan w:val="2"/>
          </w:tcPr>
          <w:p>
            <w:pPr>
              <w:spacing w:after="0"/>
              <w:rPr>
                <w:sz w:val="20"/>
                <w:szCs w:val="20"/>
                <w:color w:val="auto"/>
              </w:rPr>
            </w:pPr>
            <w:r>
              <w:rPr>
                <w:rFonts w:ascii="Arial" w:cs="Arial" w:eastAsia="Arial" w:hAnsi="Arial"/>
                <w:sz w:val="18"/>
                <w:szCs w:val="18"/>
                <w:color w:val="auto"/>
              </w:rPr>
              <w:t>Detects cardiac effects mediated by:</w:t>
            </w:r>
          </w:p>
        </w:tc>
        <w:tc>
          <w:tcPr>
            <w:tcW w:w="2160" w:type="dxa"/>
            <w:vAlign w:val="bottom"/>
          </w:tcPr>
          <w:p>
            <w:pPr>
              <w:jc w:val="center"/>
              <w:ind w:right="930"/>
              <w:spacing w:after="0"/>
              <w:rPr>
                <w:sz w:val="20"/>
                <w:szCs w:val="20"/>
                <w:color w:val="auto"/>
              </w:rPr>
            </w:pPr>
            <w:r>
              <w:rPr>
                <w:rFonts w:ascii="Arial" w:cs="Arial" w:eastAsia="Arial" w:hAnsi="Arial"/>
                <w:sz w:val="18"/>
                <w:szCs w:val="18"/>
                <w:b w:val="1"/>
                <w:bCs w:val="1"/>
                <w:color w:val="auto"/>
                <w:w w:val="89"/>
              </w:rPr>
              <w:t>hERG assay</w:t>
            </w:r>
          </w:p>
        </w:tc>
        <w:tc>
          <w:tcPr>
            <w:tcW w:w="36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 xml:space="preserve">CardioSafe </w:t>
            </w:r>
            <w:r>
              <w:rPr>
                <w:rFonts w:ascii="Arial" w:cs="Arial" w:eastAsia="Arial" w:hAnsi="Arial"/>
                <w:sz w:val="18"/>
                <w:szCs w:val="18"/>
                <w:b w:val="1"/>
                <w:bCs w:val="1"/>
                <w:color w:val="auto"/>
                <w:w w:val="90"/>
              </w:rPr>
              <w:t>3D™</w:t>
            </w:r>
          </w:p>
        </w:tc>
      </w:tr>
      <w:tr>
        <w:trPr>
          <w:trHeight w:val="216"/>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hERG potassium ion channels</w:t>
            </w:r>
          </w:p>
        </w:tc>
        <w:tc>
          <w:tcPr>
            <w:tcW w:w="2160" w:type="dxa"/>
            <w:vAlign w:val="bottom"/>
            <w:tcBorders>
              <w:top w:val="single" w:sz="8" w:color="auto"/>
            </w:tcBorders>
            <w:shd w:val="clear" w:color="auto" w:fill="CCEEFF"/>
          </w:tcPr>
          <w:p>
            <w:pPr>
              <w:jc w:val="center"/>
              <w:ind w:right="930"/>
              <w:spacing w:after="0"/>
              <w:rPr>
                <w:sz w:val="20"/>
                <w:szCs w:val="20"/>
                <w:color w:val="auto"/>
              </w:rPr>
            </w:pPr>
            <w:r>
              <w:rPr>
                <w:rFonts w:ascii="Arial" w:cs="Arial" w:eastAsia="Arial" w:hAnsi="Arial"/>
                <w:sz w:val="18"/>
                <w:szCs w:val="18"/>
                <w:color w:val="auto"/>
                <w:w w:val="99"/>
              </w:rPr>
              <w:t>ü</w:t>
            </w: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potassium ion channels</w:t>
            </w:r>
          </w:p>
        </w:tc>
        <w:tc>
          <w:tcPr>
            <w:tcW w:w="216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Calcium ion channels</w:t>
            </w:r>
          </w:p>
        </w:tc>
        <w:tc>
          <w:tcPr>
            <w:tcW w:w="216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Sodium ion channels</w:t>
            </w:r>
          </w:p>
        </w:tc>
        <w:tc>
          <w:tcPr>
            <w:tcW w:w="216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Interactions between ion channels</w:t>
            </w:r>
          </w:p>
        </w:tc>
        <w:tc>
          <w:tcPr>
            <w:tcW w:w="216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Channel regulatory proteins</w:t>
            </w:r>
          </w:p>
        </w:tc>
        <w:tc>
          <w:tcPr>
            <w:tcW w:w="216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Cell viability</w:t>
            </w:r>
          </w:p>
        </w:tc>
        <w:tc>
          <w:tcPr>
            <w:tcW w:w="216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Apoptosis</w:t>
            </w:r>
          </w:p>
        </w:tc>
        <w:tc>
          <w:tcPr>
            <w:tcW w:w="216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Mitochondria</w:t>
            </w:r>
          </w:p>
        </w:tc>
        <w:tc>
          <w:tcPr>
            <w:tcW w:w="216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Energy</w:t>
            </w:r>
          </w:p>
        </w:tc>
        <w:tc>
          <w:tcPr>
            <w:tcW w:w="216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79"/>
              </w:rPr>
              <w:t>ü</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Oxidative Stress</w:t>
            </w:r>
          </w:p>
        </w:tc>
        <w:tc>
          <w:tcPr>
            <w:tcW w:w="216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r>
      <w:tr>
        <w:trPr>
          <w:trHeight w:val="432"/>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w w:val="90"/>
              </w:rPr>
              <w:t>Using Stem Cell Technology to Produce and Develop Drug Rescue NCEs</w:t>
            </w:r>
          </w:p>
        </w:tc>
        <w:tc>
          <w:tcPr>
            <w:tcW w:w="216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Our current drug rescue strategy involves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By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enhance our understanding of the cardiac liability profile of NCEs, biological insight not previously available when the NCEs were originally discovered, optimized for efficacy and developed, we believe we can demonstrate preclinical proof-of-concept (</w:t>
      </w:r>
      <w:r>
        <w:rPr>
          <w:rFonts w:ascii="Arial" w:cs="Arial" w:eastAsia="Arial" w:hAnsi="Arial"/>
          <w:sz w:val="18"/>
          <w:szCs w:val="18"/>
          <w:i w:val="1"/>
          <w:iCs w:val="1"/>
          <w:color w:val="auto"/>
        </w:rPr>
        <w:t>POC</w:t>
      </w:r>
      <w:r>
        <w:rPr>
          <w:rFonts w:ascii="Arial" w:cs="Arial" w:eastAsia="Arial" w:hAnsi="Arial"/>
          <w:sz w:val="18"/>
          <w:szCs w:val="18"/>
          <w:color w:val="auto"/>
        </w:rPr>
        <w:t xml:space="preserve">) as to the efficacy and safety of new, safer drug rescue NCEs in standard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as well as in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goal in each drug rescue program will be to produce a proprietary drug rescue NCE and establish its preclinical POC, using standard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and safety models, as well as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In this context, POC means that the lead drug rescue NCE, as compared to the original, previously-terminated NCE</w:t>
      </w:r>
      <w:r>
        <w:rPr>
          <w:rFonts w:ascii="Arial" w:cs="Arial" w:eastAsia="Arial" w:hAnsi="Arial"/>
          <w:sz w:val="18"/>
          <w:szCs w:val="18"/>
          <w:i w:val="1"/>
          <w:iCs w:val="1"/>
          <w:color w:val="auto"/>
        </w:rPr>
        <w:t>,</w:t>
      </w:r>
      <w:r>
        <w:rPr>
          <w:rFonts w:ascii="Arial" w:cs="Arial" w:eastAsia="Arial" w:hAnsi="Arial"/>
          <w:sz w:val="18"/>
          <w:szCs w:val="18"/>
          <w:color w:val="auto"/>
        </w:rPr>
        <w:t xml:space="preserve"> demonstrates both (i) equal or superior efficacy in the same, or a similar,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Development and Commercialization of Drug Rescue NCEs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Once we optimize a patentable drug rescue NCE, we intend to develop it internally to establish preclinical POC in established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and safety models, as well as in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After we establish preclinical POC of a patentable drug rescue NCE, we will decide between continuing to develop it internally and out-licensing it to a pharmaceutical company. If we license it to the pharmaceutical company, it will be responsible for all subsequent development, manufacturing, regulatory approval, marketing and sale of the drug rescue NCE and we will generate revenue through payments to us from the license upon signing the license agreement, achievement of development and regulatory milestones, and, if approved and marketed, upon commercial sales, although no assurances can be given that we will seek and complete a partnership, or that the terms of such a beneficial arrangement will be available or offered to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Regenerative Medicine</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We believe stem cell technology-based RM has the potential to transform healthcare in the U.S. and other established pharmaceutical markets over the next decade by providing new approaches for treating the fundamental mechanisms of disease. We currently intend to establish strategic collaborations to leverage our stem cell technology platform and intellectual property. We believe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regenerative medicine purposes, including both novel human disease models for discovery of small molecule drugs with regenerative and therapeutic potential and cellular therapies. Among our key objectives will be to establish one or more RM-related collaborations designed to advance potential commercial opportunities related to RM, including (A) cell-based therapy (injection of progenitor or tissue-specific mature cells obtained through directed differentiation), (B) cell repair therapy (induction of regeneration by biologically active molecules administered alone or secreted by infused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tissues), each involving hPSC-derived blood, bone, cartilage, heart and/or liver cells through nonclinical and early clinical POC studies.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Strategic collaborations are an important cornerstone of our corporate development strategy. We believe that our strategic outsourcing model gives us flexible access to medicinal chemistry, research and development capabilities, and manufacturing, clinical development and regulatory expertise at a lower overall cost than developing and maintaining the full extent of such capabilities and expertise internally on a full-time basis. In particular, we collaborate with the types of third parties identified below for the following functions:</w:t>
      </w:r>
    </w:p>
    <w:p>
      <w:pPr>
        <w:spacing w:after="0" w:line="187" w:lineRule="exact"/>
        <w:rPr>
          <w:sz w:val="20"/>
          <w:szCs w:val="20"/>
          <w:color w:val="auto"/>
        </w:rPr>
      </w:pPr>
    </w:p>
    <w:p>
      <w:pPr>
        <w:ind w:left="580" w:right="100" w:hanging="383"/>
        <w:spacing w:after="0" w:line="308" w:lineRule="auto"/>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academic and non-profit research institutions, such as the University Health Network, the McEwen Centre for Regenerative Medicine and the Centre for the Commercialization of Regenerative Medicine for stem cell technology research, development and cell production;</w:t>
      </w:r>
    </w:p>
    <w:p>
      <w:pPr>
        <w:spacing w:after="0" w:line="146" w:lineRule="exact"/>
        <w:rPr>
          <w:rFonts w:ascii="Arial" w:cs="Arial" w:eastAsia="Arial" w:hAnsi="Arial"/>
          <w:sz w:val="17"/>
          <w:szCs w:val="17"/>
          <w:color w:val="auto"/>
        </w:rPr>
      </w:pPr>
    </w:p>
    <w:p>
      <w:pPr>
        <w:ind w:left="580" w:hanging="383"/>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manufacturing and manufacturing service, medicinal chemistry and process development companies, such as Norac Pharma, Pharmatek and Synterys, Inc., to design, produce and analyze AV-101 clinical trial materials and potential drug rescue NCEs; and</w:t>
      </w:r>
    </w:p>
    <w:p>
      <w:pPr>
        <w:spacing w:after="0" w:line="170" w:lineRule="exact"/>
        <w:rPr>
          <w:rFonts w:ascii="Arial" w:cs="Arial" w:eastAsia="Arial" w:hAnsi="Arial"/>
          <w:sz w:val="18"/>
          <w:szCs w:val="18"/>
          <w:color w:val="auto"/>
        </w:rPr>
      </w:pPr>
    </w:p>
    <w:p>
      <w:pPr>
        <w:ind w:left="580" w:right="20" w:hanging="383"/>
        <w:spacing w:after="0" w:line="308" w:lineRule="auto"/>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contract clinical development and regulatory organizations (</w:t>
      </w:r>
      <w:r>
        <w:rPr>
          <w:rFonts w:ascii="Arial" w:cs="Arial" w:eastAsia="Arial" w:hAnsi="Arial"/>
          <w:sz w:val="17"/>
          <w:szCs w:val="17"/>
          <w:i w:val="1"/>
          <w:iCs w:val="1"/>
          <w:color w:val="auto"/>
        </w:rPr>
        <w:t>CROs</w:t>
      </w:r>
      <w:r>
        <w:rPr>
          <w:rFonts w:ascii="Arial" w:cs="Arial" w:eastAsia="Arial" w:hAnsi="Arial"/>
          <w:sz w:val="17"/>
          <w:szCs w:val="17"/>
          <w:color w:val="auto"/>
        </w:rPr>
        <w:t>), such as Pharmaceutical Product Development, LLC, Cato Research, Ltd. and Massachusetts General Hospital Clinical Trials Network and Institute for regulatory expertise and clinical development support.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Cato Research is a CRO with international resources dedicated to helping biotechnology and pharmaceutical companies navigate the regulatory approval process in order to bring new biologics, drugs and medical devices to markets throughout the world. Cato Research is one of our CROs for development of AV-101, currently focused on all chemistry, manufacturing and controls (</w:t>
      </w:r>
      <w:r>
        <w:rPr>
          <w:rFonts w:ascii="Arial" w:cs="Arial" w:eastAsia="Arial" w:hAnsi="Arial"/>
          <w:sz w:val="17"/>
          <w:szCs w:val="17"/>
          <w:i w:val="1"/>
          <w:iCs w:val="1"/>
          <w:color w:val="auto"/>
        </w:rPr>
        <w:t>CMC</w:t>
      </w:r>
      <w:r>
        <w:rPr>
          <w:rFonts w:ascii="Arial" w:cs="Arial" w:eastAsia="Arial" w:hAnsi="Arial"/>
          <w:sz w:val="17"/>
          <w:szCs w:val="17"/>
          <w:color w:val="auto"/>
        </w:rPr>
        <w:t>) aspects of our Phase 2 development program in MDD. Cato Research’s senior management team, including co-founders Allen Cato, M.D., Ph.D. and Lynda Sutton, have over 25 years of experience interacting with the FDA and international regulatory agencies and a successful track record of product approvals.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BioVentures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Cato Holding Company, doing business as Cato BioVentures, is the venture capital affiliate of Cato Research. Through strategic CRO service agreements with Cato Research, Cato BioVentures invests in therapeutics and medical devices, as well as platform technologies such as our stem cell technology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access Cato Research has to potential drug rescue NCEs from its biotechnology and pharmaceutical industry network, as well as Cato BioVentures’ strategic long term equity interest in the Company,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drug rescue NCEs internally rather than out-license them to strategic partners.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Cardiac Safety Research Consortium</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joined the Cardiac Safety Research Consortium (</w:t>
      </w:r>
      <w:r>
        <w:rPr>
          <w:rFonts w:ascii="Arial" w:cs="Arial" w:eastAsia="Arial" w:hAnsi="Arial"/>
          <w:sz w:val="16"/>
          <w:szCs w:val="16"/>
          <w:i w:val="1"/>
          <w:iCs w:val="1"/>
          <w:color w:val="auto"/>
        </w:rPr>
        <w:t>CSRC</w:t>
      </w:r>
      <w:r>
        <w:rPr>
          <w:rFonts w:ascii="Arial" w:cs="Arial" w:eastAsia="Arial" w:hAnsi="Arial"/>
          <w:sz w:val="16"/>
          <w:szCs w:val="16"/>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Cardiac Safety Technical Committee of the Health and Environmental Sciences Institute – FDA’s CIPA Initiative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also joined the Cardiac Safety Technical Committee, Cardiac Stem Cell Working Group, and Proarrhythmia Working Group of the Health and Environmental Sciences Institute (</w:t>
      </w:r>
      <w:r>
        <w:rPr>
          <w:rFonts w:ascii="Arial" w:cs="Arial" w:eastAsia="Arial" w:hAnsi="Arial"/>
          <w:sz w:val="17"/>
          <w:szCs w:val="17"/>
          <w:i w:val="1"/>
          <w:iCs w:val="1"/>
          <w:color w:val="auto"/>
        </w:rPr>
        <w:t>HESI</w:t>
      </w:r>
      <w:r>
        <w:rPr>
          <w:rFonts w:ascii="Arial" w:cs="Arial" w:eastAsia="Arial" w:hAnsi="Arial"/>
          <w:sz w:val="17"/>
          <w:szCs w:val="17"/>
          <w:color w:val="auto"/>
        </w:rPr>
        <w:t>) to help advance, among other goals, the FDA’s Comprehensive In Vitro Proarrhythmia Assay (</w:t>
      </w:r>
      <w:r>
        <w:rPr>
          <w:rFonts w:ascii="Arial" w:cs="Arial" w:eastAsia="Arial" w:hAnsi="Arial"/>
          <w:sz w:val="17"/>
          <w:szCs w:val="17"/>
          <w:i w:val="1"/>
          <w:iCs w:val="1"/>
          <w:color w:val="auto"/>
        </w:rPr>
        <w:t>CIPA</w:t>
      </w:r>
      <w:r>
        <w:rPr>
          <w:rFonts w:ascii="Arial" w:cs="Arial" w:eastAsia="Arial" w:hAnsi="Arial"/>
          <w:sz w:val="17"/>
          <w:szCs w:val="17"/>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7"/>
          <w:szCs w:val="17"/>
          <w:i w:val="1"/>
          <w:iCs w:val="1"/>
          <w:color w:val="auto"/>
        </w:rPr>
        <w:t>ILSI</w:t>
      </w:r>
      <w:r>
        <w:rPr>
          <w:rFonts w:ascii="Arial" w:cs="Arial" w:eastAsia="Arial" w:hAnsi="Arial"/>
          <w:sz w:val="17"/>
          <w:szCs w:val="17"/>
          <w:color w:val="auto"/>
        </w:rPr>
        <w:t>), whose members include most of the world’s largest pharmaceutical and biotechnology companies.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Centre for Commercialization of Regenerative Medicine</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Toronto-based Centre for Commercialization of Regenerative Medicine (</w:t>
      </w:r>
      <w:r>
        <w:rPr>
          <w:rFonts w:ascii="Arial" w:cs="Arial" w:eastAsia="Arial" w:hAnsi="Arial"/>
          <w:sz w:val="16"/>
          <w:szCs w:val="16"/>
          <w:i w:val="1"/>
          <w:iCs w:val="1"/>
          <w:color w:val="auto"/>
        </w:rPr>
        <w:t>CCRM</w:t>
      </w:r>
      <w:r>
        <w:rPr>
          <w:rFonts w:ascii="Arial" w:cs="Arial" w:eastAsia="Arial" w:hAnsi="Arial"/>
          <w:sz w:val="16"/>
          <w:szCs w:val="16"/>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Massachusetts General Hospital Clinical Trials Network and Institute</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Massachusetts General Hospital (</w:t>
      </w:r>
      <w:r>
        <w:rPr>
          <w:rFonts w:ascii="Arial" w:cs="Arial" w:eastAsia="Arial" w:hAnsi="Arial"/>
          <w:sz w:val="17"/>
          <w:szCs w:val="17"/>
          <w:i w:val="1"/>
          <w:iCs w:val="1"/>
          <w:color w:val="auto"/>
        </w:rPr>
        <w:t>MGH</w:t>
      </w:r>
      <w:r>
        <w:rPr>
          <w:rFonts w:ascii="Arial" w:cs="Arial" w:eastAsia="Arial" w:hAnsi="Arial"/>
          <w:sz w:val="17"/>
          <w:szCs w:val="17"/>
          <w:color w:val="auto"/>
        </w:rPr>
        <w:t>) Clinical Trials Network and Institute (</w:t>
      </w:r>
      <w:r>
        <w:rPr>
          <w:rFonts w:ascii="Arial" w:cs="Arial" w:eastAsia="Arial" w:hAnsi="Arial"/>
          <w:sz w:val="17"/>
          <w:szCs w:val="17"/>
          <w:i w:val="1"/>
          <w:iCs w:val="1"/>
          <w:color w:val="auto"/>
        </w:rPr>
        <w:t>CTNI</w:t>
      </w:r>
      <w:r>
        <w:rPr>
          <w:rFonts w:ascii="Arial" w:cs="Arial" w:eastAsia="Arial" w:hAnsi="Arial"/>
          <w:sz w:val="17"/>
          <w:szCs w:val="17"/>
          <w:color w:val="auto"/>
        </w:rPr>
        <w:t>) is an academic CRO, part of the Department of Psychiatry of the Massachusetts General Hospital (</w:t>
      </w:r>
      <w:r>
        <w:rPr>
          <w:rFonts w:ascii="Arial" w:cs="Arial" w:eastAsia="Arial" w:hAnsi="Arial"/>
          <w:sz w:val="17"/>
          <w:szCs w:val="17"/>
          <w:i w:val="1"/>
          <w:iCs w:val="1"/>
          <w:color w:val="auto"/>
        </w:rPr>
        <w:t>MGH</w:t>
      </w:r>
      <w:r>
        <w:rPr>
          <w:rFonts w:ascii="Arial" w:cs="Arial" w:eastAsia="Arial" w:hAnsi="Arial"/>
          <w:sz w:val="17"/>
          <w:szCs w:val="17"/>
          <w:color w:val="auto"/>
        </w:rPr>
        <w:t>), a leader in academic scientific and clinical research in psychiatry. By exploring the brain science, genetics, and neurobiology of psychiatric disorders, the MGH CTNI has been instrumental in the development of novel treatments and surrogate markers of illness and therapeutic response. Its scientific and clinical research has been instrumental in defining the standards for the state-of-the-art practice of psychiatry. We are working with MGH CTNI, including its principals, Dr. Maurizio Fava and Dr. Thomas Laughren, in connection with the planning and execution of our Phase 2b clinical study of AV-101 for treatment of MDD. Dr. Fava is acknowledged as a world renowned expert in depressive disorders and psychopharmacology. He is Director of the Division of Clinical Research of the MGH Research Institute, Executive Vice Chair, Department of Psychiatry, at MGH, and Executive Director of MGH CTNI. He will serve as Principal Investigator of our Phase 2b study of AV-101 in MDD. Dr. Laughren is the former FDA Division Director, Division of Psychiatry Products, Center for Drug Evaluation and Research (</w:t>
      </w:r>
      <w:r>
        <w:rPr>
          <w:rFonts w:ascii="Arial" w:cs="Arial" w:eastAsia="Arial" w:hAnsi="Arial"/>
          <w:sz w:val="17"/>
          <w:szCs w:val="17"/>
          <w:i w:val="1"/>
          <w:iCs w:val="1"/>
          <w:color w:val="auto"/>
        </w:rPr>
        <w:t>CDER</w:t>
      </w:r>
      <w:r>
        <w:rPr>
          <w:rFonts w:ascii="Arial" w:cs="Arial" w:eastAsia="Arial" w:hAnsi="Arial"/>
          <w:sz w:val="17"/>
          <w:szCs w:val="17"/>
          <w:color w:val="auto"/>
        </w:rPr>
        <w:t>).</w:t>
      </w:r>
    </w:p>
    <w:p>
      <w:pPr>
        <w:sectPr>
          <w:pgSz w:w="11900" w:h="16838" w:orient="portrait"/>
          <w:cols w:equalWidth="0" w:num="1">
            <w:col w:w="11420"/>
          </w:cols>
          <w:pgMar w:left="240" w:top="130" w:right="239" w:bottom="676"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676" w:gutter="0" w:footer="0" w:header="0"/>
          <w:type w:val="continuous"/>
        </w:sectPr>
      </w:pPr>
    </w:p>
    <w:bookmarkStart w:id="20" w:name="page21"/>
    <w:bookmarkEnd w:id="2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Product Development, LLC</w:t>
      </w:r>
    </w:p>
    <w:p>
      <w:pPr>
        <w:spacing w:after="0" w:line="252" w:lineRule="exact"/>
        <w:rPr>
          <w:sz w:val="20"/>
          <w:szCs w:val="20"/>
          <w:color w:val="auto"/>
        </w:rPr>
      </w:pPr>
    </w:p>
    <w:p>
      <w:pPr>
        <w:jc w:val="both"/>
        <w:ind w:right="260"/>
        <w:spacing w:after="0" w:line="257" w:lineRule="auto"/>
        <w:rPr>
          <w:sz w:val="20"/>
          <w:szCs w:val="20"/>
          <w:color w:val="auto"/>
        </w:rPr>
      </w:pPr>
      <w:r>
        <w:rPr>
          <w:rFonts w:ascii="Arial" w:cs="Arial" w:eastAsia="Arial" w:hAnsi="Arial"/>
          <w:sz w:val="18"/>
          <w:szCs w:val="18"/>
          <w:color w:val="auto"/>
        </w:rPr>
        <w:t>Pharmaceutical Product Development, LLC (</w:t>
      </w:r>
      <w:r>
        <w:rPr>
          <w:rFonts w:ascii="Arial" w:cs="Arial" w:eastAsia="Arial" w:hAnsi="Arial"/>
          <w:sz w:val="18"/>
          <w:szCs w:val="18"/>
          <w:i w:val="1"/>
          <w:iCs w:val="1"/>
          <w:color w:val="auto"/>
        </w:rPr>
        <w:t>PPD</w:t>
      </w:r>
      <w:r>
        <w:rPr>
          <w:rFonts w:ascii="Arial" w:cs="Arial" w:eastAsia="Arial" w:hAnsi="Arial"/>
          <w:sz w:val="18"/>
          <w:szCs w:val="18"/>
          <w:color w:val="auto"/>
        </w:rPr>
        <w:t>) is a leading global CRO providing comprehensive, integrated drug development, laboratory and lifecycle management services. With offices in 46 countries and more than 15,000 professionals worldwide, PPD applies innovative technologies, therapeutic expertise and a firm commitment to quality to help its clients and partners bend the cost and time curve of drug development to deliver life-changing therapies that improve health. We are currently working with PPD as our full-service CRO in connection with the planning and execution of our Phase 2b clinical study of AV-101 for treatment of MDD.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Synterys,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a strategic medicinal chemistry collaboration agreement with Synterys, Inc., a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drug rescue 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National Institutes of Health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our inception in 1998, the NIH has awarded us $11.3 million in non-dilutive research and development grants, including $2.3 million to support research and development of our stem cell technology and $8.8 million for nonclinical and Phase 1 clinical development of AV-101.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National Institute of Mental Health</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National Institute of Mental Health,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In February 2015, we entered into CRADA with the NIH providing for our ongoing AV-101 Phase 2a efficacy and safety study in MDD. This Phase 2a study is being fully funded by the NIH and is being conducted at the NIMH by Dr. Carlos Zarate, the NIMH’s Chief of Experimental Therapeutics &amp; Pathophysiology Branch and Section on Neurobiology and Treatment of Mood and Anxiety Disorders.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Health Network, McEwen Centre for Regenerative Medicine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University Health Network (</w:t>
      </w:r>
      <w:r>
        <w:rPr>
          <w:rFonts w:ascii="Arial" w:cs="Arial" w:eastAsia="Arial" w:hAnsi="Arial"/>
          <w:sz w:val="17"/>
          <w:szCs w:val="17"/>
          <w:i w:val="1"/>
          <w:iCs w:val="1"/>
          <w:color w:val="auto"/>
        </w:rPr>
        <w:t>UHN</w:t>
      </w:r>
      <w:r>
        <w:rPr>
          <w:rFonts w:ascii="Arial" w:cs="Arial" w:eastAsia="Arial" w:hAnsi="Arial"/>
          <w:sz w:val="17"/>
          <w:szCs w:val="17"/>
          <w:color w:val="auto"/>
        </w:rPr>
        <w:t>)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McEwen Centre for Regenerative Medicine (</w:t>
      </w:r>
      <w:r>
        <w:rPr>
          <w:rFonts w:ascii="Arial" w:cs="Arial" w:eastAsia="Arial" w:hAnsi="Arial"/>
          <w:sz w:val="17"/>
          <w:szCs w:val="17"/>
          <w:i w:val="1"/>
          <w:iCs w:val="1"/>
          <w:color w:val="auto"/>
        </w:rPr>
        <w:t>McEwen Centre</w:t>
      </w:r>
      <w:r>
        <w:rPr>
          <w:rFonts w:ascii="Arial" w:cs="Arial" w:eastAsia="Arial" w:hAnsi="Arial"/>
          <w:sz w:val="17"/>
          <w:szCs w:val="17"/>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upon patents as a major component of our intellectual property portfolio, as is typical for development-stage, biopharmaceutical companies. In addition, from time to time, we enter into patent license agreements to acquire rights to intellectual property. We also rely, in part, on trade secrets for protection of some of our discoveries. We attempt to protect our trade secrets by entering into confidentiality agreements with employees, consultants, collaborators and third parties. We also own several registered and common-law trademarks.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help protect our intellectual property rights, our employees and consultants also sign agreements in which they assign to us, for example, their interests in patents, trade secrets and copyrights arising from their work for us.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sponsor research with key scientists in academic institutions to advance or supplement our internal research and development activities and objectives. These sponsored research agreements generally provide us with an opportunity to negotiate a new license, or acquire a substantially prescribed license, to acquire intellectual property rights in the results of the sponsored research.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discussed elsewhere in this Annual Report, AV-101 (</w:t>
      </w:r>
      <w:r>
        <w:rPr>
          <w:rFonts w:ascii="Arial" w:cs="Arial" w:eastAsia="Arial" w:hAnsi="Arial"/>
          <w:sz w:val="16"/>
          <w:szCs w:val="16"/>
          <w:i w:val="1"/>
          <w:iCs w:val="1"/>
          <w:color w:val="auto"/>
        </w:rPr>
        <w:t>4-Cl-KYN</w:t>
      </w:r>
      <w:r>
        <w:rPr>
          <w:rFonts w:ascii="Arial" w:cs="Arial" w:eastAsia="Arial" w:hAnsi="Arial"/>
          <w:sz w:val="16"/>
          <w:szCs w:val="16"/>
          <w:color w:val="auto"/>
        </w:rPr>
        <w:t>) is a development-stage prodrug candidate presently being studied in an NIH-sponsored Phase 2a clinical trial for the treatment of MDD. We have developed a broad and diverse portfolio of intellectual property assets around AV-101, which involves both patent applications and trade secrets. In addition, we will seek regulatory exclusivity to supplement our intellectual property rights.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AV-101 itself is not patented. We obtained a patent license from the University of Maryland to certain pharmaceutical formulations and associated methods of using AV-101 when we acquired the original licensee, Artemis Neuroscience, Inc. Patent rights included in that license that were relevant to AV-101, however, have expired. Although the license agreement contains royalty obligations that nominally remain in force until 10 years after the first commercial sale of the first product even after relevant patent rights have expired, the U.S. Supreme Court’s decision in </w:t>
      </w:r>
      <w:r>
        <w:rPr>
          <w:rFonts w:ascii="Arial" w:cs="Arial" w:eastAsia="Arial" w:hAnsi="Arial"/>
          <w:sz w:val="17"/>
          <w:szCs w:val="17"/>
          <w:i w:val="1"/>
          <w:iCs w:val="1"/>
          <w:color w:val="auto"/>
        </w:rPr>
        <w:t>Kimble v. Marvel Entertainment, LLC</w:t>
      </w:r>
      <w:r>
        <w:rPr>
          <w:rFonts w:ascii="Arial" w:cs="Arial" w:eastAsia="Arial" w:hAnsi="Arial"/>
          <w:sz w:val="17"/>
          <w:szCs w:val="17"/>
          <w:color w:val="auto"/>
        </w:rPr>
        <w:t xml:space="preserve"> (2015) determined that patent license royalties that extend beyond a patent’s expiration are not enforceable.</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though the compound 4-Cl-KYN per se and certain of its formulations are in the public domain and thus are no longer protectable, we have filed several of our own patent applications on certain other formulations and novel therapeutic methods of use of AV-101 as part of our strategy to seek and secure market exclusivity.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Presently, we are prosecuting a family of patent applications in the USPTO, European Patent Office and selected major markets related to specific dosage formulations of AV-101, as well as to methods of treating depression, hyperalgesia pain and several other neurological conditions. For reference, these are based on PCT patent application WO2014/116739. We have recently filed a continuation application in this family in the U.S., focused on the treatment of depression, that is undergoing accelerated examination. There is no guarantee, however, that the USPTO will allow any of the pending claims.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also prosecuting a second patent family related to novel methods of synthesizing AV-101, based on extensive research involving a range of synthetic routes that was conducted on our behalf by a separate contract research organization. For reference, this is based on PCT patent application WO2014/152835, which is presently being pursued at the national phase in the U.S. and selected other countries. This patent application also includes pharmaceutical composition claims to certain compounds related to AV-101, which may be useful and patentable as synthesis intermediates.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Another patent application related to additional and expanded clinical uses of AV-101 to treat depression and other medical conditions was filed in the U.S. as a provisional application in 2015. A PCT patent application corresponding to the provisional was filed in May 2016, and we plan to seek patent protection at the national phase in appropriate global markets.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we are presently developing potentially improved synthesis routes through another contract research organization. If we determine that these routes may be patentable, then we intend to file patent applications relating to this R&amp;D activity in the second half of 2016.</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we are involved with an ongoing Phase 2a study of AV-101 in MDD being conducted by the NIMH. As part of our analysis of the study results, we will be evaluating the possibility of seeking additional patent protection based on the clinical data and on clinical observations.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another major component of our plans to obtain market exclusivity for approved therapeutic indications for AV-101, we intend to utilize New Drug Product Exclusivity provided by the FDA under section 505(c)(3)(E) and 505(j)(5)(F) of the Federal Food, Drug, and Cosmetic Act (</w:t>
      </w:r>
      <w:r>
        <w:rPr>
          <w:rFonts w:ascii="Arial" w:cs="Arial" w:eastAsia="Arial" w:hAnsi="Arial"/>
          <w:sz w:val="16"/>
          <w:szCs w:val="16"/>
          <w:i w:val="1"/>
          <w:iCs w:val="1"/>
          <w:color w:val="auto"/>
        </w:rPr>
        <w:t>FDCA</w:t>
      </w:r>
      <w:r>
        <w:rPr>
          <w:rFonts w:ascii="Arial" w:cs="Arial" w:eastAsia="Arial" w:hAnsi="Arial"/>
          <w:sz w:val="16"/>
          <w:szCs w:val="16"/>
          <w:color w:val="auto"/>
        </w:rPr>
        <w:t>). The FDA’s New Drug Product Exclusivity is available for NCEs such as AV-101, which are innovative and have not been previously approved by the FDA, either alone or in combination with other drugs. The FDA’s New Drug Product Exclusivity protection provides the holder of an FDA-approved NDA with up to five years of protection from competition in the U.S. marketplace for the innovation represented by its approved new drug product. This protection precludes FDA approval of certain generic drug applications under section 505(b)(2) of the FDCA, as well as certain abbreviated new drug applications (</w:t>
      </w:r>
      <w:r>
        <w:rPr>
          <w:rFonts w:ascii="Arial" w:cs="Arial" w:eastAsia="Arial" w:hAnsi="Arial"/>
          <w:sz w:val="16"/>
          <w:szCs w:val="16"/>
          <w:i w:val="1"/>
          <w:iCs w:val="1"/>
          <w:color w:val="auto"/>
        </w:rPr>
        <w:t>ANDAs</w:t>
      </w:r>
      <w:r>
        <w:rPr>
          <w:rFonts w:ascii="Arial" w:cs="Arial" w:eastAsia="Arial" w:hAnsi="Arial"/>
          <w:sz w:val="16"/>
          <w:szCs w:val="16"/>
          <w:color w:val="auto"/>
        </w:rPr>
        <w:t>), during the up to five-year exclusivity period, except that such applications may be submitted after four years if they contain a certification of patent invalidity or non-infringement. We will pursue similar types of regulatory exclusivity in other regions, such as Europe, and in certain other countries.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no guarantee that we will be successful in obtaining patents in the U.S. or other countries related to AV-101, or that if we are successful in obtaining such patents that we would also be successful in protecting those patents against challengers or in enforcing them to stop infringement. We are pursuing patent rights in a limited number of countries that we believe are the few major markets where having patent rights will substantially facilitate commercialization of AV-101. There are many other countries in which we are not pursuing such patent rights. And there is no guarantee that we will successfully obtain patents in the countries in which we are pursuing patent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 Cell Technology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obtained and are pursuing intellectual property rights to several stem cell technologies through a combination of our own patent properties, exclusive and non-exclusive patent and technology licenses, and participation in sponsored research relationships. Generally, our stem cell IP portfolio relates to drug development, drug rescue/toxicity testing, drug discovery and cell therapy. It also relates to novel production systems and the use of various cell types that have been differentiated from pluripotent stem cells for those and other purposes. Additionally, the IP includes enriched populations of certain cell types, such as cardiomyocytes and hepatocytes, and some related aspects of cell-based therapy. We also maintain certain trade secrets regarding stem cell technology.</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Overall, our stem cell patent portfolio includes nine patent families, which collectively include 11 issued U.S. patents that remain in force and eight pending U.S. patent applications, as well as several foreign counterpart patents and patent applications in countries of commercial interest to VistaGen. The portfolio also includes several patent applications pending in the U.S. and in various foreign countries. For convenience of reference, our stem cell patent portfolio is based on published PCT patent applications WO 1997/021802, WO2000/034525, WO2004/098490, WO2001/096866, WO2012/024782, WO2013/075222, WO2014/124527, WO2014/161075 and WO2015035506, several of which are discussed below.</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patent properties in these families are based on discoveries from our internal research and development activities, research that we have sponsored at various academic institutions, as well as from patent license agreements signed with the National Jewish Medical and Research Center, University Health Network and the Mount Sinai School of Medicine.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license agreements generally require us to pay annual license fees, patent prosecution and maintenance fees, and royalty payments that vary based on product sales and services that are covered by the licensed patent rights, as well fees for sublicensing. As noted above in the context of AV-101 intellectual property, there is no guarantee that we will successfully obtain or maintain patents in the countries in which we are pursuing patent rights or that we would be successful in enforcing granted patent rights against infringers.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U.S. federal trademark registration for the trademark “VISTAGEN”. Corresponding trademarks have been registered in the European Union and in Switzerland. We also use certain other trademarks in connection with our customized in vitro bioassay systems, such as CardioSafe 3D™, LiverSafe 3D™ and “Better Cells Lead to Better Medicine™.”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Collaborations and Intellectual Property 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Health Network (UHN), McEwen Centre for Regenerative Medicine, Toronto, Ontario</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strategic relationship with our co-founder, Dr. Gordon Keller, Director of the UHN’s McEwen Centre, is focused on, among other things, developing improved methods for differentiation of cardiomyocytes (heart cells) from hPSCs, and their uses in bioassay systems for drug discovery and drug development, including drug rescue, cell therapy and regenerative medicine. Pursuant to our sponsored research collaboration agreement with UHN, we have acquired exclusive worldwide rights to patent applications in the U.S. and foreign countries on multiple inventions arising from studies we have sponsored, under pre-negotiated license terms. Such pre-negotiated terms provide for royalty payments based on product sales that incorporate the licensed technology and milestone payments based on the achievement of certain events. Any drug rescue compounds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w:t>
      </w:r>
    </w:p>
    <w:p>
      <w:pPr>
        <w:sectPr>
          <w:pgSz w:w="11900" w:h="16838" w:orient="portrait"/>
          <w:cols w:equalWidth="0" w:num="1">
            <w:col w:w="11420"/>
          </w:cols>
          <w:pgMar w:left="240" w:top="130"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23" w:name="page24"/>
    <w:bookmarkEnd w:id="2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sponsored research collaboration agreement (</w:t>
      </w:r>
      <w:r>
        <w:rPr>
          <w:rFonts w:ascii="Arial" w:cs="Arial" w:eastAsia="Arial" w:hAnsi="Arial"/>
          <w:sz w:val="16"/>
          <w:szCs w:val="16"/>
          <w:i w:val="1"/>
          <w:iCs w:val="1"/>
          <w:color w:val="auto"/>
        </w:rPr>
        <w:t>SRCA</w:t>
      </w:r>
      <w:r>
        <w:rPr>
          <w:rFonts w:ascii="Arial" w:cs="Arial" w:eastAsia="Arial" w:hAnsi="Arial"/>
          <w:sz w:val="16"/>
          <w:szCs w:val="16"/>
          <w:color w:val="auto"/>
        </w:rPr>
        <w:t>) with UHN, as amended, has a term of ten years, ending on September 18, 2017. We are currently in discussions with Dr. Keller and UHN regarding the scope of potential new sponsored research projects under the SRCA.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UHN Licenses for Stem Cell Culture Technology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2011, we licensed stem cell culture technology from UHN’s McEwen Centre pursuant to Sponsored Research Collaboration Agreement (</w:t>
      </w:r>
      <w:r>
        <w:rPr>
          <w:rFonts w:ascii="Arial" w:cs="Arial" w:eastAsia="Arial" w:hAnsi="Arial"/>
          <w:sz w:val="18"/>
          <w:szCs w:val="18"/>
          <w:i w:val="1"/>
          <w:iCs w:val="1"/>
          <w:color w:val="auto"/>
        </w:rPr>
        <w:t>SCRA</w:t>
      </w:r>
      <w:r>
        <w:rPr>
          <w:rFonts w:ascii="Arial" w:cs="Arial" w:eastAsia="Arial" w:hAnsi="Arial"/>
          <w:sz w:val="18"/>
          <w:szCs w:val="18"/>
          <w:color w:val="auto"/>
        </w:rPr>
        <w:t xml:space="preserve">). This exclusive license conveyed rights to a patent application published as a PCT application WO/2012/024782, entitled “Methods for Enriching Pluripotent Stem Cell Derived Cardiomyocyte Progenitor Cells and Cardiomyocyte Cells Based on SIRPA Expression,”, and any related patent application or patent claiming priority from it. This technology involves a cell surface protein, SIRPA (signal-regulatory protein alpha), that heretofore was not known to be expressed by early immature precursors for cardiomyocytes. Antibodies and other binding moieties specific to SIRPA allow the identification and enrichment of these early cardiomyocyte precursors, which we believe will provide benefits in terms of purity, functionality and reproducibility for not only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3Dä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safety assays for drug screening and development, but also potentially for production of cardiomyocytes for cell therapy and regenerative medicine applications.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April 2012, we licensed additional stem cell culture technology from UHN’s McEwen Centre pursuant to the SCRA. The licensed technology may be used to develop hematopoietic precursor stem cells from human pluripotent stem cells, with the goal of developing drug discovery screening and regenerative medicine applications for human blood system disorders. This exclusive license conveyed rights to a patent application published as PCT patent application WO/2013/075222, entitled “Populations of Hematopoietic Progenitiors and Methods of Enriching Stem Cells Therefor,” and any related patent application or patent claiming priority from it. We believe this stem cell technology substantially advances our ability to produce and purify this important blood stem cell precursor for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we are able to not only purify the stem cell-derived precursor of all adult hematopoietic cells, but also pinpoint the precise timing when adult blood cell differentiation takes place in these cultures. We believe these early cells, isolated through our licensed technology, have the potential to be the precursors of the ultimate adult, bone marrow-repopulating hematopoietic stem cells potentially useful to repopulate the blood and immune system when transplanted into bone marrow transplantation patients.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2014, we licensed additional stem cell culture technology from UHN’s McEwen Centre pursuant to the SCRA. This exclusive license conveyed rights to a patent application published as PCT patent application WO/2014/124527, entitled “Methods for Generating Hepatocytes and Cholangiocytes from Pluripotent Stem Cells,” and any related patent application or patent claiming priority from it. The licensed technology describes advanced methods for the production of mature hepatocytes and cholangiocytes, the primary cell types of the liver. The liver plays an important role in many bodily functions including protein production, blood clotting, as well as glucose, iron and lipid metabolism. Hepatocytes are the major cells responsible for metabolizing drugs, drug-drug interactions, and are the target for a variety of liver diseases and disorders, including drug-induced liver failure, Cirrhosis, and viral infections. Cholangiocytes are the precursors for the biliary system found in the liver, i.e. bile ducts and gallbladder. The biliary system is a significant target for many conditions, including drug toxicities, cholecystitis, and liver-related abnormal function associated with the cystic fibrosis mutation. We believe the licensed technology will enable us to more efficiently produce, human hepatocytes and cholangiocytes with more adult-like functions for potential drug discovery, drug rescue and regenerative medicine applications.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2014, we also licensed another stem cell culture technology from UHN’s McEwen Centre pursuant to the SCRA. This exclusive license conveyed rights to a patent application entitled “Methods and Compositions for Generating Epicardium Cells,” published as PCT patent application WO/2015/035506, and any patent application or patent claiming priority from it. The epicardium is the outer cell layer on top of the heart muscle (cardiomyocytes), and is essential for proper development of the heart and plays an important role in cardiac recovery during disease. The epicardium plays a critical role in the differentiation, expansion, and maturation of cardiomyocytes during development, or during cardiac repair responses. This patent application also relates to the differentiation of cardiomyocytes, fibroblast-like cells and smooth muscle-like cells. This technology will be important to developing the next generation of engineered cardiac tissue and their use in cell therapy approaches.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Also in December 2014, we licensed an additional stem cell culture technology from UHN’s McEwen Centre pursuant to the SCRA. This exclusive license conveyed rights to a patent application entitled “Methods and Compositions for Generating Chondrocyte Lineage Cells and/or Cartilage Like Tissue” published as PCT patent application WO/2014/161075, and any related patent application or patent claiming priority from it. There are two types of chondrocytes, “articular” and “growth plate.” Articular chondrocytes are responsible for cartilage that lines our joints, whereas growth plate chondrocytes are involved with new bone formation. Osteoarthritis is debilitating joint diseases resulting from the degeneration of the first kind, articular cartilage, leading to inappropriate bone development (spurs) in the joint. This technology will allow us to develop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to study the process of the degeneration of articular cartilage, and it provides novel tools for testing drugs that have the potential to reduce this degeneration. It also provides the necessary cells for developing cell therapy approaches for treating osteoarthritis.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received federal funding from both the NIH and the NIMH to support research and development of inventions disclosed in certain of our patent applications relating to AV-101 and certain of our patent applications relating to stem cell technology. Under the Bayh-Dole Act of 1980, if we do not take adequate steps to commercialize certain intellectual property rights, or certain other exigent circumstances relating to public health and safety prescribed under federal law become applicable, the U.S. government may exercise certain rights reserved by statute with respect to inventions made in the course of programs funded by NIH, NIMH or other federal grants.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there are no FDA-approved therapies for MDD with the mechanism of action of AV-101. However, products approved for other indications, for example, low doses of the anesthetic ketamine, are being or may be increasingly used off-label for treatment-resistant MDD, as well as other CNS indications for which AV-101 may have therapeutic potential. Additionally, other treatment options, such psychotherapy and electroconvulsive therapy, are sometimes used instead of and before antidepressant medications to treat patients with MDD.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field of new generation antidepressants focused on modulation of the NMDAR at its GlyB site, our principal competitor is Allergan plc, which is developing rapastinel (formerly GLYX-13) and NRX-1074 for treatment-resistant MDD. On August 28, 2015, Allergan acquired rapastinel and NRX-1074 from Naurex, Inc. (</w:t>
      </w:r>
      <w:r>
        <w:rPr>
          <w:rFonts w:ascii="Arial" w:cs="Arial" w:eastAsia="Arial" w:hAnsi="Arial"/>
          <w:sz w:val="17"/>
          <w:szCs w:val="17"/>
          <w:i w:val="1"/>
          <w:iCs w:val="1"/>
          <w:color w:val="auto"/>
        </w:rPr>
        <w:t>Naurex</w:t>
      </w:r>
      <w:r>
        <w:rPr>
          <w:rFonts w:ascii="Arial" w:cs="Arial" w:eastAsia="Arial" w:hAnsi="Arial"/>
          <w:sz w:val="17"/>
          <w:szCs w:val="17"/>
          <w:color w:val="auto"/>
        </w:rPr>
        <w:t>) in an all-cash transaction of $571.7 million, plus future contingent payments up to $1.15 billion. Although each of these drug candidates is a peptide and may not be orally active (rapastinel is only administered intravenously and, we believe, NRX-1074 has not yet been administered orally to patients), both are new generation NMDAR modulators focused on the GlyB site of the NMDAR.</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companies have programs to develop small molecule drug candidates for the treatment of depression, including MDD, epilepsy, neuropathic pain, Parkinson’s disease and other neurological conditions and diseases, including, but not limited to, Abbott Laboratories, Acadia, Alkermes, Allergan, AstraZeneca, Eli Lilly, GlaxoSmithKline, Johnson &amp; Johnson, Lundbeck, Merck, Novartis, Ono, Otsuka, Pfizer, Roche, Sanofi, Shire, Sumitomo, Takeda and Teva.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believe that our human pluripotent stem cell (</w:t>
      </w:r>
      <w:r>
        <w:rPr>
          <w:rFonts w:ascii="Arial" w:cs="Arial" w:eastAsia="Arial" w:hAnsi="Arial"/>
          <w:sz w:val="17"/>
          <w:szCs w:val="17"/>
          <w:i w:val="1"/>
          <w:iCs w:val="1"/>
          <w:color w:val="auto"/>
        </w:rPr>
        <w:t>hPSC</w:t>
      </w:r>
      <w:r>
        <w:rPr>
          <w:rFonts w:ascii="Arial" w:cs="Arial" w:eastAsia="Arial" w:hAnsi="Arial"/>
          <w:sz w:val="17"/>
          <w:szCs w:val="17"/>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drug discovery and safety testing, contract predictive toxicology drug screening services for third parties, internal drug discovery, drug development and drug rescue of new , and regenerative medicine, including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cell therapy research and development. A representative list of such biopharmaceutical companies pursuing one or more of these potential applications of adult and/or hPSCl technology includes the following: Acea Biosciences, Astellas, Athersys, BioCardia, BioTime, Cellectis Bioresearch, Cellerant Therapeutics, Cytori Therapeutics, Fujifilm Holdings, HemoGenix, International Stem Cell, NeoStem, Neuralstem, Organovo Holdings, PluriStem Therapeutics, Stem Cells, and Stemina BioMarker Discovery. Pharmaceutical companies and other established corporations such as Bristol-Myers Squibb, GE Healthcare Life Sciences, GlaxoSmithKline, Novartis, Pfizer, Roche Holdings, Thermo Fischer Scientific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ectPr>
          <w:pgSz w:w="11900" w:h="16838" w:orient="portrait"/>
          <w:cols w:equalWidth="0" w:num="1">
            <w:col w:w="11420"/>
          </w:cols>
          <w:pgMar w:left="240" w:top="130"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25" w:name="page26"/>
    <w:bookmarkEnd w:id="2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 authorities in the U.S.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U.S., the FDA regulates drugs under the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Our product candidates must be approved by the FDA through the NDA process before they may be legally marketed in the U.S.. The process required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FDA before a drug may be marketed in the U.S. generally involves the following:</w:t>
      </w:r>
    </w:p>
    <w:p>
      <w:pPr>
        <w:spacing w:after="0" w:line="238" w:lineRule="exact"/>
        <w:rPr>
          <w:sz w:val="20"/>
          <w:szCs w:val="20"/>
          <w:color w:val="auto"/>
        </w:rPr>
      </w:pPr>
    </w:p>
    <w:p>
      <w:pPr>
        <w:ind w:left="580" w:right="280" w:hanging="383"/>
        <w:spacing w:after="0" w:line="308"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Completion of extensive non-clinical, sometimes referred to as non-clinical laboratory tests, non-clinical animal studies and formulation studies in accordance with applicable regulations, including the FDA’s current Good Laboratory Practice (</w:t>
      </w:r>
      <w:r>
        <w:rPr>
          <w:rFonts w:ascii="Arial" w:cs="Arial" w:eastAsia="Arial" w:hAnsi="Arial"/>
          <w:sz w:val="17"/>
          <w:szCs w:val="17"/>
          <w:i w:val="1"/>
          <w:iCs w:val="1"/>
          <w:color w:val="auto"/>
        </w:rPr>
        <w:t>cGLP</w:t>
      </w:r>
      <w:r>
        <w:rPr>
          <w:rFonts w:ascii="Arial" w:cs="Arial" w:eastAsia="Arial" w:hAnsi="Arial"/>
          <w:sz w:val="17"/>
          <w:szCs w:val="17"/>
          <w:color w:val="auto"/>
        </w:rPr>
        <w:t>), regulations;</w:t>
      </w:r>
    </w:p>
    <w:p>
      <w:pPr>
        <w:spacing w:after="0" w:line="173" w:lineRule="exact"/>
        <w:rPr>
          <w:rFonts w:ascii="Arial" w:cs="Arial" w:eastAsia="Arial" w:hAnsi="Arial"/>
          <w:sz w:val="17"/>
          <w:szCs w:val="17"/>
          <w:color w:val="auto"/>
        </w:rPr>
      </w:pPr>
    </w:p>
    <w:p>
      <w:pPr>
        <w:ind w:left="580" w:hanging="383"/>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may begin;</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w:t>
      </w:r>
      <w:r>
        <w:rPr>
          <w:rFonts w:ascii="Arial" w:cs="Arial" w:eastAsia="Arial" w:hAnsi="Arial"/>
          <w:sz w:val="17"/>
          <w:szCs w:val="17"/>
          <w:i w:val="1"/>
          <w:iCs w:val="1"/>
          <w:color w:val="auto"/>
        </w:rPr>
        <w:t>IRB</w:t>
      </w:r>
      <w:r>
        <w:rPr>
          <w:rFonts w:ascii="Arial" w:cs="Arial" w:eastAsia="Arial" w:hAnsi="Arial"/>
          <w:sz w:val="17"/>
          <w:szCs w:val="17"/>
          <w:color w:val="auto"/>
        </w:rPr>
        <w:t>) or ethics committee at each clinical trial site before each trial may be initiated;</w:t>
      </w:r>
    </w:p>
    <w:p>
      <w:pPr>
        <w:spacing w:after="0" w:line="263" w:lineRule="exact"/>
        <w:rPr>
          <w:rFonts w:ascii="Arial" w:cs="Arial" w:eastAsia="Arial" w:hAnsi="Arial"/>
          <w:sz w:val="17"/>
          <w:szCs w:val="17"/>
          <w:color w:val="auto"/>
        </w:rPr>
      </w:pPr>
    </w:p>
    <w:p>
      <w:pPr>
        <w:ind w:left="580" w:right="440" w:hanging="383"/>
        <w:spacing w:after="0" w:line="342"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IND and other clinical trial-related regulations, sometimes referred to as good clinical practices (</w:t>
      </w:r>
      <w:r>
        <w:rPr>
          <w:rFonts w:ascii="Arial" w:cs="Arial" w:eastAsia="Arial" w:hAnsi="Arial"/>
          <w:sz w:val="16"/>
          <w:szCs w:val="16"/>
          <w:i w:val="1"/>
          <w:iCs w:val="1"/>
          <w:color w:val="auto"/>
        </w:rPr>
        <w:t>GCPs</w:t>
      </w:r>
      <w:r>
        <w:rPr>
          <w:rFonts w:ascii="Arial" w:cs="Arial" w:eastAsia="Arial" w:hAnsi="Arial"/>
          <w:sz w:val="16"/>
          <w:szCs w:val="16"/>
          <w:color w:val="auto"/>
        </w:rPr>
        <w:t>) to establish the safety and efficacy of the proposed drug for each proposed indication;</w:t>
      </w:r>
    </w:p>
    <w:p>
      <w:pPr>
        <w:spacing w:after="0" w:line="150" w:lineRule="exact"/>
        <w:rPr>
          <w:rFonts w:ascii="Arial" w:cs="Arial" w:eastAsia="Arial" w:hAnsi="Arial"/>
          <w:sz w:val="16"/>
          <w:szCs w:val="16"/>
          <w:color w:val="auto"/>
        </w:rPr>
      </w:pPr>
    </w:p>
    <w:p>
      <w:pPr>
        <w:ind w:left="580" w:hanging="383"/>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252" w:lineRule="exact"/>
        <w:rPr>
          <w:rFonts w:ascii="Arial" w:cs="Arial" w:eastAsia="Arial" w:hAnsi="Arial"/>
          <w:sz w:val="18"/>
          <w:szCs w:val="18"/>
          <w:color w:val="auto"/>
        </w:rPr>
      </w:pPr>
    </w:p>
    <w:p>
      <w:pPr>
        <w:ind w:left="580" w:right="40" w:hanging="383"/>
        <w:spacing w:after="0" w:line="342"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where the drug is produced to assess compliance with cGMP requirements to assure that the facilities, methods and controls are adequate to preserve the drug’s identity, strength, quality and purity;</w:t>
      </w:r>
    </w:p>
    <w:p>
      <w:pPr>
        <w:spacing w:after="0" w:line="150" w:lineRule="exact"/>
        <w:rPr>
          <w:rFonts w:ascii="Arial" w:cs="Arial" w:eastAsia="Arial" w:hAnsi="Arial"/>
          <w:sz w:val="16"/>
          <w:szCs w:val="16"/>
          <w:color w:val="auto"/>
        </w:rPr>
      </w:pPr>
    </w:p>
    <w:p>
      <w:pPr>
        <w:ind w:left="580" w:hanging="383"/>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FDA audit of the non-clinical and/or clinical trial sites that generated the data in support of the NDA; and</w:t>
      </w:r>
    </w:p>
    <w:p>
      <w:pPr>
        <w:spacing w:after="0" w:line="252" w:lineRule="exact"/>
        <w:rPr>
          <w:rFonts w:ascii="Arial" w:cs="Arial" w:eastAsia="Arial" w:hAnsi="Arial"/>
          <w:sz w:val="18"/>
          <w:szCs w:val="18"/>
          <w:color w:val="auto"/>
        </w:rPr>
      </w:pPr>
    </w:p>
    <w:p>
      <w:pPr>
        <w:ind w:left="580" w:right="180" w:hanging="383"/>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any commercial marketing or sale of the drug in the United States.</w:t>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non-clinical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Some non-clinical testing may continue even after the IND is submitted, but an IND must become effective before human clinical trials may begin. The central focus of an IND submission is on the general investigational plan and the protocol(s) for human trials. The IND automatically becomes effective 30 days after receipt by the FDA, unless the FDA raises concerns or questions regarding the proposed clinical trials, including subjects will be exposed to unreasonable health risks,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are generally conducted in three sequential phases that may overlap, known as Phase 1, Phase 2 and Phase 3 clinical trials.</w:t>
      </w:r>
    </w:p>
    <w:p>
      <w:pPr>
        <w:spacing w:after="0" w:line="225" w:lineRule="exact"/>
        <w:rPr>
          <w:sz w:val="20"/>
          <w:szCs w:val="20"/>
          <w:color w:val="auto"/>
        </w:rPr>
      </w:pPr>
    </w:p>
    <w:p>
      <w:pPr>
        <w:jc w:val="both"/>
        <w:ind w:left="580" w:hanging="383"/>
        <w:spacing w:after="0" w:line="264"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w:t>
      </w:r>
    </w:p>
    <w:p>
      <w:pPr>
        <w:spacing w:after="0" w:line="181" w:lineRule="exact"/>
        <w:rPr>
          <w:rFonts w:ascii="Arial" w:cs="Arial" w:eastAsia="Arial" w:hAnsi="Arial"/>
          <w:sz w:val="18"/>
          <w:szCs w:val="18"/>
          <w:color w:val="auto"/>
        </w:rPr>
      </w:pPr>
    </w:p>
    <w:p>
      <w:pPr>
        <w:jc w:val="both"/>
        <w:ind w:left="580" w:hanging="383"/>
        <w:spacing w:after="0" w:line="264"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w:t>
      </w:r>
    </w:p>
    <w:p>
      <w:pPr>
        <w:spacing w:after="0" w:line="181" w:lineRule="exact"/>
        <w:rPr>
          <w:rFonts w:ascii="Arial" w:cs="Arial" w:eastAsia="Arial" w:hAnsi="Arial"/>
          <w:sz w:val="18"/>
          <w:szCs w:val="18"/>
          <w:color w:val="auto"/>
        </w:rPr>
      </w:pPr>
    </w:p>
    <w:p>
      <w:pPr>
        <w:jc w:val="both"/>
        <w:ind w:left="580" w:hanging="383"/>
        <w:spacing w:after="0" w:line="302"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Phase 3 clinical trials generally involve large numbers of patients at multiple sites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written IND safety reports must be submitted to the FDA and the investigators for serious and unexpected suspected adverse events, finding from other studies, or any finding from animal or in vitro testing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we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The FDA reviews an NDA to determine, among other things, whether a drug is safe and effective for its intended use and whether the product is being manufactured in accordance with cGMP to assure and preserve the product’s identity, strength, quality and purity. FDA approval of an NDA must be obtained before a drug may be offered for sale in the United States.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under the Pediatric Research Equity Act (</w:t>
      </w:r>
      <w:r>
        <w:rPr>
          <w:rFonts w:ascii="Arial" w:cs="Arial" w:eastAsia="Arial" w:hAnsi="Arial"/>
          <w:sz w:val="17"/>
          <w:szCs w:val="17"/>
          <w:i w:val="1"/>
          <w:iCs w:val="1"/>
          <w:color w:val="auto"/>
        </w:rPr>
        <w:t>PREA</w:t>
      </w:r>
      <w:r>
        <w:rPr>
          <w:rFonts w:ascii="Arial" w:cs="Arial" w:eastAsia="Arial" w:hAnsi="Arial"/>
          <w:sz w:val="17"/>
          <w:szCs w:val="17"/>
          <w:color w:val="auto"/>
        </w:rPr>
        <w:t>)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Prescription Drug User Fee Act (</w:t>
      </w:r>
      <w:r>
        <w:rPr>
          <w:rFonts w:ascii="Arial" w:cs="Arial" w:eastAsia="Arial" w:hAnsi="Arial"/>
          <w:sz w:val="18"/>
          <w:szCs w:val="18"/>
          <w:i w:val="1"/>
          <w:iCs w:val="1"/>
          <w:color w:val="auto"/>
        </w:rPr>
        <w:t>PDUFA</w:t>
      </w:r>
      <w:r>
        <w:rPr>
          <w:rFonts w:ascii="Arial" w:cs="Arial" w:eastAsia="Arial" w:hAnsi="Arial"/>
          <w:sz w:val="18"/>
          <w:szCs w:val="18"/>
          <w:color w:val="auto"/>
        </w:rPr>
        <w:t>) as amended, each NDA must be accompanied by a user fee. The FDA adjusts the PDUFA user fees on an annual basis. According to the FDA’s fee schedule, effective through December 31, 2014, the user fee for an application requiring clinical data, such as an NDA, is $2.2 million. PDUFA also imposes an annual product fee for human drugs of $0.1 million and an annual establishment fee of $0.6 million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ectPr>
          <w:pgSz w:w="11900" w:h="16838" w:orient="portrait"/>
          <w:cols w:equalWidth="0" w:num="1">
            <w:col w:w="11420"/>
          </w:cols>
          <w:pgMar w:left="240" w:top="130"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post-marketing testing or clinical trials and surveillance to monitor the effects of approved products. For example, the FDA may require Phase 4 testing which involves clinical trials designed to further assess a drug’s safety and efficacy and may require testing and surveillance programs to monitor the safety of approved products that have been commercialized. The FDA may also place other conditions on approvals including the requirement for a risk evaluation and mitigation strategy (</w:t>
      </w:r>
      <w:r>
        <w:rPr>
          <w:rFonts w:ascii="Arial" w:cs="Arial" w:eastAsia="Arial" w:hAnsi="Arial"/>
          <w:sz w:val="17"/>
          <w:szCs w:val="17"/>
          <w:i w:val="1"/>
          <w:iCs w:val="1"/>
          <w:color w:val="auto"/>
        </w:rPr>
        <w:t>REMS</w:t>
      </w:r>
      <w:r>
        <w:rPr>
          <w:rFonts w:ascii="Arial" w:cs="Arial" w:eastAsia="Arial" w:hAnsi="Arial"/>
          <w:sz w:val="17"/>
          <w:szCs w:val="17"/>
          <w:color w:val="auto"/>
        </w:rPr>
        <w:t>)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requirements or if problems occur following initial marketing.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product intended to treat a rare disease or condition, which is generally a disease or condition that affects fewer than 200,000 individuals in the U.S., or more than 200,000 individuals in the U.S. and for which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than that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as a Fast Track product at any time during the clinical development of the product. Unique to a Fast Track product, the FDA may review sections of the marketing application on a rolling basis before the complete NDA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offers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 product may also be eligible for accelerated approval. Drugs studied for their safety and efficacy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210" w:lineRule="exact"/>
        <w:rPr>
          <w:sz w:val="20"/>
          <w:szCs w:val="20"/>
          <w:color w:val="auto"/>
        </w:rPr>
      </w:pPr>
    </w:p>
    <w:p>
      <w:pPr>
        <w:ind w:left="580" w:hanging="383"/>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distributionrestricted to certain facilities or physicians with special training or experience; or</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 conditioned on the performance of specified medical procedures.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 Additionally, a drug may be eligible for designation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indications. The benefits of breakthrough therapy designation include the same benefits as fast track designation, plus intensive guidance from FDA to ensure an efficient drug development program. Fast Track designation, priority review, accelerated approval and breakthrough designation do not change the standards for approval, but may expedite the development or approval process.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Trials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Food and Drug Administration Safety and Innovation Act (</w:t>
      </w:r>
      <w:r>
        <w:rPr>
          <w:rFonts w:ascii="Arial" w:cs="Arial" w:eastAsia="Arial" w:hAnsi="Arial"/>
          <w:sz w:val="16"/>
          <w:szCs w:val="16"/>
          <w:i w:val="1"/>
          <w:iCs w:val="1"/>
          <w:color w:val="auto"/>
        </w:rPr>
        <w:t>FDASIA</w:t>
      </w:r>
      <w:r>
        <w:rPr>
          <w:rFonts w:ascii="Arial" w:cs="Arial" w:eastAsia="Arial" w:hAnsi="Arial"/>
          <w:sz w:val="16"/>
          <w:szCs w:val="16"/>
          <w:color w:val="auto"/>
        </w:rPr>
        <w: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w:t>
      </w:r>
      <w:r>
        <w:rPr>
          <w:rFonts w:ascii="Arial" w:cs="Arial" w:eastAsia="Arial" w:hAnsi="Arial"/>
          <w:sz w:val="16"/>
          <w:szCs w:val="16"/>
          <w:i w:val="1"/>
          <w:iCs w:val="1"/>
          <w:color w:val="auto"/>
        </w:rPr>
        <w:t>PSP</w:t>
      </w:r>
      <w:r>
        <w:rPr>
          <w:rFonts w:ascii="Arial" w:cs="Arial" w:eastAsia="Arial" w:hAnsi="Arial"/>
          <w:sz w:val="16"/>
          <w:szCs w:val="16"/>
          <w:color w:val="auto"/>
        </w:rPr>
        <w:t>)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non-clinical studies and clinical trials. As with new NDAs, the review process is often significantly extended by FDA requests for additional information or clarification. Any distribution of prescription drug products and pharmaceutical samples must comply with the U.S. Prescription Drug Marketing Act (</w:t>
      </w:r>
      <w:r>
        <w:rPr>
          <w:rFonts w:ascii="Arial" w:cs="Arial" w:eastAsia="Arial" w:hAnsi="Arial"/>
          <w:sz w:val="17"/>
          <w:szCs w:val="17"/>
          <w:i w:val="1"/>
          <w:iCs w:val="1"/>
          <w:color w:val="auto"/>
        </w:rPr>
        <w:t>PDMA</w:t>
      </w:r>
      <w:r>
        <w:rPr>
          <w:rFonts w:ascii="Arial" w:cs="Arial" w:eastAsia="Arial" w:hAnsi="Arial"/>
          <w:sz w:val="17"/>
          <w:szCs w:val="17"/>
          <w:color w:val="auto"/>
        </w:rPr>
        <w:t>) a part of the FDCA.</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United States, once a product is approved, its manufacture is subject to comprehensive and continuing regulation by the FDA. The FDA regulations require that products be manufactured in specific approved facilities and in accordance with cGMP. We rely, and expect to continue to rely, on third parties for the production of clinical and commercial quantities of our products in accordance with cGMP regulations.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Manufacturing, sales, promotion and other activities following product approval are also subject to regulation by numerous regulatory authorities in addition to the FDA, including, in the U.S., the Centers for Medicare &amp; Medicaid Services, other divisions of the Department of Health and Human Services, the U.S. Department of Justice, the Drug Enforcement Administration, the Consumer Product Safety Commission, the Federal Trade Commission, the Occupational Safety &amp; Health Administration, the Environmental Protection Agency and state and local governments. In the U.S., sales, marketing and scientific/educational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the Patient Protection and Affordable Health Care Act, as amended by the Health Care and Education Reconciliation Act of 2010, or collectively the ACA, among other things, amends the intent requirement of the federal Anti-Kickback Statute and criminal healthcare fraud statutes created by the federal Health Insurance Portability and Accountability Act of 1996 (</w:t>
      </w:r>
      <w:r>
        <w:rPr>
          <w:rFonts w:ascii="Arial" w:cs="Arial" w:eastAsia="Arial" w:hAnsi="Arial"/>
          <w:sz w:val="17"/>
          <w:szCs w:val="17"/>
          <w:i w:val="1"/>
          <w:iCs w:val="1"/>
          <w:color w:val="auto"/>
        </w:rPr>
        <w:t>HIPAA</w:t>
      </w:r>
      <w:r>
        <w:rPr>
          <w:rFonts w:ascii="Arial" w:cs="Arial" w:eastAsia="Arial" w:hAnsi="Arial"/>
          <w:sz w:val="17"/>
          <w:szCs w:val="17"/>
          <w:color w:val="auto"/>
        </w:rPr>
        <w:t>). A person or entity no longer needs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would not submit claims directly to payors, drug manufacturers can be held liable under the federal False Claims Act, which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The government may deem manufacturers to have “caused”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Pricing and rebate programs must comply with the Medicaid rebate requirements of the U.S. Omnibus Budget Reconciliation Act of 1990 and more recent requirements in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22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Depending upon the timing, duration and specifics of the FDA approval of our drug candidates, some of our U.S. patents may be eligible for limited patent term extension under the U.S.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w:t>
      </w:r>
      <w:r>
        <w:rPr>
          <w:rFonts w:ascii="Arial" w:cs="Arial" w:eastAsia="Arial" w:hAnsi="Arial"/>
          <w:sz w:val="17"/>
          <w:szCs w:val="17"/>
          <w:i w:val="1"/>
          <w:iCs w:val="1"/>
          <w:color w:val="auto"/>
        </w:rPr>
        <w:t>ANDA</w:t>
      </w:r>
      <w:r>
        <w:rPr>
          <w:rFonts w:ascii="Arial" w:cs="Arial" w:eastAsia="Arial" w:hAnsi="Arial"/>
          <w:sz w:val="17"/>
          <w:szCs w:val="17"/>
          <w:color w:val="auto"/>
        </w:rPr>
        <w:t>)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European Union (</w:t>
      </w:r>
      <w:r>
        <w:rPr>
          <w:rFonts w:ascii="Arial" w:cs="Arial" w:eastAsia="Arial" w:hAnsi="Arial"/>
          <w:sz w:val="18"/>
          <w:szCs w:val="18"/>
          <w:i w:val="1"/>
          <w:iCs w:val="1"/>
          <w:color w:val="auto"/>
        </w:rPr>
        <w:t>EU</w:t>
      </w:r>
      <w:r>
        <w:rPr>
          <w:rFonts w:ascii="Arial" w:cs="Arial" w:eastAsia="Arial" w:hAnsi="Arial"/>
          <w:sz w:val="18"/>
          <w:szCs w:val="18"/>
          <w:color w:val="auto"/>
        </w:rPr>
        <w:t>), our future products may also be subject to extensive regulatory requirements. As in the United States, medicinal products can only be marketed if a marketing authorization from the competent regulatory agencies has been obtained.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Similar to the U.S., the various phases of non-clinical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w:t>
      </w:r>
      <w:r>
        <w:rPr>
          <w:rFonts w:ascii="Arial" w:cs="Arial" w:eastAsia="Arial" w:hAnsi="Arial"/>
          <w:sz w:val="18"/>
          <w:szCs w:val="18"/>
          <w:i w:val="1"/>
          <w:iCs w:val="1"/>
          <w:color w:val="auto"/>
        </w:rPr>
        <w:t>NCA</w:t>
      </w:r>
      <w:r>
        <w:rPr>
          <w:rFonts w:ascii="Arial" w:cs="Arial" w:eastAsia="Arial" w:hAnsi="Arial"/>
          <w:sz w:val="18"/>
          <w:szCs w:val="18"/>
          <w:color w:val="auto"/>
        </w:rPr>
        <w:t>) and one or more Ethics Committees (</w:t>
      </w:r>
      <w:r>
        <w:rPr>
          <w:rFonts w:ascii="Arial" w:cs="Arial" w:eastAsia="Arial" w:hAnsi="Arial"/>
          <w:sz w:val="18"/>
          <w:szCs w:val="18"/>
          <w:i w:val="1"/>
          <w:iCs w:val="1"/>
          <w:color w:val="auto"/>
        </w:rPr>
        <w:t>ECs</w:t>
      </w:r>
      <w:r>
        <w:rPr>
          <w:rFonts w:ascii="Arial" w:cs="Arial" w:eastAsia="Arial" w:hAnsi="Arial"/>
          <w:sz w:val="18"/>
          <w:szCs w:val="18"/>
          <w:color w:val="auto"/>
        </w:rPr>
        <w:t>). Under the current regime all suspected unexpected serious adverse reactions to the investigated drug that occur during the clinical trial have to be reported to the NCA and ECs of the Member State where they occurred.</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EU clinical trials legislation is currently undergoing a revision process mainly aimed at harmonizing and streamlining the clinical trials authorization process, simplifying adverse event reporting procedures, improving the supervision of clinical trials, and increasing their transparency.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European Economic Area (</w:t>
      </w:r>
      <w:r>
        <w:rPr>
          <w:rFonts w:ascii="Arial" w:cs="Arial" w:eastAsia="Arial" w:hAnsi="Arial"/>
          <w:sz w:val="18"/>
          <w:szCs w:val="18"/>
          <w:i w:val="1"/>
          <w:iCs w:val="1"/>
          <w:color w:val="auto"/>
        </w:rPr>
        <w:t>EEA</w:t>
      </w:r>
      <w:r>
        <w:rPr>
          <w:rFonts w:ascii="Arial" w:cs="Arial" w:eastAsia="Arial" w:hAnsi="Arial"/>
          <w:sz w:val="18"/>
          <w:szCs w:val="18"/>
          <w:color w:val="auto"/>
        </w:rPr>
        <w:t>) (which is comprised of the 27 Member States of the European Union (excluding Croatia) plus Norway, Iceland and Liechtenstein), medicinal products can only be commercialized after obtaining a Marketing Authorization, (</w:t>
      </w:r>
      <w:r>
        <w:rPr>
          <w:rFonts w:ascii="Arial" w:cs="Arial" w:eastAsia="Arial" w:hAnsi="Arial"/>
          <w:sz w:val="18"/>
          <w:szCs w:val="18"/>
          <w:i w:val="1"/>
          <w:iCs w:val="1"/>
          <w:color w:val="auto"/>
        </w:rPr>
        <w:t>MA</w:t>
      </w:r>
      <w:r>
        <w:rPr>
          <w:rFonts w:ascii="Arial" w:cs="Arial" w:eastAsia="Arial" w:hAnsi="Arial"/>
          <w:sz w:val="18"/>
          <w:szCs w:val="18"/>
          <w:color w:val="auto"/>
        </w:rPr>
        <w:t>). There are two types of marketing authorizations: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Community MA is issued by the European Commission through the Centralized Procedure, based on the opinion of the Committee for Medicinal Products for Human Use (</w:t>
      </w:r>
      <w:r>
        <w:rPr>
          <w:rFonts w:ascii="Arial" w:cs="Arial" w:eastAsia="Arial" w:hAnsi="Arial"/>
          <w:sz w:val="17"/>
          <w:szCs w:val="17"/>
          <w:i w:val="1"/>
          <w:iCs w:val="1"/>
          <w:color w:val="auto"/>
        </w:rPr>
        <w:t>CHMP</w:t>
      </w:r>
      <w:r>
        <w:rPr>
          <w:rFonts w:ascii="Arial" w:cs="Arial" w:eastAsia="Arial" w:hAnsi="Arial"/>
          <w:sz w:val="17"/>
          <w:szCs w:val="17"/>
          <w:color w:val="auto"/>
        </w:rPr>
        <w:t>) of the European Medicines Agency (</w:t>
      </w:r>
      <w:r>
        <w:rPr>
          <w:rFonts w:ascii="Arial" w:cs="Arial" w:eastAsia="Arial" w:hAnsi="Arial"/>
          <w:sz w:val="17"/>
          <w:szCs w:val="17"/>
          <w:i w:val="1"/>
          <w:iCs w:val="1"/>
          <w:color w:val="auto"/>
        </w:rPr>
        <w:t>EMA</w:t>
      </w:r>
      <w:r>
        <w:rPr>
          <w:rFonts w:ascii="Arial" w:cs="Arial" w:eastAsia="Arial" w:hAnsi="Arial"/>
          <w:sz w:val="17"/>
          <w:szCs w:val="17"/>
          <w:color w:val="auto"/>
        </w:rPr>
        <w:t>) and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r>
        <w:rPr>
          <w:rFonts w:ascii="Arial" w:cs="Arial" w:eastAsia="Arial" w:hAnsi="Arial"/>
          <w:sz w:val="17"/>
          <w:szCs w:val="17"/>
          <w:i w:val="1"/>
          <w:iCs w:val="1"/>
          <w:color w:val="auto"/>
        </w:rPr>
        <w:t>RMS</w:t>
      </w:r>
      <w:r>
        <w:rPr>
          <w:rFonts w:ascii="Arial" w:cs="Arial" w:eastAsia="Arial" w:hAnsi="Arial"/>
          <w:sz w:val="17"/>
          <w:szCs w:val="17"/>
          <w:color w:val="auto"/>
        </w:rPr>
        <w:t>). The competent authority of the RMS prepares a draft assessment report, a draft summary of the product characteristics (</w:t>
      </w:r>
      <w:r>
        <w:rPr>
          <w:rFonts w:ascii="Arial" w:cs="Arial" w:eastAsia="Arial" w:hAnsi="Arial"/>
          <w:sz w:val="17"/>
          <w:szCs w:val="17"/>
          <w:i w:val="1"/>
          <w:iCs w:val="1"/>
          <w:color w:val="auto"/>
        </w:rPr>
        <w:t>SPC</w:t>
      </w:r>
      <w:r>
        <w:rPr>
          <w:rFonts w:ascii="Arial" w:cs="Arial" w:eastAsia="Arial" w:hAnsi="Arial"/>
          <w:sz w:val="17"/>
          <w:szCs w:val="17"/>
          <w:color w:val="auto"/>
        </w:rPr>
        <w:t>)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New Chemical Entity Exclusivity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EU, new chemical entities, sometimes referred to as new active substances, qualify for eight years of data exclusivity upon marketing authorization and an additional two years of market exclusivity. This data exclusivity, if granted, prevents regulatory authorities in the EU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Orphan Designation and Exclusivity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EU,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Community and for which no satisfactory method of diagnosis, prevention, or treatment has been authorized (or the product would be a significant benefit to those affected).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EU,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the World Regulation</w:t>
      </w:r>
    </w:p>
    <w:p>
      <w:pPr>
        <w:spacing w:after="0" w:line="25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For other countries outside of the EU and the U.S., such as countries in Eastern Europe, Latin America or Asia, the requirements governing the conduct of clinical trials, product licensing, pricing and reimbursement vary from country to country. In all cases, the clinical trials must be conducted in accordance with cGCP requirements and the applicable regulatory requirements and the ethical principles that have their origin in the Declaration of Helsinki.</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Third-party payors are increasingly reducing reimbursements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Medicare Prescription Drug, Improvement, and Modernization Act of 2003 (the </w:t>
      </w:r>
      <w:r>
        <w:rPr>
          <w:rFonts w:ascii="Arial" w:cs="Arial" w:eastAsia="Arial" w:hAnsi="Arial"/>
          <w:sz w:val="17"/>
          <w:szCs w:val="17"/>
          <w:i w:val="1"/>
          <w:iCs w:val="1"/>
          <w:color w:val="auto"/>
        </w:rPr>
        <w:t>MMA</w:t>
      </w:r>
      <w:r>
        <w:rPr>
          <w:rFonts w:ascii="Arial" w:cs="Arial" w:eastAsia="Arial" w:hAnsi="Arial"/>
          <w:sz w:val="17"/>
          <w:szCs w:val="17"/>
          <w:color w:val="auto"/>
        </w:rPr>
        <w:t>)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ectPr>
          <w:pgSz w:w="11900" w:h="16838" w:orient="portrait"/>
          <w:cols w:equalWidth="0" w:num="1">
            <w:col w:w="11420"/>
          </w:cols>
          <w:pgMar w:left="240" w:top="130"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4" w:name="page35"/>
    <w:bookmarkEnd w:id="3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American Recovery and Reinvestment Act of 2009 provides funding for the federal government to compare the effectiveness of different treatments for the same illness. The plan for the research was published in 2012 by the U.S. Department of Health and Human Services, the Agency for Healthcare Research and Quality and the NIH,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product candidate, if any such product or the condition that it is intended to treat is the subject of a trial. It is also possible that comparative effectiveness research demonstrating benefits in a competitor’s product could adversely affect the sales of our product candidate.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ACA is expected to have a significant impact on the health care industry. The ACA is expected to expand coverage for the uninsured while at the same time containing overall healthcare costs. With regard to pharmaceutical products, among other things, the ACA is expected to expand and increase industry rebates for drugs covered under Medicaid programs and make changes to the coverage requirements under the Medicare Part D program. We cannot predict the full impact of the ACA on our business as many of the ACA reforms require the promulgation of detailed regulations implementing the statutory provisions that has not yet occurred. For example, the ACA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were required to submit reports to CMS by March 31, 2014 (and by the 90th day of each subsequent calendar year). In addition, many states have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federal and state regulation of payments made to physicians. Certain states mandate implementation of compliance programs, impose restrictions on drug manufacturers’ marketing practices and/or require the tracking and reporting of gifts, compensation and other remuneration to physicians. 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President Obama signed into law the American Taxpayer Relief Act of 2012 (the </w:t>
      </w:r>
      <w:r>
        <w:rPr>
          <w:rFonts w:ascii="Arial" w:cs="Arial" w:eastAsia="Arial" w:hAnsi="Arial"/>
          <w:sz w:val="16"/>
          <w:szCs w:val="16"/>
          <w:i w:val="1"/>
          <w:iCs w:val="1"/>
          <w:color w:val="auto"/>
        </w:rPr>
        <w:t>ATRA</w:t>
      </w:r>
      <w:r>
        <w:rPr>
          <w:rFonts w:ascii="Arial" w:cs="Arial" w:eastAsia="Arial" w:hAnsi="Arial"/>
          <w:sz w:val="16"/>
          <w:szCs w:val="16"/>
          <w:color w:val="auto"/>
        </w:rPr>
        <w:t>),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prices tend to be significantly lower.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 Cell Technology - United States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procedures we use to obtain clinical samples, and the procedures we use to isolate hESCs, are consistent with the informed consent and ethical guidelines promulgated by the U.S. National Academy of Science, the International Society of Stem Cell Research (</w:t>
      </w:r>
      <w:r>
        <w:rPr>
          <w:rFonts w:ascii="Arial" w:cs="Arial" w:eastAsia="Arial" w:hAnsi="Arial"/>
          <w:sz w:val="18"/>
          <w:szCs w:val="18"/>
          <w:i w:val="1"/>
          <w:iCs w:val="1"/>
          <w:color w:val="auto"/>
        </w:rPr>
        <w:t>ISSCR</w:t>
      </w:r>
      <w:r>
        <w:rPr>
          <w:rFonts w:ascii="Arial" w:cs="Arial" w:eastAsia="Arial" w:hAnsi="Arial"/>
          <w:sz w:val="18"/>
          <w:szCs w:val="18"/>
          <w:color w:val="auto"/>
        </w:rPr>
        <w:t>), or the NIH. These procedures and documentation have been reviewed by an external Stem Cell Research Oversight Committee, and all cell lines we use have been approved under one or more of these guidelines.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 Cell Technology - Canada</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8"/>
          <w:szCs w:val="18"/>
          <w:i w:val="1"/>
          <w:iCs w:val="1"/>
          <w:color w:val="auto"/>
        </w:rPr>
        <w:t>Guidelines</w:t>
      </w:r>
      <w:r>
        <w:rPr>
          <w:rFonts w:ascii="Arial" w:cs="Arial" w:eastAsia="Arial" w:hAnsi="Arial"/>
          <w:sz w:val="18"/>
          <w:szCs w:val="18"/>
          <w:color w:val="auto"/>
        </w:rPr>
        <w:t>) issued by the Canadian Institutes of Health Research; the Tri-Council Statement: Ethical Conduct for Research Involving Humans (</w:t>
      </w:r>
      <w:r>
        <w:rPr>
          <w:rFonts w:ascii="Arial" w:cs="Arial" w:eastAsia="Arial" w:hAnsi="Arial"/>
          <w:sz w:val="18"/>
          <w:szCs w:val="18"/>
          <w:i w:val="1"/>
          <w:iCs w:val="1"/>
          <w:color w:val="auto"/>
        </w:rPr>
        <w:t>TCPS</w:t>
      </w:r>
      <w:r>
        <w:rPr>
          <w:rFonts w:ascii="Arial" w:cs="Arial" w:eastAsia="Arial" w:hAnsi="Arial"/>
          <w:sz w:val="18"/>
          <w:szCs w:val="18"/>
          <w:color w:val="auto"/>
        </w:rPr>
        <w:t>); and the Assisted Human Reproduction Act (</w:t>
      </w:r>
      <w:r>
        <w:rPr>
          <w:rFonts w:ascii="Arial" w:cs="Arial" w:eastAsia="Arial" w:hAnsi="Arial"/>
          <w:sz w:val="18"/>
          <w:szCs w:val="18"/>
          <w:i w:val="1"/>
          <w:iCs w:val="1"/>
          <w:color w:val="auto"/>
        </w:rPr>
        <w:t>Act</w:t>
      </w:r>
      <w:r>
        <w:rPr>
          <w:rFonts w:ascii="Arial" w:cs="Arial" w:eastAsia="Arial" w:hAnsi="Arial"/>
          <w:sz w:val="18"/>
          <w:szCs w:val="18"/>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22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Act subjects all research conducted in Canada involving the human embryo, including hESC derivation (but not the stem cells once derived), to a licensing process overseen by a federal licensing agency. However, as of the date of this Annual Report, the provisions of the Act regarding the licensing of hESC derivation were not in force.</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not currently conducting stem cell research in Canada. We have, however, sponsored pluripotent stem cell research in Canada by Dr. Gordon Keller at UHN’s McEwen Centre. We anticipate conducting additional hPSC research (with both hESCs and hiPSCs), in collaboration with Dr. Keller and his research team, at UHN’s McEwen Centre during 2015 and beyond. Should the provisions of the Act come into force, we may have to apply for a license for all hESC research we may sponsor or conduct in Canada and ensure compliance of such research with the provisions of the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and Inter-Corporate Relationships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Canada should we elect to expand our U.S. operations into Canada; and Artemis Neuroscience, Inc., a corporation incorporated pursuant to the laws of the State of Maryland. The operations of VistaGen Therapeutics, Inc., a California corporation, and each of its two wholly owned subsidiaries are managed by our senior management team based in South San Francisco, California.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24, 2016, we employed nine full-time employees, four of whom have doctorate degrees. Six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 real-time, as-needed basis, including human resources and payroll, information technology, facilities, legal, stock plan administration, investor relations and website maintenance, regulatory affairs, and FDA program management.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had a work stoppage, and none of our employees is represented by a labor organization or under any collective bargaining agreement. We consider our employee relations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lease our office and laboratory space, which consists of approximately 10,000 square feet located in South San Francisco, California. Our lease expires on July 31, 2017. We intend to renew the lease at our current location in the ordinary course of business, prior to the end of July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business does not require us to comply with any particular unique environmental regulations.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securities involves a high degree of risk. You should consider carefully the risks and uncertainties described below, together with all of the other information in this Annual Report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various other diseases and disorders involving the CNS, as well as, but to a more limited extent, our ability to produce, develop and commercialize NCEs from our drug rescue programs. AV-101 will require substantial additional Phase 2 and Phase 3 clinical development, testing and regulatory approval before we are permitted to commence its commercialization and is unlikely to achieve regulatory approval until at least 2021, if at all.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even if we are able to obtain the requisite financing to continue to fund our non-clinical studies and clinical trials, we cannot assure you that AV-101, any drug rescue NCE, or any other product candidate will be successfully developed or commercialized.</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not permitted to market our product candidates in the United States until we receive approval of a New Drug Application (</w:t>
      </w:r>
      <w:r>
        <w:rPr>
          <w:rFonts w:ascii="Arial" w:cs="Arial" w:eastAsia="Arial" w:hAnsi="Arial"/>
          <w:sz w:val="17"/>
          <w:szCs w:val="17"/>
          <w:i w:val="1"/>
          <w:iCs w:val="1"/>
          <w:color w:val="auto"/>
        </w:rPr>
        <w:t>NDA</w:t>
      </w:r>
      <w:r>
        <w:rPr>
          <w:rFonts w:ascii="Arial" w:cs="Arial" w:eastAsia="Arial" w:hAnsi="Arial"/>
          <w:sz w:val="17"/>
          <w:szCs w:val="17"/>
          <w:color w:val="auto"/>
        </w:rPr>
        <w:t>) from the FDA, or in any foreign countries until we receive the requisite approval from such countries. In late 2015, in collaboration with the NIMH under our CRADA, we began a Phase 2a clinical trial involving AV-101, to study its safety, tolerability and efficacy in patients with MDD. If our Phase 2a clinical trial of AV-101 is successful, we expect the FDA to require us to complete at least one pivotal Phase 2B clinical trial and at least one pivotal Phase 3 clinical trial in order to submit an NDA for AV-101 as an adjunctive treatment for MDD. However, the FDA may require that we conduct more than one Phase 2B clinical study and more than one Phase 3 pivotal trial of AV-101 before we can submit an NDA. Also, we anticipate that the FDA will require that we conduct additional toxicity studies and additional non-clinical studies before submitting an NDA for AV-101.</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of our product candidates for many reasons, including, among others:</w:t>
      </w:r>
    </w:p>
    <w:p>
      <w:pPr>
        <w:spacing w:after="0" w:line="170" w:lineRule="exact"/>
        <w:rPr>
          <w:sz w:val="20"/>
          <w:szCs w:val="20"/>
          <w:color w:val="auto"/>
        </w:rPr>
      </w:pPr>
    </w:p>
    <w:p>
      <w:pPr>
        <w:jc w:val="both"/>
        <w:ind w:left="580" w:hanging="383"/>
        <w:spacing w:after="0" w:line="312" w:lineRule="auto"/>
        <w:tabs>
          <w:tab w:leader="none" w:pos="6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46" w:lineRule="exact"/>
        <w:rPr>
          <w:rFonts w:ascii="Arial" w:cs="Arial" w:eastAsia="Arial" w:hAnsi="Arial"/>
          <w:sz w:val="16"/>
          <w:szCs w:val="16"/>
          <w:color w:val="auto"/>
        </w:rPr>
      </w:pPr>
    </w:p>
    <w:p>
      <w:pPr>
        <w:ind w:left="580" w:hanging="383"/>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w:t>
      </w:r>
      <w:r>
        <w:rPr>
          <w:rFonts w:ascii="Arial" w:cs="Arial" w:eastAsia="Arial" w:hAnsi="Arial"/>
          <w:sz w:val="18"/>
          <w:szCs w:val="18"/>
          <w:i w:val="1"/>
          <w:iCs w:val="1"/>
          <w:color w:val="auto"/>
        </w:rPr>
        <w:t>REMS</w:t>
      </w:r>
      <w:r>
        <w:rPr>
          <w:rFonts w:ascii="Arial" w:cs="Arial" w:eastAsia="Arial" w:hAnsi="Arial"/>
          <w:sz w:val="18"/>
          <w:szCs w:val="18"/>
          <w:color w:val="auto"/>
        </w:rPr>
        <w:t>) as a condition of approval or post-approval;</w:t>
      </w:r>
    </w:p>
    <w:p>
      <w:pPr>
        <w:spacing w:after="0" w:line="225" w:lineRule="exact"/>
        <w:rPr>
          <w:rFonts w:ascii="Arial" w:cs="Arial" w:eastAsia="Arial" w:hAnsi="Arial"/>
          <w:sz w:val="18"/>
          <w:szCs w:val="18"/>
          <w:color w:val="auto"/>
        </w:rPr>
      </w:pPr>
    </w:p>
    <w:p>
      <w:pPr>
        <w:ind w:left="580" w:hanging="383"/>
        <w:spacing w:after="0" w:line="308"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7"/>
          <w:szCs w:val="17"/>
          <w:i w:val="1"/>
          <w:iCs w:val="1"/>
          <w:color w:val="auto"/>
        </w:rPr>
        <w:t>cGMPs</w:t>
      </w:r>
      <w:r>
        <w:rPr>
          <w:rFonts w:ascii="Arial" w:cs="Arial" w:eastAsia="Arial" w:hAnsi="Arial"/>
          <w:sz w:val="17"/>
          <w:szCs w:val="17"/>
          <w:color w:val="auto"/>
        </w:rPr>
        <w:t>); or</w:t>
      </w:r>
    </w:p>
    <w:p>
      <w:pPr>
        <w:spacing w:after="0" w:line="146" w:lineRule="exact"/>
        <w:rPr>
          <w:rFonts w:ascii="Arial" w:cs="Arial" w:eastAsia="Arial" w:hAnsi="Arial"/>
          <w:sz w:val="17"/>
          <w:szCs w:val="17"/>
          <w:color w:val="auto"/>
        </w:rPr>
      </w:pPr>
    </w:p>
    <w:p>
      <w:pPr>
        <w:ind w:left="580" w:hanging="383"/>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would have a material adverse effect on our business and prospects.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intend to seek a Fast Track designation from the FDA for AV-101 for treatment of MDD. Even if the FDA approves Fast Track designation for AV-101 for treatment of MDD, it may not actually lead to a faster development or regulatory review or approval process.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seek FDA Fast Track designation for AV-101 for adjunctive treatment of MDD, and we may do so for other product candidates as well.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our NIH-funded Phase 2a clinical study of AV-101 in MDD, thereby delaying or preventing clinical development. Further, if AV-101 is approved for adjunctive treatment of MDD, and the market for this indication is smaller than we anticipate, our ability to achieve profitability could be limited.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clinical trials, it may adversely effect our development of AV-101 for MDD and other CNS indications.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AV-101 is currently being tested in an NIH-investigator sponsored Phase 2a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2a clinical trial for AV-101, and if we fail to produce positive results in our NIH-sponsored Phase 2a clinical trial of AV-101 in MDD, the development timeline and regulatory approval and commercialization prospects for AV-101 and, correspondingly, our business and financial prospects, could be materially adversely affected.</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our CRADA, we and the NIH have commenced an NIH-funded Phase 2a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2a study of AV-101 or any of our future-planned clinical trials will be completed on schedule, if at all, as the commencement and completion of clinical trials can be delayed or prevented for a number of reasons, including, among others:</w:t>
      </w:r>
    </w:p>
    <w:p>
      <w:pPr>
        <w:spacing w:after="0" w:line="193" w:lineRule="exact"/>
        <w:rPr>
          <w:sz w:val="20"/>
          <w:szCs w:val="20"/>
          <w:color w:val="auto"/>
        </w:rPr>
      </w:pPr>
    </w:p>
    <w:p>
      <w:pPr>
        <w:ind w:left="580" w:hanging="383"/>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may deny permission to proceed with our planned clinical trials or any other clinical trials we may initiate, or may place a clinical trial on hold;</w:t>
      </w:r>
    </w:p>
    <w:p>
      <w:pPr>
        <w:spacing w:after="0" w:line="170" w:lineRule="exact"/>
        <w:rPr>
          <w:rFonts w:ascii="Arial" w:cs="Arial" w:eastAsia="Arial" w:hAnsi="Arial"/>
          <w:sz w:val="18"/>
          <w:szCs w:val="18"/>
          <w:color w:val="auto"/>
        </w:rPr>
      </w:pPr>
    </w:p>
    <w:p>
      <w:pPr>
        <w:ind w:left="580" w:hanging="383"/>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results from our ongoing pre-clinical studies;</w:t>
      </w:r>
    </w:p>
    <w:p>
      <w:pPr>
        <w:spacing w:after="0" w:line="225" w:lineRule="exact"/>
        <w:rPr>
          <w:rFonts w:ascii="Arial" w:cs="Arial" w:eastAsia="Arial" w:hAnsi="Arial"/>
          <w:sz w:val="18"/>
          <w:szCs w:val="18"/>
          <w:color w:val="auto"/>
        </w:rPr>
      </w:pPr>
    </w:p>
    <w:p>
      <w:pPr>
        <w:ind w:left="580" w:right="20" w:hanging="383"/>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170" w:lineRule="exact"/>
        <w:rPr>
          <w:rFonts w:ascii="Arial" w:cs="Arial" w:eastAsia="Arial" w:hAnsi="Arial"/>
          <w:sz w:val="18"/>
          <w:szCs w:val="18"/>
          <w:color w:val="auto"/>
        </w:rPr>
      </w:pPr>
    </w:p>
    <w:p>
      <w:pPr>
        <w:ind w:left="580" w:hanging="383"/>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site or sites;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trial sites;</w:t>
      </w:r>
    </w:p>
    <w:p>
      <w:pPr>
        <w:spacing w:after="0" w:line="225" w:lineRule="exact"/>
        <w:rPr>
          <w:rFonts w:ascii="Arial" w:cs="Arial" w:eastAsia="Arial" w:hAnsi="Arial"/>
          <w:sz w:val="18"/>
          <w:szCs w:val="18"/>
          <w:color w:val="auto"/>
        </w:rPr>
      </w:pPr>
    </w:p>
    <w:p>
      <w:pPr>
        <w:ind w:left="580" w:right="20" w:hanging="383"/>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70" w:lineRule="exact"/>
        <w:rPr>
          <w:rFonts w:ascii="Arial" w:cs="Arial" w:eastAsia="Arial" w:hAnsi="Arial"/>
          <w:sz w:val="18"/>
          <w:szCs w:val="18"/>
          <w:color w:val="auto"/>
        </w:rPr>
      </w:pPr>
    </w:p>
    <w:p>
      <w:pPr>
        <w:ind w:left="580" w:hanging="383"/>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ind w:left="580" w:hanging="383"/>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70" w:lineRule="exact"/>
        <w:rPr>
          <w:rFonts w:ascii="Arial" w:cs="Arial" w:eastAsia="Arial" w:hAnsi="Arial"/>
          <w:sz w:val="18"/>
          <w:szCs w:val="18"/>
          <w:color w:val="auto"/>
        </w:rPr>
      </w:pPr>
    </w:p>
    <w:p>
      <w:pPr>
        <w:ind w:left="580" w:hanging="383"/>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reports from pre-clinical or clinical testing of other CNS therapies that raise safety or efficacy concerns; and</w:t>
      </w:r>
    </w:p>
    <w:p>
      <w:pPr>
        <w:spacing w:after="0" w:line="225"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trials, lack of efficacy, side effects, personal issues or loss of interest.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8"/>
          <w:szCs w:val="18"/>
          <w:i w:val="1"/>
          <w:iCs w:val="1"/>
          <w:color w:val="auto"/>
        </w:rPr>
        <w:t>DSMB</w:t>
      </w:r>
      <w:r>
        <w:rPr>
          <w:rFonts w:ascii="Arial" w:cs="Arial" w:eastAsia="Arial" w:hAnsi="Arial"/>
          <w:sz w:val="18"/>
          <w:szCs w:val="18"/>
          <w:color w:val="auto"/>
        </w:rPr>
        <w:t>), overseeing the clinical trial at issue or other regulatory authorities due to a number of factors, including, among others:</w:t>
      </w:r>
    </w:p>
    <w:p>
      <w:pPr>
        <w:spacing w:after="0" w:line="181" w:lineRule="exact"/>
        <w:rPr>
          <w:sz w:val="20"/>
          <w:szCs w:val="20"/>
          <w:color w:val="auto"/>
        </w:rPr>
      </w:pPr>
    </w:p>
    <w:p>
      <w:pPr>
        <w:ind w:left="580" w:hanging="383"/>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70"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70" w:lineRule="exact"/>
        <w:rPr>
          <w:rFonts w:ascii="Arial" w:cs="Arial" w:eastAsia="Arial" w:hAnsi="Arial"/>
          <w:sz w:val="18"/>
          <w:szCs w:val="18"/>
          <w:color w:val="auto"/>
        </w:rPr>
      </w:pPr>
    </w:p>
    <w:p>
      <w:pPr>
        <w:ind w:left="580" w:hanging="383"/>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unanticipated events during our preclinical studies and clinical trials of our product candidates may occur, which may result in changes to preclinical studies and clinical trial protocols or additional preclinical studies and clinical trial requirements, which could result in increased costs to us and could delay our development timeline.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regulatory requirements, FDA guidance or unanticipated events during our preclinical studies and clinical trials may force us to amend preclinical studies and clinical trial protocols or the FDA may impose additional preclinical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pre-clinical studies may adversely impact the cost, timing, or successful completion of those pre-clinical studies. If we experience delays completing, or if we terminate, any of our pre-clinical studies or clinical trials, or if we are required to conduct additional pre-clinical studies or clinical trials, the commercial prospects for our product candidates may be harmed and our ability to generate product revenue will be delayed.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contract laboratories and other third parties, such as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8" w:lineRule="exact"/>
        <w:rPr>
          <w:sz w:val="20"/>
          <w:szCs w:val="20"/>
          <w:color w:val="auto"/>
        </w:rPr>
      </w:pPr>
    </w:p>
    <w:p>
      <w:pPr>
        <w:ind w:left="580" w:hanging="38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ind w:left="580" w:hanging="383"/>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NIMH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design our clinical trials for our product candidates, we plan to have CROs, and in the case of our initial AV-101 Phase 2a study in MDD, the NIH, conduct the AV-101 Phase 2 and Phase 3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do not have long-term supply agreements in place with our contract manufacturers and each batch of our product candidates are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of AV-101 and other product candidates, if approved. Our current scale of manufacturing for AV-101 is adequate to support our currently planned needs for additional pre-clinical studies and clinical trial supplies.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currently have an infrastructure for the sales, marketing and distribution of pharmaceutical products, nor do we intend to create such capabilities. Therefore, in order to market our product candidates globally,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81" w:lineRule="exact"/>
        <w:rPr>
          <w:sz w:val="20"/>
          <w:szCs w:val="20"/>
          <w:color w:val="auto"/>
        </w:rPr>
      </w:pPr>
    </w:p>
    <w:p>
      <w:pPr>
        <w:ind w:left="580" w:hanging="383"/>
        <w:spacing w:after="0" w:line="308"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73" w:lineRule="exact"/>
        <w:rPr>
          <w:rFonts w:ascii="Arial" w:cs="Arial" w:eastAsia="Arial" w:hAnsi="Arial"/>
          <w:sz w:val="17"/>
          <w:szCs w:val="17"/>
          <w:color w:val="auto"/>
        </w:rPr>
      </w:pPr>
    </w:p>
    <w:p>
      <w:pPr>
        <w:ind w:left="580" w:hanging="383"/>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product candidates by the FDA or other applicable regulatory authorities;</w:t>
      </w:r>
    </w:p>
    <w:p>
      <w:pPr>
        <w:spacing w:after="0" w:line="263" w:lineRule="exact"/>
        <w:rPr>
          <w:rFonts w:ascii="Arial" w:cs="Arial" w:eastAsia="Arial" w:hAnsi="Arial"/>
          <w:sz w:val="17"/>
          <w:szCs w:val="17"/>
          <w:color w:val="auto"/>
        </w:rPr>
      </w:pPr>
    </w:p>
    <w:p>
      <w:pPr>
        <w:ind w:left="580" w:hanging="383"/>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ind w:left="580" w:hanging="383"/>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70" w:lineRule="exact"/>
        <w:rPr>
          <w:rFonts w:ascii="Arial" w:cs="Arial" w:eastAsia="Arial" w:hAnsi="Arial"/>
          <w:sz w:val="18"/>
          <w:szCs w:val="18"/>
          <w:color w:val="auto"/>
        </w:rPr>
      </w:pPr>
    </w:p>
    <w:p>
      <w:pPr>
        <w:ind w:left="580" w:hanging="383"/>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71" w:lineRule="exact"/>
        <w:rPr>
          <w:sz w:val="20"/>
          <w:szCs w:val="20"/>
          <w:color w:val="auto"/>
        </w:rPr>
      </w:pPr>
    </w:p>
    <w:p>
      <w:pPr>
        <w:ind w:left="580" w:hanging="383"/>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70" w:lineRule="exact"/>
        <w:rPr>
          <w:rFonts w:ascii="Arial" w:cs="Arial" w:eastAsia="Arial" w:hAnsi="Arial"/>
          <w:sz w:val="18"/>
          <w:szCs w:val="18"/>
          <w:color w:val="auto"/>
        </w:rPr>
      </w:pPr>
    </w:p>
    <w:p>
      <w:pPr>
        <w:ind w:left="580" w:hanging="383"/>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3" w:lineRule="exact"/>
        <w:rPr>
          <w:sz w:val="20"/>
          <w:szCs w:val="20"/>
          <w:color w:val="auto"/>
        </w:rPr>
      </w:pPr>
    </w:p>
    <w:p>
      <w:pPr>
        <w:ind w:left="580" w:hanging="383"/>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pharmaceuticals industry is highly competitive. There are many public and private 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management is unaware of any FDA-approved adjunctive therapy for treatment-resistant MDD with the same mechanism of action and safety profile as AV-101. However, new antidepressant products with other mechanisms of action or products approved for other indications, including the anesthetic ketamine,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8"/>
          <w:szCs w:val="18"/>
          <w:i w:val="1"/>
          <w:iCs w:val="1"/>
          <w:color w:val="auto"/>
        </w:rPr>
        <w:t>ECT</w:t>
      </w:r>
      <w:r>
        <w:rPr>
          <w:rFonts w:ascii="Arial" w:cs="Arial" w:eastAsia="Arial" w:hAnsi="Arial"/>
          <w:sz w:val="18"/>
          <w:szCs w:val="18"/>
          <w:color w:val="auto"/>
        </w:rPr>
        <w:t>) are sometimes used before or instead of standard antidepressants to treat patients with MDD.</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field of new generation antidepressants focused on modulation of the NMDA receptor at the glycine binding co-agonist site, we believe our principal competitor is Allergan, which recently acquired from and is now developing both the intravenously-administered peptide, rapastinel (formerly GLYX-13), and NRX-1074, which may be or may become orally-available, for treatment-resistant MDD.</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Acadia, Allergan, Alkermes, Astra Zeneca, Eli Lilly, GlaxoSmithKline, IntraCellular, Johnson &amp; Johnson, Lundbeck, Merck, Novartis, Ono, Otsuka, Pfizer, Roche, Sumitomo Dainippon, Teva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ectPr>
          <w:pgSz w:w="11900" w:h="16838" w:orient="portrait"/>
          <w:cols w:equalWidth="0" w:num="1">
            <w:col w:w="11420"/>
          </w:cols>
          <w:pgMar w:left="240" w:top="130"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4" w:name="page45"/>
    <w:bookmarkEnd w:id="4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success of our business depends primarily upon our ability to identify, develop and commercialize product candidates with commercial and therapeutic potential. Although AV-101 is in Phase 2 clinical development for treatment of depression,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we have limited financial and management resources, we focus on a limited number of research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8" w:lineRule="exact"/>
        <w:rPr>
          <w:sz w:val="20"/>
          <w:szCs w:val="20"/>
          <w:color w:val="auto"/>
        </w:rPr>
      </w:pPr>
    </w:p>
    <w:p>
      <w:pPr>
        <w:jc w:val="both"/>
        <w:ind w:left="580" w:hanging="383"/>
        <w:spacing w:after="0" w:line="286"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92" w:lineRule="exact"/>
        <w:rPr>
          <w:rFonts w:ascii="Arial" w:cs="Arial" w:eastAsia="Arial" w:hAnsi="Arial"/>
          <w:sz w:val="17"/>
          <w:szCs w:val="17"/>
          <w:color w:val="auto"/>
        </w:rPr>
      </w:pPr>
    </w:p>
    <w:p>
      <w:pPr>
        <w:jc w:val="both"/>
        <w:ind w:left="580" w:hanging="383"/>
        <w:spacing w:after="0" w:line="264"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08" w:lineRule="exact"/>
        <w:rPr>
          <w:rFonts w:ascii="Arial" w:cs="Arial" w:eastAsia="Arial" w:hAnsi="Arial"/>
          <w:sz w:val="18"/>
          <w:szCs w:val="18"/>
          <w:color w:val="auto"/>
        </w:rPr>
      </w:pPr>
    </w:p>
    <w:p>
      <w:pPr>
        <w:jc w:val="both"/>
        <w:ind w:left="580" w:hanging="383"/>
        <w:spacing w:after="0" w:line="25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213" w:lineRule="exact"/>
        <w:rPr>
          <w:rFonts w:ascii="Arial" w:cs="Arial" w:eastAsia="Arial" w:hAnsi="Arial"/>
          <w:sz w:val="18"/>
          <w:szCs w:val="18"/>
          <w:color w:val="auto"/>
        </w:rPr>
      </w:pPr>
    </w:p>
    <w:p>
      <w:pPr>
        <w:ind w:left="580" w:right="20" w:hanging="383"/>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97" w:lineRule="exact"/>
        <w:rPr>
          <w:rFonts w:ascii="Arial" w:cs="Arial" w:eastAsia="Arial" w:hAnsi="Arial"/>
          <w:sz w:val="18"/>
          <w:szCs w:val="18"/>
          <w:color w:val="auto"/>
        </w:rPr>
      </w:pPr>
    </w:p>
    <w:p>
      <w:pPr>
        <w:jc w:val="both"/>
        <w:ind w:left="580" w:hanging="383"/>
        <w:spacing w:after="0" w:line="25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213" w:lineRule="exact"/>
        <w:rPr>
          <w:rFonts w:ascii="Arial" w:cs="Arial" w:eastAsia="Arial" w:hAnsi="Arial"/>
          <w:sz w:val="18"/>
          <w:szCs w:val="18"/>
          <w:color w:val="auto"/>
        </w:rPr>
      </w:pPr>
    </w:p>
    <w:p>
      <w:pPr>
        <w:jc w:val="both"/>
        <w:ind w:left="580" w:hanging="383"/>
        <w:spacing w:after="0" w:line="25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213"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ectPr>
          <w:pgSz w:w="11900" w:h="16838" w:orient="portrait"/>
          <w:cols w:equalWidth="0" w:num="1">
            <w:col w:w="11420"/>
          </w:cols>
          <w:pgMar w:left="240" w:top="130"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6" w:name="page47"/>
    <w:bookmarkEnd w:id="4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augmentation therapy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have obtained FDA Orphan Drug designation for one or more of our product candidates, there may be limits to the regulatory exclusivity afforded by such designation.</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208" w:lineRule="exact"/>
        <w:rPr>
          <w:sz w:val="20"/>
          <w:szCs w:val="20"/>
          <w:color w:val="auto"/>
        </w:rPr>
      </w:pPr>
    </w:p>
    <w:p>
      <w:pPr>
        <w:ind w:left="580" w:hanging="383"/>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54" w:lineRule="exact"/>
        <w:rPr>
          <w:sz w:val="20"/>
          <w:szCs w:val="20"/>
          <w:color w:val="auto"/>
        </w:rPr>
      </w:pPr>
    </w:p>
    <w:p>
      <w:pPr>
        <w:ind w:left="580" w:hanging="383"/>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products we produce;</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75" w:lineRule="exact"/>
        <w:rPr>
          <w:rFonts w:ascii="Arial" w:cs="Arial" w:eastAsia="Arial" w:hAnsi="Arial"/>
          <w:sz w:val="16"/>
          <w:szCs w:val="16"/>
          <w:color w:val="auto"/>
        </w:rPr>
      </w:pPr>
    </w:p>
    <w:p>
      <w:pPr>
        <w:ind w:left="580" w:hanging="383"/>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52" w:lineRule="exact"/>
        <w:rPr>
          <w:rFonts w:ascii="Arial" w:cs="Arial" w:eastAsia="Arial" w:hAnsi="Arial"/>
          <w:sz w:val="18"/>
          <w:szCs w:val="18"/>
          <w:color w:val="auto"/>
        </w:rPr>
      </w:pPr>
    </w:p>
    <w:p>
      <w:pPr>
        <w:ind w:left="580" w:right="20" w:hanging="383"/>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8" w:name="page49"/>
    <w:bookmarkEnd w:id="4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6" w:lineRule="exact"/>
        <w:rPr>
          <w:sz w:val="20"/>
          <w:szCs w:val="20"/>
          <w:color w:val="auto"/>
        </w:rPr>
      </w:pPr>
    </w:p>
    <w:p>
      <w:pPr>
        <w:ind w:left="580" w:hanging="383"/>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drug rescue research methodology may not be successful in identifying potential drug rescue NCEs;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52" w:lineRule="exact"/>
        <w:rPr>
          <w:rFonts w:ascii="Arial" w:cs="Arial" w:eastAsia="Arial" w:hAnsi="Arial"/>
          <w:sz w:val="18"/>
          <w:szCs w:val="18"/>
          <w:color w:val="auto"/>
        </w:rPr>
      </w:pPr>
    </w:p>
    <w:p>
      <w:pPr>
        <w:ind w:left="580" w:right="20" w:hanging="383"/>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97" w:lineRule="exact"/>
        <w:rPr>
          <w:rFonts w:ascii="Arial" w:cs="Arial" w:eastAsia="Arial" w:hAnsi="Arial"/>
          <w:sz w:val="18"/>
          <w:szCs w:val="18"/>
          <w:color w:val="auto"/>
        </w:rPr>
      </w:pPr>
    </w:p>
    <w:p>
      <w:pPr>
        <w:ind w:left="580" w:hanging="383"/>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drug rescue NCE may not be accepted as safe and effective by regulatory authorities, patients, the medical community or third-party payors.</w:t>
      </w:r>
    </w:p>
    <w:p>
      <w:pPr>
        <w:spacing w:after="0" w:line="2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6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70" w:lineRule="exact"/>
        <w:rPr>
          <w:sz w:val="20"/>
          <w:szCs w:val="20"/>
          <w:color w:val="auto"/>
        </w:rPr>
      </w:pPr>
    </w:p>
    <w:p>
      <w:pPr>
        <w:ind w:left="580" w:hanging="383"/>
        <w:spacing w:after="0" w:line="27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97"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97"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97" w:lineRule="exact"/>
        <w:rPr>
          <w:rFonts w:ascii="Arial" w:cs="Arial" w:eastAsia="Arial" w:hAnsi="Arial"/>
          <w:sz w:val="18"/>
          <w:szCs w:val="18"/>
          <w:color w:val="auto"/>
        </w:rPr>
      </w:pPr>
    </w:p>
    <w:p>
      <w:pPr>
        <w:ind w:left="580" w:hanging="383"/>
        <w:spacing w:after="0" w:line="308"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collaboration with others. Before we generate any revenues from AV-101 and/or additional drug rescue NCEs we or our potential collaborators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9" w:name="page50"/>
    <w:bookmarkEnd w:id="4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success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success of our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heart, and/or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Some of our research and development programs may involve the use of human cells derived from our controlled differentiation of human embryonic stem cells (</w:t>
      </w:r>
      <w:r>
        <w:rPr>
          <w:rFonts w:ascii="Arial" w:cs="Arial" w:eastAsia="Arial" w:hAnsi="Arial"/>
          <w:sz w:val="17"/>
          <w:szCs w:val="17"/>
          <w:i w:val="1"/>
          <w:iCs w:val="1"/>
          <w:color w:val="auto"/>
        </w:rPr>
        <w:t>hESC</w:t>
      </w:r>
      <w:r>
        <w:rPr>
          <w:rFonts w:ascii="Arial" w:cs="Arial" w:eastAsia="Arial" w:hAnsi="Arial"/>
          <w:sz w:val="17"/>
          <w:szCs w:val="17"/>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fertilization (</w:t>
      </w:r>
      <w:r>
        <w:rPr>
          <w:rFonts w:ascii="Arial" w:cs="Arial" w:eastAsia="Arial" w:hAnsi="Arial"/>
          <w:sz w:val="17"/>
          <w:szCs w:val="17"/>
          <w:i w:val="1"/>
          <w:iCs w:val="1"/>
          <w:color w:val="auto"/>
        </w:rPr>
        <w:t>IVF</w:t>
      </w:r>
      <w:r>
        <w:rPr>
          <w:rFonts w:ascii="Arial" w:cs="Arial" w:eastAsia="Arial" w:hAnsi="Arial"/>
          <w:sz w:val="17"/>
          <w:szCs w:val="17"/>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social and ethical concerns surrounding the use of iPSCs, biological materials and genetic information could impair our operations.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human cells we produce from hPSCs and our customized bioassay systems using such cells, including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5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incurred significant net losses in each fiscal year since our inception in 1998, including net losses of $47.2 million and $13.9 million during the fiscal years ending March 31, 2016 and 2015, respectively. As of March 31, 2016, we had an accumulated deficit of approximately $131.7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become profitable depends upon our ability to generate revenues. To date, we have generated approximately $16.4 million in revenues, primarily from the receipt of research and development grants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220" w:lineRule="exact"/>
        <w:rPr>
          <w:sz w:val="20"/>
          <w:szCs w:val="20"/>
          <w:color w:val="auto"/>
        </w:rPr>
      </w:pPr>
    </w:p>
    <w:p>
      <w:pPr>
        <w:ind w:left="5560" w:right="3640" w:hanging="5363"/>
        <w:spacing w:after="0" w:line="731" w:lineRule="auto"/>
        <w:tabs>
          <w:tab w:leader="none" w:pos="5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and successfully complete preclinical and clinical trials that meet their prescribed endpoints;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580" w:hanging="383"/>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product candidates;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and</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Unless we enter into a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Despite consummation of the May 2016 Public Offering (defined below), we require additional financing to execute our business plan and continue to operate as a going concern.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for the year ended March 31, 2016 have been prepared assuming we will continue to operate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drug rescue applications, and we will continue to expend substantial resources for the foreseeable future developing and commercializing AV-101, and, potentially, developing drug rescue NCEs and RM therapies.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At March 31, 2016, our existing cash and cash equivalents were not sufficient to fund our current operations for the next 12 months. As described in Note 16, </w:t>
      </w:r>
      <w:r>
        <w:rPr>
          <w:rFonts w:ascii="Arial" w:cs="Arial" w:eastAsia="Arial" w:hAnsi="Arial"/>
          <w:sz w:val="17"/>
          <w:szCs w:val="17"/>
          <w:i w:val="1"/>
          <w:iCs w:val="1"/>
          <w:color w:val="auto"/>
        </w:rPr>
        <w:t>Subsequent Events</w:t>
      </w:r>
      <w:r>
        <w:rPr>
          <w:rFonts w:ascii="Arial" w:cs="Arial" w:eastAsia="Arial" w:hAnsi="Arial"/>
          <w:sz w:val="17"/>
          <w:szCs w:val="17"/>
          <w:color w:val="auto"/>
        </w:rPr>
        <w:t>, to the accompanying Consolidated Financial Statements for the fiscal year ended March 31, 2016 included elsewhere in this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May 16, 2016, we consummated an underwritten public offering, pursuant to which we issued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pursuant to the exercise of the underwriters’ over-allotment option, resulting in gross proceeds of $10,924,000 (</w:t>
      </w:r>
      <w:r>
        <w:rPr>
          <w:rFonts w:ascii="Arial" w:cs="Arial" w:eastAsia="Arial" w:hAnsi="Arial"/>
          <w:sz w:val="17"/>
          <w:szCs w:val="17"/>
          <w:i w:val="1"/>
          <w:iCs w:val="1"/>
          <w:color w:val="auto"/>
        </w:rPr>
        <w:t>May 2016 Public Offering</w:t>
      </w:r>
      <w:r>
        <w:rPr>
          <w:rFonts w:ascii="Arial" w:cs="Arial" w:eastAsia="Arial" w:hAnsi="Arial"/>
          <w:sz w:val="17"/>
          <w:szCs w:val="17"/>
          <w:color w:val="auto"/>
        </w:rPr>
        <w:t>). Our net proceeds from the May 2016 Public Offering were approximately $9.5 million after deducting underwriters’ commissions and other expenses of the offering. Additionally, in February 2015, we entered into the CRADA with the NIH, under which the NIH is fully funding and conducting the initial Phase 2a clinical efficacy and safety of AV-101 in MDD. However, we have no current source of revenue to sustain our present activities, and we do not expect to generate revenue until, and unless, we (i) out-license or sell AV-101, a drug rescue NCE, and/or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2016.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52" w:lineRule="exact"/>
        <w:rPr>
          <w:sz w:val="20"/>
          <w:szCs w:val="20"/>
          <w:color w:val="auto"/>
        </w:rPr>
      </w:pPr>
    </w:p>
    <w:p>
      <w:pPr>
        <w:ind w:left="580" w:hanging="38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studies;</w:t>
      </w:r>
    </w:p>
    <w:p>
      <w:pPr>
        <w:spacing w:after="0" w:line="263" w:lineRule="exact"/>
        <w:rPr>
          <w:rFonts w:ascii="Arial" w:cs="Arial" w:eastAsia="Arial" w:hAnsi="Arial"/>
          <w:sz w:val="17"/>
          <w:szCs w:val="17"/>
          <w:color w:val="auto"/>
        </w:rPr>
      </w:pPr>
    </w:p>
    <w:p>
      <w:pPr>
        <w:ind w:left="580" w:hanging="38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 of commercialization activities if any of our product candidates are approved for sale, including marketing, sales and distribution costs;</w:t>
      </w:r>
    </w:p>
    <w:p>
      <w:pPr>
        <w:spacing w:after="0" w:line="263" w:lineRule="exact"/>
        <w:rPr>
          <w:rFonts w:ascii="Arial" w:cs="Arial" w:eastAsia="Arial" w:hAnsi="Arial"/>
          <w:sz w:val="17"/>
          <w:szCs w:val="17"/>
          <w:color w:val="auto"/>
        </w:rPr>
      </w:pPr>
    </w:p>
    <w:p>
      <w:pPr>
        <w:ind w:left="580" w:hanging="38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52"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97" w:lineRule="exact"/>
        <w:rPr>
          <w:rFonts w:ascii="Arial" w:cs="Arial" w:eastAsia="Arial" w:hAnsi="Arial"/>
          <w:sz w:val="18"/>
          <w:szCs w:val="18"/>
          <w:color w:val="auto"/>
        </w:rPr>
      </w:pPr>
    </w:p>
    <w:p>
      <w:pPr>
        <w:ind w:left="580" w:hanging="383"/>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75" w:lineRule="exact"/>
        <w:rPr>
          <w:rFonts w:ascii="Arial" w:cs="Arial" w:eastAsia="Arial" w:hAnsi="Arial"/>
          <w:sz w:val="16"/>
          <w:szCs w:val="16"/>
          <w:color w:val="auto"/>
        </w:rPr>
      </w:pPr>
    </w:p>
    <w:p>
      <w:pPr>
        <w:ind w:left="580" w:right="20" w:hanging="383"/>
        <w:spacing w:after="0" w:line="277"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Proceeds from the May 2016 Public Offering will not be sufficient to complete the Phase 2b MDD Study, resulting in the need for additional financing.</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we anticipate that the net proceeds from the May 2016 Public Offering will provide sufficient funding for our operations through the release of topline results of our fully-funded, NIH-sponsored AV-101 Phase 2a clinical study in MDD (</w:t>
      </w:r>
      <w:r>
        <w:rPr>
          <w:rFonts w:ascii="Arial" w:cs="Arial" w:eastAsia="Arial" w:hAnsi="Arial"/>
          <w:sz w:val="17"/>
          <w:szCs w:val="17"/>
          <w:i w:val="1"/>
          <w:iCs w:val="1"/>
          <w:color w:val="auto"/>
        </w:rPr>
        <w:t>Phase 2a MDD Study</w:t>
      </w:r>
      <w:r>
        <w:rPr>
          <w:rFonts w:ascii="Arial" w:cs="Arial" w:eastAsia="Arial" w:hAnsi="Arial"/>
          <w:sz w:val="17"/>
          <w:szCs w:val="17"/>
          <w:color w:val="auto"/>
        </w:rPr>
        <w:t>), anticipated in the second quarter of 2017, as well as the launch and conduct of a substantial portion of our AV-101 Phase 2b clinical study in MDD (</w:t>
      </w:r>
      <w:r>
        <w:rPr>
          <w:rFonts w:ascii="Arial" w:cs="Arial" w:eastAsia="Arial" w:hAnsi="Arial"/>
          <w:sz w:val="17"/>
          <w:szCs w:val="17"/>
          <w:i w:val="1"/>
          <w:iCs w:val="1"/>
          <w:color w:val="auto"/>
        </w:rPr>
        <w:t>Phase 2b MDD Study</w:t>
      </w:r>
      <w:r>
        <w:rPr>
          <w:rFonts w:ascii="Arial" w:cs="Arial" w:eastAsia="Arial" w:hAnsi="Arial"/>
          <w:sz w:val="17"/>
          <w:szCs w:val="17"/>
          <w:color w:val="auto"/>
        </w:rPr>
        <w:t>), the proceeds received will not be sufficient to complete the Phase 2b MDD Study, unless we also receive, prior to the end of the second quarter of 2017, proceeds resulting from the exercise of a substantial portion of the warrants offered in the May 2016 Public Offering and the underwriters exercise their option to purchase additional shares of common stock. Assuming no exercise of the warrants issued in the May 2016 Public Offering and no exercise of the underwriters’ option to purchase additional shares of common stock, we believe an additional $10.0 million to $12.0 million will be required prior to the end of the second quarter of 2017 in order to complete the Phase 2b MDD Study before the second half of 2018. No assurances can be provided that such additional capital will be available to us when necessary, on reasonable terms, or at all. In the event we are unable to raise such additional capital, our operations, including the conduct of the Phase 2b MDD Study, will be negatively and materially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will cause dilution to our existing stockholders, and may restrict our operations or require us to relinquish rights.</w:t>
      </w:r>
    </w:p>
    <w:p>
      <w:pPr>
        <w:spacing w:after="0" w:line="2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intend to pursue private and public equity offerings, debt financings, collaborations and licensing arrangements in 2016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grants, which may not be available to us in the future.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and the NIH’s National Institute of Mental Health,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of March 31, 2016, we had federal and state net operating loss carryforwards of $67.9 million and $60.1 million, respectively, which begin to expire in fiscal 2017. Under Section 382 of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other employees, consultants and scientific collaborators. As of the date of this Annual Report,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rely on a diverse range of strategic consultants and advisors, including manufacturing, scientific and clinical development, and regulatory advisors, to assist us in designing and implementing our research and development and regulatory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we seek to advance development of AV-101 for MDD and other CNS-related conditions, as well as drug rescue and stem cell technology-related RM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24" w:lineRule="exact"/>
        <w:rPr>
          <w:sz w:val="20"/>
          <w:szCs w:val="20"/>
          <w:color w:val="auto"/>
        </w:rPr>
      </w:pPr>
    </w:p>
    <w:p>
      <w:pPr>
        <w:ind w:left="580" w:hanging="38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56" w:name="page57"/>
    <w:bookmarkEnd w:id="5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ind w:left="580" w:hanging="383"/>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and stock markets. Global financial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businesses or products, or form strategic alliances, in the future, and we may not realize the benefits of such acquisitions.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 applications related to AV-101 and we own and have licensed patents and patent applications related to human pluripotent stem cell technology.</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no issued patents covering AV-101. We cannot provide any assurances that any of our numerous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 </w:t>
      </w:r>
      <w:r>
        <w:rPr>
          <w:rFonts w:ascii="Arial" w:cs="Arial" w:eastAsia="Arial" w:hAnsi="Arial"/>
          <w:sz w:val="17"/>
          <w:szCs w:val="17"/>
          <w:color w:val="auto"/>
        </w:rPr>
        <w:t>reexamination, or</w:t>
      </w:r>
      <w:r>
        <w:rPr>
          <w:rFonts w:ascii="Arial" w:cs="Arial" w:eastAsia="Arial" w:hAnsi="Arial"/>
          <w:sz w:val="17"/>
          <w:szCs w:val="17"/>
          <w:i w:val="1"/>
          <w:iCs w:val="1"/>
          <w:color w:val="auto"/>
        </w:rPr>
        <w:t xml:space="preserve"> inter partes </w:t>
      </w:r>
      <w:r>
        <w:rPr>
          <w:rFonts w:ascii="Arial" w:cs="Arial" w:eastAsia="Arial" w:hAnsi="Arial"/>
          <w:sz w:val="17"/>
          <w:szCs w:val="17"/>
          <w:color w:val="auto"/>
        </w:rPr>
        <w:t>review proceedings, supplemental examination and challenges in district court. Patents may be subjected to opposition,</w:t>
      </w:r>
      <w:r>
        <w:rPr>
          <w:rFonts w:ascii="Arial" w:cs="Arial" w:eastAsia="Arial" w:hAnsi="Arial"/>
          <w:sz w:val="17"/>
          <w:szCs w:val="17"/>
          <w:i w:val="1"/>
          <w:iCs w:val="1"/>
          <w:color w:val="auto"/>
        </w:rPr>
        <w:t xml:space="preserve"> </w:t>
      </w:r>
      <w:r>
        <w:rPr>
          <w:rFonts w:ascii="Arial" w:cs="Arial" w:eastAsia="Arial" w:hAnsi="Arial"/>
          <w:sz w:val="17"/>
          <w:szCs w:val="17"/>
          <w:color w:val="auto"/>
        </w:rPr>
        <w:t>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580" w:right="20" w:hanging="383"/>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97" w:lineRule="exact"/>
        <w:rPr>
          <w:rFonts w:ascii="Arial" w:cs="Arial" w:eastAsia="Arial" w:hAnsi="Arial"/>
          <w:sz w:val="18"/>
          <w:szCs w:val="18"/>
          <w:color w:val="auto"/>
        </w:rPr>
      </w:pPr>
    </w:p>
    <w:p>
      <w:pPr>
        <w:ind w:left="580" w:hanging="383"/>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52" w:lineRule="exact"/>
        <w:rPr>
          <w:rFonts w:ascii="Arial" w:cs="Arial" w:eastAsia="Arial" w:hAnsi="Arial"/>
          <w:sz w:val="18"/>
          <w:szCs w:val="18"/>
          <w:color w:val="auto"/>
        </w:rPr>
      </w:pPr>
    </w:p>
    <w:p>
      <w:pPr>
        <w:ind w:left="580" w:right="20" w:hanging="383"/>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97" w:lineRule="exact"/>
        <w:rPr>
          <w:rFonts w:ascii="Arial" w:cs="Arial" w:eastAsia="Arial" w:hAnsi="Arial"/>
          <w:sz w:val="18"/>
          <w:szCs w:val="18"/>
          <w:color w:val="auto"/>
        </w:rPr>
      </w:pPr>
    </w:p>
    <w:p>
      <w:pPr>
        <w:ind w:left="580" w:hanging="383"/>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59" w:name="page60"/>
    <w:bookmarkEnd w:id="5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215" w:lineRule="exact"/>
        <w:rPr>
          <w:sz w:val="20"/>
          <w:szCs w:val="20"/>
          <w:color w:val="auto"/>
        </w:rPr>
      </w:pPr>
    </w:p>
    <w:p>
      <w:pPr>
        <w:ind w:left="580" w:hanging="383"/>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263" w:lineRule="exact"/>
        <w:rPr>
          <w:rFonts w:ascii="Arial" w:cs="Arial" w:eastAsia="Arial" w:hAnsi="Arial"/>
          <w:sz w:val="17"/>
          <w:szCs w:val="17"/>
          <w:color w:val="auto"/>
        </w:rPr>
      </w:pPr>
    </w:p>
    <w:p>
      <w:pPr>
        <w:ind w:left="580" w:right="100" w:hanging="383"/>
        <w:spacing w:after="0" w:line="27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Patent and Trademark Office (</w:t>
      </w:r>
      <w:r>
        <w:rPr>
          <w:rFonts w:ascii="Arial" w:cs="Arial" w:eastAsia="Arial" w:hAnsi="Arial"/>
          <w:sz w:val="18"/>
          <w:szCs w:val="18"/>
          <w:i w:val="1"/>
          <w:iCs w:val="1"/>
          <w:color w:val="auto"/>
        </w:rPr>
        <w:t>USPTO</w:t>
      </w:r>
      <w:r>
        <w:rPr>
          <w:rFonts w:ascii="Arial" w:cs="Arial" w:eastAsia="Arial" w:hAnsi="Arial"/>
          <w:sz w:val="18"/>
          <w:szCs w:val="18"/>
          <w:color w:val="auto"/>
        </w:rPr>
        <w:t>)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6"/>
          <w:szCs w:val="16"/>
          <w:i w:val="1"/>
          <w:iCs w:val="1"/>
          <w:color w:val="auto"/>
        </w:rPr>
        <w:t>Business—Intellectual</w:t>
      </w:r>
      <w:r>
        <w:rPr>
          <w:rFonts w:ascii="Arial" w:cs="Arial" w:eastAsia="Arial" w:hAnsi="Arial"/>
          <w:sz w:val="16"/>
          <w:szCs w:val="16"/>
          <w:color w:val="auto"/>
        </w:rPr>
        <w:t xml:space="preserve"> </w:t>
      </w:r>
      <w:r>
        <w:rPr>
          <w:rFonts w:ascii="Arial" w:cs="Arial" w:eastAsia="Arial" w:hAnsi="Arial"/>
          <w:sz w:val="16"/>
          <w:szCs w:val="16"/>
          <w:i w:val="1"/>
          <w:iCs w:val="1"/>
          <w:color w:val="auto"/>
        </w:rPr>
        <w:t>Property</w:t>
      </w:r>
      <w:r>
        <w:rPr>
          <w:rFonts w:ascii="Arial" w:cs="Arial" w:eastAsia="Arial" w:hAnsi="Arial"/>
          <w:sz w:val="16"/>
          <w:szCs w:val="16"/>
          <w:color w:val="auto"/>
        </w:rPr>
        <w:t>” herein for a description of our license agreements, which includes a description of the termination provisions of these agreements.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97" w:lineRule="exact"/>
        <w:rPr>
          <w:sz w:val="20"/>
          <w:szCs w:val="20"/>
          <w:color w:val="auto"/>
        </w:rPr>
      </w:pPr>
    </w:p>
    <w:p>
      <w:pPr>
        <w:ind w:left="560" w:hanging="354"/>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580" w:hanging="374"/>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97" w:lineRule="exact"/>
        <w:rPr>
          <w:rFonts w:ascii="Arial" w:cs="Arial" w:eastAsia="Arial" w:hAnsi="Arial"/>
          <w:sz w:val="18"/>
          <w:szCs w:val="18"/>
          <w:color w:val="auto"/>
        </w:rPr>
      </w:pPr>
    </w:p>
    <w:p>
      <w:pPr>
        <w:ind w:left="580" w:hanging="374"/>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52" w:lineRule="exact"/>
        <w:rPr>
          <w:rFonts w:ascii="Arial" w:cs="Arial" w:eastAsia="Arial" w:hAnsi="Arial"/>
          <w:sz w:val="18"/>
          <w:szCs w:val="18"/>
          <w:color w:val="auto"/>
        </w:rPr>
      </w:pPr>
    </w:p>
    <w:p>
      <w:pPr>
        <w:ind w:left="580" w:hanging="374"/>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97" w:lineRule="exact"/>
        <w:rPr>
          <w:rFonts w:ascii="Arial" w:cs="Arial" w:eastAsia="Arial" w:hAnsi="Arial"/>
          <w:sz w:val="18"/>
          <w:szCs w:val="18"/>
          <w:color w:val="auto"/>
        </w:rPr>
      </w:pPr>
    </w:p>
    <w:p>
      <w:pPr>
        <w:ind w:left="580" w:hanging="374"/>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2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14" w:lineRule="exact"/>
        <w:rPr>
          <w:sz w:val="20"/>
          <w:szCs w:val="20"/>
          <w:color w:val="auto"/>
        </w:rPr>
      </w:pPr>
    </w:p>
    <w:p>
      <w:pPr>
        <w:ind w:left="580" w:right="20" w:hanging="374"/>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0" w:lineRule="exact"/>
        <w:rPr>
          <w:rFonts w:ascii="Arial" w:cs="Arial" w:eastAsia="Arial" w:hAnsi="Arial"/>
          <w:sz w:val="18"/>
          <w:szCs w:val="18"/>
          <w:color w:val="auto"/>
        </w:rPr>
      </w:pPr>
    </w:p>
    <w:p>
      <w:pPr>
        <w:ind w:left="580" w:hanging="374"/>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580" w:hanging="374"/>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580" w:hanging="374"/>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580" w:hanging="374"/>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580" w:hanging="374"/>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580" w:hanging="374"/>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580" w:hanging="374"/>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580" w:hanging="374"/>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limited public market for the Company’s securities may adversely affect an investor’s ability to liquidate an investment in the Company.</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Company’s common stock is currently quoted on The NASDAQ Capital Market, there is limited trading activity. The Company can give no assurance that an active market will develop, or if developed, that it will be sustained. If an investor acquires shares of the Company’s common stock, including shares sold in connection with the Offering, the investor may not be able to liquidate the Company’s shares should there be a need or desire to do so.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70" w:lineRule="exact"/>
        <w:rPr>
          <w:sz w:val="20"/>
          <w:szCs w:val="20"/>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our product candidates;</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520" w:hanging="314"/>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stock market in general, and biotechnology-based companies like ours in particular, has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highly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of our current institutional stockholders own a substantial portion of our outstanding capital stock, including our common stock, all of our Series A Preferred, a substantial portion of our Series B Preferred, and all of our Series C Preferred, all of which preferred stock is convertible into a substantial number of shares of common stock. Accordingly,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Our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of Directors has authorized the issuance of (i) 500,000 shares of Series A Preferred, all of which shares are currently issued and outstanding; (ii) 4.0 million shares of Series B 10% Convertible Preferred stock, of which approximately 1.3 million shares are issued and outstanding as of the date of this Annual Report; and (iii) 3.0 million shares of Series C Convertible Preferred Stock, of which approximately 2.3 million shares are issued and outstanding as of the date of this Annual Report.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becoming a public company by means of a reverse merger in 2011, we have been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since we qualify as a smaller reporting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corporate headquarters and laboratories are located at 343 Allerton Avenue, South San Francisco, California 94080, where we occupy approximately 10,900 square feet of office and lab space under a lease expiring on July 31, 2017. We believe that our facilities are suitable and adequate for our current and foreseeable needs.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legal proceedings and we are not aware of any claims or actions pending or threatened against 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was approved for listing, and began trading on The NASDAQ Capital Market under the symbol “VTGN” on May 11, 2016. From June 21, 2011 through May 10, 2016, our common stock traded on the OTC Marketplace (</w:t>
      </w:r>
      <w:r>
        <w:rPr>
          <w:rFonts w:ascii="Arial" w:cs="Arial" w:eastAsia="Arial" w:hAnsi="Arial"/>
          <w:sz w:val="18"/>
          <w:szCs w:val="18"/>
          <w:i w:val="1"/>
          <w:iCs w:val="1"/>
          <w:color w:val="auto"/>
        </w:rPr>
        <w:t>OTCQB</w:t>
      </w:r>
      <w:r>
        <w:rPr>
          <w:rFonts w:ascii="Arial" w:cs="Arial" w:eastAsia="Arial" w:hAnsi="Arial"/>
          <w:sz w:val="18"/>
          <w:szCs w:val="18"/>
          <w:color w:val="auto"/>
        </w:rPr>
        <w:t>), under the symbol “VSTA”. There was no established trading market for our common stock prior to June 21, 2011.</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Shown below is the range of high and low sales prices for our common stock for the periods indicated as reported by the OTCQB. The market quotations reflect inter-dealer prices, without retail mark-up, mark-down or commissions and may not necessarily represent actual transactions. Effective August 14, 2014, we consummated a 1-for-20 reverse split of our authorized, and issued and outstanding shares of common stock (the </w:t>
      </w:r>
      <w:r>
        <w:rPr>
          <w:rFonts w:ascii="Arial" w:cs="Arial" w:eastAsia="Arial" w:hAnsi="Arial"/>
          <w:sz w:val="18"/>
          <w:szCs w:val="18"/>
          <w:i w:val="1"/>
          <w:iCs w:val="1"/>
          <w:color w:val="auto"/>
        </w:rPr>
        <w:t>Stock Consolidation</w:t>
      </w:r>
      <w:r>
        <w:rPr>
          <w:rFonts w:ascii="Arial" w:cs="Arial" w:eastAsia="Arial" w:hAnsi="Arial"/>
          <w:sz w:val="18"/>
          <w:szCs w:val="18"/>
          <w:color w:val="auto"/>
        </w:rPr>
        <w:t>). Each reference to the price per share of common stock in the table below is on a post-Stock Consolidation basis, and reflects the 1-for-20 adjustment as a result of the Stock Consolidation.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176"/>
        </w:trPr>
        <w:tc>
          <w:tcPr>
            <w:tcW w:w="59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Year Ending March 31, 2016</w:t>
            </w:r>
          </w:p>
        </w:tc>
        <w:tc>
          <w:tcPr>
            <w:tcW w:w="28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ending June 30, 2015</w:t>
            </w:r>
          </w:p>
        </w:tc>
        <w:tc>
          <w:tcPr>
            <w:tcW w:w="3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Second quarter ending September 30, 2015</w:t>
            </w:r>
          </w:p>
        </w:tc>
        <w:tc>
          <w:tcPr>
            <w:tcW w:w="3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ending December 31, 2015</w:t>
            </w:r>
          </w:p>
        </w:tc>
        <w:tc>
          <w:tcPr>
            <w:tcW w:w="3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Fourth quarter ending March 31, 2016</w:t>
            </w:r>
          </w:p>
        </w:tc>
        <w:tc>
          <w:tcPr>
            <w:tcW w:w="3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Year Ending March 31, 2015</w:t>
            </w:r>
          </w:p>
        </w:tc>
        <w:tc>
          <w:tcPr>
            <w:tcW w:w="2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First quarter ending June 30, 2014</w:t>
            </w:r>
          </w:p>
        </w:tc>
        <w:tc>
          <w:tcPr>
            <w:tcW w:w="3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ending September 30, 2014</w:t>
            </w:r>
          </w:p>
        </w:tc>
        <w:tc>
          <w:tcPr>
            <w:tcW w:w="3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Third quarter ending December 31, 2014</w:t>
            </w:r>
          </w:p>
        </w:tc>
        <w:tc>
          <w:tcPr>
            <w:tcW w:w="3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ending March 31, 2015</w:t>
            </w:r>
          </w:p>
        </w:tc>
        <w:tc>
          <w:tcPr>
            <w:tcW w:w="3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June 22, 2016 the closing price of our common stock on The NASDAQ Capital Market was $3.85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22, 2016, we had 7,970,705 shares of common stock outstanding and approximately 300 stockholders of record. On the same date, two stockholders held all 500,000 outstanding restricted shares of our Series A Preferred Stock, which shares are convertible into 750,000 shares of common stock; two stockholders held 1,247,740 outstanding shares of our Series B 10% Convertible Preferred Stock, which shares are convertible into 1,247,740 shares of common stock; and one stockholder held all 2,318,012 outstanding shares of our Series C Preferred stock, which shares are convertible into 2,318,012 shares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Covenants in certain of our debt agreements prohibit us from paying dividends while the debt remains outstanding. Our Series B Preferred accrues dividends at a rate of 10% per annum, which dividends are payable solely in unregistered shares of our common stock at the time the Series B Preferred is converted into common stock.</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issued the following securities in private placement transactions which were not registered under the Securities Act of 1933, as amended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 and that have not been previously reported in a Quarterly Report on Form 10-Q or a Current Report on Form 8-K.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Units in Series B Preferred Unit Private Placement</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Between February 17, 2016 and May 4, 2016, we entered into self-placed private placement transactions involving securities purchase agreements with accredited investors, pursuant to which we sold Series B Preferred Units consisting of an aggregate of (i) 111,142 shares of our Series B Preferred Stock; and</w:t>
      </w:r>
    </w:p>
    <w:p>
      <w:pPr>
        <w:jc w:val="both"/>
        <w:ind w:firstLine="8"/>
        <w:spacing w:after="0" w:line="273" w:lineRule="auto"/>
        <w:tabs>
          <w:tab w:leader="none" w:pos="266"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five-year warrants to purchase an aggregate of 111,142 shares of our common stock at a fixed exercise price of $7.00 per share, subject to adjustment only for customary stock dividends, reclassifications, splits and similar transactions (</w:t>
      </w:r>
      <w:r>
        <w:rPr>
          <w:rFonts w:ascii="Arial" w:cs="Arial" w:eastAsia="Arial" w:hAnsi="Arial"/>
          <w:sz w:val="17"/>
          <w:szCs w:val="17"/>
          <w:i w:val="1"/>
          <w:iCs w:val="1"/>
          <w:color w:val="auto"/>
        </w:rPr>
        <w:t>Series B Warrants</w:t>
      </w:r>
      <w:r>
        <w:rPr>
          <w:rFonts w:ascii="Arial" w:cs="Arial" w:eastAsia="Arial" w:hAnsi="Arial"/>
          <w:sz w:val="17"/>
          <w:szCs w:val="17"/>
          <w:color w:val="auto"/>
        </w:rPr>
        <w:t>). We received cash proceeds of $778,000, which we expect to use for general corporate purposes. The Series B Preferred Units were offered and sold in a self-placed private placement transaction exempt from registration under the Securities Act in reliance on Section 4(2) thereof and Rule 506 of Regulation D thereunder.</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Each share of Series B Preferred is convertible, at the option of the Holder (</w:t>
      </w:r>
      <w:r>
        <w:rPr>
          <w:rFonts w:ascii="Arial" w:cs="Arial" w:eastAsia="Arial" w:hAnsi="Arial"/>
          <w:sz w:val="17"/>
          <w:szCs w:val="17"/>
          <w:i w:val="1"/>
          <w:iCs w:val="1"/>
          <w:color w:val="auto"/>
        </w:rPr>
        <w:t>Voluntary Conversion</w:t>
      </w:r>
      <w:r>
        <w:rPr>
          <w:rFonts w:ascii="Arial" w:cs="Arial" w:eastAsia="Arial" w:hAnsi="Arial"/>
          <w:sz w:val="17"/>
          <w:szCs w:val="17"/>
          <w:color w:val="auto"/>
        </w:rPr>
        <w:t>), into one (1) share of our common stock, subject to adjustment only for customary stock dividends, reclassifications, splits and similar transactions (</w:t>
      </w:r>
      <w:r>
        <w:rPr>
          <w:rFonts w:ascii="Arial" w:cs="Arial" w:eastAsia="Arial" w:hAnsi="Arial"/>
          <w:sz w:val="17"/>
          <w:szCs w:val="17"/>
          <w:i w:val="1"/>
          <w:iCs w:val="1"/>
          <w:color w:val="auto"/>
        </w:rPr>
        <w:t>Fixed Conversion Price</w:t>
      </w:r>
      <w:r>
        <w:rPr>
          <w:rFonts w:ascii="Arial" w:cs="Arial" w:eastAsia="Arial" w:hAnsi="Arial"/>
          <w:sz w:val="17"/>
          <w:szCs w:val="17"/>
          <w:color w:val="auto"/>
        </w:rPr>
        <w:t>). All shares of Series B Preferred are also convertible automatically into common stock (</w:t>
      </w:r>
      <w:r>
        <w:rPr>
          <w:rFonts w:ascii="Arial" w:cs="Arial" w:eastAsia="Arial" w:hAnsi="Arial"/>
          <w:sz w:val="17"/>
          <w:szCs w:val="17"/>
          <w:i w:val="1"/>
          <w:iCs w:val="1"/>
          <w:color w:val="auto"/>
        </w:rPr>
        <w:t>Automatic Conversion</w:t>
      </w:r>
      <w:r>
        <w:rPr>
          <w:rFonts w:ascii="Arial" w:cs="Arial" w:eastAsia="Arial" w:hAnsi="Arial"/>
          <w:sz w:val="17"/>
          <w:szCs w:val="17"/>
          <w:color w:val="auto"/>
        </w:rPr>
        <w:t>) upon the closing or effective date of any of the following transactions or events: (i) a strategic transaction involving AV-101 with an initial up-front cash payment to us of at least $10.0 million; (ii) a registered public offering of Common Stock with aggregate gross proceeds to us of at least $10.0 million (</w:t>
      </w:r>
      <w:r>
        <w:rPr>
          <w:rFonts w:ascii="Arial" w:cs="Arial" w:eastAsia="Arial" w:hAnsi="Arial"/>
          <w:sz w:val="17"/>
          <w:szCs w:val="17"/>
          <w:i w:val="1"/>
          <w:iCs w:val="1"/>
          <w:color w:val="auto"/>
        </w:rPr>
        <w:t>Registered Offering</w:t>
      </w:r>
      <w:r>
        <w:rPr>
          <w:rFonts w:ascii="Arial" w:cs="Arial" w:eastAsia="Arial" w:hAnsi="Arial"/>
          <w:sz w:val="17"/>
          <w:szCs w:val="17"/>
          <w:color w:val="auto"/>
        </w:rPr>
        <w:t xml:space="preserve">);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7"/>
          <w:szCs w:val="17"/>
          <w:i w:val="1"/>
          <w:iCs w:val="1"/>
          <w:color w:val="auto"/>
        </w:rPr>
        <w:t>Conversion</w:t>
      </w:r>
      <w:r>
        <w:rPr>
          <w:rFonts w:ascii="Arial" w:cs="Arial" w:eastAsia="Arial" w:hAnsi="Arial"/>
          <w:sz w:val="17"/>
          <w:szCs w:val="17"/>
          <w:color w:val="auto"/>
        </w:rPr>
        <w:t xml:space="preserve">) are subject to customary beneficial ownership blockers and certain other equity conditions. Prior to Conversion, shares of Series B Preferred will accrue dividends, payable only in unregistered shares of Common Stock, at a rate of 10% per annum (the </w:t>
      </w:r>
      <w:r>
        <w:rPr>
          <w:rFonts w:ascii="Arial" w:cs="Arial" w:eastAsia="Arial" w:hAnsi="Arial"/>
          <w:sz w:val="17"/>
          <w:szCs w:val="17"/>
          <w:i w:val="1"/>
          <w:iCs w:val="1"/>
          <w:color w:val="auto"/>
        </w:rPr>
        <w:t>Accrued Dividend</w:t>
      </w:r>
      <w:r>
        <w:rPr>
          <w:rFonts w:ascii="Arial" w:cs="Arial" w:eastAsia="Arial" w:hAnsi="Arial"/>
          <w:sz w:val="17"/>
          <w:szCs w:val="17"/>
          <w:color w:val="auto"/>
        </w:rPr>
        <w:t>). The Accrued Dividend is payable on the date of Conversion solely in that number of shares of Common Stock equal to the Accrued Dividend. Effective on May 19, 2016, 82,571 shares of the Series B Preferred reported herein automatically converted into an equivalent number of unregistered shares of our common stock upon the consummation of the May 2016 Public Offering, and, as further described below, all Accrued Dividends were paid in shares of unregistered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Exchanged for Common Stock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February 17, 2016 and May 4, 2016, we entered into Warrant Exchange Agreements with certain holders of outstanding warrants to purchase an aggregate of 303,373 shares of our common stock pursuant to which the holders agreed to the cancellation of such warrants in exchange for our issuance to them of an aggregate of 227,542 shares of our unregistered common stock. The common stock was issued in private placement transactions exempt from registration under the Securities Act, in reliance on Section 3(a)(9) and/or 4(2) thereof.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Issued for Professional Services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25, 2016, we granted warrants to purchase an aggregate of 230,000 unregistered shares of our common stock to eleven accredited investors as compensation for various legal, business development, regulatory and other professional services. We will receive all proceeds from the exercise of the warrants granted; however, there can be no assurance that we will receive any proceeds therefrom. The warrants were issued in private placement transactions exempt from registration under the Securities Act, in reliance on Section 4(2) thereof and Rule 506 of Regulation D thereunder.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 for Dividends on Series B Preferred</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on May 19, 2016 and June 15, 2016, upon the automatic conversion of 2,403,051 shares and 44,500 shares, respectively, of our Series B Preferred into an equivalent number of shares of our common stock pursuant to the consummation of our May 2016 Public Offering and the exercise of the underwriters’ over-allotment option, we issued an aggregate of 426,386 unregistered shares of our common stock in payment of accrued dividends to the accredited investor holders of our Series B Preferred. The common stock issued in payment of dividends was issued in a private placement transaction exempt from registration under the Securities Act, in reliance on Section 3(a)(9) and/or 4(2) thereof.</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since we qualify as a smaller reporting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Annual Report on Form 10-K (Annual Report) includes forward-looking statements. All statements contained in this Annual Report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Annual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Annual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in patients with an inadequate response to standard antidepressants currently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AV-101’s mechanism of action, as an N-methyl D aspartate receptor (</w:t>
      </w:r>
      <w:r>
        <w:rPr>
          <w:rFonts w:ascii="Arial" w:cs="Arial" w:eastAsia="Arial" w:hAnsi="Arial"/>
          <w:sz w:val="18"/>
          <w:szCs w:val="18"/>
          <w:i w:val="1"/>
          <w:iCs w:val="1"/>
          <w:color w:val="auto"/>
        </w:rPr>
        <w:t>NMDAR</w:t>
      </w:r>
      <w:r>
        <w:rPr>
          <w:rFonts w:ascii="Arial" w:cs="Arial" w:eastAsia="Arial" w:hAnsi="Arial"/>
          <w:sz w:val="18"/>
          <w:szCs w:val="18"/>
          <w:color w:val="auto"/>
        </w:rPr>
        <w:t>) antagonist binding selectively at the glycine binding (</w:t>
      </w:r>
      <w:r>
        <w:rPr>
          <w:rFonts w:ascii="Arial" w:cs="Arial" w:eastAsia="Arial" w:hAnsi="Arial"/>
          <w:sz w:val="18"/>
          <w:szCs w:val="18"/>
          <w:i w:val="1"/>
          <w:iCs w:val="1"/>
          <w:color w:val="auto"/>
        </w:rPr>
        <w:t>GlyB</w:t>
      </w:r>
      <w:r>
        <w:rPr>
          <w:rFonts w:ascii="Arial" w:cs="Arial" w:eastAsia="Arial" w:hAnsi="Arial"/>
          <w:sz w:val="18"/>
          <w:szCs w:val="18"/>
          <w:color w:val="auto"/>
        </w:rPr>
        <w:t>) co-agonist site of the NMDAR, is fundamentally differentiated from all antidepressants, as well as all atypical antipsychotics used adjunctively with standard, FDA-approved antidepressants.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ongoing Phase 2a clinical study of AV-101 in subjects with treatment-resistant MDD is being conducted and funded by the U.S. National Institute of Mental Health (</w:t>
      </w:r>
      <w:r>
        <w:rPr>
          <w:rFonts w:ascii="Arial" w:cs="Arial" w:eastAsia="Arial" w:hAnsi="Arial"/>
          <w:sz w:val="17"/>
          <w:szCs w:val="17"/>
          <w:i w:val="1"/>
          <w:iCs w:val="1"/>
          <w:color w:val="auto"/>
        </w:rPr>
        <w:t>NIMH</w:t>
      </w:r>
      <w:r>
        <w:rPr>
          <w:rFonts w:ascii="Arial" w:cs="Arial" w:eastAsia="Arial" w:hAnsi="Arial"/>
          <w:sz w:val="17"/>
          <w:szCs w:val="17"/>
          <w:color w:val="auto"/>
        </w:rPr>
        <w:t>) under our February 2015 Cooperative Research and Development Agreement (</w:t>
      </w:r>
      <w:r>
        <w:rPr>
          <w:rFonts w:ascii="Arial" w:cs="Arial" w:eastAsia="Arial" w:hAnsi="Arial"/>
          <w:sz w:val="17"/>
          <w:szCs w:val="17"/>
          <w:i w:val="1"/>
          <w:iCs w:val="1"/>
          <w:color w:val="auto"/>
        </w:rPr>
        <w:t>CRADA</w:t>
      </w:r>
      <w:r>
        <w:rPr>
          <w:rFonts w:ascii="Arial" w:cs="Arial" w:eastAsia="Arial" w:hAnsi="Arial"/>
          <w:sz w:val="17"/>
          <w:szCs w:val="17"/>
          <w:color w:val="auto"/>
        </w:rPr>
        <w:t>) with the NIMH. The first patient in this NIMH-sponsored Phase 2a study was dosed in November 2015.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low dose intravenous (</w:t>
      </w:r>
      <w:r>
        <w:rPr>
          <w:rFonts w:ascii="Arial" w:cs="Arial" w:eastAsia="Arial" w:hAnsi="Arial"/>
          <w:sz w:val="17"/>
          <w:szCs w:val="17"/>
          <w:i w:val="1"/>
          <w:iCs w:val="1"/>
          <w:color w:val="auto"/>
        </w:rPr>
        <w:t>I.V.</w:t>
      </w:r>
      <w:r>
        <w:rPr>
          <w:rFonts w:ascii="Arial" w:cs="Arial" w:eastAsia="Arial" w:hAnsi="Arial"/>
          <w:sz w:val="17"/>
          <w:szCs w:val="17"/>
          <w:color w:val="auto"/>
        </w:rPr>
        <w:t>) ketamine on treatment-resistant depression. These NIMH studies, as well as clinical research by others, have demonstrated robust antidepressant effects in patients with treatment-resistant MDD within hours of a single low dose of I.V. ketamine and stimulated research and development around a new generation of antidepressants with potential to deliver ketamine-like fast-acting antidepressant benefits without ketamine-like side effects.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preparing to launch our Phase 2b clinical study of AV-101 for the adjunctive treatment of MDD in patients with an inadequate response to standard, FDA-approved antidepressants. We anticipate commencement of this multi-center, multi-dose, double blind, placebo-controlled Phase 2b efficacy and safety study in the fourth quarter of 2016. Dr. Maurizio Fava, Professor of Psychiatry at Harvard Medical School and Director, Division of Clinical Research, Massachusetts General Hospital (</w:t>
      </w:r>
      <w:r>
        <w:rPr>
          <w:rFonts w:ascii="Arial" w:cs="Arial" w:eastAsia="Arial" w:hAnsi="Arial"/>
          <w:sz w:val="18"/>
          <w:szCs w:val="18"/>
          <w:i w:val="1"/>
          <w:iCs w:val="1"/>
          <w:color w:val="auto"/>
        </w:rPr>
        <w:t>MGH</w:t>
      </w:r>
      <w:r>
        <w:rPr>
          <w:rFonts w:ascii="Arial" w:cs="Arial" w:eastAsia="Arial" w:hAnsi="Arial"/>
          <w:sz w:val="18"/>
          <w:szCs w:val="18"/>
          <w:color w:val="auto"/>
        </w:rPr>
        <w:t>) Research Institute and Executive Director, MGH Clinical Trials Network and Institute, will be the Principal Investigator of our Phase 2b study of AV-101 in MDD.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believe AV-101 has broad therapeutic utility, with multiple CNS pipeline expansion opportunities, including chronic neuropathic pain, epilepsy, Huntington’s disease and Parkinson’s disease.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clinical development of AV-101, we are focused on collaborating with third-parties to advance potential commercial applications of our human pluripotent stem cell (</w:t>
      </w:r>
      <w:r>
        <w:rPr>
          <w:rFonts w:ascii="Arial" w:cs="Arial" w:eastAsia="Arial" w:hAnsi="Arial"/>
          <w:sz w:val="17"/>
          <w:szCs w:val="17"/>
          <w:i w:val="1"/>
          <w:iCs w:val="1"/>
          <w:color w:val="auto"/>
        </w:rPr>
        <w:t>hPSC</w:t>
      </w:r>
      <w:r>
        <w:rPr>
          <w:rFonts w:ascii="Arial" w:cs="Arial" w:eastAsia="Arial" w:hAnsi="Arial"/>
          <w:sz w:val="17"/>
          <w:szCs w:val="17"/>
          <w:color w:val="auto"/>
        </w:rPr>
        <w:t>) technology platform, including drug rescue to develop proprietary small molecule new chemical entities (</w:t>
      </w:r>
      <w:r>
        <w:rPr>
          <w:rFonts w:ascii="Arial" w:cs="Arial" w:eastAsia="Arial" w:hAnsi="Arial"/>
          <w:sz w:val="17"/>
          <w:szCs w:val="17"/>
          <w:i w:val="1"/>
          <w:iCs w:val="1"/>
          <w:color w:val="auto"/>
        </w:rPr>
        <w:t>NCEs</w:t>
      </w:r>
      <w:r>
        <w:rPr>
          <w:rFonts w:ascii="Arial" w:cs="Arial" w:eastAsia="Arial" w:hAnsi="Arial"/>
          <w:sz w:val="17"/>
          <w:szCs w:val="17"/>
          <w:color w:val="auto"/>
        </w:rPr>
        <w:t>) for our internal drug candidate pipeline, and regenerative medicine (</w:t>
      </w:r>
      <w:r>
        <w:rPr>
          <w:rFonts w:ascii="Arial" w:cs="Arial" w:eastAsia="Arial" w:hAnsi="Arial"/>
          <w:sz w:val="17"/>
          <w:szCs w:val="17"/>
          <w:i w:val="1"/>
          <w:iCs w:val="1"/>
          <w:color w:val="auto"/>
        </w:rPr>
        <w:t>RM</w:t>
      </w:r>
      <w:r>
        <w:rPr>
          <w:rFonts w:ascii="Arial" w:cs="Arial" w:eastAsia="Arial" w:hAnsi="Arial"/>
          <w:sz w:val="17"/>
          <w:szCs w:val="17"/>
          <w:color w:val="auto"/>
        </w:rPr>
        <w:t>) using blood, cartilage, heart and/or liver cells derived from hPSCs.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VistaGen Therapeutics, Inc., a California corporation incorporated on May 26, 1998 (</w:t>
      </w:r>
      <w:r>
        <w:rPr>
          <w:rFonts w:ascii="Arial" w:cs="Arial" w:eastAsia="Arial" w:hAnsi="Arial"/>
          <w:sz w:val="18"/>
          <w:szCs w:val="18"/>
          <w:i w:val="1"/>
          <w:iCs w:val="1"/>
          <w:color w:val="auto"/>
        </w:rPr>
        <w:t>VistaGen California</w:t>
      </w:r>
      <w:r>
        <w:rPr>
          <w:rFonts w:ascii="Arial" w:cs="Arial" w:eastAsia="Arial" w:hAnsi="Arial"/>
          <w:sz w:val="18"/>
          <w:szCs w:val="18"/>
          <w:color w:val="auto"/>
        </w:rPr>
        <w:t>), is our wholly-owned subsidiary. Excaliber Enterprises, Ltd. (</w:t>
      </w:r>
      <w:r>
        <w:rPr>
          <w:rFonts w:ascii="Arial" w:cs="Arial" w:eastAsia="Arial" w:hAnsi="Arial"/>
          <w:sz w:val="18"/>
          <w:szCs w:val="18"/>
          <w:i w:val="1"/>
          <w:iCs w:val="1"/>
          <w:color w:val="auto"/>
        </w:rPr>
        <w:t>Excaliber</w:t>
      </w:r>
      <w:r>
        <w:rPr>
          <w:rFonts w:ascii="Arial" w:cs="Arial" w:eastAsia="Arial" w:hAnsi="Arial"/>
          <w:sz w:val="18"/>
          <w:szCs w:val="18"/>
          <w:color w:val="auto"/>
        </w:rPr>
        <w:t xml:space="preserve">), a publicly-held company (formerly OTCBB: EXCA) was incorporated under the laws of the State of Nevada on October 6, 2005. Pursuant to a strategic merger transaction on May 11, 2011, Excaliber acquired all outstanding shares of VistaGen California in exchange for 341,823 shares of our common stock and assumed all of VistaGen California’s pre-Merger obligations (the </w:t>
      </w:r>
      <w:r>
        <w:rPr>
          <w:rFonts w:ascii="Arial" w:cs="Arial" w:eastAsia="Arial" w:hAnsi="Arial"/>
          <w:sz w:val="18"/>
          <w:szCs w:val="18"/>
          <w:i w:val="1"/>
          <w:iCs w:val="1"/>
          <w:color w:val="auto"/>
        </w:rPr>
        <w:t>Merger</w:t>
      </w:r>
      <w:r>
        <w:rPr>
          <w:rFonts w:ascii="Arial" w:cs="Arial" w:eastAsia="Arial" w:hAnsi="Arial"/>
          <w:sz w:val="18"/>
          <w:szCs w:val="18"/>
          <w:color w:val="auto"/>
        </w:rPr>
        <w:t>). Shortly after the Merger, Excaliber’s name was changed to “VistaGen Therapeutics, Inc.” (a Nevada corporation).</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have been reflected as outstanding for all periods presented in the Consolidated Financial Statements of the Company included in Item 8 of this Annual Report on Form 10-K. Additionally, the Consolidated Balance Sheets reflect the $0.001 par value of Excaliber’s common stock.</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included in Item 8 of this Annual Report on Form 10-K represent the activity of VistaGen California from May 26, 1998, and the consolidated activity of VistaGen California and Excaliber (now VistaGen Therapeutics, Inc., a Nevada corporation), from May 11, 2011 (the date of the Merger). The Consolidated Financial Statements also include the accounts of VistaGen California’s two inactive wholly-owned subsidiaries, Artemis Neuroscience, Inc., a Maryland corporation (</w:t>
      </w:r>
      <w:r>
        <w:rPr>
          <w:rFonts w:ascii="Arial" w:cs="Arial" w:eastAsia="Arial" w:hAnsi="Arial"/>
          <w:sz w:val="18"/>
          <w:szCs w:val="18"/>
          <w:i w:val="1"/>
          <w:iCs w:val="1"/>
          <w:color w:val="auto"/>
        </w:rPr>
        <w:t>Artemis</w:t>
      </w:r>
      <w:r>
        <w:rPr>
          <w:rFonts w:ascii="Arial" w:cs="Arial" w:eastAsia="Arial" w:hAnsi="Arial"/>
          <w:sz w:val="18"/>
          <w:szCs w:val="18"/>
          <w:color w:val="auto"/>
        </w:rPr>
        <w:t>), and VistaStem Canada, Inc., a corporation organized under the laws of Ontario, Canada (</w:t>
      </w:r>
      <w:r>
        <w:rPr>
          <w:rFonts w:ascii="Arial" w:cs="Arial" w:eastAsia="Arial" w:hAnsi="Arial"/>
          <w:sz w:val="18"/>
          <w:szCs w:val="18"/>
          <w:i w:val="1"/>
          <w:iCs w:val="1"/>
          <w:color w:val="auto"/>
        </w:rPr>
        <w:t>VistaStem Canada</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8"/>
          <w:szCs w:val="18"/>
          <w:i w:val="1"/>
          <w:iCs w:val="1"/>
          <w:color w:val="auto"/>
        </w:rPr>
        <w:t>GAAP</w:t>
      </w:r>
      <w:r>
        <w:rPr>
          <w:rFonts w:ascii="Arial" w:cs="Arial" w:eastAsia="Arial" w:hAnsi="Arial"/>
          <w:sz w:val="18"/>
          <w:szCs w:val="18"/>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8"/>
          <w:szCs w:val="18"/>
          <w:i w:val="1"/>
          <w:iCs w:val="1"/>
          <w:color w:val="auto"/>
        </w:rPr>
        <w:t>Revenue Recognition Revised and Updated</w:t>
      </w:r>
      <w:r>
        <w:rPr>
          <w:rFonts w:ascii="Arial" w:cs="Arial" w:eastAsia="Arial" w:hAnsi="Arial"/>
          <w:sz w:val="18"/>
          <w:szCs w:val="18"/>
          <w:color w:val="auto"/>
        </w:rPr>
        <w:t xml:space="preserve"> (</w:t>
      </w:r>
      <w:r>
        <w:rPr>
          <w:rFonts w:ascii="Arial" w:cs="Arial" w:eastAsia="Arial" w:hAnsi="Arial"/>
          <w:sz w:val="18"/>
          <w:szCs w:val="18"/>
          <w:i w:val="1"/>
          <w:iCs w:val="1"/>
          <w:color w:val="auto"/>
        </w:rPr>
        <w:t>SAB 104</w:t>
      </w:r>
      <w:r>
        <w:rPr>
          <w:rFonts w:ascii="Arial" w:cs="Arial" w:eastAsia="Arial" w:hAnsi="Arial"/>
          <w:sz w:val="18"/>
          <w:szCs w:val="18"/>
          <w:color w:val="auto"/>
        </w:rPr>
        <w:t>) and Accounting Standards Codification (</w:t>
      </w:r>
      <w:r>
        <w:rPr>
          <w:rFonts w:ascii="Arial" w:cs="Arial" w:eastAsia="Arial" w:hAnsi="Arial"/>
          <w:sz w:val="18"/>
          <w:szCs w:val="18"/>
          <w:i w:val="1"/>
          <w:iCs w:val="1"/>
          <w:color w:val="auto"/>
        </w:rPr>
        <w:t>ASC</w:t>
      </w:r>
      <w:r>
        <w:rPr>
          <w:rFonts w:ascii="Arial" w:cs="Arial" w:eastAsia="Arial" w:hAnsi="Arial"/>
          <w:sz w:val="18"/>
          <w:szCs w:val="18"/>
          <w:color w:val="auto"/>
        </w:rPr>
        <w:t xml:space="preserve">) 605-25, </w:t>
      </w:r>
      <w:r>
        <w:rPr>
          <w:rFonts w:ascii="Arial" w:cs="Arial" w:eastAsia="Arial" w:hAnsi="Arial"/>
          <w:sz w:val="18"/>
          <w:szCs w:val="18"/>
          <w:i w:val="1"/>
          <w:iCs w:val="1"/>
          <w:color w:val="auto"/>
        </w:rPr>
        <w:t>Revenue Arrangements-Multiple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Element Arrangements </w:t>
      </w:r>
      <w:r>
        <w:rPr>
          <w:rFonts w:ascii="Arial" w:cs="Arial" w:eastAsia="Arial" w:hAnsi="Arial"/>
          <w:sz w:val="18"/>
          <w:szCs w:val="18"/>
          <w:color w:val="auto"/>
        </w:rPr>
        <w:t>(</w:t>
      </w:r>
      <w:r>
        <w:rPr>
          <w:rFonts w:ascii="Arial" w:cs="Arial" w:eastAsia="Arial" w:hAnsi="Arial"/>
          <w:sz w:val="18"/>
          <w:szCs w:val="18"/>
          <w:i w:val="1"/>
          <w:iCs w:val="1"/>
          <w:color w:val="auto"/>
        </w:rPr>
        <w:t>ASC 605-25</w:t>
      </w:r>
      <w:r>
        <w:rPr>
          <w:rFonts w:ascii="Arial" w:cs="Arial" w:eastAsia="Arial" w:hAnsi="Arial"/>
          <w:sz w:val="18"/>
          <w:szCs w:val="18"/>
          <w:color w:val="auto"/>
        </w:rPr>
        <w:t>). Revenue for arrangements not having multiple deliverables, as outlined in ASC 605-25, is recognized once costs are</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and collectability is reasonably assured.</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6"/>
          <w:szCs w:val="16"/>
          <w:i w:val="1"/>
          <w:iCs w:val="1"/>
          <w:color w:val="auto"/>
        </w:rPr>
        <w:t>VSOE</w:t>
      </w:r>
      <w:r>
        <w:rPr>
          <w:rFonts w:ascii="Arial" w:cs="Arial" w:eastAsia="Arial" w:hAnsi="Arial"/>
          <w:sz w:val="16"/>
          <w:szCs w:val="16"/>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208" w:lineRule="exact"/>
        <w:rPr>
          <w:sz w:val="20"/>
          <w:szCs w:val="20"/>
          <w:color w:val="auto"/>
        </w:rPr>
      </w:pPr>
    </w:p>
    <w:p>
      <w:pPr>
        <w:jc w:val="both"/>
        <w:ind w:left="580" w:hanging="383"/>
        <w:spacing w:after="0" w:line="288"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left="580" w:hanging="383"/>
        <w:spacing w:after="0" w:line="279" w:lineRule="auto"/>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98" w:lineRule="exact"/>
        <w:rPr>
          <w:rFonts w:ascii="Arial" w:cs="Arial" w:eastAsia="Arial" w:hAnsi="Arial"/>
          <w:sz w:val="17"/>
          <w:szCs w:val="17"/>
          <w:color w:val="auto"/>
        </w:rPr>
      </w:pPr>
    </w:p>
    <w:p>
      <w:pPr>
        <w:ind w:left="580" w:right="20" w:hanging="383"/>
        <w:spacing w:after="0" w:line="277"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ASC 360-10</w:t>
      </w:r>
      <w:r>
        <w:rPr>
          <w:rFonts w:ascii="Arial" w:cs="Arial" w:eastAsia="Arial" w:hAnsi="Arial"/>
          <w:sz w:val="18"/>
          <w:szCs w:val="18"/>
          <w:i w:val="1"/>
          <w:iCs w:val="1"/>
          <w:color w:val="auto"/>
        </w:rPr>
        <w:t>, Property, Plant &amp; Equipment—Overall</w:t>
      </w:r>
      <w:r>
        <w:rPr>
          <w:rFonts w:ascii="Arial" w:cs="Arial" w:eastAsia="Arial" w:hAnsi="Arial"/>
          <w:sz w:val="18"/>
          <w:szCs w:val="18"/>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in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and its historically limited trading volume, is based on the historical daily trading data of the common stock of a peer group of public companies over the expected term of the option.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Between October 2013 and July 2014, we issued to Platinum Long Term Growth VII, LLC (</w:t>
      </w:r>
      <w:r>
        <w:rPr>
          <w:rFonts w:ascii="Arial" w:cs="Arial" w:eastAsia="Arial" w:hAnsi="Arial"/>
          <w:sz w:val="17"/>
          <w:szCs w:val="17"/>
          <w:i w:val="1"/>
          <w:iCs w:val="1"/>
          <w:color w:val="auto"/>
        </w:rPr>
        <w:t>PLTG</w:t>
      </w:r>
      <w:r>
        <w:rPr>
          <w:rFonts w:ascii="Arial" w:cs="Arial" w:eastAsia="Arial" w:hAnsi="Arial"/>
          <w:sz w:val="17"/>
          <w:szCs w:val="17"/>
          <w:color w:val="auto"/>
        </w:rPr>
        <w:t>) warrants to purchase a substantial number of unregistered shares of our common stock and, subject to PLTG’s exercise of its rights to exchange shares of our Series A Preferred Stock that it holds, we were obligated to issue to PLTG an additional warrant to purchase unregistered shares of common stock (</w:t>
      </w:r>
      <w:r>
        <w:rPr>
          <w:rFonts w:ascii="Arial" w:cs="Arial" w:eastAsia="Arial" w:hAnsi="Arial"/>
          <w:sz w:val="17"/>
          <w:szCs w:val="17"/>
          <w:i w:val="1"/>
          <w:iCs w:val="1"/>
          <w:color w:val="auto"/>
        </w:rPr>
        <w:t>Series A Exchange Warrant</w:t>
      </w:r>
      <w:r>
        <w:rPr>
          <w:rFonts w:ascii="Arial" w:cs="Arial" w:eastAsia="Arial" w:hAnsi="Arial"/>
          <w:sz w:val="17"/>
          <w:szCs w:val="17"/>
          <w:color w:val="auto"/>
        </w:rPr>
        <w:t xml:space="preserve">) (collectively, the </w:t>
      </w:r>
      <w:r>
        <w:rPr>
          <w:rFonts w:ascii="Arial" w:cs="Arial" w:eastAsia="Arial" w:hAnsi="Arial"/>
          <w:sz w:val="17"/>
          <w:szCs w:val="17"/>
          <w:i w:val="1"/>
          <w:iCs w:val="1"/>
          <w:color w:val="auto"/>
        </w:rPr>
        <w:t>PLTG Warrants</w:t>
      </w:r>
      <w:r>
        <w:rPr>
          <w:rFonts w:ascii="Arial" w:cs="Arial" w:eastAsia="Arial" w:hAnsi="Arial"/>
          <w:sz w:val="17"/>
          <w:szCs w:val="17"/>
          <w:color w:val="auto"/>
        </w:rPr>
        <w:t>). The PLTG Warrants contained an exercise price adjustment feature that would reduce the exercise price of the warrants in the event we subsequently issued equity instruments at a price lower than the exercise price of the PLTG Warrants. We accounted for the PLTG Warrants as non-cash liabilities and estimated their fair value at the end of each financial reporting period and recorded the change in the fair value as non-cash expense or non-cash income. The key component in determining the fair value of the PLTG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and would have continued to be so until all of the PLTG Warrants were issued and exercised, amended or expired. Assuming all other fair value inputs remained generally constant, we recorded an increase in the warrant liability and non-cash losses when our stock price increased and a decrease in the warrant liability and non-cash income when our stock price decreased.</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Notwithstanding the foregoing, and as described in Note 9, </w:t>
      </w:r>
      <w:r>
        <w:rPr>
          <w:rFonts w:ascii="Arial" w:cs="Arial" w:eastAsia="Arial" w:hAnsi="Arial"/>
          <w:sz w:val="17"/>
          <w:szCs w:val="17"/>
          <w:i w:val="1"/>
          <w:iCs w:val="1"/>
          <w:color w:val="auto"/>
        </w:rPr>
        <w:t>Capital Stock</w:t>
      </w:r>
      <w:r>
        <w:rPr>
          <w:rFonts w:ascii="Arial" w:cs="Arial" w:eastAsia="Arial" w:hAnsi="Arial"/>
          <w:sz w:val="17"/>
          <w:szCs w:val="17"/>
          <w:color w:val="auto"/>
        </w:rPr>
        <w:t xml:space="preserve">, to the Consolidated Financial Statements included in this Annual Report, on May 12, 2015, we entered into an agreement with PLTG pursuant to which PLTG agreed to amend the PLTG Warrants to (A) fix the exercise price thereof at $7.00 per share, (B) eliminate the exercise price reset features and (C) fix the number of shares of our common stock issuable thereunder. This agreement and the related amendments to the PLTG Warrants resulted in the elimination of the warrant liability with respect to the PLTG Warrants during the quarter ending June 30, 2015. As further described in Note 9, </w:t>
      </w:r>
      <w:r>
        <w:rPr>
          <w:rFonts w:ascii="Arial" w:cs="Arial" w:eastAsia="Arial" w:hAnsi="Arial"/>
          <w:sz w:val="17"/>
          <w:szCs w:val="17"/>
          <w:i w:val="1"/>
          <w:iCs w:val="1"/>
          <w:color w:val="auto"/>
        </w:rPr>
        <w:t>Capital Stock</w:t>
      </w:r>
      <w:r>
        <w:rPr>
          <w:rFonts w:ascii="Arial" w:cs="Arial" w:eastAsia="Arial" w:hAnsi="Arial"/>
          <w:sz w:val="17"/>
          <w:szCs w:val="17"/>
          <w:color w:val="auto"/>
        </w:rPr>
        <w:t>, the PLTG Warrants, including the right to receive the Series A Exchange Warrant, were cancelled in exchange for our issuance of shares of our Series C Preferred stock to PLTG in January 2016.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3 to the Consolidated Financial Statements included in Item 8 in this Annual Report on Form 10-K for information on recent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March 31, 2016 and 2015</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our financial resources have been limited, we have continued to advance development of AV-101 for MDD and other possible CNS indications, and explore NCE drug rescue and regenerative medicine opportunities related to our stem cell technology platform. Pursuant to our February 2015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NIH, the NIH is funding and conducting our Phase 2 clinical study of AV-101 101 in subjects with treatment-resistant MDD.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Throughout fiscal 2015 and 2016, through self-placed private placement transactions and other corporate finance initiatives, our executive management has been focused on raising sufficient operating capital to continue to advance development of AV-101, as well as other research and development objectives, while meeting our continuing operational needs. Our most significant accomplishments during fiscal 2015 and 2016 have included the following: (i) entering into CRADA with the NIMH; (ii) launching, under the CRADA, our NIH-funded Phase 2A clinical study of AV-101 in subjects with treatment-resistant MDD, with Dr. Carlos Zarate, Jr., Chief of the Section on the Neurobiology and Treatment of Mood Disorders and Chief of the Experimental Therapeutics and Pathophysiology Branch at the NIMH, as Principal Investigator; (iii) bolstering our Clinical and Scientific Advisory Board with the additions of Maurizio Fava, M.D., Professor of Psychiatry at Harvard Medical School and Director of the Division of Clinical Research of the Massachusetts General Hospital Research Institute; Gerard Sanacora, M.D., Ph.D., Associate Professor at Yale School of Medicine and Director of the Yale Depression Research Program; Thomas Laughren, M.D., former Division Director for the FDA’s Division of Psychiatry Products, Center for Drug Evaluation and Research; and Sanjay Matthew, M.D., Associate Professor of Psychiatry and Behavioral Sciences at Baylor College of Medicine; (iv) publishing AV-101 preclinical data in the October 2015 issue of the peer-reviewed, </w:t>
      </w:r>
      <w:r>
        <w:rPr>
          <w:rFonts w:ascii="Arial" w:cs="Arial" w:eastAsia="Arial" w:hAnsi="Arial"/>
          <w:sz w:val="17"/>
          <w:szCs w:val="17"/>
          <w:i w:val="1"/>
          <w:iCs w:val="1"/>
          <w:color w:val="auto"/>
        </w:rPr>
        <w:t>Journal of Pharmacology and Experimental Therapeutics</w:t>
      </w:r>
      <w:r>
        <w:rPr>
          <w:rFonts w:ascii="Arial" w:cs="Arial" w:eastAsia="Arial" w:hAnsi="Arial"/>
          <w:sz w:val="17"/>
          <w:szCs w:val="17"/>
          <w:color w:val="auto"/>
        </w:rPr>
        <w:t>, in an article entitled “The prodrug 4-chlorokynurenine causes ketamine-like antidepressant effects, but not side effects, by NMDA/glycineB-site inhibition;” (v) successfully negotiating, extinguishing and converting (in self-placed private placement transactions) approximately $17.2 million (substantially all) of our outstanding indebtedness into our equity securities; and (vi) completing self-placed private placement financing transactions with accredited investors to provide additional operating capital through the sale of our equity securities.</w:t>
      </w:r>
    </w:p>
    <w:p>
      <w:pPr>
        <w:spacing w:after="0" w:line="2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meet our working capital needs, in April and May 2015, we completed self-placed private placement transactions involving securities purchase agreements with accredited investors, pursuant to which we sold to such accredited investors 2014 Private Placement Units, for aggregate cash proceeds of $280,000, consisting of (i) 10% convertible notes in the aggregate face amount of $280,000 due between April 30, 2015 and May 15, 2015; (ii) an aggregate of 33,000 restricted shares of our common stock; and (iii) warrants exercisable through December 31, 2016 to purchase an aggregate of 24,250 restricted shares of our common stock at an exercise price of $10.00 per share. Between May 2015 and March 31, 2016, we entered into self-placed private placement transactions involving securities purchase agreements with accredited investors, pursuant to which we sold Series B Preferred Units, for aggregate cash proceeds of approximately $5.0 million, consisting of an aggregate of (i) 717,978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and (ii) five-year warrants to purchase an aggregate of 717,978 shares of our common stock. In May 2016, we completed an underwritten registered public offering of our common stock and warrants pursuant to which we received net proceeds after commissions and expenses of approximately $8.7 million.</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matter of course, we seek to minimize cash commitments and expenditures for both internal and external research and development and general and administrative services to the greatest extent possible. The conversion of such a substantial portion of our outstanding indebtedness during fiscal 2016 materially reduced our cash requirements for debt service.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fiscal years ended March 31, 2016 and 2015 (amounts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13,919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in warrant liabilities</w:t>
            </w: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expense</w:t>
            </w:r>
          </w:p>
        </w:tc>
        <w:tc>
          <w:tcPr>
            <w:tcW w:w="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(47,219)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(47,221)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20"/>
              <w:spacing w:after="0"/>
              <w:rPr>
                <w:sz w:val="20"/>
                <w:szCs w:val="20"/>
                <w:color w:val="auto"/>
              </w:rPr>
            </w:pPr>
            <w:r>
              <w:rPr>
                <w:rFonts w:ascii="Arial" w:cs="Arial" w:eastAsia="Arial" w:hAnsi="Arial"/>
                <w:sz w:val="18"/>
                <w:szCs w:val="18"/>
                <w:color w:val="auto"/>
              </w:rPr>
              <w:t>Accrued dividend on Series B Preferred Stock</w:t>
            </w: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(2,140)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Deemed dividend on Series B Preferred Stock</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(51,419)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reported no revenue for the years ended March 31, 2016 or 2015 and we presently have no revenue generating arrangements. However, as indicated previously, we entered into a CRADA with the NIH providing for a Phase 2a clinical study of AV-101 in treatment-resistant MDD. This Phase 2a study, which began in late-2015, is being funded by the NIH and being conducted at the NIMH.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 increased by 62% in fiscal 2016 compared to fiscal 2015. The following table compares the primary components of research and development expense between the periods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AV-101</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Stem cell and all other</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Depreciation</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All other</w:t>
            </w:r>
          </w:p>
        </w:tc>
        <w:tc>
          <w:tcPr>
            <w:tcW w:w="4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500" w:type="dxa"/>
            <w:vAlign w:val="bottom"/>
            <w:vMerge w:val="restart"/>
          </w:tcPr>
          <w:p>
            <w:pPr>
              <w:jc w:val="right"/>
              <w:ind w:right="2870"/>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salaries and benefits is primarily the result of the departure of one member of our scientific staff at the end of September 2014 and another at the end of December 2015.</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increase in stock based compensation expense for 2016 primarily reflects the $852,200 fair value, determined using the Black-Scholes Option Pricing Model and the assumptions indicated in Note 9, </w:t>
      </w:r>
      <w:r>
        <w:rPr>
          <w:rFonts w:ascii="Arial" w:cs="Arial" w:eastAsia="Arial" w:hAnsi="Arial"/>
          <w:sz w:val="17"/>
          <w:szCs w:val="17"/>
          <w:i w:val="1"/>
          <w:iCs w:val="1"/>
          <w:color w:val="auto"/>
        </w:rPr>
        <w:t>Capital Stock</w:t>
      </w:r>
      <w:r>
        <w:rPr>
          <w:rFonts w:ascii="Arial" w:cs="Arial" w:eastAsia="Arial" w:hAnsi="Arial"/>
          <w:sz w:val="17"/>
          <w:szCs w:val="17"/>
          <w:color w:val="auto"/>
        </w:rPr>
        <w:t>, to the accompanying Consolidated Financial Statements for year ended March 31, 2016 of the September 2015 grant of immediately vested and expensed warrants to purchase 150,000 shares of our common stock granted to our CSO offset by reductions in expense related to the ratable amortization of option grants made to scientific staff and consultants, most recently in September 2015, March 2014 and October 2013, and the amortization of a warrant grant made to our CSO in March 2014. Our stock options are generally amortized over a two-year or four-year vesting period, and the warrant granted to the CSO in March 2014 has been amortized over a two-year vesting period. Essentially all of the option grants made prior to October 2013 and the warrant grants made to our CSO in March 2013 and March 2014 became fully-vested and fully-expensed during the fiscal year ended March 31, 2016 or earlier.</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Consulting and other professional services reflects fees paid or accrued for scientific services rendered to us by third parties, primarily by members of our scientific and clinical advisory board.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Technology license and royalty expense reflects both recurring annual fees as well as costs for patent prosecution and protection that we are required to fund under the terms of certain of our stem cell technology license agreements, as well as those we elected to make for commercial purposes. We recognize these costs as they are invoiced to us by the licensors and they do not occur ratably throughout the year or between years. Additionally, in fiscal 2016, this expense includes significant costs we have incurred to advance, in the U.S. and numerous foreign counties, multiple pending patent applications with respect to AV-101 and our stem cell technology platform.</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AV-101 expenses in both periods presented reflect the costs associated with monitoring for and responding to potential feedback related to the AV-101 Phase 1 clinical trial and preparing other reports required under the terms of our prior NIH grant, primarily through our contract research collaborator, Cato Research Ltd. We incurred additional expenses in fiscal 2016 to explore and develop more efficient and cost-effective production methods for AV-101 as well as for updating documentation to facilitate the Phase 2 clinical trial of AV-101 in treatment resistant MDD that is being funded and conducted by the NIH. Stem cell and other project related expenses in both periods were nominal.</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Warrant modification expense reflects an increase in the fair value attributable to the November 2015 modification of outstanding warrants to purchase an aggregate of 315,000 shares of our common stock previously granted to our CSO and a key scientific advisor to reduce the exercise prices thereof from a range of $9.25 to $12.80 per share to $7.00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increased significantly in fiscal 2016 compared to fiscal 2015, primarily due to increased noncash stock compensation and warrant modification expenses. The following table compares the primary components of general and administrative expense between the periods (amounts in thousands):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8640" w:type="dxa"/>
            <w:vAlign w:val="bottom"/>
            <w:gridSpan w:val="3"/>
          </w:tcPr>
          <w:p>
            <w:pPr>
              <w:spacing w:after="0"/>
              <w:rPr>
                <w:rFonts w:ascii="Arial" w:cs="Arial" w:eastAsia="Arial" w:hAnsi="Arial"/>
                <w:sz w:val="16"/>
                <w:szCs w:val="16"/>
                <w:i w:val="1"/>
                <w:iCs w:val="1"/>
                <w:color w:val="0000EE"/>
              </w:rPr>
            </w:pPr>
            <w:hyperlink w:anchor="page3">
              <w:r>
                <w:rPr>
                  <w:rFonts w:ascii="Arial" w:cs="Arial" w:eastAsia="Arial" w:hAnsi="Arial"/>
                  <w:sz w:val="16"/>
                  <w:szCs w:val="16"/>
                  <w:i w:val="1"/>
                  <w:iCs w:val="1"/>
                  <w:color w:val="0000EE"/>
                </w:rPr>
                <w:t>Table of Contents</w:t>
              </w:r>
            </w:hyperlink>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7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Legal, accounting and other professional fees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Rent and utilities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All other expenses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Total General and Administrative Expense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13,919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1"/>
        </w:trPr>
        <w:tc>
          <w:tcPr>
            <w:tcW w:w="8640" w:type="dxa"/>
            <w:vAlign w:val="bottom"/>
            <w:gridSpan w:val="3"/>
            <w:vMerge w:val="restart"/>
          </w:tcPr>
          <w:p>
            <w:pPr>
              <w:spacing w:after="0"/>
              <w:rPr>
                <w:sz w:val="20"/>
                <w:szCs w:val="20"/>
                <w:color w:val="auto"/>
              </w:rPr>
            </w:pPr>
            <w:r>
              <w:rPr>
                <w:rFonts w:ascii="Arial" w:cs="Arial" w:eastAsia="Arial" w:hAnsi="Arial"/>
                <w:sz w:val="18"/>
                <w:szCs w:val="18"/>
                <w:color w:val="auto"/>
                <w:w w:val="91"/>
              </w:rPr>
              <w:t>Administrative employee headcount and pay rates have remained essentially consistent between the periods reported.</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increase in stock based compensation expense for 2016 primarily reflects the $2,840,700 fair value, determined using the Black-Scholes Option Pricing Model and the assumptions indicated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Consolidated Financial Statements for the year ended March 31, 2016 of the September 2015 grant of immediately vested and expensed warrants to purchase an aggregate of 500,000 shares of our common stock granted to our officers, independent members of our Board of Directors and certain administrative consultants, offset by reductions in the ratable amortization of option grants made to administrative staff and consultants, most recently in September 2015, March 2014 and October 2013, and the amortization of warrant grants made to certain officers and independent members of our Board of Directors in March 2014. Our stock options are generally amortized over a two-year or four-year vesting period, and warrants granted to officers and directors in March 2014 were amortized over a two-year vesting period. Essentially all of the option grants made prior to October 2013 and the warrant grants made to our officers and independent members of our Board of Directors in March 2013 and March 2014 became fully-vested and fully-expensed during the fiscal year ended March 31, 2016 or earlier.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Consulting services primarily includes fees accrued for the services of independent members of our Board of Directors.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increase in legal, accounting and other professional service fees results primarily from (i) the $1,012,500 noncash expense recognized pursuant to the June 30, 2015 grant of an aggregate of 90,000 shares of our Series B Preferred having an aggregate fair value of $1,350,000 as compensation for financial advisory and corporate development service contracts with two independent contractors for services to be performed through June 30, 2016; (ii) the grant of an aggregate of 50,000 shares of our common stock having an aggregate fair value of $500,000 pursuant to two corporate development contracts initiated during the quarter ended June 30, 2015; (iii) the grant of 25,000 shares of our Series B Preferred having a fair value of $250,000 to legal counsel as compensation for services in connection with our debt restructuring and other corporate finance matters, and (iv) $138,000 of noncash expense attributable to the fair value of 15,750 shares of our unregistered common stock and a five-year warrant to purchase 7,500 unregistered shares of our common stock granted in connection with investment banking services. As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Consolidated Financial Statements for the year ended March 31, 2016, the $1,350,000 fair value of the 90,000 shares of Series B Preferred was recorded as a prepaid expense at the date of the grant and is being expensed ratably over the twelve months ending June 30, 2016. Legal expense for 2016 also includes one-time cash fees for services associated with the conversion of our promissory notes and other debt into our Series B Preferred. Professional services expense in 2016 reflects a $100,000 reduction in expense related to a contract for strategic advisory and business development services compared to 2015. In both years, accounting service fees include the expense related to the annual audit of the prior year financial statements and current fiscal year quarterly financial statement review services.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investor relations expense is primarily attributable to the March 2016 grant of 7,250 shares of our common stock having a fair value of $58,000 for website maintenance and other services and resulting in an equivalent amount of noncash expense.</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both fiscal 2016 and 2015, travel expense reflects costs associated with meetings with accredited investors in connection with the self-placed private placements of our securities, and in 2016, with various creditors in connection with extinguishment of a substantial portion of our indebtedness.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Noncash warrant modification expense in 2016 includes (i) $122,000 representing the increase in the fair value attributable to the June 2015 strategic modification of outstanding warrants to purchase an aggregate of 54,576 shares of our common stock to reduce the exercise prices thereof, generally from $30.00 per share to $10.00 per share; (ii) $358,000 representing increase in the fair value attributable to the November 2015 modification of outstanding warrants to purchase an aggregate of 808,553 shares of our common stock previously granted to our CEO, CFO, and independent members of our Board of Directors to reduce the exercise prices thereof from a range of $9.25 to $12.80 per share to $7.00 per share; and (iii) $5,603,200 representing the aggregate increase in the fair value of certain warrant exchange transactions conducted during the fourth quarter of fiscal 2016. In January 2016, we entered into an Exchange Agreement with PLTG pursuant to which PLTG exchanged warrants, including all outstanding PLTG Warrants and the shares issuable pursuant to the Series A Preferred Exchange Warrant, to purchase an aggregate of 2,824,016 shares of our common stock for 2,118,012 unregistered shares of our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 at the ratio of 0.75 share of Series C Preferred for each warrant share cancelled. We accounted for this transaction as a warrant modification and recognized related noncash expense of $3,195,000. In February and March 2016, we entered into similar agreements with certain other warrant holders pursuant to which such warrant holders exchanged outstanding warrants to purchase an aggregate of 1,086,611 shares of our common stock for an aggregate of 814,989 shares of our unregistered common stock. We also accounted for this transaction as a warrant modification, resulting in our recognition of an additional $2,362,000 in noncash expense. In February 2016, we also extended the term of certain outstanding warrants to purchase an aggregate of 91,230 shares of our common stock and recognized $46,000 of noncash expense as a result of such modifications.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Interest expense, net totaled $770,800 for the year ended March 31, 2016 compared to $4,548,700 reported for the year ended March 31, 2015, reflecting the impact of the extinguishment of substantially all of our promissory notes and related discounts upon conversion into our Series B Preferred between May 2015 and August 2015. The following table summarizes the primary components of interest expense for each of the periods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Amortization of discount on promissory notes</w:t>
            </w: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1"/>
              </w:rPr>
              <w:t>Other interest expense, including on capital leases and premium financing</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income</w:t>
            </w: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expense, net</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360" w:type="dxa"/>
            <w:vAlign w:val="bottom"/>
            <w:vMerge w:val="restart"/>
          </w:tcPr>
          <w:p>
            <w:pPr>
              <w:jc w:val="right"/>
              <w:ind w:right="2870"/>
              <w:spacing w:after="0"/>
              <w:rPr>
                <w:sz w:val="20"/>
                <w:szCs w:val="20"/>
                <w:color w:val="auto"/>
              </w:rPr>
            </w:pPr>
            <w:r>
              <w:rPr>
                <w:rFonts w:ascii="Arial" w:cs="Arial" w:eastAsia="Arial" w:hAnsi="Arial"/>
                <w:sz w:val="18"/>
                <w:szCs w:val="18"/>
                <w:color w:val="auto"/>
              </w:rPr>
              <w:t>-78-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substantial overall decrease in interest expense on promissory notes and the related amortization of discounts on such notes between the periods primarily reflects the cessation of interest accrual and discount amortization upon the conversion of all outstanding Senior Secured Convertible Promissory Notes, 10% convertible promissory notes (</w:t>
      </w:r>
      <w:r>
        <w:rPr>
          <w:rFonts w:ascii="Arial" w:cs="Arial" w:eastAsia="Arial" w:hAnsi="Arial"/>
          <w:sz w:val="18"/>
          <w:szCs w:val="18"/>
          <w:i w:val="1"/>
          <w:iCs w:val="1"/>
          <w:color w:val="auto"/>
        </w:rPr>
        <w:t>2014 Unit Notes</w:t>
      </w:r>
      <w:r>
        <w:rPr>
          <w:rFonts w:ascii="Arial" w:cs="Arial" w:eastAsia="Arial" w:hAnsi="Arial"/>
          <w:sz w:val="18"/>
          <w:szCs w:val="18"/>
          <w:color w:val="auto"/>
        </w:rPr>
        <w:t>) and other outstanding promissory notes aggregating approximately $13.3 million into shares of our Series B Preferred between May 2015 and August 2015, offset by accrued interest and discount amortization recorded for the issuances between July 2014 and May 2015 of an aggregate of approximately $1.8 million of 2014 Unit Notes.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Under the terms of our October 2012 Note Exchange and Purchase Agreement with PLTG, we issued certain Senior Secured Convertible Promissory Notes and a related Exchange Warrant and Investment Warrants between October 2012 and July 2013. Further, upon PLTG’s exchange of the shares of our Series A Preferred Stock held by PLTG into shares of our common stock, we would also be required to issue a Series A Exchange Warrant to PLTG (all of the warrants, collectively, the </w:t>
      </w:r>
      <w:r>
        <w:rPr>
          <w:rFonts w:ascii="Arial" w:cs="Arial" w:eastAsia="Arial" w:hAnsi="Arial"/>
          <w:sz w:val="16"/>
          <w:szCs w:val="16"/>
          <w:i w:val="1"/>
          <w:iCs w:val="1"/>
          <w:color w:val="auto"/>
        </w:rPr>
        <w:t>PLTG Warrants</w:t>
      </w:r>
      <w:r>
        <w:rPr>
          <w:rFonts w:ascii="Arial" w:cs="Arial" w:eastAsia="Arial" w:hAnsi="Arial"/>
          <w:sz w:val="16"/>
          <w:szCs w:val="16"/>
          <w:color w:val="auto"/>
        </w:rPr>
        <w:t xml:space="preserve">). We determined that the PLTG Warrants included certain exercise price adjustment features requiring us to treat the warrants as liabilities. Accordingly, we recorded a noncash warrant liability at its estimated fair value as of the date of warrant issuance or contract execution. As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and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to the Consolidated Financial Statements for the year ended March 31, 2016, on May 12, 2015, we entered into an agreement with PLTG pursuant to which we amended the various warrants to fix the exercise price thereof and eliminate the anti-dilution reset features that had previously required the warrants to be treated as liabilities and carried at fair value. Accordingly, during the quarter ended June 30, 2015, we adjusted these warrants to their fair value, estimated to be $4,903,200, reflecting an increase of $1,894,700 since March 31, 2015, resulting primarily from the increase in the market price of our common stock in relation to the exercise price of the warrants, and then subsequently eliminated the entire warrant liability with respect to these warrants. As indicated previously, during the fourth quarter of fiscal 2016, we entered into an agreement with PLTG whereby PLTG exchanged the PLTG Warrants to purchase an aggregate of 2,824,016 shares of our common stock for 2,118,012 unregistered shares of our Series C Convertible Preferred Stock. During the year ended March 31, 2015, we recognized noncash expense of $34,600 related to the net increase in the estimated fair value of the warrant liabilities since March 31, 2014.</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As described more completely in Note 8,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xml:space="preserve">, and Note 9, </w:t>
      </w:r>
      <w:r>
        <w:rPr>
          <w:rFonts w:ascii="Arial" w:cs="Arial" w:eastAsia="Arial" w:hAnsi="Arial"/>
          <w:sz w:val="17"/>
          <w:szCs w:val="17"/>
          <w:i w:val="1"/>
          <w:iCs w:val="1"/>
          <w:color w:val="auto"/>
        </w:rPr>
        <w:t>Capital Stock</w:t>
      </w:r>
      <w:r>
        <w:rPr>
          <w:rFonts w:ascii="Arial" w:cs="Arial" w:eastAsia="Arial" w:hAnsi="Arial"/>
          <w:sz w:val="17"/>
          <w:szCs w:val="17"/>
          <w:color w:val="auto"/>
        </w:rPr>
        <w:t>, to the accompanying Consolidated Financial Statements for the year ended March 31, 2016, between May 2015 and August 2015, we extinguished the outstanding balances of approximately $17.2 million of promissory notes, including our Senior Secured Notes, our 2014 Unit Notes and other debt and certain adjustments thereto that were either already due and payable or would have otherwise matured prior to March 31, 2016 by converting such balances into shares of our Series B Preferred. We treated the conversion of the indebtedness into Series B Preferred as extinguishments of debt for accounting purposes. Since the fair value of the Series B Preferred we negotiated in settlement of the promissory notes and other indebtedness exceeded the carrying value of the debts, we incurred noncash losses on each of the extinguishments. Additionally, under the terms of the PLTG Agreement, we issued to PLTG 400,000 shares of Series B Preferred having an aggregate fair value of $4.0 million and Series B Warrants to purchase 1.2 million shares of our common stock having an aggregate of fair value of $8,270,900. We recognized this aggregate fair value as an additional noncash component of loss on extinguishment of debt. Many of the 2014 Unit Notes that were converted into Series B Preferred contained a beneficial conversion feature at the time they were originally issued. We have accounted for the repurchase of the beneficial conversion feature at the time the 2014 Unit Notes were extinguished and converted, an aggregate of $2,237,100, as a reduction to the loss on extinguishment of debt. We recorded a nonrecurring aggregate net noncash loss of $26.7 million attributable to the extinguishment of the indebtedness converted into Series B Preferred.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quarter ended June 30, 2014, we entered into agreements with substantially all holders of our 2013 Unit Notes and 2013 Unit Warrants to amend certain terms of the notes and the warrants to essentially conform them to the 2014 Unit Notes and 2014 Unit Warrants. We treated the amendments as an extinguishment of debt for accounting purposes and recognized noncash losses on the extinguishment of debt in the aggregate amount of $526,200 attributable to the amendments. We also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during the quarter ended June 30, 2014. In July 2014, we entered into an agreement with PLTG, as further amended in September 2014, pursuant to which PLTG agreed to convert into our unregistered equity securities all then outstanding Senior Secured Notes and related accrued interest held by PLTG upon our consummation prior to October 31, 2014 of either (i) a Private Financing or a Public Offering, each as defined in the agreement. Prior to the agreement, the Senior Secured Notes were convertible, at PLTG’s option, at any time prior to maturity at a conversion price of $10.00 per share. The modification of the conversion feature in the Senior Secured Notes was treated as an extinguishment of the debt for accounting purposes and we recognized a non-cash loss on the extinguishment of debt in the aggregate amount of $1,603,400 attributable to the amendment in the quarter ended September 30, 2014. In March 2015, we issued 16,667 shares of our common stock valued at $166,700 in settlement of legal fees related to services provided with respect to certain financing initiatives. We recognized a loss on extinguishment of debt in the amount of $16,700 with respect to this settlement.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2014, we accepted a cash payment of $60,000 as settlement in full for a promissory note issued to us in May 2011 for the purchase of shares of our common stock. At the time of the payment, the principal and accrued interest due to us on the note receivable was $195,000, resulting in a noncash loss of $135,000 related to the settlement, which was recognized in Other Expense in the year ended March 31, 2015. Other expense in the year ended March 31, 2016 reflects the noncash loss on the disposition of a piece of failed lab equipment.</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allocated the proceeds from the self-placed private placement sales of Series B Preferred Units between May 2015 and March 31, 2016 to the Series B Preferred and the Series B Warrants based on their relative fair values on the dates of the sales. The difference, for accounting purposes, between the relative fair value per share of the Series B Preferred, approximately $4.13 per share, and its Conversion Price (or stated value) of $7.00 per share represents a deemed dividend to the purchasers of the Series B Preferred Units. Accordingly, we have recognized a deemed dividend in the aggregate amount of $2,058,000 in arriving at net loss attributable to common stockholders for the year ended March 31, 2016 in the accompanying Consolidated Statement of Operations and Comprehensive Loss for the year ended March 31, 2016. Further, we have recognized $2,140,500 representing the 10% cumulative dividend payable on our Series B Preferred as an additional deduction in arriving at net loss attributable to common stockholders for the year ended March 31, 2016 in the accompanying Consolidated Statement of Operations and Comprehensive Loss for the year ended March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March 31, 2016, we have financed our operations through (1) the issuance and sale of our common stock, preferred stock, warrants for common stock, and promissory notes for aggregate cash proceeds of approximately $34.5 million; (2) issuance of common stock and preferred stock with an approximate value at issuance of $29.1 million as consideration for, among other things, technology licenses and patent prosecution, sponsored research, contract research, drug development, drug manufacturing, regulatory services, and legal, investor relations, corporate development and financial advisory services; and (3) receipt of aggregate non-dilutive cash proceeds of approximately $16.4 million from government research and development grant awards and strategic collaboration transactions.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described more completely in Note 8,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xml:space="preserve">, and Note 9,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Consolidated Financial Statements for the year ended March 31, 2016, between May 2015 and March 31, 2016, we created our Series B Preferred and eliminated the outstanding balances of approximately $17.2 million of promissory notes, other indebtedness and certain adjustments thereto that was either already due and payable or would have otherwise matured prior to March 31, 2016, through conversion into our Series B Preferred and, with respect to a portion of the indebtedness converted, warrants to purchase common stock. More specifically, through March 31, 2016, we have extinguished and converted</w:t>
      </w:r>
    </w:p>
    <w:p>
      <w:pPr>
        <w:spacing w:after="0" w:line="2" w:lineRule="exact"/>
        <w:rPr>
          <w:sz w:val="20"/>
          <w:szCs w:val="20"/>
          <w:color w:val="auto"/>
        </w:rPr>
      </w:pPr>
    </w:p>
    <w:p>
      <w:pPr>
        <w:jc w:val="both"/>
        <w:ind w:firstLine="8"/>
        <w:spacing w:after="0" w:line="290" w:lineRule="auto"/>
        <w:tabs>
          <w:tab w:leader="none" w:pos="21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of the Senior Secured Convertible Promissory Notes originally issued to PLTG, (ii) all of the 2014 Unit Notes outstanding at March 31, 2015 and those issued subsequently, and (iii) substantially all other outstanding promissory notes and accounts payable, including those issued to Cato Research Ltd., Cato Holding Company, Morrison &amp; Foerster (Note A and Note B), University Health Network, McCarthy Tetrault, Desjardins Securities, Burr Pilger &amp; Mayer, National Jewish Health, MicroConstants and several others, into an aggregate of 2,618,917 shares of our Series B Preferred. Additionally, through March 31, 2016, in our self-placed private placement of Series B Units, we have sold Series B Preferred Units consisting of an aggregate of 717,978 unregistered shares of Series B Preferred and five year warrants to purchase 717,978 shares of our common stock, and we have received cash proceeds of $5,025,800.</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At March 31, 2016, we did not have sufficient cash and cash equivalents to enable us to fund our planned operations over the next twelve months, including expected cash expenditures of approximately $9.1 million. However, as disclosed in Note 16,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to the accompanying Consolidated Financial Statements, between April 1, 2016 and May 4, 2016, we sold to accredited investors additional Series B Preferred Units consisting of 39,714 unregistered shares of Series B Preferred and five year warrants to purchase 39,714 shares of our common stock, and we received cash proceeds of $278,000. Further, on May 16, 2016 we consummated an underwritten public offering pursuant to which we issued an aggregate of 2,570,040 registered shares of our common stock at the public offering price of $4.24 per share and five-year warrants to purchase up to 2,705,883 registered shares of our common stock, with an exercise price of $5.30 per share, at the public offering price of $0.01 per warrant, including shares and warrants issued pursuant to the exercise of the underwriters’ over-allotment option (</w:t>
      </w:r>
      <w:r>
        <w:rPr>
          <w:rFonts w:ascii="Arial" w:cs="Arial" w:eastAsia="Arial" w:hAnsi="Arial"/>
          <w:sz w:val="17"/>
          <w:szCs w:val="17"/>
          <w:i w:val="1"/>
          <w:iCs w:val="1"/>
          <w:color w:val="auto"/>
        </w:rPr>
        <w:t>May 2016 Public Offering</w:t>
      </w:r>
      <w:r>
        <w:rPr>
          <w:rFonts w:ascii="Arial" w:cs="Arial" w:eastAsia="Arial" w:hAnsi="Arial"/>
          <w:sz w:val="17"/>
          <w:szCs w:val="17"/>
          <w:color w:val="auto"/>
        </w:rPr>
        <w:t>). We received net cash proceeds of approximately $9.5 million from the May 2016 Public Offering after deducting fees and expenses. We expect the proceeds of these transactions to provide sufficient cash to sustain our operations through our fiscal year ending March 31, 2017, however they will not be adequate to enable the completion of our Phase 2b clinical trial of AV-101 in MDD. Accordingly, we intend to raise additional capital through sales of our securities, which may include both debt and equity securities. We may also seek research and development collaborations that could generate revenue, as well as government grant awards. Further, strategic collaborations, similar to our February 2015 CRADA with the NIMH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4"/>
        </w:trPr>
        <w:tc>
          <w:tcPr>
            <w:tcW w:w="8820" w:type="dxa"/>
            <w:vAlign w:val="bottom"/>
            <w:gridSpan w:val="3"/>
          </w:tcPr>
          <w:p>
            <w:pPr>
              <w:spacing w:after="0"/>
              <w:rPr>
                <w:rFonts w:ascii="Arial" w:cs="Arial" w:eastAsia="Arial" w:hAnsi="Arial"/>
                <w:sz w:val="16"/>
                <w:szCs w:val="16"/>
                <w:i w:val="1"/>
                <w:iCs w:val="1"/>
                <w:color w:val="0000EE"/>
              </w:rPr>
            </w:pPr>
            <w:hyperlink w:anchor="page3">
              <w:r>
                <w:rPr>
                  <w:rFonts w:ascii="Arial" w:cs="Arial" w:eastAsia="Arial" w:hAnsi="Arial"/>
                  <w:sz w:val="16"/>
                  <w:szCs w:val="16"/>
                  <w:i w:val="1"/>
                  <w:iCs w:val="1"/>
                  <w:color w:val="0000EE"/>
                </w:rPr>
                <w:t>Table of Contents</w:t>
              </w:r>
            </w:hyperlink>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820" w:type="dxa"/>
            <w:vAlign w:val="bottom"/>
            <w:gridSpan w:val="3"/>
          </w:tcPr>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76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 owned subsidiaries, Artemis Neuroscience, Inc., a Maryland corporation, and VistaStem Canada, Inc., an Ontario corporation.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disclosures in this section are not required since we qualify as a smaller reporting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Report of Independent Registered Public Accounting Firm</w:t>
            </w:r>
          </w:p>
        </w:tc>
        <w:tc>
          <w:tcPr>
            <w:tcW w:w="6300" w:type="dxa"/>
            <w:vAlign w:val="bottom"/>
            <w:gridSpan w:val="2"/>
            <w:shd w:val="clear" w:color="auto" w:fill="CCEEFF"/>
          </w:tcPr>
          <w:p>
            <w:pPr>
              <w:jc w:val="center"/>
              <w:ind w:left="3830"/>
              <w:spacing w:after="0" w:line="176" w:lineRule="exact"/>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Balance Sheets</w:t>
              </w:r>
            </w:hyperlink>
          </w:p>
        </w:tc>
        <w:tc>
          <w:tcPr>
            <w:tcW w:w="900" w:type="dxa"/>
            <w:vAlign w:val="bottom"/>
            <w:tcBorders>
              <w:top w:val="single" w:sz="8" w:color="CCEEFF"/>
            </w:tcBorders>
            <w:gridSpan w:val="2"/>
          </w:tcPr>
          <w:p>
            <w:pPr>
              <w:spacing w:after="0"/>
              <w:rPr>
                <w:sz w:val="15"/>
                <w:szCs w:val="15"/>
                <w:color w:val="auto"/>
              </w:rPr>
            </w:pPr>
          </w:p>
        </w:tc>
        <w:tc>
          <w:tcPr>
            <w:tcW w:w="6300" w:type="dxa"/>
            <w:vAlign w:val="bottom"/>
            <w:tcBorders>
              <w:top w:val="single" w:sz="8" w:color="CCEEFF"/>
            </w:tcBorders>
            <w:gridSpan w:val="2"/>
          </w:tcPr>
          <w:p>
            <w:pPr>
              <w:jc w:val="center"/>
              <w:ind w:left="3830"/>
              <w:spacing w:after="0" w:line="176" w:lineRule="exact"/>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00" w:type="dxa"/>
            <w:vAlign w:val="bottom"/>
            <w:gridSpan w:val="7"/>
            <w:shd w:val="clear" w:color="auto" w:fill="CCEEFF"/>
          </w:tcPr>
          <w:p>
            <w:pPr>
              <w:spacing w:after="0" w:line="176" w:lineRule="exact"/>
              <w:rPr>
                <w:rFonts w:ascii="Arial" w:cs="Arial" w:eastAsia="Arial" w:hAnsi="Arial"/>
                <w:sz w:val="18"/>
                <w:szCs w:val="18"/>
                <w:color w:val="0000EE"/>
                <w:w w:val="97"/>
              </w:rPr>
            </w:pPr>
            <w:hyperlink w:anchor="page89">
              <w:r>
                <w:rPr>
                  <w:rFonts w:ascii="Arial" w:cs="Arial" w:eastAsia="Arial" w:hAnsi="Arial"/>
                  <w:sz w:val="18"/>
                  <w:szCs w:val="18"/>
                  <w:color w:val="0000EE"/>
                  <w:w w:val="97"/>
                </w:rPr>
                <w:t>Consolidated Statements of Operations and Comprehensive Loss</w:t>
              </w:r>
            </w:hyperlink>
          </w:p>
        </w:tc>
        <w:tc>
          <w:tcPr>
            <w:tcW w:w="6300" w:type="dxa"/>
            <w:vAlign w:val="bottom"/>
            <w:gridSpan w:val="2"/>
            <w:shd w:val="clear" w:color="auto" w:fill="CCEEFF"/>
          </w:tcPr>
          <w:p>
            <w:pPr>
              <w:jc w:val="center"/>
              <w:ind w:left="3830"/>
              <w:spacing w:after="0" w:line="17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Statements of Cash Flows</w:t>
              </w:r>
            </w:hyperlink>
          </w:p>
        </w:tc>
        <w:tc>
          <w:tcPr>
            <w:tcW w:w="440" w:type="dxa"/>
            <w:vAlign w:val="bottom"/>
            <w:tcBorders>
              <w:top w:val="single" w:sz="8" w:color="CCEEFF"/>
            </w:tcBorders>
          </w:tcPr>
          <w:p>
            <w:pPr>
              <w:spacing w:after="0"/>
              <w:rPr>
                <w:sz w:val="15"/>
                <w:szCs w:val="15"/>
                <w:color w:val="auto"/>
              </w:rPr>
            </w:pPr>
          </w:p>
        </w:tc>
        <w:tc>
          <w:tcPr>
            <w:tcW w:w="6300" w:type="dxa"/>
            <w:vAlign w:val="bottom"/>
            <w:tcBorders>
              <w:top w:val="single" w:sz="8" w:color="CCEEFF"/>
            </w:tcBorders>
            <w:gridSpan w:val="2"/>
          </w:tcPr>
          <w:p>
            <w:pPr>
              <w:jc w:val="center"/>
              <w:ind w:left="3830"/>
              <w:spacing w:after="0" w:line="176" w:lineRule="exact"/>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00" w:type="dxa"/>
            <w:vAlign w:val="bottom"/>
            <w:gridSpan w:val="7"/>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Statements of Stockholders' Deficit</w:t>
              </w:r>
            </w:hyperlink>
          </w:p>
        </w:tc>
        <w:tc>
          <w:tcPr>
            <w:tcW w:w="6300" w:type="dxa"/>
            <w:vAlign w:val="bottom"/>
            <w:gridSpan w:val="2"/>
            <w:shd w:val="clear" w:color="auto" w:fill="CCEEFF"/>
          </w:tcPr>
          <w:p>
            <w:pPr>
              <w:jc w:val="center"/>
              <w:ind w:left="3830"/>
              <w:spacing w:after="0" w:line="176" w:lineRule="exact"/>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Borders>
              <w:top w:val="single" w:sz="8" w:color="0000EE"/>
            </w:tcBorders>
            <w:gridSpan w:val="4"/>
          </w:tcPr>
          <w:p>
            <w:pPr>
              <w:spacing w:after="0" w:line="176" w:lineRule="exact"/>
              <w:rPr>
                <w:rFonts w:ascii="Arial" w:cs="Arial" w:eastAsia="Arial" w:hAnsi="Arial"/>
                <w:sz w:val="18"/>
                <w:szCs w:val="18"/>
                <w:color w:val="0000EE"/>
                <w:w w:val="99"/>
              </w:rPr>
            </w:pPr>
            <w:hyperlink w:anchor="page94">
              <w:r>
                <w:rPr>
                  <w:rFonts w:ascii="Arial" w:cs="Arial" w:eastAsia="Arial" w:hAnsi="Arial"/>
                  <w:sz w:val="18"/>
                  <w:szCs w:val="18"/>
                  <w:color w:val="0000EE"/>
                  <w:w w:val="99"/>
                </w:rPr>
                <w:t>Notes to Consolidated Financial Statements</w:t>
              </w:r>
            </w:hyperlink>
          </w:p>
        </w:tc>
        <w:tc>
          <w:tcPr>
            <w:tcW w:w="1580" w:type="dxa"/>
            <w:vAlign w:val="bottom"/>
            <w:tcBorders>
              <w:top w:val="single" w:sz="8" w:color="CCEEFF"/>
            </w:tcBorders>
            <w:gridSpan w:val="3"/>
          </w:tcPr>
          <w:p>
            <w:pPr>
              <w:spacing w:after="0"/>
              <w:rPr>
                <w:sz w:val="15"/>
                <w:szCs w:val="15"/>
                <w:color w:val="auto"/>
              </w:rPr>
            </w:pPr>
          </w:p>
        </w:tc>
        <w:tc>
          <w:tcPr>
            <w:tcW w:w="6300" w:type="dxa"/>
            <w:vAlign w:val="bottom"/>
            <w:tcBorders>
              <w:top w:val="single" w:sz="8" w:color="CCEEFF"/>
            </w:tcBorders>
            <w:gridSpan w:val="2"/>
          </w:tcPr>
          <w:p>
            <w:pPr>
              <w:jc w:val="center"/>
              <w:ind w:left="3830"/>
              <w:spacing w:after="0" w:line="176" w:lineRule="exact"/>
              <w:rPr>
                <w:sz w:val="20"/>
                <w:szCs w:val="20"/>
                <w:color w:val="auto"/>
              </w:rPr>
            </w:pPr>
            <w:r>
              <w:rPr>
                <w:rFonts w:ascii="Arial" w:cs="Arial" w:eastAsia="Arial" w:hAnsi="Arial"/>
                <w:sz w:val="18"/>
                <w:szCs w:val="18"/>
                <w:color w:val="auto"/>
                <w:w w:val="89"/>
              </w:rPr>
              <w:t>89</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jc w:val="right"/>
              <w:ind w:right="3110"/>
              <w:spacing w:after="0"/>
              <w:rPr>
                <w:sz w:val="20"/>
                <w:szCs w:val="20"/>
                <w:color w:val="auto"/>
              </w:rPr>
            </w:pPr>
            <w:r>
              <w:rPr>
                <w:rFonts w:ascii="Arial" w:cs="Arial" w:eastAsia="Arial" w:hAnsi="Arial"/>
                <w:sz w:val="18"/>
                <w:szCs w:val="18"/>
                <w:color w:val="auto"/>
              </w:rPr>
              <w:t>-83-</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VistaGen Therapeutics, Inc. as of March 31, 2016 and 2015 and the related consolidated statements of operations and comprehensive loss, cash flows, and stockholders’ deficit for the fiscal years then ended. These financial statements are the responsibility of the Company's management. Our responsibility is to express an opinion on these consolidated financial statements based on our audits.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VistaGen Therapeutics, Inc. at March 31, 2016 and 2015, and the consolidated results of its operations and its cash flows for the fiscal years then ended, in conformity with U.S. generally accepted accounting principles.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8700" w:type="dxa"/>
            <w:vAlign w:val="bottom"/>
            <w:gridSpan w:val="3"/>
          </w:tcPr>
          <w:p>
            <w:pPr>
              <w:spacing w:after="0"/>
              <w:rPr>
                <w:rFonts w:ascii="Arial" w:cs="Arial" w:eastAsia="Arial" w:hAnsi="Arial"/>
                <w:sz w:val="16"/>
                <w:szCs w:val="16"/>
                <w:i w:val="1"/>
                <w:iCs w:val="1"/>
                <w:color w:val="0000EE"/>
              </w:rPr>
            </w:pPr>
            <w:hyperlink w:anchor="page3">
              <w:r>
                <w:rPr>
                  <w:rFonts w:ascii="Arial" w:cs="Arial" w:eastAsia="Arial" w:hAnsi="Arial"/>
                  <w:sz w:val="16"/>
                  <w:szCs w:val="16"/>
                  <w:i w:val="1"/>
                  <w:iCs w:val="1"/>
                  <w:color w:val="0000EE"/>
                </w:rPr>
                <w:t>Table of Contents</w:t>
              </w:r>
            </w:hyperlink>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7560" w:type="dxa"/>
            <w:vAlign w:val="bottom"/>
          </w:tcPr>
          <w:p>
            <w:pPr>
              <w:jc w:val="center"/>
              <w:ind w:left="1490"/>
              <w:spacing w:after="0"/>
              <w:rPr>
                <w:sz w:val="20"/>
                <w:szCs w:val="20"/>
                <w:color w:val="auto"/>
              </w:rPr>
            </w:pPr>
            <w:r>
              <w:rPr>
                <w:rFonts w:ascii="Arial" w:cs="Arial" w:eastAsia="Arial" w:hAnsi="Arial"/>
                <w:sz w:val="18"/>
                <w:szCs w:val="18"/>
                <w:b w:val="1"/>
                <w:bCs w:val="1"/>
                <w:color w:val="auto"/>
              </w:rPr>
              <w:t>VISTAGEN THERAPEUTICS,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56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560" w:type="dxa"/>
            <w:vAlign w:val="bottom"/>
          </w:tcPr>
          <w:p>
            <w:pPr>
              <w:jc w:val="center"/>
              <w:ind w:left="149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560" w:type="dxa"/>
            <w:vAlign w:val="bottom"/>
          </w:tcPr>
          <w:p>
            <w:pPr>
              <w:jc w:val="center"/>
              <w:ind w:right="1010"/>
              <w:spacing w:after="0" w:line="201" w:lineRule="exact"/>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87,600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269,700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tcPr>
          <w:p>
            <w:pPr>
              <w:jc w:val="center"/>
              <w:ind w:right="1010"/>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936,000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2,251,100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Current portion of senior secured convertible promissory notes and accrued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4,146,100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Current portion of notes payable, net of discount of $0 at March 31, 2016 and $474,500 at March 31, 2015, and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Current portion of notes payable to related parties, net of discount of $0 at March 31, 2016 and $54,500 at March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tcPr>
          <w:p>
            <w:pPr>
              <w:ind w:left="380"/>
              <w:spacing w:after="0"/>
              <w:rPr>
                <w:sz w:val="20"/>
                <w:szCs w:val="20"/>
                <w:color w:val="auto"/>
              </w:rPr>
            </w:pPr>
            <w:r>
              <w:rPr>
                <w:rFonts w:ascii="Arial" w:cs="Arial" w:eastAsia="Arial" w:hAnsi="Arial"/>
                <w:sz w:val="18"/>
                <w:szCs w:val="18"/>
                <w:color w:val="auto"/>
              </w:rPr>
              <w:t>2015, and accrued interest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1,508,800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Convertible promissory notes and accrued interest, net of discount of $0 at March 31, 2016 and $180,000 at March</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31, 2015, respectively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4,157,600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1,794,700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17,388,100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Senior secured convertible promissory notes and accrued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Warrant liability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3,008,500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Deferred rent liability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55,500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380"/>
              <w:spacing w:after="0"/>
              <w:rPr>
                <w:sz w:val="20"/>
                <w:szCs w:val="20"/>
                <w:color w:val="auto"/>
              </w:rPr>
            </w:pPr>
            <w:r>
              <w:rPr>
                <w:rFonts w:ascii="Arial" w:cs="Arial" w:eastAsia="Arial" w:hAnsi="Arial"/>
                <w:sz w:val="18"/>
                <w:szCs w:val="18"/>
                <w:color w:val="auto"/>
              </w:rPr>
              <w:t>Total non-current liabilities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2,172,300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3,967,000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Preferred stock, $0.001 par value; 10,000,000 shares authorized at March 31, 2016 and 2105: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Series A Preferred, 500,000 shares authorized and outstanding at March 31, 2016 and 2015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2"/>
          </w:tcPr>
          <w:p>
            <w:pPr>
              <w:ind w:left="580"/>
              <w:spacing w:after="0" w:line="201" w:lineRule="exact"/>
              <w:rPr>
                <w:sz w:val="20"/>
                <w:szCs w:val="20"/>
                <w:color w:val="auto"/>
              </w:rPr>
            </w:pPr>
            <w:r>
              <w:rPr>
                <w:rFonts w:ascii="Arial" w:cs="Arial" w:eastAsia="Arial" w:hAnsi="Arial"/>
                <w:sz w:val="18"/>
                <w:szCs w:val="18"/>
                <w:color w:val="auto"/>
                <w:w w:val="97"/>
              </w:rPr>
              <w:t>Series B Preferred; 4,000,000 shares and no shares authorized at March 31, 2016 and March 31, 2015,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780"/>
              <w:spacing w:after="0"/>
              <w:rPr>
                <w:sz w:val="20"/>
                <w:szCs w:val="20"/>
                <w:color w:val="auto"/>
              </w:rPr>
            </w:pPr>
            <w:r>
              <w:rPr>
                <w:rFonts w:ascii="Arial" w:cs="Arial" w:eastAsia="Arial" w:hAnsi="Arial"/>
                <w:sz w:val="18"/>
                <w:szCs w:val="18"/>
                <w:color w:val="auto"/>
                <w:w w:val="99"/>
              </w:rPr>
              <w:t>respectively; 3,663,077 shares and no shares issued and outstanding at March 31, 2016 and 2015,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tcPr>
          <w:p>
            <w:pPr>
              <w:ind w:left="78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w w:val="95"/>
              </w:rPr>
              <w:t>Series C Preferred; 3,000,000 shares and no shares authorized at March 31, 2016 and 2015, respectively;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2,318,012 shares and no shares issued and outstanding at March 31, 2016 and 2015, respectively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0"/>
              </w:rPr>
              <w:t>Common stock, $0.001 par value; 30,000,000 shares and 10,000,000 shares authorized at March 31, 2016 and 2015,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gridSpan w:val="2"/>
          </w:tcPr>
          <w:p>
            <w:pPr>
              <w:ind w:left="380"/>
              <w:spacing w:after="0"/>
              <w:rPr>
                <w:sz w:val="20"/>
                <w:szCs w:val="20"/>
                <w:color w:val="auto"/>
              </w:rPr>
            </w:pPr>
            <w:r>
              <w:rPr>
                <w:rFonts w:ascii="Arial" w:cs="Arial" w:eastAsia="Arial" w:hAnsi="Arial"/>
                <w:sz w:val="18"/>
                <w:szCs w:val="18"/>
                <w:color w:val="auto"/>
              </w:rPr>
              <w:t>respectively; 2,623,145 and 1,677,110 shares issued at March 31, 2016 and 2015, 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132,725,000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67,945,800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135,665 shares of common stock held at March 31, 2016 and 2015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(131,743,200)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(84,522,700)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(2,977,200)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(20,542,800)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269,700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8" w:name="page89"/>
    <w:bookmarkEnd w:id="8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Fiscal Years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3,931,600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13,918,600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17,850,200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6,777,100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(17,850,200)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Other expenses, net:</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(4,548,700)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Change in warrant liability</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(1,894,700)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extinguishment of debt</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(26,700,200)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(47,218,200)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(13,883,400)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Income taxes</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(47,220,500)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(13,885,800)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dividends on Series B Preferred stock</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Deemed dividend on Series B Preferred Units</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(2,058,000)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(51,419,000)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(13,885,800)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Basic net loss attributable to common stockholders per common share</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(29.08)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attributable to common stockholders per common share</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rPr>
              <w:t>Basic net loss attributable to common stockholders per common share</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1,767,957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1,318,813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loss attributable to common stockholders per common share</w:t>
            </w:r>
          </w:p>
        </w:tc>
        <w:tc>
          <w:tcPr>
            <w:tcW w:w="1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1,767,957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00" w:type="dxa"/>
            <w:vAlign w:val="bottom"/>
          </w:tcPr>
          <w:p>
            <w:pPr>
              <w:jc w:val="center"/>
              <w:ind w:left="2590"/>
              <w:spacing w:after="0"/>
              <w:rPr>
                <w:sz w:val="20"/>
                <w:szCs w:val="20"/>
                <w:color w:val="auto"/>
              </w:rPr>
            </w:pPr>
            <w:r>
              <w:rPr>
                <w:rFonts w:ascii="Arial" w:cs="Arial" w:eastAsia="Arial" w:hAnsi="Arial"/>
                <w:sz w:val="18"/>
                <w:szCs w:val="18"/>
                <w:b w:val="1"/>
                <w:bCs w:val="1"/>
                <w:color w:val="auto"/>
              </w:rPr>
              <w:t>VISTAGEN THERAPEUTICS, INC.</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00" w:type="dxa"/>
            <w:vAlign w:val="bottom"/>
          </w:tcPr>
          <w:p>
            <w:pPr>
              <w:jc w:val="center"/>
              <w:ind w:left="25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00" w:type="dxa"/>
            <w:vAlign w:val="bottom"/>
          </w:tcPr>
          <w:p>
            <w:pPr>
              <w:jc w:val="center"/>
              <w:ind w:left="2590"/>
              <w:spacing w:after="0"/>
              <w:rPr>
                <w:sz w:val="20"/>
                <w:szCs w:val="20"/>
                <w:color w:val="auto"/>
              </w:rPr>
            </w:pPr>
            <w:r>
              <w:rPr>
                <w:rFonts w:ascii="Arial" w:cs="Arial" w:eastAsia="Arial" w:hAnsi="Arial"/>
                <w:sz w:val="18"/>
                <w:szCs w:val="18"/>
                <w:b w:val="1"/>
                <w:bCs w:val="1"/>
                <w:color w:val="auto"/>
                <w:w w:val="90"/>
              </w:rPr>
              <w:t>(Amounts in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vMerge w:val="restart"/>
          </w:tcPr>
          <w:p>
            <w:pPr>
              <w:jc w:val="right"/>
              <w:ind w:right="620"/>
              <w:spacing w:after="0"/>
              <w:rPr>
                <w:sz w:val="20"/>
                <w:szCs w:val="20"/>
                <w:color w:val="auto"/>
              </w:rPr>
            </w:pPr>
            <w:r>
              <w:rPr>
                <w:rFonts w:ascii="Arial" w:cs="Arial" w:eastAsia="Arial" w:hAnsi="Arial"/>
                <w:sz w:val="18"/>
                <w:szCs w:val="18"/>
                <w:b w:val="1"/>
                <w:bCs w:val="1"/>
                <w:color w:val="auto"/>
              </w:rPr>
              <w:t>Fiscal Years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(47,220,500)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(13,885,800)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80"/>
              <w:spacing w:after="0"/>
              <w:rPr>
                <w:sz w:val="20"/>
                <w:szCs w:val="20"/>
                <w:color w:val="auto"/>
              </w:rPr>
            </w:pPr>
            <w:r>
              <w:rPr>
                <w:rFonts w:ascii="Arial" w:cs="Arial" w:eastAsia="Arial" w:hAnsi="Arial"/>
                <w:sz w:val="18"/>
                <w:szCs w:val="18"/>
                <w:color w:val="auto"/>
              </w:rPr>
              <w:t>Amortization of discounts on convertible and promissory notes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564,800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3,372,000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warrant liability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1,894,700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4,041,400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2,460,100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3"/>
              </w:rPr>
              <w:t>Expense related to modification of warrants, including exchange of warrants for Series C Preferred and common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stock</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6,218,000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80"/>
              <w:spacing w:after="0"/>
              <w:rPr>
                <w:sz w:val="20"/>
                <w:szCs w:val="20"/>
                <w:color w:val="auto"/>
              </w:rPr>
            </w:pPr>
            <w:r>
              <w:rPr>
                <w:rFonts w:ascii="Arial" w:cs="Arial" w:eastAsia="Arial" w:hAnsi="Arial"/>
                <w:sz w:val="18"/>
                <w:szCs w:val="18"/>
                <w:color w:val="auto"/>
              </w:rPr>
              <w:t>Amortization of deferred rent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Fair value of common stock granted for services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80"/>
              <w:spacing w:after="0"/>
              <w:rPr>
                <w:sz w:val="20"/>
                <w:szCs w:val="20"/>
                <w:color w:val="auto"/>
              </w:rPr>
            </w:pPr>
            <w:r>
              <w:rPr>
                <w:rFonts w:ascii="Arial" w:cs="Arial" w:eastAsia="Arial" w:hAnsi="Arial"/>
                <w:sz w:val="18"/>
                <w:szCs w:val="18"/>
                <w:color w:val="auto"/>
              </w:rPr>
              <w:t>Fair value of Series B Preferred stock granted for services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1,382,500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Fair value of warrants granted for services and interest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1,280,800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80"/>
              <w:spacing w:after="0"/>
              <w:rPr>
                <w:sz w:val="20"/>
                <w:szCs w:val="20"/>
                <w:color w:val="auto"/>
              </w:rPr>
            </w:pPr>
            <w:r>
              <w:rPr>
                <w:rFonts w:ascii="Arial" w:cs="Arial" w:eastAsia="Arial" w:hAnsi="Arial"/>
                <w:sz w:val="18"/>
                <w:szCs w:val="18"/>
                <w:color w:val="auto"/>
              </w:rPr>
              <w:t>Gain on currency fluctuation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26,700,200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80"/>
              <w:spacing w:after="0"/>
              <w:rPr>
                <w:sz w:val="20"/>
                <w:szCs w:val="20"/>
                <w:color w:val="auto"/>
              </w:rPr>
            </w:pPr>
            <w:r>
              <w:rPr>
                <w:rFonts w:ascii="Arial" w:cs="Arial" w:eastAsia="Arial" w:hAnsi="Arial"/>
                <w:sz w:val="18"/>
                <w:szCs w:val="18"/>
                <w:color w:val="auto"/>
              </w:rPr>
              <w:t>Loss on disposition of equipment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Reversal of interest income on note receivable for stock purchase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80"/>
              <w:spacing w:after="0"/>
              <w:rPr>
                <w:sz w:val="20"/>
                <w:szCs w:val="20"/>
                <w:color w:val="auto"/>
              </w:rPr>
            </w:pPr>
            <w:r>
              <w:rPr>
                <w:rFonts w:ascii="Arial" w:cs="Arial" w:eastAsia="Arial" w:hAnsi="Arial"/>
                <w:sz w:val="18"/>
                <w:szCs w:val="18"/>
                <w:color w:val="auto"/>
              </w:rPr>
              <w:t>Loss on settlement of note receivable for common stock purchase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5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25,700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Accounts payable and accrued expenses, including accrued interest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7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(4,808,500)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(2,768,900)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equipment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 Units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Series B Preferred Units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5,025,800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notes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7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5,193,300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2,838,900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428,500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12,700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ind w:left="180"/>
              <w:spacing w:after="0" w:line="201" w:lineRule="exact"/>
              <w:rPr>
                <w:sz w:val="20"/>
                <w:szCs w:val="20"/>
                <w:color w:val="auto"/>
              </w:rPr>
            </w:pPr>
            <w:r>
              <w:rPr>
                <w:rFonts w:ascii="Arial" w:cs="Arial" w:eastAsia="Arial" w:hAnsi="Arial"/>
                <w:sz w:val="18"/>
                <w:szCs w:val="18"/>
                <w:color w:val="auto"/>
                <w:w w:val="91"/>
              </w:rPr>
              <w:t>Conversion of Senior Secured Notes, Subordinate Convertible Notes, Promissory Notes, Accounts payable and 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380"/>
              <w:spacing w:after="0"/>
              <w:rPr>
                <w:sz w:val="20"/>
                <w:szCs w:val="20"/>
                <w:color w:val="auto"/>
              </w:rPr>
            </w:pPr>
            <w:r>
              <w:rPr>
                <w:rFonts w:ascii="Arial" w:cs="Arial" w:eastAsia="Arial" w:hAnsi="Arial"/>
                <w:sz w:val="18"/>
                <w:szCs w:val="18"/>
                <w:color w:val="auto"/>
              </w:rPr>
              <w:t>debt into Series B Preferred</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18,891,400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180"/>
              <w:spacing w:after="0"/>
              <w:rPr>
                <w:sz w:val="20"/>
                <w:szCs w:val="20"/>
                <w:color w:val="auto"/>
              </w:rPr>
            </w:pPr>
            <w:r>
              <w:rPr>
                <w:rFonts w:ascii="Arial" w:cs="Arial" w:eastAsia="Arial" w:hAnsi="Arial"/>
                <w:sz w:val="18"/>
                <w:szCs w:val="18"/>
                <w:color w:val="auto"/>
              </w:rPr>
              <w:t>Accounts payable settled by issuance of common stock or notes payable and common stock</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438,400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0" w:name="page91"/>
    <w:bookmarkEnd w:id="9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Fiscal Years Ended March 31, 2016 and 2015</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Series A</w:t>
            </w:r>
          </w:p>
        </w:tc>
        <w:tc>
          <w:tcPr>
            <w:tcW w:w="1180" w:type="dxa"/>
            <w:vAlign w:val="bottom"/>
            <w:gridSpan w:val="3"/>
          </w:tcPr>
          <w:p>
            <w:pPr>
              <w:jc w:val="center"/>
              <w:ind w:left="41"/>
              <w:spacing w:after="0"/>
              <w:rPr>
                <w:sz w:val="20"/>
                <w:szCs w:val="20"/>
                <w:color w:val="auto"/>
              </w:rPr>
            </w:pPr>
            <w:r>
              <w:rPr>
                <w:rFonts w:ascii="Arial" w:cs="Arial" w:eastAsia="Arial" w:hAnsi="Arial"/>
                <w:sz w:val="14"/>
                <w:szCs w:val="14"/>
                <w:b w:val="1"/>
                <w:bCs w:val="1"/>
                <w:color w:val="auto"/>
                <w:w w:val="89"/>
              </w:rPr>
              <w:t>Series B</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left="21"/>
              <w:spacing w:after="0"/>
              <w:rPr>
                <w:sz w:val="20"/>
                <w:szCs w:val="20"/>
                <w:color w:val="auto"/>
              </w:rPr>
            </w:pPr>
            <w:r>
              <w:rPr>
                <w:rFonts w:ascii="Arial" w:cs="Arial" w:eastAsia="Arial" w:hAnsi="Arial"/>
                <w:sz w:val="14"/>
                <w:szCs w:val="14"/>
                <w:b w:val="1"/>
                <w:bCs w:val="1"/>
                <w:color w:val="auto"/>
                <w:w w:val="92"/>
              </w:rPr>
              <w:t>Series C</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Note</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Preferred Stock</w:t>
            </w:r>
          </w:p>
        </w:tc>
        <w:tc>
          <w:tcPr>
            <w:tcW w:w="1180" w:type="dxa"/>
            <w:vAlign w:val="bottom"/>
            <w:gridSpan w:val="3"/>
          </w:tcPr>
          <w:p>
            <w:pPr>
              <w:jc w:val="center"/>
              <w:ind w:left="41"/>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left="21"/>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Receivable</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right"/>
              <w:ind w:right="340"/>
              <w:spacing w:after="0" w:line="126"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restart"/>
          </w:tcPr>
          <w:p>
            <w:pPr>
              <w:jc w:val="right"/>
              <w:ind w:right="220"/>
              <w:spacing w:after="0" w:line="126" w:lineRule="exact"/>
              <w:rPr>
                <w:sz w:val="20"/>
                <w:szCs w:val="20"/>
                <w:color w:val="auto"/>
              </w:rPr>
            </w:pPr>
            <w:r>
              <w:rPr>
                <w:rFonts w:ascii="Arial" w:cs="Arial" w:eastAsia="Arial" w:hAnsi="Arial"/>
                <w:sz w:val="14"/>
                <w:szCs w:val="14"/>
                <w:b w:val="1"/>
                <w:bCs w:val="1"/>
                <w:color w:val="auto"/>
              </w:rPr>
              <w:t>Treasury</w:t>
            </w:r>
          </w:p>
        </w:tc>
        <w:tc>
          <w:tcPr>
            <w:tcW w:w="760" w:type="dxa"/>
            <w:vAlign w:val="bottom"/>
            <w:gridSpan w:val="2"/>
            <w:vMerge w:val="restart"/>
          </w:tcPr>
          <w:p>
            <w:pPr>
              <w:jc w:val="center"/>
              <w:ind w:right="60"/>
              <w:spacing w:after="0" w:line="126" w:lineRule="exact"/>
              <w:rPr>
                <w:sz w:val="20"/>
                <w:szCs w:val="20"/>
                <w:color w:val="auto"/>
              </w:rPr>
            </w:pPr>
            <w:r>
              <w:rPr>
                <w:rFonts w:ascii="Arial" w:cs="Arial" w:eastAsia="Arial" w:hAnsi="Arial"/>
                <w:sz w:val="14"/>
                <w:szCs w:val="14"/>
                <w:b w:val="1"/>
                <w:bCs w:val="1"/>
                <w:color w:val="auto"/>
                <w:w w:val="90"/>
              </w:rPr>
              <w:t>from Sale</w:t>
            </w:r>
          </w:p>
        </w:tc>
        <w:tc>
          <w:tcPr>
            <w:tcW w:w="20" w:type="dxa"/>
            <w:vAlign w:val="bottom"/>
            <w:vMerge w:val="restart"/>
          </w:tcPr>
          <w:p>
            <w:pPr>
              <w:spacing w:after="0"/>
              <w:rPr>
                <w:sz w:val="2"/>
                <w:szCs w:val="2"/>
                <w:color w:val="auto"/>
              </w:rPr>
            </w:pPr>
          </w:p>
        </w:tc>
        <w:tc>
          <w:tcPr>
            <w:tcW w:w="1080" w:type="dxa"/>
            <w:vAlign w:val="bottom"/>
            <w:gridSpan w:val="2"/>
            <w:vMerge w:val="restart"/>
          </w:tcPr>
          <w:p>
            <w:pPr>
              <w:jc w:val="right"/>
              <w:ind w:right="180"/>
              <w:spacing w:after="0" w:line="126" w:lineRule="exact"/>
              <w:rPr>
                <w:sz w:val="20"/>
                <w:szCs w:val="20"/>
                <w:color w:val="auto"/>
              </w:rPr>
            </w:pPr>
            <w:r>
              <w:rPr>
                <w:rFonts w:ascii="Arial" w:cs="Arial" w:eastAsia="Arial" w:hAnsi="Arial"/>
                <w:sz w:val="14"/>
                <w:szCs w:val="14"/>
                <w:b w:val="1"/>
                <w:bCs w:val="1"/>
                <w:color w:val="auto"/>
              </w:rPr>
              <w:t>Accumulated</w:t>
            </w:r>
          </w:p>
        </w:tc>
        <w:tc>
          <w:tcPr>
            <w:tcW w:w="940" w:type="dxa"/>
            <w:vAlign w:val="bottom"/>
            <w:gridSpan w:val="2"/>
            <w:vMerge w:val="restart"/>
          </w:tcPr>
          <w:p>
            <w:pPr>
              <w:jc w:val="center"/>
              <w:ind w:right="60"/>
              <w:spacing w:after="0" w:line="126"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of Stock</w:t>
            </w:r>
          </w:p>
        </w:tc>
        <w:tc>
          <w:tcPr>
            <w:tcW w:w="2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2"/>
              </w:rPr>
              <w:t>Balances at March</w:t>
            </w: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31, 2014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500,000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   500</w:t>
            </w:r>
          </w:p>
        </w:tc>
        <w:tc>
          <w:tcPr>
            <w:tcW w:w="760" w:type="dxa"/>
            <w:vAlign w:val="bottom"/>
            <w:gridSpan w:val="2"/>
            <w:shd w:val="clear" w:color="auto" w:fill="CCEEFF"/>
          </w:tcPr>
          <w:p>
            <w:pPr>
              <w:jc w:val="center"/>
              <w:ind w:left="421"/>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CEEFF"/>
          </w:tcPr>
          <w:p>
            <w:pPr>
              <w:jc w:val="center"/>
              <w:ind w:left="441"/>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1,310,109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97"/>
              </w:rPr>
              <w:t>$ 1,300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$ 62,001,400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8"/>
              </w:rPr>
              <w:t>$ (3,968,100)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7"/>
              </w:rPr>
              <w:t>$ (198,100)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9"/>
              </w:rPr>
              <w:t>$ (70,636,900)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8"/>
              </w:rPr>
              <w:t>$ (12,799,900)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1"/>
              </w:rPr>
              <w:t>Allocated proceeds</w:t>
            </w: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from sale of</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Units for cash</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under 2014</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Unit  Private</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Placement,</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including</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beneficial</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conversion</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center"/>
              <w:ind w:left="441"/>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feature</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center"/>
              <w:ind w:left="42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280,350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2,746,800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2,747,100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Share-based</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compensation</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vMerge w:val="restart"/>
          </w:tcPr>
          <w:p>
            <w:pPr>
              <w:jc w:val="center"/>
              <w:ind w:left="4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expense</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ind w:left="42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2,460,100</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2,460,100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Payment on and</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settlement of</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5"/>
              </w:rPr>
              <w:t>note receivable</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from sale of</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center"/>
              <w:ind w:left="441"/>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center"/>
              <w:ind w:left="42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198,100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198,100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Incremental fair</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value of</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modified</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vMerge w:val="restart"/>
          </w:tcPr>
          <w:p>
            <w:pPr>
              <w:jc w:val="center"/>
              <w:ind w:left="4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warrants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ind w:left="42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98,400</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98,400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Fair Value of</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common stock</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issued for</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center"/>
              <w:ind w:left="441"/>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services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center"/>
              <w:ind w:left="42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635,600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635,700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Fair value of</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and warrants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issued in</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settlement</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oftechnology</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license</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vMerge w:val="restart"/>
          </w:tcPr>
          <w:p>
            <w:pPr>
              <w:jc w:val="center"/>
              <w:ind w:left="4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expenses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ind w:left="42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230,200</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230,200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Fair value of</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2"/>
              </w:rPr>
              <w:t>warrants issued</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 Morrison &amp;</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Foerster, Cato</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Research Ltd.</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and University</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5"/>
              </w:rPr>
              <w:t>Health Network</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 connection</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with</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5"/>
              </w:rPr>
              <w:t>accruedinterest</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on underlying</w:t>
            </w: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center"/>
              <w:ind w:left="441"/>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notes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center"/>
              <w:ind w:left="42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44,400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Effect of</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w w:val="94"/>
              </w:rPr>
              <w:t>amendments of</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2013 Unit</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Notes and</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warrants,</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including</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repurchase of</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beneficial</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conversion</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vMerge w:val="restart"/>
          </w:tcPr>
          <w:p>
            <w:pPr>
              <w:jc w:val="center"/>
              <w:ind w:left="4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feature</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ind w:left="42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109,300</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109,300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Effect of</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ind w:left="42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center"/>
              <w:ind w:left="44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(380,400)</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(380,400)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w w:val="94"/>
              </w:rPr>
              <w:t>amendments of</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PLTG Senior</w:t>
            </w: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12452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24523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Secured</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Promissory</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Notes,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including</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repurchase of</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beneficial</w:t>
      </w:r>
    </w:p>
    <w:p>
      <w:pPr>
        <w:sectPr>
          <w:pgSz w:w="11900" w:h="16838" w:orient="portrait"/>
          <w:cols w:equalWidth="0" w:num="1">
            <w:col w:w="11420"/>
          </w:cols>
          <w:pgMar w:left="240" w:top="130" w:right="239" w:bottom="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conversion</w:t>
            </w: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feature</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Net loss for fiscal</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year ended</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w w:val="93"/>
              </w:rPr>
              <w:t>March 31, 2015</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4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(13,885,800)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(13,885,800)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20" w:type="dxa"/>
            <w:vAlign w:val="bottom"/>
          </w:tcPr>
          <w:p>
            <w:pPr>
              <w:spacing w:after="0"/>
              <w:rPr>
                <w:sz w:val="20"/>
                <w:szCs w:val="20"/>
                <w:color w:val="auto"/>
              </w:rPr>
            </w:pPr>
            <w:r>
              <w:rPr>
                <w:rFonts w:ascii="Arial" w:cs="Arial" w:eastAsia="Arial" w:hAnsi="Arial"/>
                <w:sz w:val="16"/>
                <w:szCs w:val="16"/>
                <w:b w:val="1"/>
                <w:bCs w:val="1"/>
                <w:color w:val="auto"/>
                <w:w w:val="92"/>
              </w:rPr>
              <w:t>Balances at March</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31, 2015</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89"/>
              </w:rPr>
              <w:t>500,000</w:t>
            </w:r>
          </w:p>
        </w:tc>
        <w:tc>
          <w:tcPr>
            <w:tcW w:w="4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500</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 $</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 $</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w w:val="87"/>
              </w:rPr>
              <w:t>1,677,126</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7"/>
              </w:rPr>
              <w:t>$ 1,700</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7"/>
              </w:rPr>
              <w:t>67,945,800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8"/>
              </w:rPr>
              <w:t>$ (3,968,100)</w:t>
            </w:r>
          </w:p>
        </w:tc>
        <w:tc>
          <w:tcPr>
            <w:tcW w:w="360" w:type="dxa"/>
            <w:vAlign w:val="bottom"/>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3"/>
          </w:tcPr>
          <w:p>
            <w:pPr>
              <w:ind w:left="280"/>
              <w:spacing w:after="0"/>
              <w:rPr>
                <w:sz w:val="20"/>
                <w:szCs w:val="20"/>
                <w:color w:val="auto"/>
              </w:rPr>
            </w:pPr>
            <w:r>
              <w:rPr>
                <w:rFonts w:ascii="Arial" w:cs="Arial" w:eastAsia="Arial" w:hAnsi="Arial"/>
                <w:sz w:val="16"/>
                <w:szCs w:val="16"/>
                <w:b w:val="1"/>
                <w:bCs w:val="1"/>
                <w:color w:val="auto"/>
              </w:rPr>
              <w:t>- $</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96"/>
              </w:rPr>
              <w:t>(84,522,700)</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 (20,542,800)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w w:val="91"/>
              </w:rPr>
              <w:t>Allocated proceeds</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from sale of</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Units for cash</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under 2014</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Unit Private</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Placement,</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including</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beneficial</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conversion</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feature</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33,000</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277,200</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277,200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Proceeds from sale</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of Series B</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6"/>
              </w:rPr>
              <w:t>Preferred Units</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 cash under</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2015 Series B</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Preferred Unit</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Private</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Placement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717,978</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5,025,100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5,025,800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Share-based</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compensation</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expense</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4,041,400</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4,041,400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Conversion of</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4"/>
              </w:rPr>
              <w:t>Senior Secured</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0"/>
              </w:rPr>
              <w:t>and subordinate</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promissory</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notes into</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Series B</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2"/>
              </w:rPr>
              <w:t>Preferred stock,</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including</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recapture of</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beneficial</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conversion</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feature upon</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conversion</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3,018,917</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3,100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42,577,100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42,580,200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Elimination of</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w w:val="98"/>
              </w:rPr>
              <w:t>warrant liability</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resulting from</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modification of</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w w:val="93"/>
              </w:rPr>
              <w:t>PLTG Warrants</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4,903,100</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4,903,100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Exchange of</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8"/>
              </w:rPr>
              <w:t>common stock for</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4"/>
              </w:rPr>
              <w:t>Series B Preferred</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stock</w:t>
            </w:r>
          </w:p>
        </w:tc>
        <w:tc>
          <w:tcPr>
            <w:tcW w:w="5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30,000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(30,000)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w w:val="94"/>
              </w:rPr>
              <w:t>Accrued dividends</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on Series B</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w w:val="95"/>
              </w:rPr>
              <w:t>Preferred stock</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(2,140,500)</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(2,140,500)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Conversion of</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Series B</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5"/>
              </w:rPr>
              <w:t>Preferred stock</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into common</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5"/>
              </w:rPr>
              <w:t>stock, including</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common stock</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issued in</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payment of</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dividends</w:t>
            </w:r>
          </w:p>
        </w:tc>
        <w:tc>
          <w:tcPr>
            <w:tcW w:w="5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(228,818)</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235,655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50,900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Exchange of</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for Series C</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w w:val="95"/>
              </w:rPr>
              <w:t>Preferred stock</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200</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(200,000)</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Exchange of</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outstanding</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warrants for</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Series C</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5"/>
              </w:rPr>
              <w:t>Preferred stock</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2,118,012</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2,100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3,192,800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3,194,900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Exchange of</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814,989</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3,022,300</w:t>
            </w:r>
          </w:p>
        </w:tc>
        <w:tc>
          <w:tcPr>
            <w:tcW w:w="1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3,023,100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outstanding</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warrants for</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and other</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warrant</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modifications</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shd w:val="clear" w:color="auto" w:fill="CCEEFF"/>
          </w:tcPr>
          <w:p>
            <w:pPr>
              <w:ind w:left="60"/>
              <w:spacing w:after="0"/>
              <w:rPr>
                <w:sz w:val="20"/>
                <w:szCs w:val="20"/>
                <w:color w:val="auto"/>
              </w:rPr>
            </w:pPr>
            <w:r>
              <w:rPr>
                <w:rFonts w:ascii="Arial" w:cs="Arial" w:eastAsia="Arial" w:hAnsi="Arial"/>
                <w:sz w:val="16"/>
                <w:szCs w:val="16"/>
                <w:color w:val="auto"/>
              </w:rPr>
              <w:t>Fair value of</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6"/>
              </w:rPr>
              <w:t>common stock,</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Series B</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5"/>
              </w:rPr>
              <w:t>Preferred stock</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and warrants</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granted for</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services</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125,000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92,375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3,829,800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3,830,000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6"/>
                <w:szCs w:val="16"/>
                <w:color w:val="auto"/>
              </w:rPr>
              <w:t>Net loss for fiscal</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year ended</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w w:val="93"/>
              </w:rPr>
              <w:t>March 31, 2016</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6"/>
                <w:szCs w:val="16"/>
                <w:color w:val="auto"/>
              </w:rPr>
              <w:t>(47,220,500)</w:t>
            </w: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2"/>
              </w:rPr>
              <w:t>(47,220,500)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20" w:type="dxa"/>
            <w:vAlign w:val="bottom"/>
          </w:tcPr>
          <w:p>
            <w:pPr>
              <w:spacing w:after="0"/>
              <w:rPr>
                <w:sz w:val="20"/>
                <w:szCs w:val="20"/>
                <w:color w:val="auto"/>
              </w:rPr>
            </w:pPr>
            <w:r>
              <w:rPr>
                <w:rFonts w:ascii="Arial" w:cs="Arial" w:eastAsia="Arial" w:hAnsi="Arial"/>
                <w:sz w:val="16"/>
                <w:szCs w:val="16"/>
                <w:b w:val="1"/>
                <w:bCs w:val="1"/>
                <w:color w:val="auto"/>
                <w:w w:val="92"/>
              </w:rPr>
              <w:t>Balances at March</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31, 2016</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89"/>
              </w:rPr>
              <w:t>500,000</w:t>
            </w:r>
          </w:p>
        </w:tc>
        <w:tc>
          <w:tcPr>
            <w:tcW w:w="4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500</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9"/>
              </w:rPr>
              <w:t>3,663,077</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97"/>
              </w:rPr>
              <w:t>$ 3,700</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95"/>
              </w:rPr>
              <w:t>2,318,012</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9"/>
              </w:rPr>
              <w:t>2,300</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w w:val="87"/>
              </w:rPr>
              <w:t>2,623,145</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7"/>
              </w:rPr>
              <w:t>$ 2,600</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w w:val="87"/>
              </w:rPr>
              <w:t>$ 132,725,000</w:t>
            </w:r>
          </w:p>
        </w:tc>
        <w:tc>
          <w:tcPr>
            <w:tcW w:w="10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88"/>
              </w:rPr>
              <w:t>$ (3,968,100) $</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4"/>
          </w:tcPr>
          <w:p>
            <w:pPr>
              <w:jc w:val="right"/>
              <w:spacing w:after="0"/>
              <w:rPr>
                <w:sz w:val="20"/>
                <w:szCs w:val="20"/>
                <w:color w:val="auto"/>
              </w:rPr>
            </w:pPr>
            <w:r>
              <w:rPr>
                <w:rFonts w:ascii="Arial" w:cs="Arial" w:eastAsia="Arial" w:hAnsi="Arial"/>
                <w:sz w:val="16"/>
                <w:szCs w:val="16"/>
                <w:b w:val="1"/>
                <w:bCs w:val="1"/>
                <w:color w:val="auto"/>
                <w:w w:val="93"/>
              </w:rPr>
              <w:t>$ (131,743,200) $</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(2,977,200)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3" w:name="page94"/>
    <w:bookmarkEnd w:id="9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in patients with an inadequate response to standard antidepressants currently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AV-101’s mechanism of action, as an N-methyl D aspartate receptor (</w:t>
      </w:r>
      <w:r>
        <w:rPr>
          <w:rFonts w:ascii="Arial" w:cs="Arial" w:eastAsia="Arial" w:hAnsi="Arial"/>
          <w:sz w:val="18"/>
          <w:szCs w:val="18"/>
          <w:i w:val="1"/>
          <w:iCs w:val="1"/>
          <w:color w:val="auto"/>
        </w:rPr>
        <w:t>NMDAR</w:t>
      </w:r>
      <w:r>
        <w:rPr>
          <w:rFonts w:ascii="Arial" w:cs="Arial" w:eastAsia="Arial" w:hAnsi="Arial"/>
          <w:sz w:val="18"/>
          <w:szCs w:val="18"/>
          <w:color w:val="auto"/>
        </w:rPr>
        <w:t>) antagonist binding selectively at the glycine binding (</w:t>
      </w:r>
      <w:r>
        <w:rPr>
          <w:rFonts w:ascii="Arial" w:cs="Arial" w:eastAsia="Arial" w:hAnsi="Arial"/>
          <w:sz w:val="18"/>
          <w:szCs w:val="18"/>
          <w:i w:val="1"/>
          <w:iCs w:val="1"/>
          <w:color w:val="auto"/>
        </w:rPr>
        <w:t>GlyB</w:t>
      </w:r>
      <w:r>
        <w:rPr>
          <w:rFonts w:ascii="Arial" w:cs="Arial" w:eastAsia="Arial" w:hAnsi="Arial"/>
          <w:sz w:val="18"/>
          <w:szCs w:val="18"/>
          <w:color w:val="auto"/>
        </w:rPr>
        <w:t>) co-agonist site of the NMDAR, is fundamentally differentiated from all antidepressants, as well as all atypical antipsychotics used adjunctively with standard, FDA-approved antidepressants.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ongoing Phase 2a clinical study of AV-101 in subjects with treatment-resistant MDD is being conducted and funded by the U.S. National Institute of Mental Health (</w:t>
      </w:r>
      <w:r>
        <w:rPr>
          <w:rFonts w:ascii="Arial" w:cs="Arial" w:eastAsia="Arial" w:hAnsi="Arial"/>
          <w:sz w:val="17"/>
          <w:szCs w:val="17"/>
          <w:i w:val="1"/>
          <w:iCs w:val="1"/>
          <w:color w:val="auto"/>
        </w:rPr>
        <w:t>NIMH</w:t>
      </w:r>
      <w:r>
        <w:rPr>
          <w:rFonts w:ascii="Arial" w:cs="Arial" w:eastAsia="Arial" w:hAnsi="Arial"/>
          <w:sz w:val="17"/>
          <w:szCs w:val="17"/>
          <w:color w:val="auto"/>
        </w:rPr>
        <w:t>) under our February 2015 Cooperative Research and Development Agreement (</w:t>
      </w:r>
      <w:r>
        <w:rPr>
          <w:rFonts w:ascii="Arial" w:cs="Arial" w:eastAsia="Arial" w:hAnsi="Arial"/>
          <w:sz w:val="17"/>
          <w:szCs w:val="17"/>
          <w:i w:val="1"/>
          <w:iCs w:val="1"/>
          <w:color w:val="auto"/>
        </w:rPr>
        <w:t>CRADA</w:t>
      </w:r>
      <w:r>
        <w:rPr>
          <w:rFonts w:ascii="Arial" w:cs="Arial" w:eastAsia="Arial" w:hAnsi="Arial"/>
          <w:sz w:val="17"/>
          <w:szCs w:val="17"/>
          <w:color w:val="auto"/>
        </w:rPr>
        <w:t>) with the NIMH. The first patient in this NIMH-sponsored Phase 2a study was dosed in November 2015.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low dose intravenous (</w:t>
      </w:r>
      <w:r>
        <w:rPr>
          <w:rFonts w:ascii="Arial" w:cs="Arial" w:eastAsia="Arial" w:hAnsi="Arial"/>
          <w:sz w:val="17"/>
          <w:szCs w:val="17"/>
          <w:i w:val="1"/>
          <w:iCs w:val="1"/>
          <w:color w:val="auto"/>
        </w:rPr>
        <w:t>I.V.</w:t>
      </w:r>
      <w:r>
        <w:rPr>
          <w:rFonts w:ascii="Arial" w:cs="Arial" w:eastAsia="Arial" w:hAnsi="Arial"/>
          <w:sz w:val="17"/>
          <w:szCs w:val="17"/>
          <w:color w:val="auto"/>
        </w:rPr>
        <w:t>) ketamine on treatment-resistant depression. These NIMH studies, as well as clinical research by others, have demonstrated robust antidepressant effects in patients with treatment-resistant MDD within hours of a single low dose of I.V. ketamine and stimulated research and development around a new generation of antidepressants with potential to deliver ketamine-like fast-acting antidepressant benefits without ketamine-like side effects.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preparing to launch our Phase 2b clinical study of AV-101 for the adjunctive treatment of MDD in patients with an inadequate response to standard, FDA-approved antidepressants. We anticipate commencement of this multi-center, multi-dose, double blind, placebo-controlled Phase 2b efficacy and safety study in the fourth quarter of 2016. Dr. Maurizio Fava, Professor of Psychiatry at Harvard Medical School and Director, Division of Clinical Research, Massachusetts General Hospital (</w:t>
      </w:r>
      <w:r>
        <w:rPr>
          <w:rFonts w:ascii="Arial" w:cs="Arial" w:eastAsia="Arial" w:hAnsi="Arial"/>
          <w:sz w:val="18"/>
          <w:szCs w:val="18"/>
          <w:i w:val="1"/>
          <w:iCs w:val="1"/>
          <w:color w:val="auto"/>
        </w:rPr>
        <w:t>MGH</w:t>
      </w:r>
      <w:r>
        <w:rPr>
          <w:rFonts w:ascii="Arial" w:cs="Arial" w:eastAsia="Arial" w:hAnsi="Arial"/>
          <w:sz w:val="18"/>
          <w:szCs w:val="18"/>
          <w:color w:val="auto"/>
        </w:rPr>
        <w:t>) Research Institute and Executive Director, MGH Clinical Trials Network and Institute, will be the Principal Investigator of our Phase 2b study of AV-101 in MDD.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believe AV-101 has broad therapeutic utility, with multiple CNS pipeline expansion opportunities, including chronic neuropathic pain, epilepsy, Huntington’s disease and Parkinson’s disease.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clinical development of AV-101, we are focused on collaborating with third-parties to advance potential commercial applications of our human pluripotent stem cell (</w:t>
      </w:r>
      <w:r>
        <w:rPr>
          <w:rFonts w:ascii="Arial" w:cs="Arial" w:eastAsia="Arial" w:hAnsi="Arial"/>
          <w:sz w:val="17"/>
          <w:szCs w:val="17"/>
          <w:i w:val="1"/>
          <w:iCs w:val="1"/>
          <w:color w:val="auto"/>
        </w:rPr>
        <w:t>hPSC</w:t>
      </w:r>
      <w:r>
        <w:rPr>
          <w:rFonts w:ascii="Arial" w:cs="Arial" w:eastAsia="Arial" w:hAnsi="Arial"/>
          <w:sz w:val="17"/>
          <w:szCs w:val="17"/>
          <w:color w:val="auto"/>
        </w:rPr>
        <w:t>) technology platform, including drug rescue to develop proprietary small molecule new chemical entities (</w:t>
      </w:r>
      <w:r>
        <w:rPr>
          <w:rFonts w:ascii="Arial" w:cs="Arial" w:eastAsia="Arial" w:hAnsi="Arial"/>
          <w:sz w:val="17"/>
          <w:szCs w:val="17"/>
          <w:i w:val="1"/>
          <w:iCs w:val="1"/>
          <w:color w:val="auto"/>
        </w:rPr>
        <w:t>NCEs</w:t>
      </w:r>
      <w:r>
        <w:rPr>
          <w:rFonts w:ascii="Arial" w:cs="Arial" w:eastAsia="Arial" w:hAnsi="Arial"/>
          <w:sz w:val="17"/>
          <w:szCs w:val="17"/>
          <w:color w:val="auto"/>
        </w:rPr>
        <w:t>) for our internal drug candidate pipeline, and regenerative medicine (</w:t>
      </w:r>
      <w:r>
        <w:rPr>
          <w:rFonts w:ascii="Arial" w:cs="Arial" w:eastAsia="Arial" w:hAnsi="Arial"/>
          <w:sz w:val="17"/>
          <w:szCs w:val="17"/>
          <w:i w:val="1"/>
          <w:iCs w:val="1"/>
          <w:color w:val="auto"/>
        </w:rPr>
        <w:t>RM</w:t>
      </w:r>
      <w:r>
        <w:rPr>
          <w:rFonts w:ascii="Arial" w:cs="Arial" w:eastAsia="Arial" w:hAnsi="Arial"/>
          <w:sz w:val="17"/>
          <w:szCs w:val="17"/>
          <w:color w:val="auto"/>
        </w:rPr>
        <w:t>) using blood, cartilage, heart and/or liver cells derived from hPSCs.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Effective August 14, 2014, we consummated a 1-for-20 reverse split of our authorized, and issued and outstanding shares of common stock (the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color w:val="auto"/>
        </w:rPr>
        <w:t>). Each reference to shares of common stock or the price per share of common stock in these financial statements is post-Stock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reflects the 1-for-20 adjustment as a result of the Stock Consolidation. See Note 9, </w:t>
      </w:r>
      <w:r>
        <w:rPr>
          <w:rFonts w:ascii="Arial" w:cs="Arial" w:eastAsia="Arial" w:hAnsi="Arial"/>
          <w:sz w:val="18"/>
          <w:szCs w:val="18"/>
          <w:i w:val="1"/>
          <w:iCs w:val="1"/>
          <w:color w:val="auto"/>
        </w:rPr>
        <w:t>Capital Stock</w:t>
      </w:r>
      <w:r>
        <w:rPr>
          <w:rFonts w:ascii="Arial" w:cs="Arial" w:eastAsia="Arial" w:hAnsi="Arial"/>
          <w:sz w:val="18"/>
          <w:szCs w:val="18"/>
          <w:color w:val="auto"/>
        </w:rPr>
        <w:t>, for more information regarding the Stock Consolidation.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4" w:name="page95"/>
    <w:bookmarkEnd w:id="9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Consolidated Financial Statements have been prepared assuming that we will continue as a going concern. As a developing-technology company having not yet developed commercial products or achieved sustainable revenues, we have experienced recurring losses and negative cash flows from operations resulting in a deficit of $131.7 million accumulated from inception through March 31, 2016. We expect losses and negative cash flows from operations to continue for the foreseeable future as we engage in further potential development of AV-101 and launch and execute our drug rescue programs and pursue potential drug development and regenerative medicine opportunities.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Since our inception in May 1998 through March 31, 2016, we have financed our operations and technology acquisitions primarily through the issuance and sale of equity and debt securities, including convertible promissory notes and short-term promissory notes, for cash proceeds of approximately $34.5 million, as well as from an aggregate of approximately $16.4 million of government research grant awards, strategic collaboration payments and other revenues. Additionally, we have issued equity securities with an approximate value at issuance of $29.1 million in non-cash settlements of certain liabilities, including liabilities for professional services rendered to us or as compensation for such services.</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Between late-March 2014 and March 31, 2015, we entered into securities purchase agreements with accredited investors and institutions, including Platinum Long Term Growth VII, LLC (</w:t>
      </w:r>
      <w:r>
        <w:rPr>
          <w:rFonts w:ascii="Arial" w:cs="Arial" w:eastAsia="Arial" w:hAnsi="Arial"/>
          <w:sz w:val="16"/>
          <w:szCs w:val="16"/>
          <w:i w:val="1"/>
          <w:iCs w:val="1"/>
          <w:color w:val="auto"/>
        </w:rPr>
        <w:t>PLTG</w:t>
      </w:r>
      <w:r>
        <w:rPr>
          <w:rFonts w:ascii="Arial" w:cs="Arial" w:eastAsia="Arial" w:hAnsi="Arial"/>
          <w:sz w:val="16"/>
          <w:szCs w:val="16"/>
          <w:color w:val="auto"/>
        </w:rPr>
        <w:t>), pursuant to which we sold units to such accredited investors, in private placement transactions (</w:t>
      </w:r>
      <w:r>
        <w:rPr>
          <w:rFonts w:ascii="Arial" w:cs="Arial" w:eastAsia="Arial" w:hAnsi="Arial"/>
          <w:sz w:val="16"/>
          <w:szCs w:val="16"/>
          <w:i w:val="1"/>
          <w:iCs w:val="1"/>
          <w:color w:val="auto"/>
        </w:rPr>
        <w:t>2014 Units</w:t>
      </w:r>
      <w:r>
        <w:rPr>
          <w:rFonts w:ascii="Arial" w:cs="Arial" w:eastAsia="Arial" w:hAnsi="Arial"/>
          <w:sz w:val="16"/>
          <w:szCs w:val="16"/>
          <w:color w:val="auto"/>
        </w:rPr>
        <w:t xml:space="preserve"> or </w:t>
      </w:r>
      <w:r>
        <w:rPr>
          <w:rFonts w:ascii="Arial" w:cs="Arial" w:eastAsia="Arial" w:hAnsi="Arial"/>
          <w:sz w:val="16"/>
          <w:szCs w:val="16"/>
          <w:i w:val="1"/>
          <w:iCs w:val="1"/>
          <w:color w:val="auto"/>
        </w:rPr>
        <w:t>2014</w:t>
      </w:r>
      <w:r>
        <w:rPr>
          <w:rFonts w:ascii="Arial" w:cs="Arial" w:eastAsia="Arial" w:hAnsi="Arial"/>
          <w:sz w:val="16"/>
          <w:szCs w:val="16"/>
          <w:color w:val="auto"/>
        </w:rPr>
        <w:t xml:space="preserve"> </w:t>
      </w:r>
      <w:r>
        <w:rPr>
          <w:rFonts w:ascii="Arial" w:cs="Arial" w:eastAsia="Arial" w:hAnsi="Arial"/>
          <w:sz w:val="16"/>
          <w:szCs w:val="16"/>
          <w:i w:val="1"/>
          <w:iCs w:val="1"/>
          <w:color w:val="auto"/>
        </w:rPr>
        <w:t>Unit Private Placement</w:t>
      </w:r>
      <w:r>
        <w:rPr>
          <w:rFonts w:ascii="Arial" w:cs="Arial" w:eastAsia="Arial" w:hAnsi="Arial"/>
          <w:sz w:val="16"/>
          <w:szCs w:val="16"/>
          <w:color w:val="auto"/>
        </w:rPr>
        <w:t>), for aggregate cash proceeds of approximately $3.1 million, consisting of (i) 2014 Unit Notes in the aggregate face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$3.1 million which matured between March 31, 2015 and April 30, 2015, or were automatically convertible into securities we might issue upon the consummation of a Qualified Financing, as defined, (ii) an aggregate of 282,850 restricted shares of our common stock (</w:t>
      </w:r>
      <w:r>
        <w:rPr>
          <w:rFonts w:ascii="Arial" w:cs="Arial" w:eastAsia="Arial" w:hAnsi="Arial"/>
          <w:sz w:val="16"/>
          <w:szCs w:val="16"/>
          <w:i w:val="1"/>
          <w:iCs w:val="1"/>
          <w:color w:val="auto"/>
        </w:rPr>
        <w:t>2014 Unit Stock)</w:t>
      </w:r>
      <w:r>
        <w:rPr>
          <w:rFonts w:ascii="Arial" w:cs="Arial" w:eastAsia="Arial" w:hAnsi="Arial"/>
          <w:sz w:val="16"/>
          <w:szCs w:val="16"/>
          <w:color w:val="auto"/>
        </w:rPr>
        <w:t>; and (iii) warrants exercisable through December 31, 2016 to purchase an aggregate of 282,850 restricted shares of our common stock at an exercise price of $10.00 per share (</w:t>
      </w:r>
      <w:r>
        <w:rPr>
          <w:rFonts w:ascii="Arial" w:cs="Arial" w:eastAsia="Arial" w:hAnsi="Arial"/>
          <w:sz w:val="16"/>
          <w:szCs w:val="16"/>
          <w:i w:val="1"/>
          <w:iCs w:val="1"/>
          <w:color w:val="auto"/>
        </w:rPr>
        <w:t>2014 Unit Warrants).</w:t>
      </w:r>
      <w:r>
        <w:rPr>
          <w:rFonts w:ascii="Arial" w:cs="Arial" w:eastAsia="Arial" w:hAnsi="Arial"/>
          <w:sz w:val="16"/>
          <w:szCs w:val="16"/>
          <w:color w:val="auto"/>
        </w:rPr>
        <w:t xml:space="preserve"> Between April 1 and May 14, 2015, we continued the 2014 Unit Private Placement, pursuant to which we sold to accredited investors additional 2014 Units, for aggregate cash proceeds of $280,000, consisting of: (i) 10% convertible promissory notes maturing between April 30, 2015 and May 15, 2015, in the aggregate face amount of $280,000, (ii) an aggregate of 33,000 shares of our restricted common stock, and (iii) warrants exercisable through December 31, 2016 to purchase an aggregate of 24,250 restricted shares of our common stock at an exercise price of $10.00 per share.</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 described more completely in Note 8,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xml:space="preserve">, and Note 9, </w:t>
      </w:r>
      <w:r>
        <w:rPr>
          <w:rFonts w:ascii="Arial" w:cs="Arial" w:eastAsia="Arial" w:hAnsi="Arial"/>
          <w:sz w:val="16"/>
          <w:szCs w:val="16"/>
          <w:i w:val="1"/>
          <w:iCs w:val="1"/>
          <w:color w:val="auto"/>
        </w:rPr>
        <w:t>Capital Stock</w:t>
      </w:r>
      <w:r>
        <w:rPr>
          <w:rFonts w:ascii="Arial" w:cs="Arial" w:eastAsia="Arial" w:hAnsi="Arial"/>
          <w:sz w:val="16"/>
          <w:szCs w:val="16"/>
          <w:color w:val="auto"/>
        </w:rPr>
        <w:t>, in May 2015, we created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xml:space="preserve">). Between March 2015 and September 2015, we extinguished approximately $17.2 million of indebtedness through conversion of such indebtedness into our Series B Preferred and, with respect to a portion of the indebtedness converted, warrants to purchase our common stock. More specifically, we converted (i) all Senior Secured Convertible Promissory Notes originally issued to PLTG, (ii) all 2014 Unit Notes outstanding at March 31, 2015 and those issued subsequently, and (iii) certain other outstanding promissory notes and payables, including promissory notes issued to Cato Research Ltd., Cato Holding Company, Morrison &amp; Foerster LLP (Note A and Note B), McCarthy Tetrault, Burr Pilger &amp; Mayer, University Health Network (Toronto), the Icahn School of Medicine at Mount Sinai, National Jewish Health and others, into an aggregate of 2,618,917 shares of our Series B Preferred. Further, between May 2015 and March 31, 2016, we issued in self-placed private placement transactions with PLTG and other accredited investors, Series B Preferred Units consisting of an aggregate of 717,976 unregistered shares of Series B Preferred and five-year warrants to purchase 717,976 shares of our common stock, and we received cash proceeds of $5,025,800 therefrom. See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of an additional $278,000 received from self-placed private placement sales of Series B Preferred Units after March 31, 2016.</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5" w:name="page96"/>
    <w:bookmarkEnd w:id="9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At March 31, 2016, we did not have sufficient cash and cash equivalents to enable us to fund our planned operations, including expected cash expenditures of approximately $9.1 million over the next twelve months, including expenditures required to prepare for and launch our Phase 2b clinical trial of AV-101. However, as disclosed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between April 1, 2016 and May 4, 2016, we sold to accredited investors additional Series B Preferred Units consisting of 39,714 unregistered shares of Series B Preferred and five year warrants to purchase 39,714 shares of our common stock, and we received cash proceeds of $278,000. Further, on May 16, 2016 we consummated an underwritten public offering puruant to which we issued an aggregate of 2,570,040 registered shares of our common stock at the public offering price of $4.24 per share and five-year warrants to purchase up to 2,705,883 registered shares of common stock, with an exercise price of $5.30 per share, at the public offering price of $0.01 per warrant, including shares and warrants issued pursuant to to exercise of the underwriters' over-allotment option (the </w:t>
      </w:r>
      <w:r>
        <w:rPr>
          <w:rFonts w:ascii="Arial" w:cs="Arial" w:eastAsia="Arial" w:hAnsi="Arial"/>
          <w:sz w:val="16"/>
          <w:szCs w:val="16"/>
          <w:i w:val="1"/>
          <w:iCs w:val="1"/>
          <w:color w:val="auto"/>
        </w:rPr>
        <w:t>May 2016 Public Offering</w:t>
      </w:r>
      <w:r>
        <w:rPr>
          <w:rFonts w:ascii="Arial" w:cs="Arial" w:eastAsia="Arial" w:hAnsi="Arial"/>
          <w:sz w:val="16"/>
          <w:szCs w:val="16"/>
          <w:color w:val="auto"/>
        </w:rPr>
        <w:t>). We received net cash proceeds of approximately $9.5 million from the May 2016 Public offering after deducting fees and expenses. We expect the proceeds of these transactions to provide sufficient cash to sustain our operations through our fiscal year ending March 31, 2017, however they will not be adequate to enable the completion of our Phase 2b clinical trial of AV-101 in MDD. Accordingly, we intend to raise additional capital through sales of our securities, which may include both debt and equity securities. We may also seek research and development collaborations that could generate revenue, as well as government grant awards. Further, strategic collaborations, such as our February 2015 CRADA with the NIMH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200" w:lineRule="exact"/>
        <w:rPr>
          <w:sz w:val="20"/>
          <w:szCs w:val="20"/>
          <w:color w:val="auto"/>
        </w:rPr>
      </w:pP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These Consolidated Financial Statements do not include any adjustments that might result from the outcome of this uncertainty.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w:t>
      </w:r>
      <w:r>
        <w:rPr>
          <w:rFonts w:ascii="Arial" w:cs="Arial" w:eastAsia="Arial" w:hAnsi="Arial"/>
          <w:sz w:val="18"/>
          <w:szCs w:val="18"/>
          <w:i w:val="1"/>
          <w:iCs w:val="1"/>
          <w:color w:val="auto"/>
        </w:rPr>
        <w:t>U.S. GAAP</w:t>
      </w:r>
      <w:r>
        <w:rPr>
          <w:rFonts w:ascii="Arial" w:cs="Arial" w:eastAsia="Arial" w:hAnsi="Arial"/>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consolidated financial statements include the Company’s accounts, and the accounts of VistaGen California’s wholly-owned inactive subsidiaries, Artemis Neurosciences and VistaStem Canada.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6" w:name="page97"/>
    <w:bookmarkEnd w:id="9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or Disposal of Long-Lived Assets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evaluate our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we record an impairment loss in the amount by which the carrying value of the assets exceeds their fair value. If the assets are determined to be recoverable, but the useful lives are shorter than originally estimated, we depreciate or amortize the net book value of the assets over the newly determined remaining useful lives. We have not recorded any impairment charges to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do not currently have any such arrangements, we have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208" w:lineRule="exact"/>
        <w:rPr>
          <w:sz w:val="20"/>
          <w:szCs w:val="20"/>
          <w:color w:val="auto"/>
        </w:rPr>
      </w:pPr>
    </w:p>
    <w:p>
      <w:pPr>
        <w:jc w:val="both"/>
        <w:ind w:left="580" w:hanging="383"/>
        <w:spacing w:after="0" w:line="269" w:lineRule="auto"/>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9" w:lineRule="exact"/>
        <w:rPr>
          <w:rFonts w:ascii="Arial" w:cs="Arial" w:eastAsia="Arial" w:hAnsi="Arial"/>
          <w:sz w:val="17"/>
          <w:szCs w:val="17"/>
          <w:color w:val="auto"/>
        </w:rPr>
      </w:pPr>
    </w:p>
    <w:p>
      <w:pPr>
        <w:jc w:val="both"/>
        <w:ind w:left="580" w:hanging="383"/>
        <w:spacing w:after="0" w:line="297"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7" w:name="page98"/>
    <w:bookmarkEnd w:id="9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ind w:left="580" w:hanging="383"/>
        <w:spacing w:after="0" w:line="277"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which potentially subject us to concentrations of credit risk, consist principally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Between October 2012 and July 2013, we issued to PLTG warrants to purchase a substantial number of unregistered shares of our common stock and, subject to PLTG’s exercise of its rights to exchange shares of our Series A Preferred Stock that it holds, we were obligated to issue to PLTG an additional warrant (</w:t>
      </w:r>
      <w:r>
        <w:rPr>
          <w:rFonts w:ascii="Arial" w:cs="Arial" w:eastAsia="Arial" w:hAnsi="Arial"/>
          <w:sz w:val="17"/>
          <w:szCs w:val="17"/>
          <w:i w:val="1"/>
          <w:iCs w:val="1"/>
          <w:color w:val="auto"/>
        </w:rPr>
        <w:t>Series A Exchange Warrant</w:t>
      </w:r>
      <w:r>
        <w:rPr>
          <w:rFonts w:ascii="Arial" w:cs="Arial" w:eastAsia="Arial" w:hAnsi="Arial"/>
          <w:sz w:val="17"/>
          <w:szCs w:val="17"/>
          <w:color w:val="auto"/>
        </w:rPr>
        <w:t xml:space="preserve">) to purchase unregistered shares of common stock (collectively, the </w:t>
      </w:r>
      <w:r>
        <w:rPr>
          <w:rFonts w:ascii="Arial" w:cs="Arial" w:eastAsia="Arial" w:hAnsi="Arial"/>
          <w:sz w:val="17"/>
          <w:szCs w:val="17"/>
          <w:i w:val="1"/>
          <w:iCs w:val="1"/>
          <w:color w:val="auto"/>
        </w:rPr>
        <w:t>PLTG Warrants</w:t>
      </w:r>
      <w:r>
        <w:rPr>
          <w:rFonts w:ascii="Arial" w:cs="Arial" w:eastAsia="Arial" w:hAnsi="Arial"/>
          <w:sz w:val="17"/>
          <w:szCs w:val="17"/>
          <w:color w:val="auto"/>
        </w:rPr>
        <w:t xml:space="preserve">). The PLTG Warrants contained an exercise price adjustment feature that would lower the exercise price of the warrants in the event we subsequently issued equity instruments at a price lower than the exercise price of the PLTG Warrants. We accounted for the PLTG Warrants as non-cash liabilities and estimated their fair value as described in Note 4, </w:t>
      </w:r>
      <w:r>
        <w:rPr>
          <w:rFonts w:ascii="Arial" w:cs="Arial" w:eastAsia="Arial" w:hAnsi="Arial"/>
          <w:sz w:val="17"/>
          <w:szCs w:val="17"/>
          <w:i w:val="1"/>
          <w:iCs w:val="1"/>
          <w:color w:val="auto"/>
        </w:rPr>
        <w:t>Fair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Value Measurements, </w:t>
      </w:r>
      <w:r>
        <w:rPr>
          <w:rFonts w:ascii="Arial" w:cs="Arial" w:eastAsia="Arial" w:hAnsi="Arial"/>
          <w:sz w:val="17"/>
          <w:szCs w:val="17"/>
          <w:color w:val="auto"/>
        </w:rPr>
        <w:t>Note 8,</w:t>
      </w:r>
      <w:r>
        <w:rPr>
          <w:rFonts w:ascii="Arial" w:cs="Arial" w:eastAsia="Arial" w:hAnsi="Arial"/>
          <w:sz w:val="17"/>
          <w:szCs w:val="17"/>
          <w:i w:val="1"/>
          <w:iCs w:val="1"/>
          <w:color w:val="auto"/>
        </w:rPr>
        <w:t xml:space="preserve"> Convertible Promissory Notes and Other Notes Payable</w:t>
      </w:r>
      <w:r>
        <w:rPr>
          <w:rFonts w:ascii="Arial" w:cs="Arial" w:eastAsia="Arial" w:hAnsi="Arial"/>
          <w:sz w:val="17"/>
          <w:szCs w:val="17"/>
          <w:color w:val="auto"/>
        </w:rPr>
        <w:t>, and Note 9</w:t>
      </w:r>
      <w:r>
        <w:rPr>
          <w:rFonts w:ascii="Arial" w:cs="Arial" w:eastAsia="Arial" w:hAnsi="Arial"/>
          <w:sz w:val="17"/>
          <w:szCs w:val="17"/>
          <w:i w:val="1"/>
          <w:iCs w:val="1"/>
          <w:color w:val="auto"/>
        </w:rPr>
        <w:t>, Capital Stock</w:t>
      </w:r>
      <w:r>
        <w:rPr>
          <w:rFonts w:ascii="Arial" w:cs="Arial" w:eastAsia="Arial" w:hAnsi="Arial"/>
          <w:sz w:val="17"/>
          <w:szCs w:val="17"/>
          <w:color w:val="auto"/>
        </w:rPr>
        <w:t>. We computed the fair value of the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at each reporting period and recorded the change in the fair value as non-cash expense or non-cash income. The key component in determining the fair value of the PLTG Warrants and the related liability was the market price of our common stock, which is subject to significant fluctuation and is not under our control. The resulting change in the fair value of the warrant liability on our net loss was therefore also subject to significant fluctuation and would have continued to be so until all of the PLTG Warrants were issued and exercised, amended or expired. Assuming all other fair value inputs remained generally constant, we recorded an increase in the warrant liability and non-cash losses when our stock price increased and a decrease in the warrant liability and non-cash income when our stock price decreased.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8" w:name="page99"/>
    <w:bookmarkEnd w:id="9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Notwithstanding the foregoing, and as described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on May 12,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amendments to the PLTG Warrants resulted in the elimination of the warrant liability with respect to the PLTG Warrants during the quarter ending June 30, 2015. As further described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the PLTG Warrants, including the right to receive the Series A Exchange Warrant, were cancelled in exchange for our issuance of shares of our Series C Preferred stock to PLTG in January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Basic net income (loss) per share of common stock excludes the effect of dilution and is computed by dividing net income (loss) by the weighted-average number of shares of common stock outstanding for the period. Diluted net income (loss) per share of common stock reflects the potential dilution that could occur if securities or other contracts to issue shares of common stock were exercised or converted into shares of common stock. In calculating diluted net income (loss) per share, we have adjusted the numerator for the change in the fair value of the warrant liability attributable to the outstanding PLTG Warrants, only if dilutive, and increased the denominator to include the number of potentially dilutive common shares assumed to be outstanding during the period using the treasury stock method. As a result of our net loss for both years presented, potentially dilutive securities were excluded from the computation of diluted loss per share, as their effect would be antidilutive.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Basic and diluted net loss attributable to common stockholders per share was computed as follows: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1"/>
              </w:rPr>
              <w:t>Twelve Months Ended March</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attributable to common stockholders for basic net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per share</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(51,419,000)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(13,885,800)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20"/>
              <w:spacing w:after="0" w:line="201" w:lineRule="exact"/>
              <w:rPr>
                <w:sz w:val="20"/>
                <w:szCs w:val="20"/>
                <w:color w:val="auto"/>
              </w:rPr>
            </w:pPr>
            <w:r>
              <w:rPr>
                <w:rFonts w:ascii="Arial" w:cs="Arial" w:eastAsia="Arial" w:hAnsi="Arial"/>
                <w:sz w:val="18"/>
                <w:szCs w:val="18"/>
                <w:color w:val="auto"/>
              </w:rPr>
              <w:t>less: change in fair value of warrant liability attributable to outstanding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ind w:left="1120"/>
              <w:spacing w:after="0"/>
              <w:rPr>
                <w:sz w:val="20"/>
                <w:szCs w:val="20"/>
                <w:color w:val="auto"/>
              </w:rPr>
            </w:pPr>
            <w:r>
              <w:rPr>
                <w:rFonts w:ascii="Arial" w:cs="Arial" w:eastAsia="Arial" w:hAnsi="Arial"/>
                <w:sz w:val="18"/>
                <w:szCs w:val="18"/>
                <w:color w:val="auto"/>
              </w:rPr>
              <w:t>warrants issued to PLTG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Net loss for diluted earnings per share attributable to common stockholders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(51,419,000)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(13,991,000)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basic common shares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1,767,957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Assumed conversion of dilutive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Warrants to purchase common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120"/>
              <w:spacing w:after="0"/>
              <w:rPr>
                <w:sz w:val="20"/>
                <w:szCs w:val="20"/>
                <w:color w:val="auto"/>
              </w:rPr>
            </w:pPr>
            <w:r>
              <w:rPr>
                <w:rFonts w:ascii="Arial" w:cs="Arial" w:eastAsia="Arial" w:hAnsi="Arial"/>
                <w:sz w:val="18"/>
                <w:szCs w:val="18"/>
                <w:color w:val="auto"/>
              </w:rPr>
              <w:t>Potentially dilutive common shares assumed converted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20"/>
              <w:spacing w:after="0" w:line="201" w:lineRule="exact"/>
              <w:rPr>
                <w:sz w:val="20"/>
                <w:szCs w:val="20"/>
                <w:color w:val="auto"/>
              </w:rPr>
            </w:pPr>
            <w:r>
              <w:rPr>
                <w:rFonts w:ascii="Arial" w:cs="Arial" w:eastAsia="Arial" w:hAnsi="Arial"/>
                <w:sz w:val="18"/>
                <w:szCs w:val="18"/>
                <w:color w:val="auto"/>
              </w:rPr>
              <w:t>Denominator for diluted earnings per share - adjusted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120"/>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1,767,957</w:t>
            </w: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1,318,813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Basic net loss attributable to common stockholders per common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(29.08)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Diluted net loss attributable to common stockholders per common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(29.08)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jc w:val="right"/>
              <w:ind w:right="275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87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9" w:name="page100"/>
    <w:bookmarkEnd w:id="9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Potentially dilutive securities excluded in determining diluted net loss per common share for the fiscal years ended March 31, 2016 and 2015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0" w:type="dxa"/>
            <w:vAlign w:val="bottom"/>
            <w:gridSpan w:val="4"/>
          </w:tcPr>
          <w:p>
            <w:pPr>
              <w:ind w:left="620"/>
              <w:spacing w:after="0"/>
              <w:rPr>
                <w:sz w:val="20"/>
                <w:szCs w:val="20"/>
                <w:color w:val="auto"/>
              </w:rPr>
            </w:pPr>
            <w:r>
              <w:rPr>
                <w:rFonts w:ascii="Arial" w:cs="Arial" w:eastAsia="Arial" w:hAnsi="Arial"/>
                <w:sz w:val="18"/>
                <w:szCs w:val="18"/>
                <w:b w:val="1"/>
                <w:bCs w:val="1"/>
                <w:color w:val="auto"/>
              </w:rPr>
              <w:t>As of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5"/>
                <w:szCs w:val="25"/>
                <w:color w:val="auto"/>
                <w:vertAlign w:val="superscript"/>
              </w:rPr>
              <w:t>(1)</w:t>
            </w:r>
          </w:p>
        </w:tc>
        <w:tc>
          <w:tcPr>
            <w:tcW w:w="3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5"/>
                <w:szCs w:val="25"/>
                <w:color w:val="auto"/>
                <w:vertAlign w:val="superscript"/>
              </w:rPr>
              <w:t>(2)</w:t>
            </w:r>
          </w:p>
        </w:tc>
        <w:tc>
          <w:tcPr>
            <w:tcW w:w="3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3,663,077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5"/>
                <w:szCs w:val="25"/>
                <w:color w:val="auto"/>
                <w:vertAlign w:val="superscript"/>
              </w:rPr>
              <w:t>(3)</w:t>
            </w:r>
          </w:p>
        </w:tc>
        <w:tc>
          <w:tcPr>
            <w:tcW w:w="3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2,318,012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under the 2008 and 1999 Stock Incentive Plans</w:t>
            </w:r>
          </w:p>
        </w:tc>
        <w:tc>
          <w:tcPr>
            <w:tcW w:w="3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336,987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3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1,907,221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1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Warrant shares issuable to PLTG upon exchange of Series A Preferred under the terms of the October 11, 2012 Note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and Purchase Agreement, as subsequently amended</w:t>
            </w:r>
          </w:p>
        </w:tc>
        <w:tc>
          <w:tcPr>
            <w:tcW w:w="3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1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10% Senior Secured Convertible Notes issued to PLTG between October 2012 and July 2013, including accrued interest</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through March 31, 2015</w:t>
            </w:r>
          </w:p>
        </w:tc>
        <w:tc>
          <w:tcPr>
            <w:tcW w:w="3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10% convertible notes issued as a component of 2014 Unit Private Placement, including</w:t>
            </w:r>
          </w:p>
        </w:tc>
        <w:tc>
          <w:tcPr>
            <w:tcW w:w="3780" w:type="dxa"/>
            <w:vAlign w:val="bottom"/>
            <w:gridSpan w:val="3"/>
            <w:shd w:val="clear" w:color="auto" w:fill="CCEEFF"/>
          </w:tcPr>
          <w:p>
            <w:pPr>
              <w:jc w:val="right"/>
              <w:ind w:right="1980"/>
              <w:spacing w:after="0" w:line="201" w:lineRule="exact"/>
              <w:rPr>
                <w:sz w:val="20"/>
                <w:szCs w:val="20"/>
                <w:color w:val="auto"/>
              </w:rPr>
            </w:pPr>
            <w:r>
              <w:rPr>
                <w:rFonts w:ascii="Arial" w:cs="Arial" w:eastAsia="Arial" w:hAnsi="Arial"/>
                <w:sz w:val="18"/>
                <w:szCs w:val="18"/>
                <w:color w:val="auto"/>
                <w:w w:val="91"/>
              </w:rPr>
              <w:t>accrued interest through</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2015</w:t>
            </w:r>
          </w:p>
        </w:tc>
        <w:tc>
          <w:tcPr>
            <w:tcW w:w="3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433,758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8,975,297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3,755,105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380" w:type="dxa"/>
            <w:vAlign w:val="bottom"/>
            <w:tcBorders>
              <w:top w:val="single" w:sz="8" w:color="CCEEFF"/>
            </w:tcBorders>
          </w:tcPr>
          <w:p>
            <w:pPr>
              <w:spacing w:after="0" w:line="206" w:lineRule="exact"/>
              <w:rPr>
                <w:sz w:val="20"/>
                <w:szCs w:val="20"/>
                <w:color w:val="auto"/>
              </w:rPr>
            </w:pPr>
            <w:r>
              <w:rPr>
                <w:rFonts w:ascii="Arial" w:cs="Arial" w:eastAsia="Arial" w:hAnsi="Arial"/>
                <w:sz w:val="18"/>
                <w:szCs w:val="18"/>
                <w:color w:val="auto"/>
              </w:rPr>
              <w:t>____________</w:t>
            </w:r>
          </w:p>
        </w:tc>
        <w:tc>
          <w:tcPr>
            <w:tcW w:w="24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ind w:left="200" w:hanging="192"/>
        <w:spacing w:after="0" w:line="199" w:lineRule="auto"/>
        <w:tabs>
          <w:tab w:leader="none" w:pos="200" w:val="left"/>
        </w:tabs>
        <w:numPr>
          <w:ilvl w:val="0"/>
          <w:numId w:val="43"/>
        </w:numPr>
        <w:rPr>
          <w:rFonts w:ascii="Arial" w:cs="Arial" w:eastAsia="Arial" w:hAnsi="Arial"/>
          <w:sz w:val="23"/>
          <w:szCs w:val="23"/>
          <w:color w:val="auto"/>
          <w:vertAlign w:val="superscript"/>
        </w:rPr>
      </w:pPr>
      <w:r>
        <w:rPr>
          <w:rFonts w:ascii="Arial" w:cs="Arial" w:eastAsia="Arial" w:hAnsi="Arial"/>
          <w:sz w:val="17"/>
          <w:szCs w:val="17"/>
          <w:color w:val="auto"/>
        </w:rPr>
        <w:t>Assumes exchange under the terms of the October 11, 2012 Note Exchange and Purchase Agreement with PLTG, as amended</w:t>
      </w:r>
    </w:p>
    <w:p>
      <w:pPr>
        <w:spacing w:after="0" w:line="2" w:lineRule="exact"/>
        <w:rPr>
          <w:rFonts w:ascii="Arial" w:cs="Arial" w:eastAsia="Arial" w:hAnsi="Arial"/>
          <w:sz w:val="23"/>
          <w:szCs w:val="23"/>
          <w:color w:val="auto"/>
          <w:vertAlign w:val="superscript"/>
        </w:rPr>
      </w:pPr>
    </w:p>
    <w:p>
      <w:pPr>
        <w:ind w:right="420" w:firstLine="8"/>
        <w:spacing w:after="0" w:line="249" w:lineRule="auto"/>
        <w:tabs>
          <w:tab w:leader="none" w:pos="182"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Assumes exchange under the terms of the Certificate of Designation of the Relative Rights and Preferences of the Series B 10% Convertible Preferred Stock, effective May 5, 2015</w:t>
      </w:r>
    </w:p>
    <w:p>
      <w:pPr>
        <w:ind w:right="280" w:firstLine="8"/>
        <w:spacing w:after="0" w:line="265" w:lineRule="auto"/>
        <w:tabs>
          <w:tab w:leader="none" w:pos="182"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Assumes exchange under the terms of the Certificate of Designation of the Relative Rights and Preferences of the Series C Convertible Preferred Stock, effective January 25,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2014, the Financial Accounting Standards Board (</w:t>
      </w:r>
      <w:r>
        <w:rPr>
          <w:rFonts w:ascii="Arial" w:cs="Arial" w:eastAsia="Arial" w:hAnsi="Arial"/>
          <w:sz w:val="17"/>
          <w:szCs w:val="17"/>
          <w:i w:val="1"/>
          <w:i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i w:val="1"/>
          <w:iCs w:val="1"/>
          <w:color w:val="auto"/>
        </w:rPr>
        <w:t>ASU</w:t>
      </w:r>
      <w:r>
        <w:rPr>
          <w:rFonts w:ascii="Arial" w:cs="Arial" w:eastAsia="Arial" w:hAnsi="Arial"/>
          <w:sz w:val="17"/>
          <w:szCs w:val="17"/>
          <w:color w:val="auto"/>
        </w:rPr>
        <w:t xml:space="preserve">)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which supersedes the revenue recognition requirements in ASC 605,</w:t>
      </w:r>
      <w:r>
        <w:rPr>
          <w:rFonts w:ascii="Arial" w:cs="Arial" w:eastAsia="Arial" w:hAnsi="Arial"/>
          <w:sz w:val="17"/>
          <w:szCs w:val="17"/>
          <w:i w:val="1"/>
          <w:iCs w:val="1"/>
          <w:color w:val="auto"/>
        </w:rPr>
        <w:t xml:space="preserve"> Revenue Recognition</w:t>
      </w:r>
      <w:r>
        <w:rPr>
          <w:rFonts w:ascii="Arial" w:cs="Arial" w:eastAsia="Arial" w:hAnsi="Arial"/>
          <w:sz w:val="17"/>
          <w:szCs w:val="17"/>
          <w:color w:val="auto"/>
        </w:rPr>
        <w:t>. The amendment in this ASU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In August 2015, the FASB issued an update to defer the effective date of this ASU by one year. The ASU is now effective for public entities for annual and interim periods beginning after December 15, 2017 (the first quarter of our fiscal year ending March 31, 2019). We do not currently have, nor have we recently had, revenue generating activities. Accordingly, we have not determined the potential effects of adopting this ASU on our consolidated financial statements.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March 2016, the FASB issued ASU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Gross versus Net)</w:t>
      </w:r>
      <w:r>
        <w:rPr>
          <w:rFonts w:ascii="Arial" w:cs="Arial" w:eastAsia="Arial" w:hAnsi="Arial"/>
          <w:sz w:val="17"/>
          <w:szCs w:val="17"/>
          <w:color w:val="auto"/>
        </w:rPr>
        <w:t>. The ASU does not change the core principle of the guidance in the aforementioned ASU 2014-09, instead, the amendments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Update are intended to improve the operability and understandability of the implementation guidance on principal versus agent considerations and whether an entity reports revenue on a gross or net basis. ASU 2016-08 will have the same effective date and transition requirements as ASU 2014-09. We have not determined the potential effects of adopting this ASU on our consolidated financial statements.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2016, the FASB issued ASU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The amendments in this Update affect the guidance in the aforementioned ASU 2014-09 by clarifying two aspects: identifying performance obligations and the licensing implementation guidance. ASU 2016-10 will have the same effective date and transition requirements as the ASU 2014-09. We have not determined the potential effects of adopting this ASU on our consolidated financial statements.</w:t>
      </w:r>
    </w:p>
    <w:p>
      <w:pPr>
        <w:sectPr>
          <w:pgSz w:w="11900" w:h="16838" w:orient="portrait"/>
          <w:cols w:equalWidth="0" w:num="1">
            <w:col w:w="11420"/>
          </w:cols>
          <w:pgMar w:left="240" w:top="130"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00" w:name="page101"/>
    <w:bookmarkEnd w:id="10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2016, the FASB issued ASU 2016-12, </w:t>
      </w:r>
      <w:r>
        <w:rPr>
          <w:rFonts w:ascii="Arial" w:cs="Arial" w:eastAsia="Arial" w:hAnsi="Arial"/>
          <w:sz w:val="18"/>
          <w:szCs w:val="18"/>
          <w:i w:val="1"/>
          <w:iCs w:val="1"/>
          <w:color w:val="auto"/>
        </w:rPr>
        <w:t>Revenue from Contracts with Customers (Topic 606): Narrow Scope Improvements and Practical Expedients.</w:t>
      </w:r>
      <w:r>
        <w:rPr>
          <w:rFonts w:ascii="Arial" w:cs="Arial" w:eastAsia="Arial" w:hAnsi="Arial"/>
          <w:sz w:val="18"/>
          <w:szCs w:val="18"/>
          <w:color w:val="auto"/>
        </w:rPr>
        <w:t xml:space="preserve"> The amendments in this Update affect the guidance in the aforementioned ASU 2014-09 by clarifying certain specific aspects of the guidance, including assessment of collectability, treatment of sales taxes and contract modifications, and providing certain technical corrections. ASU 2016-12 will have the same effective date and transition requirements as the ASU 2014-09. We have not determined the potential effects of adopting this ASU on our consolidated financial statements.</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an Entity’s Ability to Continue as a Going Concern. </w:t>
      </w:r>
      <w:r>
        <w:rPr>
          <w:rFonts w:ascii="Arial" w:cs="Arial" w:eastAsia="Arial" w:hAnsi="Arial"/>
          <w:sz w:val="16"/>
          <w:szCs w:val="16"/>
          <w:color w:val="auto"/>
        </w:rPr>
        <w:t>The ASU sets forth a requirement for management to evaluate whether there are conditions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events that raise substantial doubt about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or other disclosures when substantial doubt is not alleviated; and (6) require an assessment for a period of one year after the date the financial statements are issued or available to be issued. Substantial doubt about an entity’s ability to continue as a going concern exists when relevant conditions and events, considered in the aggregate, indicate that it is probable (as defined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that the entity will be unable to meet its obligations as they become due within one year after the date that the financial statements are issued or are available to be issued. If substantial doubt exists, the extent of the required disclosures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financial statements for our fiscal year ended March 31, 2015, our auditors indicated that there was substantial doubt about our ability to continue as a going concern. Based on our consummation of the May 2016 Registered Offering and other considerations, their opinion on our financial statements for our fiscal year ended March 31, 2016 did not indicate the presence of such doubt. Although we have not yet adopted ASU 2014-15, we have indicated in Note 2, </w:t>
      </w:r>
      <w:r>
        <w:rPr>
          <w:rFonts w:ascii="Arial" w:cs="Arial" w:eastAsia="Arial" w:hAnsi="Arial"/>
          <w:sz w:val="16"/>
          <w:szCs w:val="16"/>
          <w:i w:val="1"/>
          <w:iCs w:val="1"/>
          <w:color w:val="auto"/>
        </w:rPr>
        <w:t>Basis of Presentation</w:t>
      </w:r>
      <w:r>
        <w:rPr>
          <w:rFonts w:ascii="Arial" w:cs="Arial" w:eastAsia="Arial" w:hAnsi="Arial"/>
          <w:sz w:val="16"/>
          <w:szCs w:val="16"/>
          <w:color w:val="auto"/>
        </w:rPr>
        <w:t>, steps we have taken to provide sufficient additional financing that is expected to permit us to continue our operations for at least one year. Upon our adoption of ASU 2014-15, should conditions at such time indicate there is substantial doubt about our ability to continue as a going concern, or that such doubt has been alleviated, we will conform our disclosure to the guidance contained in ASU 2014-15.</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 - Imputation of Interest (Subtopic 835-30): Simplifying the Presentation of Debt Issuance Costs</w:t>
      </w:r>
      <w:r>
        <w:rPr>
          <w:rFonts w:ascii="Arial" w:cs="Arial" w:eastAsia="Arial" w:hAnsi="Arial"/>
          <w:sz w:val="17"/>
          <w:szCs w:val="17"/>
          <w:color w:val="auto"/>
        </w:rPr>
        <w:t>. The amendments in this ASU require that debt issuance costs related to a recognized debt liability be presented in the balance sheet as a direct deduction from the carrying amount of that debt liability, consistent with debt discounts. The amendments in this update are effective for financial statements issued for fiscal years ending after December 31, 2015, and interim periods within those fiscal years. We have adopted this ASU as of the beginning of our fiscal year beginning April 1, 2016. Although adoption of this ASU has had no effect on the accompanying financial statements, should we incur debt issuance costs in the future, we will treat such costs as a deduction from the carrying amount of such liability.</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which amends existing guidance on income taxes to require the classification of all deferred tax assets and liabilities as non-current on the balance sheet. The Company is required to adopt this ASU no later than April 1, 2017, with early adoption permitted, and the guidance may be applied either prospectively or retrospectively. We do not expect this ASU to have a material impact on our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The updated guidance enhances the reporting model for financial instruments, which includes amendments to address aspects of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presentation and disclosure. The amendment to the standard is effective for financial statements issued for fiscal years beginning after December 15, 2017, and interim periods within those fiscal years. We do not believe that this ASU will have a material effect on our consolidated financial statements.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1" w:name="page102"/>
    <w:bookmarkEnd w:id="10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 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ASC 842 supersedes the previous leases standard, ASC 840, </w:t>
      </w:r>
      <w:r>
        <w:rPr>
          <w:rFonts w:ascii="Arial" w:cs="Arial" w:eastAsia="Arial" w:hAnsi="Arial"/>
          <w:sz w:val="16"/>
          <w:szCs w:val="16"/>
          <w:i w:val="1"/>
          <w:iCs w:val="1"/>
          <w:color w:val="auto"/>
        </w:rPr>
        <w:t>Leases</w:t>
      </w:r>
      <w:r>
        <w:rPr>
          <w:rFonts w:ascii="Arial" w:cs="Arial" w:eastAsia="Arial" w:hAnsi="Arial"/>
          <w:sz w:val="16"/>
          <w:szCs w:val="16"/>
          <w:color w:val="auto"/>
        </w:rPr>
        <w:t>. The standard is effective for financial statements issued for fiscal years beginning after December 15, 2018, and interim periods within those fiscal years, with early adoption permitted. We do not expect that this ASU will have a material effect on our consolidated financial statements.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718): Improvements to Employee Share-Based Payment Accounting. The ASU includes multiple provisions intended to simplify various aspects of the accounting for share-based payments. While aimed at reducing the cost and complexity of the accounting for share-based payments, the amendments are expected to significantly impact net income, EPS, and the statement of cash flows. For public companies, the amendments in this ASU are effective for annual periods beginning after December 15, 2016, and interim periods within those annual periods. Early adoption is permitted. We are evaluating the impact of this ASU on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92" w:lineRule="exact"/>
        <w:rPr>
          <w:sz w:val="20"/>
          <w:szCs w:val="20"/>
          <w:color w:val="auto"/>
        </w:rPr>
      </w:pPr>
    </w:p>
    <w:p>
      <w:pPr>
        <w:ind w:left="580" w:right="220" w:hanging="383"/>
        <w:spacing w:after="0" w:line="277"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gives the highest priority to Level 1 inputs.</w:t>
      </w:r>
    </w:p>
    <w:p>
      <w:pPr>
        <w:spacing w:after="0" w:line="197" w:lineRule="exact"/>
        <w:rPr>
          <w:rFonts w:ascii="Arial" w:cs="Arial" w:eastAsia="Arial" w:hAnsi="Arial"/>
          <w:sz w:val="18"/>
          <w:szCs w:val="18"/>
          <w:color w:val="auto"/>
        </w:rPr>
      </w:pPr>
    </w:p>
    <w:p>
      <w:pPr>
        <w:ind w:left="580" w:right="340" w:hanging="383"/>
        <w:spacing w:after="0" w:line="264"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208" w:lineRule="exact"/>
        <w:rPr>
          <w:rFonts w:ascii="Arial" w:cs="Arial" w:eastAsia="Arial" w:hAnsi="Arial"/>
          <w:sz w:val="18"/>
          <w:szCs w:val="18"/>
          <w:color w:val="auto"/>
        </w:rPr>
      </w:pPr>
    </w:p>
    <w:p>
      <w:pPr>
        <w:ind w:left="580" w:right="160" w:hanging="383"/>
        <w:spacing w:after="0" w:line="264"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 would</w:t>
      </w:r>
      <w:r>
        <w:rPr>
          <w:rFonts w:ascii="Arial" w:cs="Arial" w:eastAsia="Arial" w:hAnsi="Arial"/>
          <w:sz w:val="18"/>
          <w:szCs w:val="18"/>
          <w:i w:val="1"/>
          <w:iCs w:val="1"/>
          <w:color w:val="auto"/>
        </w:rPr>
        <w:t xml:space="preserve"> </w:t>
      </w:r>
      <w:r>
        <w:rPr>
          <w:rFonts w:ascii="Arial" w:cs="Arial" w:eastAsia="Arial" w:hAnsi="Arial"/>
          <w:sz w:val="18"/>
          <w:szCs w:val="18"/>
          <w:color w:val="auto"/>
        </w:rPr>
        <w:t>use in estimating the fair value of an asset or liability) are used when little or no market data is available. The fair value hierarchy gives the lowest priority to Level 3 inputs.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do not use derivative instruments for hedging of market risks or for trading or speculative purposes. In conjunction with the Senior Secured Convertible Promissory Notes issued to PLTG between October 2012 and July 2013 and the related PLTG Warrants (see Note 8, </w:t>
      </w:r>
      <w:r>
        <w:rPr>
          <w:rFonts w:ascii="Arial" w:cs="Arial" w:eastAsia="Arial" w:hAnsi="Arial"/>
          <w:sz w:val="16"/>
          <w:szCs w:val="16"/>
          <w:i w:val="1"/>
          <w:iCs w:val="1"/>
          <w:color w:val="auto"/>
        </w:rPr>
        <w:t>Convertible Promissory Notes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Notes Payable</w:t>
      </w:r>
      <w:r>
        <w:rPr>
          <w:rFonts w:ascii="Arial" w:cs="Arial" w:eastAsia="Arial" w:hAnsi="Arial"/>
          <w:sz w:val="16"/>
          <w:szCs w:val="16"/>
          <w:color w:val="auto"/>
        </w:rPr>
        <w:t>), and the contingently issuable Series A Exchange Warrant (see Note 9,</w:t>
      </w:r>
      <w:r>
        <w:rPr>
          <w:rFonts w:ascii="Arial" w:cs="Arial" w:eastAsia="Arial" w:hAnsi="Arial"/>
          <w:sz w:val="16"/>
          <w:szCs w:val="16"/>
          <w:i w:val="1"/>
          <w:iCs w:val="1"/>
          <w:color w:val="auto"/>
        </w:rPr>
        <w:t xml:space="preserve"> Capital Stock</w:t>
      </w:r>
      <w:r>
        <w:rPr>
          <w:rFonts w:ascii="Arial" w:cs="Arial" w:eastAsia="Arial" w:hAnsi="Arial"/>
          <w:sz w:val="16"/>
          <w:szCs w:val="16"/>
          <w:color w:val="auto"/>
        </w:rPr>
        <w:t>), we determined that the warrants included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adjustment features requiring the warrants to be treated as liabilities, which were recorded at their issuance-date estimated fair values. We determined the fair value of the warrant liabilities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PLTG’s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2016 and 2015.</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2" w:name="page103"/>
    <w:bookmarkEnd w:id="10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gridSpan w:val="6"/>
          </w:tcPr>
          <w:p>
            <w:pPr>
              <w:spacing w:after="0"/>
              <w:rPr>
                <w:sz w:val="20"/>
                <w:szCs w:val="20"/>
                <w:color w:val="auto"/>
              </w:rPr>
            </w:pPr>
            <w:r>
              <w:rPr>
                <w:rFonts w:ascii="Arial" w:cs="Arial" w:eastAsia="Arial" w:hAnsi="Arial"/>
                <w:sz w:val="18"/>
                <w:szCs w:val="18"/>
                <w:color w:val="auto"/>
                <w:w w:val="99"/>
              </w:rPr>
              <w:t>The fair value hierarchy for liabilities measured at fair value on a recurring basis is as follows: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9"/>
            <w:vMerge w:val="restart"/>
          </w:tcPr>
          <w:p>
            <w:pPr>
              <w:jc w:val="center"/>
              <w:ind w:right="200"/>
              <w:spacing w:after="0"/>
              <w:rPr>
                <w:sz w:val="20"/>
                <w:szCs w:val="20"/>
                <w:color w:val="auto"/>
              </w:rPr>
            </w:pPr>
            <w:r>
              <w:rPr>
                <w:rFonts w:ascii="Arial" w:cs="Arial" w:eastAsia="Arial" w:hAnsi="Arial"/>
                <w:sz w:val="18"/>
                <w:szCs w:val="18"/>
                <w:b w:val="1"/>
                <w:bCs w:val="1"/>
                <w:color w:val="auto"/>
                <w:w w:val="91"/>
              </w:rPr>
              <w:t>Fair Value Measurements at Reporting Date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40" w:type="dxa"/>
            <w:vAlign w:val="bottom"/>
            <w:gridSpan w:val="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7"/>
              </w:rPr>
              <w:t>Using</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in Active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Markets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March 31, 2016:</w:t>
            </w:r>
          </w:p>
        </w:tc>
        <w:tc>
          <w:tcPr>
            <w:tcW w:w="2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2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March 31, 2015:</w:t>
            </w:r>
          </w:p>
        </w:tc>
        <w:tc>
          <w:tcPr>
            <w:tcW w:w="23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2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3,008,500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fiscal years ended March 31, 2016 and 2015, there were no significant changes to the valuation models used for purposes of determining the fair value of the Level 3 warrant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Level 3 liabilities measured at fair value on a recurring basis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Measurements Using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Unobservable 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Warrant Liability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3,008,500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Mark to market loss included in net loss</w:t>
            </w:r>
          </w:p>
        </w:tc>
        <w:tc>
          <w:tcPr>
            <w:tcW w:w="1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1,894,700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Elimination of liability upon modification of warrants</w:t>
            </w:r>
          </w:p>
        </w:tc>
        <w:tc>
          <w:tcPr>
            <w:tcW w:w="1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(4,903,200)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As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on May 12,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modification of the PLTG Warrants resulted in the elimination of the warrant liability with respect to the PLTG Warrants during the quarter ended June 30, 2015. As further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the PLTG Warrants, including the right to receive the Series A Exchange Warrant, were cancelled in exchange for our issuance of shares of our Series C Preferred stock to PLTG in January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 assets or other liabilities were measured on a recurring basis at fair value at March 31, 2016 or 2015.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3" w:name="page104"/>
    <w:bookmarkEnd w:id="10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vMerge w:val="restart"/>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27,000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Prepaid compensation under financial advisory and other consulting agreements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337,500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expenses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Legal fees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fees and all other</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426,800</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35,700</w:t>
            </w:r>
          </w:p>
        </w:tc>
        <w:tc>
          <w:tcPr>
            <w:tcW w:w="0" w:type="dxa"/>
            <w:vAlign w:val="bottom"/>
          </w:tcPr>
          <w:p>
            <w:pPr>
              <w:spacing w:after="0"/>
              <w:rPr>
                <w:sz w:val="1"/>
                <w:szCs w:val="1"/>
                <w:color w:val="auto"/>
              </w:rPr>
            </w:pPr>
          </w:p>
        </w:tc>
      </w:tr>
      <w:tr>
        <w:trPr>
          <w:trHeight w:val="21"/>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Property and Equipment</w:t>
            </w:r>
          </w:p>
        </w:tc>
        <w:tc>
          <w:tcPr>
            <w:tcW w:w="1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0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0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vMerge w:val="restart"/>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659,000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Tenant improvements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26,900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network equipment</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69,500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798,600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(711,000)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(665,100)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87,600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connection with the issuance of Senior Secured Convertible Promissory Notes to PLTG beginning in October 2012, we entered into a Security Agreement with PLTG under which the repayment of all amounts due under the terms of the various Senior Secured Convertible Promissory Notes was secured by all of our assets, including our tangible and intangible personal property, licenses, patent licenses, trademarks and trademark licenses. As described more completely in Note 8,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xml:space="preserve"> and Note 9, </w:t>
      </w:r>
      <w:r>
        <w:rPr>
          <w:rFonts w:ascii="Arial" w:cs="Arial" w:eastAsia="Arial" w:hAnsi="Arial"/>
          <w:sz w:val="17"/>
          <w:szCs w:val="17"/>
          <w:i w:val="1"/>
          <w:iCs w:val="1"/>
          <w:color w:val="auto"/>
        </w:rPr>
        <w:t>Capital Stock</w:t>
      </w:r>
      <w:r>
        <w:rPr>
          <w:rFonts w:ascii="Arial" w:cs="Arial" w:eastAsia="Arial" w:hAnsi="Arial"/>
          <w:sz w:val="17"/>
          <w:szCs w:val="17"/>
          <w:color w:val="auto"/>
        </w:rPr>
        <w:t>, in May 2015, we entered into an agreement with PLTG pursuant to which PLTG converted all of the Senior Secured Convertible Promissory Notes it held into shares of our newly created Series B Preferred stock and terminated its security interests in our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7. Accrued Expenses</w:t>
            </w: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220" w:type="dxa"/>
            <w:vAlign w:val="bottom"/>
            <w:gridSpan w:val="2"/>
          </w:tcPr>
          <w:p>
            <w:pPr>
              <w:spacing w:after="0"/>
              <w:rPr>
                <w:sz w:val="20"/>
                <w:szCs w:val="20"/>
                <w:color w:val="auto"/>
              </w:rPr>
            </w:pPr>
            <w:r>
              <w:rPr>
                <w:rFonts w:ascii="Arial" w:cs="Arial" w:eastAsia="Arial" w:hAnsi="Arial"/>
                <w:sz w:val="18"/>
                <w:szCs w:val="18"/>
                <w:color w:val="auto"/>
              </w:rPr>
              <w:t>Accrued expenses consist of:</w:t>
            </w:r>
          </w:p>
        </w:tc>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vMerge w:val="restart"/>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4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Accrued AV-101 development expenses</w:t>
            </w:r>
          </w:p>
        </w:tc>
        <w:tc>
          <w:tcPr>
            <w:tcW w:w="4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4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All other</w:t>
            </w: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shd w:val="clear" w:color="auto" w:fill="CCEEFF"/>
          </w:tcPr>
          <w:p>
            <w:pPr>
              <w:spacing w:after="0"/>
              <w:rPr>
                <w:sz w:val="22"/>
                <w:szCs w:val="22"/>
                <w:color w:val="auto"/>
              </w:rPr>
            </w:pPr>
          </w:p>
        </w:tc>
        <w:tc>
          <w:tcPr>
            <w:tcW w:w="4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1,206,500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200" w:type="dxa"/>
            <w:vAlign w:val="bottom"/>
            <w:tcBorders>
              <w:top w:val="single" w:sz="8" w:color="CCEEFF"/>
            </w:tcBorders>
          </w:tcPr>
          <w:p>
            <w:pPr>
              <w:spacing w:after="0"/>
              <w:rPr>
                <w:sz w:val="24"/>
                <w:szCs w:val="24"/>
                <w:color w:val="auto"/>
              </w:rPr>
            </w:pPr>
          </w:p>
        </w:tc>
        <w:tc>
          <w:tcPr>
            <w:tcW w:w="4600" w:type="dxa"/>
            <w:vAlign w:val="bottom"/>
            <w:tcBorders>
              <w:top w:val="single" w:sz="8" w:color="CCEEFF"/>
            </w:tcBorders>
          </w:tcPr>
          <w:p>
            <w:pPr>
              <w:jc w:val="right"/>
              <w:ind w:right="2870"/>
              <w:spacing w:after="0"/>
              <w:rPr>
                <w:sz w:val="20"/>
                <w:szCs w:val="20"/>
                <w:color w:val="auto"/>
              </w:rPr>
            </w:pPr>
            <w:r>
              <w:rPr>
                <w:rFonts w:ascii="Arial" w:cs="Arial" w:eastAsia="Arial" w:hAnsi="Arial"/>
                <w:sz w:val="18"/>
                <w:szCs w:val="18"/>
                <w:color w:val="auto"/>
              </w:rPr>
              <w:t>-99-</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46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4" w:name="page105"/>
    <w:bookmarkEnd w:id="104"/>
    <w:p>
      <w:pPr>
        <w:spacing w:after="0" w:line="62" w:lineRule="exact"/>
        <w:rPr>
          <w:sz w:val="20"/>
          <w:szCs w:val="20"/>
          <w:color w:val="auto"/>
        </w:rPr>
      </w:pPr>
    </w:p>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Promissory Notes and Other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the Company’s convertible promissory notes and other notes payable: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2"/>
              </w:rPr>
              <w:t>March 31, 2016</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March 31, 2015</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2"/>
              </w:rPr>
              <w:t>Principal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1"/>
              </w:rPr>
              <w:t>Accrued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2"/>
              </w:rPr>
              <w:t>Principal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Accrued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Balance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Interest</w:t>
            </w: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Balance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87"/>
              </w:rPr>
              <w:t>Senior Secured 10% Convertible Promissory Notes issued to</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PLTG: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Note issued on October 11, 2012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1,272,600</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1,632,800</w:t>
            </w: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Investment Note issued on October 11, 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141,500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641,500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Note issued on October 19, 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140,100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640,100</w:t>
            </w: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Investment Note issued on February 22, 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59,100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309,100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Note issued on March 12, 2013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172,600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922,600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3,272,600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873,500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4,146,100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Convertible promissory note issued on July 26, 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46,200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296,200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Senior notes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3,522,600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919,700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4,442,300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Aggregate note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ind w:left="400"/>
              <w:spacing w:after="0"/>
              <w:rPr>
                <w:sz w:val="20"/>
                <w:szCs w:val="20"/>
                <w:color w:val="auto"/>
              </w:rPr>
            </w:pPr>
            <w:r>
              <w:rPr>
                <w:rFonts w:ascii="Arial" w:cs="Arial" w:eastAsia="Arial" w:hAnsi="Arial"/>
                <w:sz w:val="18"/>
                <w:szCs w:val="18"/>
                <w:color w:val="auto"/>
              </w:rPr>
              <w:t>Net Senior notes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3,522,600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919,700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4,442,300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(3,272,600)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(873,500)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(4,146,100)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ind w:left="600"/>
              <w:spacing w:after="0"/>
              <w:rPr>
                <w:sz w:val="20"/>
                <w:szCs w:val="20"/>
                <w:color w:val="auto"/>
              </w:rPr>
            </w:pPr>
            <w:r>
              <w:rPr>
                <w:rFonts w:ascii="Arial" w:cs="Arial" w:eastAsia="Arial" w:hAnsi="Arial"/>
                <w:sz w:val="18"/>
                <w:szCs w:val="18"/>
                <w:color w:val="auto"/>
              </w:rPr>
              <w:t>Senior notes - non-current portion and discount</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46,200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296,200</w:t>
            </w: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10% Convertible Promissory Notes (Unit Notes)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2014 Unit Notes, including amended notes, due 3/31/15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4,066,900</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4,337,600</w:t>
            </w:r>
          </w:p>
        </w:tc>
        <w:tc>
          <w:tcPr>
            <w:tcW w:w="0" w:type="dxa"/>
            <w:vAlign w:val="bottom"/>
          </w:tcPr>
          <w:p>
            <w:pPr>
              <w:spacing w:after="0"/>
              <w:rPr>
                <w:sz w:val="1"/>
                <w:szCs w:val="1"/>
                <w:color w:val="auto"/>
              </w:rPr>
            </w:pPr>
          </w:p>
        </w:tc>
      </w:tr>
      <w:tr>
        <w:trPr>
          <w:trHeight w:val="216"/>
        </w:trPr>
        <w:tc>
          <w:tcPr>
            <w:tcW w:w="4580" w:type="dxa"/>
            <w:vAlign w:val="bottom"/>
          </w:tcPr>
          <w:p>
            <w:pPr>
              <w:ind w:left="400"/>
              <w:spacing w:after="0"/>
              <w:rPr>
                <w:sz w:val="20"/>
                <w:szCs w:val="20"/>
                <w:color w:val="auto"/>
              </w:rPr>
            </w:pPr>
            <w:r>
              <w:rPr>
                <w:rFonts w:ascii="Arial" w:cs="Arial" w:eastAsia="Arial" w:hAnsi="Arial"/>
                <w:sz w:val="18"/>
                <w:szCs w:val="18"/>
                <w:color w:val="auto"/>
              </w:rPr>
              <w:t>Note discounts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convertible notes (all current)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3,886,900</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4,157,600</w:t>
            </w:r>
          </w:p>
        </w:tc>
        <w:tc>
          <w:tcPr>
            <w:tcW w:w="0" w:type="dxa"/>
            <w:vAlign w:val="bottom"/>
          </w:tcPr>
          <w:p>
            <w:pPr>
              <w:spacing w:after="0"/>
              <w:rPr>
                <w:sz w:val="1"/>
                <w:szCs w:val="1"/>
                <w:color w:val="auto"/>
              </w:rPr>
            </w:pPr>
          </w:p>
        </w:tc>
      </w:tr>
      <w:tr>
        <w:trPr>
          <w:trHeight w:val="426"/>
        </w:trPr>
        <w:tc>
          <w:tcPr>
            <w:tcW w:w="45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Notes Payable to unrelated parties:</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7.5% Notes payable to service providers for accounts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payable converted to notes payable:</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0"/>
              <w:spacing w:after="0"/>
              <w:rPr>
                <w:sz w:val="20"/>
                <w:szCs w:val="20"/>
                <w:color w:val="auto"/>
              </w:rPr>
            </w:pPr>
            <w:r>
              <w:rPr>
                <w:rFonts w:ascii="Arial" w:cs="Arial" w:eastAsia="Arial" w:hAnsi="Arial"/>
                <w:sz w:val="18"/>
                <w:szCs w:val="18"/>
                <w:color w:val="auto"/>
              </w:rPr>
              <w:t>Burr, Pilger, Mayer</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90,400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103,500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Desjardins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180,400</w:t>
            </w:r>
          </w:p>
        </w:tc>
        <w:tc>
          <w:tcPr>
            <w:tcW w:w="0" w:type="dxa"/>
            <w:vAlign w:val="bottom"/>
          </w:tcPr>
          <w:p>
            <w:pPr>
              <w:spacing w:after="0"/>
              <w:rPr>
                <w:sz w:val="1"/>
                <w:szCs w:val="1"/>
                <w:color w:val="auto"/>
              </w:rPr>
            </w:pPr>
          </w:p>
        </w:tc>
      </w:tr>
      <w:tr>
        <w:trPr>
          <w:trHeight w:val="216"/>
        </w:trPr>
        <w:tc>
          <w:tcPr>
            <w:tcW w:w="4580" w:type="dxa"/>
            <w:vAlign w:val="bottom"/>
          </w:tcPr>
          <w:p>
            <w:pPr>
              <w:ind w:left="400"/>
              <w:spacing w:after="0"/>
              <w:rPr>
                <w:sz w:val="20"/>
                <w:szCs w:val="20"/>
                <w:color w:val="auto"/>
              </w:rPr>
            </w:pPr>
            <w:r>
              <w:rPr>
                <w:rFonts w:ascii="Arial" w:cs="Arial" w:eastAsia="Arial" w:hAnsi="Arial"/>
                <w:sz w:val="18"/>
                <w:szCs w:val="18"/>
                <w:color w:val="auto"/>
              </w:rPr>
              <w:t>McCarthy Tetrault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319,700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365,700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August 2012 Morrison &amp; Foerster Note 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193,200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1,111,400</w:t>
            </w:r>
          </w:p>
        </w:tc>
        <w:tc>
          <w:tcPr>
            <w:tcW w:w="0" w:type="dxa"/>
            <w:vAlign w:val="bottom"/>
          </w:tcPr>
          <w:p>
            <w:pPr>
              <w:spacing w:after="0"/>
              <w:rPr>
                <w:sz w:val="1"/>
                <w:szCs w:val="1"/>
                <w:color w:val="auto"/>
              </w:rPr>
            </w:pPr>
          </w:p>
        </w:tc>
      </w:tr>
      <w:tr>
        <w:trPr>
          <w:trHeight w:val="216"/>
        </w:trPr>
        <w:tc>
          <w:tcPr>
            <w:tcW w:w="4580" w:type="dxa"/>
            <w:vAlign w:val="bottom"/>
          </w:tcPr>
          <w:p>
            <w:pPr>
              <w:ind w:left="400"/>
              <w:spacing w:after="0"/>
              <w:rPr>
                <w:sz w:val="20"/>
                <w:szCs w:val="20"/>
                <w:color w:val="auto"/>
              </w:rPr>
            </w:pPr>
            <w:r>
              <w:rPr>
                <w:rFonts w:ascii="Arial" w:cs="Arial" w:eastAsia="Arial" w:hAnsi="Arial"/>
                <w:sz w:val="18"/>
                <w:szCs w:val="18"/>
                <w:color w:val="auto"/>
              </w:rPr>
              <w:t>August 2012 Morrison &amp; Foerster Note 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1,379,400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333,100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1,712,500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University Health Network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101,800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651,300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3,413,500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711,300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4,124,800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Note discount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(474,500)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2,939,000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711,300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3,650,300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less: current portion (and discount at March 31, 2015)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(2,939,000)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(711,300)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(3,650,300)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ind w:left="400"/>
              <w:spacing w:after="0"/>
              <w:rPr>
                <w:sz w:val="20"/>
                <w:szCs w:val="20"/>
                <w:color w:val="auto"/>
              </w:rPr>
            </w:pPr>
            <w:r>
              <w:rPr>
                <w:rFonts w:ascii="Arial" w:cs="Arial" w:eastAsia="Arial" w:hAnsi="Arial"/>
                <w:sz w:val="18"/>
                <w:szCs w:val="18"/>
                <w:color w:val="auto"/>
              </w:rPr>
              <w:t>non-current portion and discount</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200"/>
              <w:spacing w:after="0" w:line="201" w:lineRule="exact"/>
              <w:rPr>
                <w:sz w:val="20"/>
                <w:szCs w:val="20"/>
                <w:color w:val="auto"/>
              </w:rPr>
            </w:pPr>
            <w:r>
              <w:rPr>
                <w:rFonts w:ascii="Arial" w:cs="Arial" w:eastAsia="Arial" w:hAnsi="Arial"/>
                <w:sz w:val="18"/>
                <w:szCs w:val="18"/>
                <w:color w:val="auto"/>
                <w:w w:val="96"/>
              </w:rPr>
              <w:t>5.75% and 10.25% Notes payable to insurance premium</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0"/>
              <w:spacing w:after="0"/>
              <w:rPr>
                <w:sz w:val="20"/>
                <w:szCs w:val="20"/>
                <w:color w:val="auto"/>
              </w:rPr>
            </w:pPr>
            <w:r>
              <w:rPr>
                <w:rFonts w:ascii="Arial" w:cs="Arial" w:eastAsia="Arial" w:hAnsi="Arial"/>
                <w:sz w:val="18"/>
                <w:szCs w:val="18"/>
                <w:color w:val="auto"/>
              </w:rPr>
              <w:t>financing company (current)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200"/>
              <w:spacing w:after="0" w:line="201" w:lineRule="exact"/>
              <w:rPr>
                <w:sz w:val="20"/>
                <w:szCs w:val="20"/>
                <w:color w:val="auto"/>
              </w:rPr>
            </w:pPr>
            <w:r>
              <w:rPr>
                <w:rFonts w:ascii="Arial" w:cs="Arial" w:eastAsia="Arial" w:hAnsi="Arial"/>
                <w:sz w:val="18"/>
                <w:szCs w:val="18"/>
                <w:color w:val="auto"/>
              </w:rPr>
              <w:t>10% Notes payable to vendors for accounts payable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0"/>
              <w:spacing w:after="0"/>
              <w:rPr>
                <w:sz w:val="20"/>
                <w:szCs w:val="20"/>
                <w:color w:val="auto"/>
              </w:rPr>
            </w:pPr>
            <w:r>
              <w:rPr>
                <w:rFonts w:ascii="Arial" w:cs="Arial" w:eastAsia="Arial" w:hAnsi="Arial"/>
                <w:sz w:val="18"/>
                <w:szCs w:val="18"/>
                <w:color w:val="auto"/>
              </w:rPr>
              <w:t>converted to notes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378,300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51,500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429,800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(429,800)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ind w:left="400"/>
              <w:spacing w:after="0"/>
              <w:rPr>
                <w:sz w:val="20"/>
                <w:szCs w:val="20"/>
                <w:color w:val="auto"/>
              </w:rPr>
            </w:pPr>
            <w:r>
              <w:rPr>
                <w:rFonts w:ascii="Arial" w:cs="Arial" w:eastAsia="Arial" w:hAnsi="Arial"/>
                <w:sz w:val="18"/>
                <w:szCs w:val="18"/>
                <w:color w:val="auto"/>
              </w:rPr>
              <w:t>non-current portion</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7.0% Note payable (August 2012)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58,800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70,800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58,800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7,900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66,700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(31,100)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ind w:left="400"/>
              <w:spacing w:after="0"/>
              <w:rPr>
                <w:sz w:val="20"/>
                <w:szCs w:val="20"/>
                <w:color w:val="auto"/>
              </w:rPr>
            </w:pPr>
            <w:r>
              <w:rPr>
                <w:rFonts w:ascii="Arial" w:cs="Arial" w:eastAsia="Arial" w:hAnsi="Arial"/>
                <w:sz w:val="18"/>
                <w:szCs w:val="18"/>
                <w:color w:val="auto"/>
              </w:rPr>
              <w:t>7.0% Notes payable - non-current portion</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35,600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Total notes payable to unrelated parties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58,800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70,800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3,381,900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770,700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4,152,600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less: current portion (and discount at March 31, 2015)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(3,346,300)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(770,700)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(4,117,000)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ind w:left="400"/>
              <w:spacing w:after="0"/>
              <w:rPr>
                <w:sz w:val="20"/>
                <w:szCs w:val="20"/>
                <w:color w:val="auto"/>
              </w:rPr>
            </w:pPr>
            <w:r>
              <w:rPr>
                <w:rFonts w:ascii="Arial" w:cs="Arial" w:eastAsia="Arial" w:hAnsi="Arial"/>
                <w:sz w:val="18"/>
                <w:szCs w:val="18"/>
                <w:color w:val="auto"/>
              </w:rPr>
              <w:t>Net non-current portion</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35,600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Notes payable to related parties: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2012 7.5% Note to Cato Holding Co.</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293,600</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349,500</w:t>
            </w: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October 2012 7.5% Note to Cato Research Ltd.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1,009,000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204,800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1,213,800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1,302,600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260,700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1,563,300</w:t>
            </w:r>
          </w:p>
        </w:tc>
        <w:tc>
          <w:tcPr>
            <w:tcW w:w="0" w:type="dxa"/>
            <w:vAlign w:val="bottom"/>
          </w:tcPr>
          <w:p>
            <w:pPr>
              <w:spacing w:after="0"/>
              <w:rPr>
                <w:sz w:val="1"/>
                <w:szCs w:val="1"/>
                <w:color w:val="auto"/>
              </w:rPr>
            </w:pPr>
          </w:p>
        </w:tc>
      </w:tr>
      <w:tr>
        <w:trPr>
          <w:trHeight w:val="216"/>
        </w:trPr>
        <w:tc>
          <w:tcPr>
            <w:tcW w:w="4580" w:type="dxa"/>
            <w:vAlign w:val="bottom"/>
          </w:tcPr>
          <w:p>
            <w:pPr>
              <w:ind w:left="400"/>
              <w:spacing w:after="0"/>
              <w:rPr>
                <w:sz w:val="20"/>
                <w:szCs w:val="20"/>
                <w:color w:val="auto"/>
              </w:rPr>
            </w:pPr>
            <w:r>
              <w:rPr>
                <w:rFonts w:ascii="Arial" w:cs="Arial" w:eastAsia="Arial" w:hAnsi="Arial"/>
                <w:sz w:val="18"/>
                <w:szCs w:val="18"/>
                <w:color w:val="auto"/>
              </w:rPr>
              <w:t>Note discount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(54,500)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notes payable to related parties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1,248,100</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260,700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1,508,800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tcPr>
          <w:p>
            <w:pPr>
              <w:ind w:left="44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3"/>
              </w:rPr>
              <w:t>(1,248,100)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(260,700)</w:t>
            </w: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(1,508,800)</w:t>
            </w:r>
          </w:p>
        </w:tc>
        <w:tc>
          <w:tcPr>
            <w:tcW w:w="0" w:type="dxa"/>
            <w:vAlign w:val="bottom"/>
          </w:tcPr>
          <w:p>
            <w:pPr>
              <w:spacing w:after="0"/>
              <w:rPr>
                <w:sz w:val="1"/>
                <w:szCs w:val="1"/>
                <w:color w:val="auto"/>
              </w:rPr>
            </w:pPr>
          </w:p>
        </w:tc>
      </w:tr>
      <w:tr>
        <w:trPr>
          <w:trHeight w:val="97"/>
        </w:trPr>
        <w:tc>
          <w:tcPr>
            <w:tcW w:w="4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20" w:type="dxa"/>
            <w:vAlign w:val="bottom"/>
            <w:tcBorders>
              <w:right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200" w:type="dxa"/>
            <w:vAlign w:val="bottom"/>
            <w:tcBorders>
              <w:left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0" w:right="239" w:bottom="0" w:gutter="0" w:footer="0" w:header="0"/>
        </w:sectPr>
      </w:pPr>
    </w:p>
    <w:bookmarkStart w:id="105" w:name="page106"/>
    <w:bookmarkEnd w:id="105"/>
    <w:p>
      <w:pPr>
        <w:spacing w:after="0"/>
        <w:tabs>
          <w:tab w:leader="none" w:pos="4280" w:val="left"/>
          <w:tab w:leader="none" w:pos="5160" w:val="left"/>
          <w:tab w:leader="none" w:pos="5460" w:val="left"/>
          <w:tab w:leader="none" w:pos="6340" w:val="left"/>
          <w:tab w:leader="none" w:pos="6620" w:val="left"/>
          <w:tab w:leader="none" w:pos="7460" w:val="left"/>
          <w:tab w:leader="none" w:pos="7740" w:val="left"/>
          <w:tab w:leader="none" w:pos="8600" w:val="left"/>
          <w:tab w:leader="none" w:pos="8860" w:val="left"/>
          <w:tab w:leader="none" w:pos="9720" w:val="left"/>
          <w:tab w:leader="none" w:pos="9980" w:val="left"/>
          <w:tab w:leader="none" w:pos="10840" w:val="left"/>
        </w:tabs>
        <w:rPr>
          <w:sz w:val="20"/>
          <w:szCs w:val="20"/>
          <w:color w:val="auto"/>
        </w:rPr>
      </w:pPr>
      <w:r>
        <w:rPr>
          <w:rFonts w:ascii="Arial" w:cs="Arial" w:eastAsia="Arial" w:hAnsi="Arial"/>
          <w:sz w:val="18"/>
          <w:szCs w:val="18"/>
          <w:color w:val="auto"/>
        </w:rPr>
        <w:t>non-current portion and discount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-121920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920"/>
          </w:cols>
          <w:pgMar w:left="640" w:top="125"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95885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640" w:top="125" w:right="339" w:bottom="1440" w:gutter="0" w:footer="0" w:header="0"/>
          <w:type w:val="continuous"/>
        </w:sectPr>
      </w:pPr>
    </w:p>
    <w:bookmarkStart w:id="106" w:name="page107"/>
    <w:bookmarkEnd w:id="10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With the exception of the 10% convertible promissory notes issued in connection with our 2014 Unit Private Placement, described below, and a $300,000 promissory note issued in April 2014 to Icahn School of Medicine at Mount Sinai in satisfaction of certain stem cell technology license maintenance fees and reimbursable patent prosecution costs, all of our outstanding secured and unsecured promissory notes were issued prior to the beginning of our fiscal year ended March 31, 2015 and either no payments were required under the terms of such notes or, for strategic purposes, we did not make any principal or interest payments on them during our fiscal year ended March 31, 2015. As disclosed below, between May 2015 and September 2015, we reached agreements with the holders of essentially all of our outstanding notes to convert the outstanding balance of principal and interest into shares of our Series B Preferred. New promissory note issuances during fiscal years 2015 and 2016 and conversions of our secured and unsecured convertible promissory notes and other promissory notes into shares of our Series B Preferred during the fiscal year ended March 31, 2016 are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Convertible Notes Issued in Connection with 2014 Unit Private Placement</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 described more completely under the caption </w:t>
      </w:r>
      <w:r>
        <w:rPr>
          <w:rFonts w:ascii="Arial" w:cs="Arial" w:eastAsia="Arial" w:hAnsi="Arial"/>
          <w:sz w:val="16"/>
          <w:szCs w:val="16"/>
          <w:i w:val="1"/>
          <w:iCs w:val="1"/>
          <w:color w:val="auto"/>
        </w:rPr>
        <w:t>2014 Unit Private Placement</w:t>
      </w:r>
      <w:r>
        <w:rPr>
          <w:rFonts w:ascii="Arial" w:cs="Arial" w:eastAsia="Arial" w:hAnsi="Arial"/>
          <w:sz w:val="16"/>
          <w:szCs w:val="16"/>
          <w:color w:val="auto"/>
        </w:rPr>
        <w:t xml:space="preserve">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between April 1, 2015 and May 14, 2015, we issued to accredited investors in self-placed private placement transactions 10% convertible notes (the </w:t>
      </w:r>
      <w:r>
        <w:rPr>
          <w:rFonts w:ascii="Arial" w:cs="Arial" w:eastAsia="Arial" w:hAnsi="Arial"/>
          <w:sz w:val="16"/>
          <w:szCs w:val="16"/>
          <w:i w:val="1"/>
          <w:iCs w:val="1"/>
          <w:color w:val="auto"/>
        </w:rPr>
        <w:t>2014 Unit Notes</w:t>
      </w:r>
      <w:r>
        <w:rPr>
          <w:rFonts w:ascii="Arial" w:cs="Arial" w:eastAsia="Arial" w:hAnsi="Arial"/>
          <w:sz w:val="16"/>
          <w:szCs w:val="16"/>
          <w:color w:val="auto"/>
        </w:rPr>
        <w:t>) in the aggregate face amount of $280,000. The 2014 Unit Notes issued in April and May 2015 represented a continuation of the 2014 Unit Private Placement pursuant to which we had issued in self-placed private placement transactions to accredited investors an aggregate of $3,113,500 principal amount of substantially similar notes between late-March 2014 and March 31, 2015. The 2014 Unit Notes matured between April 30, 2015 and May 15, 2015 (</w:t>
      </w:r>
      <w:r>
        <w:rPr>
          <w:rFonts w:ascii="Arial" w:cs="Arial" w:eastAsia="Arial" w:hAnsi="Arial"/>
          <w:sz w:val="16"/>
          <w:szCs w:val="16"/>
          <w:i w:val="1"/>
          <w:iCs w:val="1"/>
          <w:color w:val="auto"/>
        </w:rPr>
        <w:t>Maturity</w:t>
      </w:r>
      <w:r>
        <w:rPr>
          <w:rFonts w:ascii="Arial" w:cs="Arial" w:eastAsia="Arial" w:hAnsi="Arial"/>
          <w:sz w:val="16"/>
          <w:szCs w:val="16"/>
          <w:color w:val="auto"/>
        </w:rPr>
        <w:t xml:space="preserve">) and the outstanding principal of the 2014 Unit Notes and their related accrued interest (the </w:t>
      </w:r>
      <w:r>
        <w:rPr>
          <w:rFonts w:ascii="Arial" w:cs="Arial" w:eastAsia="Arial" w:hAnsi="Arial"/>
          <w:sz w:val="16"/>
          <w:szCs w:val="16"/>
          <w:i w:val="1"/>
          <w:iCs w:val="1"/>
          <w:color w:val="auto"/>
        </w:rPr>
        <w:t>Outstanding Balance</w:t>
      </w:r>
      <w:r>
        <w:rPr>
          <w:rFonts w:ascii="Arial" w:cs="Arial" w:eastAsia="Arial" w:hAnsi="Arial"/>
          <w:sz w:val="16"/>
          <w:szCs w:val="16"/>
          <w:color w:val="auto"/>
        </w:rPr>
        <w:t xml:space="preserve">) was convertible into shares of our common stock at a conversion price of $10.00 per share at or prior to Maturity, at the option of the accredited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6"/>
          <w:szCs w:val="16"/>
          <w:i w:val="1"/>
          <w:iCs w:val="1"/>
          <w:color w:val="auto"/>
        </w:rPr>
        <w:t>Qualified Financing</w:t>
      </w:r>
      <w:r>
        <w:rPr>
          <w:rFonts w:ascii="Arial" w:cs="Arial" w:eastAsia="Arial" w:hAnsi="Arial"/>
          <w:sz w:val="16"/>
          <w:szCs w:val="16"/>
          <w:color w:val="auto"/>
        </w:rPr>
        <w:t>), the Outstanding Balance of the 2014 Unit Notes would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allocated the proceeds from the self-placed private placement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contained an embedded conversion feature having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amortized the discounts attributable to the 2014 Unit Notes issued in April and May 2015, an aggregate of $277,200, using the effective interest method over the respective term of each 2014 Unit Note. Because the discount on each of these 2014 Unit Notes represented 99% of its initial face value, and because we were required to amortize such discount over the period from issuance to maturity, which was no more than two months for these notes, the calculated effective interest rate is extremely high. Based on the amounts of their respective discounts and the term between issuance and maturity, the effective interest rates attributable to the 2014 Unit Notes issued in April and May 2015 are in excess of 10,000%.</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7" w:name="page108"/>
    <w:bookmarkEnd w:id="10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Securities in Satisfaction of Technology License and Maintenance Fees and Patent Expenses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described more completely in Note 9, </w:t>
      </w:r>
      <w:r>
        <w:rPr>
          <w:rFonts w:ascii="Arial" w:cs="Arial" w:eastAsia="Arial" w:hAnsi="Arial"/>
          <w:sz w:val="18"/>
          <w:szCs w:val="18"/>
          <w:i w:val="1"/>
          <w:iCs w:val="1"/>
          <w:color w:val="auto"/>
        </w:rPr>
        <w:t>Capital Stock</w:t>
      </w:r>
      <w:r>
        <w:rPr>
          <w:rFonts w:ascii="Arial" w:cs="Arial" w:eastAsia="Arial" w:hAnsi="Arial"/>
          <w:sz w:val="18"/>
          <w:szCs w:val="18"/>
          <w:color w:val="auto"/>
        </w:rPr>
        <w:t>, in April 2014, we entered into an agreement with Icahn School of Medicine at Mount Sinai (</w:t>
      </w:r>
      <w:r>
        <w:rPr>
          <w:rFonts w:ascii="Arial" w:cs="Arial" w:eastAsia="Arial" w:hAnsi="Arial"/>
          <w:sz w:val="18"/>
          <w:szCs w:val="18"/>
          <w:i w:val="1"/>
          <w:iCs w:val="1"/>
          <w:color w:val="auto"/>
        </w:rPr>
        <w:t>ISMMS</w:t>
      </w:r>
      <w:r>
        <w:rPr>
          <w:rFonts w:ascii="Arial" w:cs="Arial" w:eastAsia="Arial" w:hAnsi="Arial"/>
          <w:sz w:val="18"/>
          <w:szCs w:val="18"/>
          <w:color w:val="auto"/>
        </w:rPr>
        <w:t xml:space="preserve">), one of our technology licensors, pursuant to which we issued to ISMMS (i) a 10% promissory note in the face amount of $300,000 due on the earlier of December 31, 2014, or the completion of a qualified financing, as defined, (ii) 15,000 restricted shares of our common stock and (iii) a warrant exercisable through March 31, 2019 to purchase 15,000 restricted shares of our common stock at an exercise price of $10.00 per share in satisfaction of $288,400 of stem cell technology license maintenance fees and reimbursable patent prosecution costs (the </w:t>
      </w:r>
      <w:r>
        <w:rPr>
          <w:rFonts w:ascii="Arial" w:cs="Arial" w:eastAsia="Arial" w:hAnsi="Arial"/>
          <w:sz w:val="18"/>
          <w:szCs w:val="18"/>
          <w:i w:val="1"/>
          <w:iCs w:val="1"/>
          <w:color w:val="auto"/>
        </w:rPr>
        <w:t>Agreement</w:t>
      </w:r>
      <w:r>
        <w:rPr>
          <w:rFonts w:ascii="Arial" w:cs="Arial" w:eastAsia="Arial" w:hAnsi="Arial"/>
          <w:sz w:val="18"/>
          <w:szCs w:val="18"/>
          <w:color w:val="auto"/>
        </w:rPr>
        <w:t>). Under the terms of the Agreement, an additional $35,800 of license maintenance fees and reimbursable patent prosecution costs was added to the principal amount of the promissory note through March 31, 2015. We made payments aggregating $100,000 on the note during the fiscal year ended March 31, 2015, prior to its conversion into shares of our Series B Preferred in June 2015.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Notes and Other Indebtedness Converted into Series B Preferred</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Between May 2015 and September 2015, we extinguished the outstanding balances of approximately $17.2 million of indebtedness, including all of our senior secured promissory notes, all except $58,800 principal of our unsecured promissory notes, and a substantial portion of other indebtedness, and certain adjustments thereto, that were either due and payable or would have become due and payable prior to March 31, 2016, by converting all such indebtedness into shares of our Series B Preferred (which is described more completely below under the caption </w:t>
      </w:r>
      <w:r>
        <w:rPr>
          <w:rFonts w:ascii="Arial" w:cs="Arial" w:eastAsia="Arial" w:hAnsi="Arial"/>
          <w:sz w:val="16"/>
          <w:szCs w:val="16"/>
          <w:i w:val="1"/>
          <w:iCs w:val="1"/>
          <w:color w:val="auto"/>
        </w:rPr>
        <w:t>Creation of Series B Preferred Stock</w:t>
      </w:r>
      <w:r>
        <w:rPr>
          <w:rFonts w:ascii="Arial" w:cs="Arial" w:eastAsia="Arial" w:hAnsi="Arial"/>
          <w:sz w:val="16"/>
          <w:szCs w:val="16"/>
          <w:color w:val="auto"/>
        </w:rPr>
        <w:t xml:space="preserve"> in Note 9, </w:t>
      </w:r>
      <w:r>
        <w:rPr>
          <w:rFonts w:ascii="Arial" w:cs="Arial" w:eastAsia="Arial" w:hAnsi="Arial"/>
          <w:sz w:val="16"/>
          <w:szCs w:val="16"/>
          <w:i w:val="1"/>
          <w:iCs w:val="1"/>
          <w:color w:val="auto"/>
        </w:rPr>
        <w:t>Capital</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Evaluating each note or debt class separately, we determined that the conversion of each of the notes or other debt instruments into Series B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should be accounted for as an extinguishment of debt. Further, considering the direct exchangeability of the Series B Preferred shares into shares of our common stock, the 10% dividend applicable to the Series B Preferred prior to such exchange, and other factors, we determined that the fair value of a share of Series B Preferred issued pursuant to the conversion of each of the notes or other debt instruments was equal to the market value of a share of our common stock on the conversion date. Because the fair value of the Series B Preferred into which the debt instruments were converted in all cases exceeded the carrying value of the debt, we recorded an aggregate loss on extinguishment of debt of $26,700,200, in the first and second quarters of the fiscal year ended March 31, 2016, as reflected in the accompanying Consolidated Statement of Operations and Comprehensive Loss for that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Senior Secured 10% Convertible Promissory Notes issued to PLTG into Series B Preferred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described more completely in Note 9, </w:t>
      </w:r>
      <w:r>
        <w:rPr>
          <w:rFonts w:ascii="Arial" w:cs="Arial" w:eastAsia="Arial" w:hAnsi="Arial"/>
          <w:sz w:val="18"/>
          <w:szCs w:val="18"/>
          <w:i w:val="1"/>
          <w:iCs w:val="1"/>
          <w:color w:val="auto"/>
        </w:rPr>
        <w:t>Capital Stock</w:t>
      </w:r>
      <w:r>
        <w:rPr>
          <w:rFonts w:ascii="Arial" w:cs="Arial" w:eastAsia="Arial" w:hAnsi="Arial"/>
          <w:sz w:val="18"/>
          <w:szCs w:val="18"/>
          <w:color w:val="auto"/>
        </w:rPr>
        <w:t>, effective on May 12, 2015, we entered in to a broad strategic agreement with PLTG (</w:t>
      </w:r>
      <w:r>
        <w:rPr>
          <w:rFonts w:ascii="Arial" w:cs="Arial" w:eastAsia="Arial" w:hAnsi="Arial"/>
          <w:sz w:val="18"/>
          <w:szCs w:val="18"/>
          <w:i w:val="1"/>
          <w:iCs w:val="1"/>
          <w:color w:val="auto"/>
        </w:rPr>
        <w:t>PLTG</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pursuant to which PLTG, among other things, converted all of the $4,489,300 outstanding balance (principal and accrued interest) of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Notes having maturity dates between October 2015 and July 2016 into 641,335 shares of our Series B Preferred. Based on the $10.00 per share fair value of the Series B Preferred at the date the Senior Secured Notes were converted, we issued Series B Preferred having an aggregate fair value of $6,413,300 to PLTG. Accordingly, we recognized a non-cash loss on the extinguishment of the Senior Secured Notes in the amount of $1,924,000 in the quarter ended June 30,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2014 Unit Notes into Series B Preferred</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PLTG Agreement, PLTG also converted the $1,345,700 outstanding balance of the 2014 Unit Notes originally issued by us to PLTG that had matured on March 31, 2015 (</w:t>
      </w:r>
      <w:r>
        <w:rPr>
          <w:rFonts w:ascii="Arial" w:cs="Arial" w:eastAsia="Arial" w:hAnsi="Arial"/>
          <w:sz w:val="17"/>
          <w:szCs w:val="17"/>
          <w:i w:val="1"/>
          <w:iCs w:val="1"/>
          <w:color w:val="auto"/>
        </w:rPr>
        <w:t>PLTG Unit Notes</w:t>
      </w:r>
      <w:r>
        <w:rPr>
          <w:rFonts w:ascii="Arial" w:cs="Arial" w:eastAsia="Arial" w:hAnsi="Arial"/>
          <w:sz w:val="17"/>
          <w:szCs w:val="17"/>
          <w:color w:val="auto"/>
        </w:rPr>
        <w:t>) into shares of our Series B Preferred. PLTG additionally agreed to acquire and convert into our Series B Preferred other 2014 Unit Notes that had matured on March 31, 2015 originally issued to other investors having an aggregate outstanding balance of $1,487,900 (</w:t>
      </w:r>
      <w:r>
        <w:rPr>
          <w:rFonts w:ascii="Arial" w:cs="Arial" w:eastAsia="Arial" w:hAnsi="Arial"/>
          <w:sz w:val="17"/>
          <w:szCs w:val="17"/>
          <w:i w:val="1"/>
          <w:iCs w:val="1"/>
          <w:color w:val="auto"/>
        </w:rPr>
        <w:t>Acquired Unit Notes</w:t>
      </w:r>
      <w:r>
        <w:rPr>
          <w:rFonts w:ascii="Arial" w:cs="Arial" w:eastAsia="Arial" w:hAnsi="Arial"/>
          <w:sz w:val="17"/>
          <w:szCs w:val="17"/>
          <w:color w:val="auto"/>
        </w:rPr>
        <w:t>). Further, effective May 20, 2015, the holders of other 2014 Unit Notes that had matured on March 31, 2015 or shortly thereafter, having an aggregate outstanding balance of $1,831,200 (</w:t>
      </w:r>
      <w:r>
        <w:rPr>
          <w:rFonts w:ascii="Arial" w:cs="Arial" w:eastAsia="Arial" w:hAnsi="Arial"/>
          <w:sz w:val="17"/>
          <w:szCs w:val="17"/>
          <w:i w:val="1"/>
          <w:iCs w:val="1"/>
          <w:color w:val="auto"/>
        </w:rPr>
        <w:t>Investor Unit Notes</w:t>
      </w:r>
      <w:r>
        <w:rPr>
          <w:rFonts w:ascii="Arial" w:cs="Arial" w:eastAsia="Arial" w:hAnsi="Arial"/>
          <w:sz w:val="17"/>
          <w:szCs w:val="17"/>
          <w:color w:val="auto"/>
        </w:rPr>
        <w:t xml:space="preserve">) individually converted such notes into our Series B Preferred. Consequently, the aggregate outstanding balance totaling $4,664,800 of all 2014 Unit Notes, including those issued in April and May 2015, was converted into shares of our Series B Preferred. We determined that the Series B Preferred Unit Offering, as described in Note 9, </w:t>
      </w:r>
      <w:r>
        <w:rPr>
          <w:rFonts w:ascii="Arial" w:cs="Arial" w:eastAsia="Arial" w:hAnsi="Arial"/>
          <w:sz w:val="17"/>
          <w:szCs w:val="17"/>
          <w:i w:val="1"/>
          <w:iCs w:val="1"/>
          <w:color w:val="auto"/>
        </w:rPr>
        <w:t>Capital Stock</w:t>
      </w:r>
      <w:r>
        <w:rPr>
          <w:rFonts w:ascii="Arial" w:cs="Arial" w:eastAsia="Arial" w:hAnsi="Arial"/>
          <w:sz w:val="17"/>
          <w:szCs w:val="17"/>
          <w:color w:val="auto"/>
        </w:rPr>
        <w:t>, would be treated as a Qualified Financing applicable to the 2014 Unit Notes, entitling the 2014 Unit Note holders at the time of conversion to the 25% Qualified Financing conversion premium under the terms of the 2014 Unit Notes. Accordingly, we issued an aggregate of 833,020 shares of our Series B Preferred and warrants to purchase an aggregate of 833,020 shares of our common stock upon the conversion of the outstanding balance of all 2014 Unit Notes, including an aggregate conversion premium of $1,166,200.</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8" w:name="page109"/>
    <w:bookmarkEnd w:id="10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$10.00 per share fair value of the Series B Preferred at the date the PLTG Unit Notes and Acquired Unit Notes were converted and the $8.00 per share fair value of the Series B Preferred at the date the Investor Unit Notes were converted, we issued Series B Preferred having an aggregate fair value of $7,676,200 upon the conversions. We valued the warrants issued in connection with the 2014 Unit Note conversions at an aggregate of $5,168,400 using the Black Scholes option pricing model and the following assumptions: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PLTG Unit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Notes and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Acquired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Investor</w:t>
            </w:r>
          </w:p>
        </w:tc>
        <w:tc>
          <w:tcPr>
            <w:tcW w:w="0" w:type="dxa"/>
            <w:vAlign w:val="bottom"/>
          </w:tcPr>
          <w:p>
            <w:pPr>
              <w:spacing w:after="0"/>
              <w:rPr>
                <w:sz w:val="1"/>
                <w:szCs w:val="1"/>
                <w:color w:val="auto"/>
              </w:rPr>
            </w:pPr>
          </w:p>
        </w:tc>
      </w:tr>
      <w:tr>
        <w:trPr>
          <w:trHeight w:val="23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Unit Notes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Unit Notes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conversion date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Dividend rate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Warrant shares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506,004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6.89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Nearly all of the 2014 Unit Notes contained a beneficial conversion feature at the time they were originally issued. We have accounted for the repurchase of the beneficial conversion feature at the time of the extinguishment and conversion, an aggregate of $2,237,100, as a reduction to the loss on extinguishment of debt in the accompanying Consolidated Statements of Operations and Comprehensive Loss, with a corresponding reduction to additional paid-in capital. In aggregate, we recognized a non-cash loss on extinguishment of debt attributable to the conversion of the 2014 Unit Notes in the amount of $5,942,700 in the quarter ended June 30,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issued to University Health Network into Series B Preferred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29, 2015, University Health Network (</w:t>
      </w:r>
      <w:r>
        <w:rPr>
          <w:rFonts w:ascii="Arial" w:cs="Arial" w:eastAsia="Arial" w:hAnsi="Arial"/>
          <w:sz w:val="18"/>
          <w:szCs w:val="18"/>
          <w:i w:val="1"/>
          <w:iCs w:val="1"/>
          <w:color w:val="auto"/>
        </w:rPr>
        <w:t>UHN</w:t>
      </w:r>
      <w:r>
        <w:rPr>
          <w:rFonts w:ascii="Arial" w:cs="Arial" w:eastAsia="Arial" w:hAnsi="Arial"/>
          <w:sz w:val="18"/>
          <w:szCs w:val="18"/>
          <w:color w:val="auto"/>
        </w:rPr>
        <w:t>) converted the entire $656,400 outstanding balance (principal and accrued interest) of our promissory note maturing on March 31, 2016 into 93,775 shares of our Series B Preferred. Based on the $10.00 per share fair value of the Series B Preferred at the date the UHN note was converted, we issued Series B Preferred having an aggregate fair value of $937,800 to UHN. After eliminating the remaining $27,500 of unamortized discount on the UHN note, we recognized a non-cash loss on the extinguishment of debt attributable to the conversion of the UHN Note of $308,900 in the quarter ended June 30, 2015.</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Conversion of Promissory Notes and Accounts Payable issued to Cato Holding Company (CHC) and Cato Research Ltd. (CRL) into Series B Preferred</w:t>
      </w: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June 10, 2015, CHC, the parent company of CRL and a related party, converted the entire aggregate outstanding balance (principal and accrued interest) of $1,583,000 of our outstanding promissory notes issued to CHC and CRL and maturing on March 31, 2016 (together, the </w:t>
      </w:r>
      <w:r>
        <w:rPr>
          <w:rFonts w:ascii="Arial" w:cs="Arial" w:eastAsia="Arial" w:hAnsi="Arial"/>
          <w:sz w:val="18"/>
          <w:szCs w:val="18"/>
          <w:i w:val="1"/>
          <w:iCs w:val="1"/>
          <w:color w:val="auto"/>
        </w:rPr>
        <w:t>Cato Notes</w:t>
      </w:r>
      <w:r>
        <w:rPr>
          <w:rFonts w:ascii="Arial" w:cs="Arial" w:eastAsia="Arial" w:hAnsi="Arial"/>
          <w:sz w:val="18"/>
          <w:szCs w:val="18"/>
          <w:color w:val="auto"/>
        </w:rPr>
        <w:t>), plus an additional $171,300 of past due accounts payable to CRL and a strategic adjustment thereto (</w:t>
      </w:r>
      <w:r>
        <w:rPr>
          <w:rFonts w:ascii="Arial" w:cs="Arial" w:eastAsia="Arial" w:hAnsi="Arial"/>
          <w:sz w:val="18"/>
          <w:szCs w:val="18"/>
          <w:i w:val="1"/>
          <w:iCs w:val="1"/>
          <w:color w:val="auto"/>
        </w:rPr>
        <w:t>CRL Payables</w:t>
      </w:r>
      <w:r>
        <w:rPr>
          <w:rFonts w:ascii="Arial" w:cs="Arial" w:eastAsia="Arial" w:hAnsi="Arial"/>
          <w:sz w:val="18"/>
          <w:szCs w:val="18"/>
          <w:color w:val="auto"/>
        </w:rPr>
        <w:t>) into a total of 328,571 shares of our Series B Preferred. Based on the $10.00 per share fair value of the Series B Preferred at the date the Cato Notes and CRL Payables were converted, we issued Series B Preferred having an aggregate fair value of $3,285,700 to CHC.</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additional consideration for the conversion of the Cato Notes and the CRL Payables, we amended certain outstanding warrants held by CHC and CRL to purchase 12,500 and 60,691 restricted shares of our common stock, respectively, to reduce the exercise price thereof from $30.00 and $20.00 per share, respectively, to $7.00 per share. We calculated the fair value of the warrants immediately before and after the modifications and determined that the fair value of the warrants increased by $222,700. The warrants subject to the exercise price modifications were valued using the Black-Scholes Option Pricing Model and the following assumptions: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9" w:name="page110"/>
    <w:bookmarkEnd w:id="10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Pre-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41"/>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modification</w:t>
            </w:r>
          </w:p>
        </w:tc>
        <w:tc>
          <w:tcPr>
            <w:tcW w:w="60" w:type="dxa"/>
            <w:vAlign w:val="bottom"/>
          </w:tcPr>
          <w:p>
            <w:pPr>
              <w:spacing w:after="0"/>
              <w:rPr>
                <w:sz w:val="20"/>
                <w:szCs w:val="20"/>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0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$20.00 and $30.00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Dividend rate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2.44 and $1.57</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After eliminating the remaining unamortized discount of $46,000 attributable to the Cato Notes, we recognized a non-cash loss on the extinguishment of debt attributable to the conversion of the Cato Notes and CRL Payables of $1,800,100 in the quarter ended June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B issued to Morrison &amp; Foerster into Series B Preferred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12, 2015, Morrison &amp; Foerster (</w:t>
      </w:r>
      <w:r>
        <w:rPr>
          <w:rFonts w:ascii="Arial" w:cs="Arial" w:eastAsia="Arial" w:hAnsi="Arial"/>
          <w:sz w:val="18"/>
          <w:szCs w:val="18"/>
          <w:i w:val="1"/>
          <w:iCs w:val="1"/>
          <w:color w:val="auto"/>
        </w:rPr>
        <w:t>M&amp;F</w:t>
      </w:r>
      <w:r>
        <w:rPr>
          <w:rFonts w:ascii="Arial" w:cs="Arial" w:eastAsia="Arial" w:hAnsi="Arial"/>
          <w:sz w:val="18"/>
          <w:szCs w:val="18"/>
          <w:color w:val="auto"/>
        </w:rPr>
        <w:t>) converted the entire aggregate outstanding balance (principal and accrued interest) of $1,735,500 of our August 2012 promissory Note B maturing on March 31, 2016 (</w:t>
      </w:r>
      <w:r>
        <w:rPr>
          <w:rFonts w:ascii="Arial" w:cs="Arial" w:eastAsia="Arial" w:hAnsi="Arial"/>
          <w:sz w:val="18"/>
          <w:szCs w:val="18"/>
          <w:i w:val="1"/>
          <w:iCs w:val="1"/>
          <w:color w:val="auto"/>
        </w:rPr>
        <w:t>M&amp;F Note B</w:t>
      </w:r>
      <w:r>
        <w:rPr>
          <w:rFonts w:ascii="Arial" w:cs="Arial" w:eastAsia="Arial" w:hAnsi="Arial"/>
          <w:sz w:val="18"/>
          <w:szCs w:val="18"/>
          <w:color w:val="auto"/>
        </w:rPr>
        <w:t>), plus an agreed strategic adjustment thereto into a total of 257,143 shares of our Series B Preferred. Based on the $10.00 per share fair value of the Series B Preferred at the date M&amp;F Note B was converted, we issued Series B Preferred having an aggregate fair value of $2,571,400 to M&amp;F.</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additional consideration for the conversion of M&amp;F Note B, we amended two outstanding warrants held by M&amp;F to purchase an aggregate of 110,448 restricted shares of our common stock to reduce the exercise price of one of the warrants from $40.00 per share to $20.00 per share and to extend the term of both warrants from September 15, 2017 to September 15, 2019. We calculated the fair value of the warrants immediately before and after the modifications and determined that the fair value of the warrants increased by $244,200. The warrants subject to the exercise price and term modifications were valued using the Black-Scholes Option Pricing Model and the following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Pre-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41"/>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modification</w:t>
            </w:r>
          </w:p>
        </w:tc>
        <w:tc>
          <w:tcPr>
            <w:tcW w:w="60" w:type="dxa"/>
            <w:vAlign w:val="bottom"/>
          </w:tcPr>
          <w:p>
            <w:pPr>
              <w:spacing w:after="0"/>
              <w:rPr>
                <w:sz w:val="20"/>
                <w:szCs w:val="20"/>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0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$20.00 and $40.00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Dividend rate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2.39 and $1.04</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eliminating the remaining unamortized discount of $225,500 attributable to M&amp;F Note B, we recognized a non-cash loss on the extinguishment of debt attributable to the conversion of M&amp;F Note B of $1,305,600 in the quarter ended June 30, 2015.</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its agreement to convert M&amp;F Note B into Series B Preferred, M&amp;F also agreed to withhold, through the later of (i) December 31, 2016 or (ii) our consummation of a registered public offering or a strategic transaction involving AV-101 in which, in either case, we received gross proceeds of at least $20.0 million, any and all action to collect amounts due under our August 2012 promissory Note A maturing on March 31, 2016 (</w:t>
      </w:r>
      <w:r>
        <w:rPr>
          <w:rFonts w:ascii="Arial" w:cs="Arial" w:eastAsia="Arial" w:hAnsi="Arial"/>
          <w:sz w:val="17"/>
          <w:szCs w:val="17"/>
          <w:i w:val="1"/>
          <w:iCs w:val="1"/>
          <w:color w:val="auto"/>
        </w:rPr>
        <w:t>M&amp;F Note A</w:t>
      </w:r>
      <w:r>
        <w:rPr>
          <w:rFonts w:ascii="Arial" w:cs="Arial" w:eastAsia="Arial" w:hAnsi="Arial"/>
          <w:sz w:val="17"/>
          <w:szCs w:val="17"/>
          <w:color w:val="auto"/>
        </w:rPr>
        <w:t>) and all past due amounts owed by us to M&amp;F in connection with professional services previously rendered by M&amp;F (</w:t>
      </w:r>
      <w:r>
        <w:rPr>
          <w:rFonts w:ascii="Arial" w:cs="Arial" w:eastAsia="Arial" w:hAnsi="Arial"/>
          <w:sz w:val="17"/>
          <w:szCs w:val="17"/>
          <w:i w:val="1"/>
          <w:iCs w:val="1"/>
          <w:color w:val="auto"/>
        </w:rPr>
        <w:t>M&amp;F Payables</w:t>
      </w:r>
      <w:r>
        <w:rPr>
          <w:rFonts w:ascii="Arial" w:cs="Arial" w:eastAsia="Arial" w:hAnsi="Arial"/>
          <w:sz w:val="17"/>
          <w:szCs w:val="17"/>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0" w:name="page111"/>
    <w:bookmarkEnd w:id="11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Morrison &amp; Foerster Note A and Morrison &amp; Foerster Payables into Series B Preferred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 transaction to which we were not a party, M&amp;F sold M&amp;F Note A, which, at the time of the sale, had an outstanding balance (principal and accrued interest) of $1,149,000, as well as the M&amp;F Payables in the amount of $165,100, to two third-party accredited investors (the </w:t>
      </w:r>
      <w:r>
        <w:rPr>
          <w:rFonts w:ascii="Arial" w:cs="Arial" w:eastAsia="Arial" w:hAnsi="Arial"/>
          <w:sz w:val="18"/>
          <w:szCs w:val="18"/>
          <w:i w:val="1"/>
          <w:iCs w:val="1"/>
          <w:color w:val="auto"/>
        </w:rPr>
        <w:t>M&amp;F Note A Investors</w:t>
      </w:r>
      <w:r>
        <w:rPr>
          <w:rFonts w:ascii="Arial" w:cs="Arial" w:eastAsia="Arial" w:hAnsi="Arial"/>
          <w:sz w:val="18"/>
          <w:szCs w:val="18"/>
          <w:color w:val="auto"/>
        </w:rPr>
        <w:t>). On August 10, 2015, the M&amp;F Note A Investors converted M&amp;F Note A and the M&amp;F Payables into 192,628 shares of our Series B Preferred. Based on the $12.25 per share fair value of the Series B Preferred at the date M&amp;F Note A and the M&amp;F Payables were converted, we issued Series B Preferred having an aggregate fair value of $2,359,700 to the M&amp;F Note A Investors. After eliminating the remaining unamortized discount of $122,400 attributable to M&amp;F Note A, we recognized a non-cash loss on extinguishment of debt attributable to the conversion of M&amp;F Note A and the M&amp;F Payables of $1,168,000 in the quarter ended September 30, 2015.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issued to McCarthy Tetrault into Series B Preferred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18, 2015, McCarthy Tetrault (</w:t>
      </w:r>
      <w:r>
        <w:rPr>
          <w:rFonts w:ascii="Arial" w:cs="Arial" w:eastAsia="Arial" w:hAnsi="Arial"/>
          <w:sz w:val="18"/>
          <w:szCs w:val="18"/>
          <w:i w:val="1"/>
          <w:iCs w:val="1"/>
          <w:color w:val="auto"/>
        </w:rPr>
        <w:t>McCarthy</w:t>
      </w:r>
      <w:r>
        <w:rPr>
          <w:rFonts w:ascii="Arial" w:cs="Arial" w:eastAsia="Arial" w:hAnsi="Arial"/>
          <w:sz w:val="18"/>
          <w:szCs w:val="18"/>
          <w:color w:val="auto"/>
        </w:rPr>
        <w:t xml:space="preserve">) converted the entire $379,600 outstanding balance (principal and accrued interest) of our past due promissory note issued in May 2011, plus an additional $2,100 of past due accounts payable (together, the </w:t>
      </w:r>
      <w:r>
        <w:rPr>
          <w:rFonts w:ascii="Arial" w:cs="Arial" w:eastAsia="Arial" w:hAnsi="Arial"/>
          <w:sz w:val="18"/>
          <w:szCs w:val="18"/>
          <w:i w:val="1"/>
          <w:iCs w:val="1"/>
          <w:color w:val="auto"/>
        </w:rPr>
        <w:t>McCarthy Note</w:t>
      </w:r>
      <w:r>
        <w:rPr>
          <w:rFonts w:ascii="Arial" w:cs="Arial" w:eastAsia="Arial" w:hAnsi="Arial"/>
          <w:sz w:val="18"/>
          <w:szCs w:val="18"/>
          <w:color w:val="auto"/>
        </w:rPr>
        <w:t>), into 59,230 shares of our Series B Preferred. Based on the $14.00 per share fair value of the Series B Preferred at the date the McCarthy Note was converted, we issued Series B Preferred having an aggregate fair value of $829,200 to McCarthy. Accordingly, we recognized a non-cash loss on extinguishment of debt attributable to the conversion of the McCarthy Note of $447,500 in the quarter ended June 30, 2015.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issued to Burr Pilger &amp; Mayer into Series B Preferred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24, 2015, Burr Pilger &amp; Mayer (</w:t>
      </w:r>
      <w:r>
        <w:rPr>
          <w:rFonts w:ascii="Arial" w:cs="Arial" w:eastAsia="Arial" w:hAnsi="Arial"/>
          <w:sz w:val="18"/>
          <w:szCs w:val="18"/>
          <w:i w:val="1"/>
          <w:iCs w:val="1"/>
          <w:color w:val="auto"/>
        </w:rPr>
        <w:t>Burr</w:t>
      </w:r>
      <w:r>
        <w:rPr>
          <w:rFonts w:ascii="Arial" w:cs="Arial" w:eastAsia="Arial" w:hAnsi="Arial"/>
          <w:sz w:val="18"/>
          <w:szCs w:val="18"/>
          <w:color w:val="auto"/>
        </w:rPr>
        <w:t xml:space="preserve">) converted the entire $105,200 outstanding balance (principal and accrued interest) of our past due promissory note issued in May 2011, plus an additional $17,900 of past due accounts payable (together, the </w:t>
      </w:r>
      <w:r>
        <w:rPr>
          <w:rFonts w:ascii="Arial" w:cs="Arial" w:eastAsia="Arial" w:hAnsi="Arial"/>
          <w:sz w:val="18"/>
          <w:szCs w:val="18"/>
          <w:i w:val="1"/>
          <w:iCs w:val="1"/>
          <w:color w:val="auto"/>
        </w:rPr>
        <w:t>Burr Note</w:t>
      </w:r>
      <w:r>
        <w:rPr>
          <w:rFonts w:ascii="Arial" w:cs="Arial" w:eastAsia="Arial" w:hAnsi="Arial"/>
          <w:sz w:val="18"/>
          <w:szCs w:val="18"/>
          <w:color w:val="auto"/>
        </w:rPr>
        <w:t>), into 21,429 shares of our Series B Preferred. Based on the $16.50 per share fair value of the Series B Preferred at the date the Burr Note was converted, we issued Series B Preferred having an aggregate fair value of $353,600 to Burr. Accordingly, we recognized a non-cash loss on the extinguishment of debt attributable to the conversion of the Burr Note of $230,500 in the quarter ended June 30, 2015.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and Accounts Payable Issued to Icahn School of Medicine at Mount Sinai into Series B Preferred</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26, 2015, Icahn School of Medicine at Mount Sinai (</w:t>
      </w:r>
      <w:r>
        <w:rPr>
          <w:rFonts w:ascii="Arial" w:cs="Arial" w:eastAsia="Arial" w:hAnsi="Arial"/>
          <w:sz w:val="17"/>
          <w:szCs w:val="17"/>
          <w:i w:val="1"/>
          <w:iCs w:val="1"/>
          <w:color w:val="auto"/>
        </w:rPr>
        <w:t>ISMMS</w:t>
      </w:r>
      <w:r>
        <w:rPr>
          <w:rFonts w:ascii="Arial" w:cs="Arial" w:eastAsia="Arial" w:hAnsi="Arial"/>
          <w:sz w:val="17"/>
          <w:szCs w:val="17"/>
          <w:color w:val="auto"/>
        </w:rPr>
        <w:t>) converted the entire $270,400 outstanding balance (principal and accrued interest) of our past due April 2014 promissory note into a total of 40,000 shares of our Series B Preferred. Based on the $16.00 per share fair value of the Series B Preferred at the date the note was converted, we issued Series B Preferred having an aggregate fair value of $640,000 to ISMMS.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additional consideration for the conversion of the ISMMS note, we amended an outstanding warrant held by ISMMS to purchase 15,000 restricted shares of our common stock to reduce the exercise price from $10.00 per share to $7.00 per share. We calculated the fair value of the warrant immediately before and after the modification and determined that the fair value of the warrant increased by $16,600. The warrant subject to the exercise price modification was valued using the Black-Scholes Option Pricing Model and the following assumptions: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1" w:name="page112"/>
    <w:bookmarkEnd w:id="11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Pre-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0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modification</w:t>
            </w:r>
          </w:p>
        </w:tc>
        <w:tc>
          <w:tcPr>
            <w:tcW w:w="60" w:type="dxa"/>
            <w:vAlign w:val="bottom"/>
          </w:tcPr>
          <w:p>
            <w:pPr>
              <w:spacing w:after="0"/>
              <w:rPr>
                <w:sz w:val="20"/>
                <w:szCs w:val="20"/>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Dividend rate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10.48</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11.60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We recognized a non-cash loss on extinguishment of debt attributable to the conversion of ISMMS note of $386,200 in the quarter ended June 30, 2015.</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13, 2015, ISMMS also converted accounts payable in the amount of $19,100 (</w:t>
      </w:r>
      <w:r>
        <w:rPr>
          <w:rFonts w:ascii="Arial" w:cs="Arial" w:eastAsia="Arial" w:hAnsi="Arial"/>
          <w:sz w:val="18"/>
          <w:szCs w:val="18"/>
          <w:i w:val="1"/>
          <w:iCs w:val="1"/>
          <w:color w:val="auto"/>
        </w:rPr>
        <w:t>ISMMS Payables</w:t>
      </w:r>
      <w:r>
        <w:rPr>
          <w:rFonts w:ascii="Arial" w:cs="Arial" w:eastAsia="Arial" w:hAnsi="Arial"/>
          <w:sz w:val="18"/>
          <w:szCs w:val="18"/>
          <w:color w:val="auto"/>
        </w:rPr>
        <w:t>) into an additional 3,000 shares of our Series B Preferred. Based on the $12.00 per share fair value of the Series B Preferred at the date the ISMMS Payables were converted, we issued Series B Preferred having an aggregate fair value of $36,000 to ISMMS. Accordingly, we recognized a non-cash loss on the extinguishment of debt attributable to the conversion of the ISMMS Payables of $16,900 in the quarter ended September 30,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issued to National Jewish Health into Series B Preferred</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29, 2015, National Jewish Health (</w:t>
      </w:r>
      <w:r>
        <w:rPr>
          <w:rFonts w:ascii="Arial" w:cs="Arial" w:eastAsia="Arial" w:hAnsi="Arial"/>
          <w:sz w:val="17"/>
          <w:szCs w:val="17"/>
          <w:i w:val="1"/>
          <w:iCs w:val="1"/>
          <w:color w:val="auto"/>
        </w:rPr>
        <w:t>NJH</w:t>
      </w:r>
      <w:r>
        <w:rPr>
          <w:rFonts w:ascii="Arial" w:cs="Arial" w:eastAsia="Arial" w:hAnsi="Arial"/>
          <w:sz w:val="17"/>
          <w:szCs w:val="17"/>
          <w:color w:val="auto"/>
        </w:rPr>
        <w:t>) converted the entire $115,000 outstanding balance (principal and accrued interest) of our past due promissory note into 17,857 shares of our Series B Preferred. Based on the $15.00 per share fair value of the Series B Preferred at the date the NJH note was converted, we issued Series B Preferred having an aggregate fair value of $267,900 to NJH. Accordingly, we recognized a non-cash loss on the extinguishment of debt attributable to the conversion of the NJH note of $152,900 in the quarter ended June 30, 2015.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issued to Desjardins Securities into Series B Preferred</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July 2, 2015, Desjardins Securities </w:t>
      </w:r>
      <w:r>
        <w:rPr>
          <w:rFonts w:ascii="Arial" w:cs="Arial" w:eastAsia="Arial" w:hAnsi="Arial"/>
          <w:sz w:val="17"/>
          <w:szCs w:val="17"/>
          <w:i w:val="1"/>
          <w:iCs w:val="1"/>
          <w:color w:val="auto"/>
        </w:rPr>
        <w:t>(Desjardins</w:t>
      </w:r>
      <w:r>
        <w:rPr>
          <w:rFonts w:ascii="Arial" w:cs="Arial" w:eastAsia="Arial" w:hAnsi="Arial"/>
          <w:sz w:val="17"/>
          <w:szCs w:val="17"/>
          <w:color w:val="auto"/>
        </w:rPr>
        <w:t>) converted the entire $187,400 outstanding balance (principal and accrued interest) of our past due promissory note into 32,143 shares of our Series B Preferred. Based on the $14.00 per share fair value of the Series B Preferred at the date the Desjardins note was converted, we issued Series B Preferred having an aggregate fair value of $450,000 to Desjardins. Accordingly, we recognized a non-cash loss on extinguishment of the debt attributable to the conversion of the Desjardins note of $262,600 in the quarter ended September 30,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Promissory Note and Accounts Payable issued to MicroConstants into Series B Preferred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2015, MicroConstants, Inc. (</w:t>
      </w:r>
      <w:r>
        <w:rPr>
          <w:rFonts w:ascii="Arial" w:cs="Arial" w:eastAsia="Arial" w:hAnsi="Arial"/>
          <w:sz w:val="18"/>
          <w:szCs w:val="18"/>
          <w:i w:val="1"/>
          <w:iCs w:val="1"/>
          <w:color w:val="auto"/>
        </w:rPr>
        <w:t>MicroConstants)</w:t>
      </w:r>
      <w:r>
        <w:rPr>
          <w:rFonts w:ascii="Arial" w:cs="Arial" w:eastAsia="Arial" w:hAnsi="Arial"/>
          <w:sz w:val="18"/>
          <w:szCs w:val="18"/>
          <w:color w:val="auto"/>
        </w:rPr>
        <w:t xml:space="preserve"> converted the $22,000 outstanding balance (principal and accrued interest) of our past due promissory note and outstanding accounts payable in the amount of $70,400 into an aggregate of 17,857 shares of our Series B Preferred. Based on the $14.00 per share fair value of the Series B Preferred at the date the MicroConstants note and accounts payable were converted, we issued Series B Preferred having an aggregate fair value of $250,000. Accordingly, we recognized a non-cash loss on extinguishment of debt attributable to the conversion of the MicroConstants note and payables of $157,600 in the quarter ended September 30, 2015.</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2" w:name="page113"/>
    <w:bookmarkEnd w:id="11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Accounts Payable to Professional Services Providers and Other Debt into Series B Preferred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June and July 2015, two of our professional service providers and a former employee to whom we were contractually obligated for certain accrued compensation amounts converted an aggregate of $497,900 past due amounts for prior services (</w:t>
      </w:r>
      <w:r>
        <w:rPr>
          <w:rFonts w:ascii="Arial" w:cs="Arial" w:eastAsia="Arial" w:hAnsi="Arial"/>
          <w:sz w:val="16"/>
          <w:szCs w:val="16"/>
          <w:i w:val="1"/>
          <w:iCs w:val="1"/>
          <w:color w:val="auto"/>
        </w:rPr>
        <w:t>Service Provider Payables</w:t>
      </w:r>
      <w:r>
        <w:rPr>
          <w:rFonts w:ascii="Arial" w:cs="Arial" w:eastAsia="Arial" w:hAnsi="Arial"/>
          <w:sz w:val="16"/>
          <w:szCs w:val="16"/>
          <w:color w:val="auto"/>
        </w:rPr>
        <w:t>) into an aggregate of 80,929 shares of our Series B Preferred. Based on the per share fair value of the Series B Preferred on the respective dates that each Service Provider Payable was converted, which ranged from $10.00 per share to $12.00 per share, we issued Series B Preferred having an aggregate fair value of $823,800 to the Service Providers. Accordingly, we recognized an aggregate non-cash loss on the extinguishment of debt attributable to the conversion of the Service Provider Payables in the amounts of $281,800 and $44,100 in the quarters ended June 30, 2015 and September 30,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Split (Stock Consolidation) of our Common Stock</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As indicated in Note 2, </w:t>
      </w:r>
      <w:r>
        <w:rPr>
          <w:rFonts w:ascii="Arial" w:cs="Arial" w:eastAsia="Arial" w:hAnsi="Arial"/>
          <w:sz w:val="17"/>
          <w:szCs w:val="17"/>
          <w:i w:val="1"/>
          <w:iCs w:val="1"/>
          <w:color w:val="auto"/>
        </w:rPr>
        <w:t>Basis of Presentation</w:t>
      </w:r>
      <w:r>
        <w:rPr>
          <w:rFonts w:ascii="Arial" w:cs="Arial" w:eastAsia="Arial" w:hAnsi="Arial"/>
          <w:sz w:val="17"/>
          <w:szCs w:val="17"/>
          <w:color w:val="auto"/>
        </w:rPr>
        <w:t>, we consummated the Stock Consolidation, a 1-for-20 reverse split of our authorized, and issued and outstanding shares of common stock, effective on August 14, 2014. The par value of our common stock remained unchanged at $0.001 per share following the Stock Consolidation. The Stock Consolidation was approved by the Financial Industry Regulatory Authority (</w:t>
      </w:r>
      <w:r>
        <w:rPr>
          <w:rFonts w:ascii="Arial" w:cs="Arial" w:eastAsia="Arial" w:hAnsi="Arial"/>
          <w:sz w:val="17"/>
          <w:szCs w:val="17"/>
          <w:i w:val="1"/>
          <w:iCs w:val="1"/>
          <w:color w:val="auto"/>
        </w:rPr>
        <w:t>FINRA</w:t>
      </w:r>
      <w:r>
        <w:rPr>
          <w:rFonts w:ascii="Arial" w:cs="Arial" w:eastAsia="Arial" w:hAnsi="Arial"/>
          <w:sz w:val="17"/>
          <w:szCs w:val="17"/>
          <w:color w:val="auto"/>
        </w:rPr>
        <w:t>) on August 13, 2014, and became effective on the OTCQB at the opening of trading on August 14, 2014. Each reference to shares of common stock or the price per share of common stock in these financial statements is post-Stock Consolidation, and reflects the 1-for-20 adjustment as a result of the Stock Consolidation.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2011, our Board of Directors authorized the creation of a series of up to 500,000 shares of Series A Preferred, par value $0.001 (</w:t>
      </w:r>
      <w:r>
        <w:rPr>
          <w:rFonts w:ascii="Arial" w:cs="Arial" w:eastAsia="Arial" w:hAnsi="Arial"/>
          <w:sz w:val="18"/>
          <w:szCs w:val="18"/>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Each restricted share of Series A Preferred was initially convertible at the option of the holder into one-half of one restricted share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Series A Preferred ranks prior to the common stock for purposes of liquidation preference.</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March 31, 2016 and 2015, there were 500,000 restricted shares of Series A Preferred outstanding, convertible into 750,000 shares of our common stock at the option of the holder, all held by PLTG or its affiliates and a third party to whom PLTG transferred certain of the shares. PLTG initially acquired the Series A Preferred pursuant to certain transactions with us that occurred between December 2011 and June 2012, the latter of which involved, among other considerations, the exchange of common stock then owned by PLTG for shares of Series A Preferred. The common shares exchanged for shares of Series A Preferred are treated as treasury stock in the accompanying Consolidated Balance Sheets at March 31, 2016 and 2015.</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3" w:name="page114"/>
    <w:bookmarkEnd w:id="11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Creation of Series B Preferred Stock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17, 2014, our Board of Directors authorized the creation of a class of Series B Preferred Stock. On May 7, 2015, we filed a Certificate of Designation of the Relative Rights and Preferences of the Series B 10% Preferred Stock of VistaGen Therapeutics, Inc. (</w:t>
      </w:r>
      <w:r>
        <w:rPr>
          <w:rFonts w:ascii="Arial" w:cs="Arial" w:eastAsia="Arial" w:hAnsi="Arial"/>
          <w:sz w:val="18"/>
          <w:szCs w:val="18"/>
          <w:i w:val="1"/>
          <w:iCs w:val="1"/>
          <w:color w:val="auto"/>
        </w:rPr>
        <w:t>Certificate of Designation</w:t>
      </w:r>
      <w:r>
        <w:rPr>
          <w:rFonts w:ascii="Arial" w:cs="Arial" w:eastAsia="Arial" w:hAnsi="Arial"/>
          <w:sz w:val="18"/>
          <w:szCs w:val="18"/>
          <w:color w:val="auto"/>
        </w:rPr>
        <w:t>) with the Nevada Secretary of State to designate 4.0 million shares of our authorized preferred stock as Series B Preferred.</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Each share of Series B Preferred is convertible, at the option of the holder (</w:t>
      </w:r>
      <w:r>
        <w:rPr>
          <w:rFonts w:ascii="Arial" w:cs="Arial" w:eastAsia="Arial" w:hAnsi="Arial"/>
          <w:sz w:val="17"/>
          <w:szCs w:val="17"/>
          <w:i w:val="1"/>
          <w:iCs w:val="1"/>
          <w:color w:val="auto"/>
        </w:rPr>
        <w:t>Voluntary Conversion</w:t>
      </w:r>
      <w:r>
        <w:rPr>
          <w:rFonts w:ascii="Arial" w:cs="Arial" w:eastAsia="Arial" w:hAnsi="Arial"/>
          <w:sz w:val="17"/>
          <w:szCs w:val="17"/>
          <w:color w:val="auto"/>
        </w:rPr>
        <w:t>), into one (1) share of our Common Stock, subject to adjustment only for customary stock dividends, reclassifications, splits and similar transactions set forth in the Certificate of Designation. All outstanding shares of Series B Preferred are also convertible automatically on a one-to-one basis into shares of our Common Stock (</w:t>
      </w:r>
      <w:r>
        <w:rPr>
          <w:rFonts w:ascii="Arial" w:cs="Arial" w:eastAsia="Arial" w:hAnsi="Arial"/>
          <w:sz w:val="17"/>
          <w:szCs w:val="17"/>
          <w:i w:val="1"/>
          <w:iCs w:val="1"/>
          <w:color w:val="auto"/>
        </w:rPr>
        <w:t>Automatic Conversion</w:t>
      </w:r>
      <w:r>
        <w:rPr>
          <w:rFonts w:ascii="Arial" w:cs="Arial" w:eastAsia="Arial" w:hAnsi="Arial"/>
          <w:sz w:val="17"/>
          <w:szCs w:val="17"/>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7"/>
          <w:szCs w:val="17"/>
          <w:i w:val="1"/>
          <w:iCs w:val="1"/>
          <w:color w:val="auto"/>
        </w:rPr>
        <w:t>Conversion</w:t>
      </w:r>
      <w:r>
        <w:rPr>
          <w:rFonts w:ascii="Arial" w:cs="Arial" w:eastAsia="Arial" w:hAnsi="Arial"/>
          <w:sz w:val="17"/>
          <w:szCs w:val="17"/>
          <w:color w:val="auto"/>
        </w:rPr>
        <w:t>) are subject to certain beneficial ownership blockers as set forth in the Certificate of Designation and/or securities purchase agreements.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Conversion, shares of Series B Preferred accrue in-kind dividends (payable only in unregistered shares of our common stock) at a rate of 10% per annum (</w:t>
      </w:r>
      <w:r>
        <w:rPr>
          <w:rFonts w:ascii="Arial" w:cs="Arial" w:eastAsia="Arial" w:hAnsi="Arial"/>
          <w:sz w:val="17"/>
          <w:szCs w:val="17"/>
          <w:i w:val="1"/>
          <w:iCs w:val="1"/>
          <w:color w:val="auto"/>
        </w:rPr>
        <w:t>Accrued Dividends</w:t>
      </w:r>
      <w:r>
        <w:rPr>
          <w:rFonts w:ascii="Arial" w:cs="Arial" w:eastAsia="Arial" w:hAnsi="Arial"/>
          <w:sz w:val="17"/>
          <w:szCs w:val="17"/>
          <w:color w:val="auto"/>
        </w:rPr>
        <w:t>). The Accrued Dividends are payable on the date of either a Voluntary Conversion or Automatic Conversion solely in that number of shares of common stock equal to the Accrued Dividends. At March 31, 2016, we have recognized a liability in the amount of $2,089,600 for Accrued Dividends in the accompanying Consolidated Balance Sheet at March 31, 2016, based on the Series B Preferred issued and outstanding, net of conversions to common stock, through that date. We have recognized a deduction from net loss of $2,140,500 related to dividends on Series B Preferred in arriving at net loss attributable to common stockholders in the accompanying Consolidated Statement of Operations and Comprehensive Loss for the fiscal year ended March 31, 2016. The liquidation value of the Series B Preferred at March 31, 2016 is approximately $27,731,200.</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regarding the Automatic Conversion of certain shares of Series B Preferred upon our consummation of the May 2016 Public Offering and our related issuance of shares of unregistered common stock in payment of Accrued Dividends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Creation of Series C Preferred Stock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January 13, 2016, our Board authorized the creation of, and effective January 25, 2016, we filed a Certificate of Designation of the Relative Rights and Preferences of the Series C Convertible Preferred Stock of VistaGen Therapeutics, Inc. (the </w:t>
      </w:r>
      <w:r>
        <w:rPr>
          <w:rFonts w:ascii="Arial" w:cs="Arial" w:eastAsia="Arial" w:hAnsi="Arial"/>
          <w:sz w:val="18"/>
          <w:szCs w:val="18"/>
          <w:i w:val="1"/>
          <w:iCs w:val="1"/>
          <w:color w:val="auto"/>
        </w:rPr>
        <w:t>Series C PreferredCertificate of Designation</w:t>
      </w:r>
      <w:r>
        <w:rPr>
          <w:rFonts w:ascii="Arial" w:cs="Arial" w:eastAsia="Arial" w:hAnsi="Arial"/>
          <w:sz w:val="18"/>
          <w:szCs w:val="18"/>
          <w:color w:val="auto"/>
        </w:rPr>
        <w:t>) with the Nevada Secretary of State to designate 3.0 million shares of our preferred stock, par value $0.001 per share, as Series C Convertible Preferred Stock (</w:t>
      </w:r>
      <w:r>
        <w:rPr>
          <w:rFonts w:ascii="Arial" w:cs="Arial" w:eastAsia="Arial" w:hAnsi="Arial"/>
          <w:sz w:val="18"/>
          <w:szCs w:val="18"/>
          <w:i w:val="1"/>
          <w:iCs w:val="1"/>
          <w:color w:val="auto"/>
        </w:rPr>
        <w:t>Series C</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Upon liquidation, each share of Series C Preferred ranks pari-passu with our Series B Preferred and our Series A Preferred, and is convertible,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 of the holder into one share of our common stock, subject to certain beneficial ownership limitations as set forth in the Series C Preferred Certificate of Designation. Shares of the Series C Preferred do not accrue dividends, and holders of the Series C Preferred have no voting rights. Each share of Series C Preferred is convertible into one (1) share of our common stock. At March 31, 2016, PLTG or its affiliates held all outstanding shares of Series C Preferred.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4" w:name="page115"/>
    <w:bookmarkEnd w:id="11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Unit Private Placement</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Between late-March 2014 and March 31, 2015, we entered into securities purchase agreements with accredited investors, including PLTG, pursuant to which we sold units to such accredited investors in private placement transactions (</w:t>
      </w:r>
      <w:r>
        <w:rPr>
          <w:rFonts w:ascii="Arial" w:cs="Arial" w:eastAsia="Arial" w:hAnsi="Arial"/>
          <w:sz w:val="16"/>
          <w:szCs w:val="16"/>
          <w:i w:val="1"/>
          <w:iCs w:val="1"/>
          <w:color w:val="auto"/>
        </w:rPr>
        <w:t>2014 Units</w:t>
      </w:r>
      <w:r>
        <w:rPr>
          <w:rFonts w:ascii="Arial" w:cs="Arial" w:eastAsia="Arial" w:hAnsi="Arial"/>
          <w:sz w:val="16"/>
          <w:szCs w:val="16"/>
          <w:color w:val="auto"/>
        </w:rPr>
        <w:t>), for aggregate cash proceeds of $3,113,500, consisting of (i) 2014 Unit Notes in the aggregate face amount of $3,113,500 which were due on March 31, 2015 or automatically convertible into securities we might have issued upon the consummation of a Qualified Financing, defined as (a) an equity-based public financing registered with the SEC, or (b) a private equity-based financing or series of private equity-based financings, in either case in which we receive at least $10 million in gross cash proceeds prior to March 31, 2015;</w:t>
      </w:r>
    </w:p>
    <w:p>
      <w:pPr>
        <w:spacing w:after="0" w:line="2" w:lineRule="exact"/>
        <w:rPr>
          <w:sz w:val="20"/>
          <w:szCs w:val="20"/>
          <w:color w:val="auto"/>
        </w:rPr>
      </w:pPr>
    </w:p>
    <w:p>
      <w:pPr>
        <w:jc w:val="both"/>
        <w:ind w:firstLine="8"/>
        <w:spacing w:after="0" w:line="268" w:lineRule="auto"/>
        <w:tabs>
          <w:tab w:leader="none" w:pos="272"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aggregate of 282,850 restricted shares of our common stock (</w:t>
      </w:r>
      <w:r>
        <w:rPr>
          <w:rFonts w:ascii="Arial" w:cs="Arial" w:eastAsia="Arial" w:hAnsi="Arial"/>
          <w:sz w:val="17"/>
          <w:szCs w:val="17"/>
          <w:i w:val="1"/>
          <w:iCs w:val="1"/>
          <w:color w:val="auto"/>
        </w:rPr>
        <w:t>2014 Unit Stock)</w:t>
      </w:r>
      <w:r>
        <w:rPr>
          <w:rFonts w:ascii="Arial" w:cs="Arial" w:eastAsia="Arial" w:hAnsi="Arial"/>
          <w:sz w:val="17"/>
          <w:szCs w:val="17"/>
          <w:color w:val="auto"/>
        </w:rPr>
        <w:t>; and (iii) warrants exercisable through December 31, 2016 to purchase an aggregate of 282,850 restricted shares of our common stock at an exercise price of $10.00 per share (</w:t>
      </w:r>
      <w:r>
        <w:rPr>
          <w:rFonts w:ascii="Arial" w:cs="Arial" w:eastAsia="Arial" w:hAnsi="Arial"/>
          <w:sz w:val="17"/>
          <w:szCs w:val="17"/>
          <w:i w:val="1"/>
          <w:iCs w:val="1"/>
          <w:color w:val="auto"/>
        </w:rPr>
        <w:t>2014 Unit Warrants</w:t>
      </w:r>
      <w:r>
        <w:rPr>
          <w:rFonts w:ascii="Arial" w:cs="Arial" w:eastAsia="Arial" w:hAnsi="Arial"/>
          <w:sz w:val="17"/>
          <w:szCs w:val="17"/>
          <w:color w:val="auto"/>
        </w:rPr>
        <w:t>). We sold $1,250,000 of such Units to PLTG, issuing 2014 Unit Notes in the face amount of $1,250,000; 125,000 restricted shares of 2014 Unit Stock and 2014 Unit Warrants to purchase 125,000 shares of our common stock to PLTG. The Outstanding Balance of each 2014 Unit Notes was convertible into shares of our common stock at a conversion price of $10.00 per share at or prior to maturity, at the option of each investor. In addition, however, the Outstanding Balance was automatically convertible into securities substantially similar to those we issued in a Qualified Financing at an amount determined by multiplying the Outstanding Balance by 1.25, and dividing the resulting number by the price per share of securities offered in the Qualified Financing. Under certain circumstances, the holders of the 2014 Unit Notes could request payment in cash in lieu of automatic conversion into the securities of the Qualified Financing. We sold $50,000 of 2014 Units prior to March 31, 2014, which Units are reflected in the figures above.</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allocated the proceeds from the sale of the 2014 Units to the various securities based on their relative fair values on the dates of the sales. As described in Note 8,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based on the short-term nature of the Unit Notes, we determined that fair value of the 2014 Unit Notes was equal to their face value. We determined the fair value of the 2014 Unit 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color w:val="auto"/>
                <w:w w:val="99"/>
              </w:rPr>
              <w:t>Unit Warrants</w:t>
            </w: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85"/>
              </w:rPr>
              <w:t>Per</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40" w:type="dxa"/>
            <w:vAlign w:val="bottom"/>
            <w:tcBorders>
              <w:bottom w:val="single" w:sz="8" w:color="auto"/>
            </w:tcBorders>
            <w:gridSpan w:val="12"/>
          </w:tcPr>
          <w:p>
            <w:pPr>
              <w:jc w:val="right"/>
              <w:ind w:right="420"/>
              <w:spacing w:after="0"/>
              <w:rPr>
                <w:sz w:val="20"/>
                <w:szCs w:val="20"/>
                <w:color w:val="auto"/>
              </w:rPr>
            </w:pPr>
            <w:r>
              <w:rPr>
                <w:rFonts w:ascii="Arial" w:cs="Arial" w:eastAsia="Arial" w:hAnsi="Arial"/>
                <w:sz w:val="18"/>
                <w:szCs w:val="18"/>
                <w:color w:val="auto"/>
                <w:w w:val="98"/>
              </w:rPr>
              <w:t>Weighted Average Issuance Date Valuation Assumptions</w:t>
            </w:r>
          </w:p>
        </w:tc>
        <w:tc>
          <w:tcPr>
            <w:tcW w:w="80" w:type="dxa"/>
            <w:vAlign w:val="bottom"/>
          </w:tcPr>
          <w:p>
            <w:pPr>
              <w:spacing w:after="0"/>
              <w:rPr>
                <w:sz w:val="20"/>
                <w:szCs w:val="20"/>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Share</w:t>
            </w:r>
          </w:p>
        </w:tc>
        <w:tc>
          <w:tcPr>
            <w:tcW w:w="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Aggregate</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7"/>
              </w:rPr>
              <w:t>Risk</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7"/>
          </w:tcPr>
          <w:p>
            <w:pPr>
              <w:jc w:val="center"/>
              <w:ind w:right="20"/>
              <w:spacing w:after="0" w:line="201" w:lineRule="exact"/>
              <w:rPr>
                <w:sz w:val="20"/>
                <w:szCs w:val="20"/>
                <w:color w:val="auto"/>
              </w:rPr>
            </w:pPr>
            <w:r>
              <w:rPr>
                <w:rFonts w:ascii="Arial" w:cs="Arial" w:eastAsia="Arial" w:hAnsi="Arial"/>
                <w:sz w:val="18"/>
                <w:szCs w:val="18"/>
                <w:color w:val="auto"/>
                <w:w w:val="91"/>
              </w:rPr>
              <w:t>Aggregate Allocation of Proceeds</w:t>
            </w:r>
          </w:p>
        </w:tc>
        <w:tc>
          <w:tcPr>
            <w:tcW w:w="0" w:type="dxa"/>
            <w:vAlign w:val="bottom"/>
          </w:tcPr>
          <w:p>
            <w:pPr>
              <w:spacing w:after="0"/>
              <w:rPr>
                <w:sz w:val="1"/>
                <w:szCs w:val="1"/>
                <w:color w:val="auto"/>
              </w:rPr>
            </w:pPr>
          </w:p>
        </w:tc>
      </w:tr>
      <w:tr>
        <w:trPr>
          <w:trHeight w:val="237"/>
        </w:trPr>
        <w:tc>
          <w:tcPr>
            <w:tcW w:w="740" w:type="dxa"/>
            <w:vAlign w:val="bottom"/>
            <w:gridSpan w:val="2"/>
          </w:tcPr>
          <w:p>
            <w:pPr>
              <w:ind w:left="60"/>
              <w:spacing w:after="0"/>
              <w:rPr>
                <w:sz w:val="20"/>
                <w:szCs w:val="20"/>
                <w:color w:val="auto"/>
              </w:rPr>
            </w:pPr>
            <w:r>
              <w:rPr>
                <w:rFonts w:ascii="Arial" w:cs="Arial" w:eastAsia="Arial" w:hAnsi="Arial"/>
                <w:sz w:val="18"/>
                <w:szCs w:val="18"/>
                <w:color w:val="auto"/>
              </w:rPr>
              <w:t>Warrant</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free</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Fair</w:t>
            </w:r>
          </w:p>
        </w:tc>
        <w:tc>
          <w:tcPr>
            <w:tcW w:w="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Fair Value</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4"/>
              </w:rPr>
              <w:t>Proceeds</w:t>
            </w:r>
          </w:p>
        </w:tc>
        <w:tc>
          <w:tcPr>
            <w:tcW w:w="180" w:type="dxa"/>
            <w:vAlign w:val="bottom"/>
          </w:tcPr>
          <w:p>
            <w:pPr>
              <w:spacing w:after="0"/>
              <w:rPr>
                <w:sz w:val="20"/>
                <w:szCs w:val="20"/>
                <w:color w:val="auto"/>
              </w:rPr>
            </w:pPr>
          </w:p>
        </w:tc>
        <w:tc>
          <w:tcPr>
            <w:tcW w:w="2780" w:type="dxa"/>
            <w:vAlign w:val="bottom"/>
            <w:gridSpan w:val="7"/>
          </w:tcPr>
          <w:p>
            <w:pPr>
              <w:jc w:val="center"/>
              <w:spacing w:after="0"/>
              <w:rPr>
                <w:sz w:val="20"/>
                <w:szCs w:val="20"/>
                <w:color w:val="auto"/>
              </w:rPr>
            </w:pPr>
            <w:r>
              <w:rPr>
                <w:rFonts w:ascii="Arial" w:cs="Arial" w:eastAsia="Arial" w:hAnsi="Arial"/>
                <w:sz w:val="18"/>
                <w:szCs w:val="18"/>
                <w:color w:val="auto"/>
                <w:w w:val="90"/>
              </w:rPr>
              <w:t>Based on Relative Fair Value of:</w:t>
            </w:r>
          </w:p>
        </w:tc>
        <w:tc>
          <w:tcPr>
            <w:tcW w:w="0" w:type="dxa"/>
            <w:vAlign w:val="bottom"/>
          </w:tcPr>
          <w:p>
            <w:pPr>
              <w:spacing w:after="0"/>
              <w:rPr>
                <w:sz w:val="1"/>
                <w:szCs w:val="1"/>
                <w:color w:val="auto"/>
              </w:rPr>
            </w:pPr>
          </w:p>
        </w:tc>
      </w:tr>
      <w:tr>
        <w:trPr>
          <w:trHeight w:val="202"/>
        </w:trPr>
        <w:tc>
          <w:tcPr>
            <w:tcW w:w="7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Shares</w:t>
            </w:r>
          </w:p>
        </w:tc>
        <w:tc>
          <w:tcPr>
            <w:tcW w:w="60" w:type="dxa"/>
            <w:vAlign w:val="bottom"/>
          </w:tcPr>
          <w:p>
            <w:pPr>
              <w:spacing w:after="0"/>
              <w:rPr>
                <w:sz w:val="17"/>
                <w:szCs w:val="17"/>
                <w:color w:val="auto"/>
              </w:rPr>
            </w:pPr>
          </w:p>
        </w:tc>
        <w:tc>
          <w:tcPr>
            <w:tcW w:w="76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4"/>
              </w:rPr>
              <w:t>Market</w:t>
            </w:r>
          </w:p>
        </w:tc>
        <w:tc>
          <w:tcPr>
            <w:tcW w:w="8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89"/>
              </w:rPr>
              <w:t>Exercise</w:t>
            </w:r>
          </w:p>
        </w:tc>
        <w:tc>
          <w:tcPr>
            <w:tcW w:w="74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0"/>
              </w:rPr>
              <w:t>Term</w:t>
            </w:r>
          </w:p>
        </w:tc>
        <w:tc>
          <w:tcPr>
            <w:tcW w:w="8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Interest</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4"/>
              </w:rPr>
              <w:t>Dividend</w:t>
            </w:r>
          </w:p>
        </w:tc>
        <w:tc>
          <w:tcPr>
            <w:tcW w:w="80" w:type="dxa"/>
            <w:vAlign w:val="bottom"/>
          </w:tcPr>
          <w:p>
            <w:pPr>
              <w:spacing w:after="0"/>
              <w:rPr>
                <w:sz w:val="17"/>
                <w:szCs w:val="17"/>
                <w:color w:val="auto"/>
              </w:rPr>
            </w:pPr>
          </w:p>
        </w:tc>
        <w:tc>
          <w:tcPr>
            <w:tcW w:w="72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0"/>
              </w:rPr>
              <w:t>Value of</w:t>
            </w:r>
          </w:p>
        </w:tc>
        <w:tc>
          <w:tcPr>
            <w:tcW w:w="8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6"/>
              </w:rPr>
              <w:t>of Unit</w:t>
            </w:r>
          </w:p>
        </w:tc>
        <w:tc>
          <w:tcPr>
            <w:tcW w:w="200" w:type="dxa"/>
            <w:vAlign w:val="bottom"/>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9"/>
              </w:rPr>
              <w:t>of Unit</w:t>
            </w:r>
          </w:p>
        </w:tc>
        <w:tc>
          <w:tcPr>
            <w:tcW w:w="180" w:type="dxa"/>
            <w:vAlign w:val="bottom"/>
          </w:tcPr>
          <w:p>
            <w:pPr>
              <w:spacing w:after="0"/>
              <w:rPr>
                <w:sz w:val="17"/>
                <w:szCs w:val="17"/>
                <w:color w:val="auto"/>
              </w:rPr>
            </w:pPr>
          </w:p>
        </w:tc>
        <w:tc>
          <w:tcPr>
            <w:tcW w:w="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Unit</w:t>
            </w: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color w:val="auto"/>
                <w:w w:val="99"/>
              </w:rPr>
              <w:t>Unit</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Unit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Issued</w:t>
            </w:r>
          </w:p>
        </w:tc>
        <w:tc>
          <w:tcPr>
            <w:tcW w:w="60" w:type="dxa"/>
            <w:vAlign w:val="bottom"/>
          </w:tcPr>
          <w:p>
            <w:pPr>
              <w:spacing w:after="0"/>
              <w:rPr>
                <w:sz w:val="20"/>
                <w:szCs w:val="20"/>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Price</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Price</w:t>
            </w:r>
          </w:p>
        </w:tc>
        <w:tc>
          <w:tcPr>
            <w:tcW w:w="7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(Years)</w:t>
            </w: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Rate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Volatility</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Rate</w:t>
            </w:r>
          </w:p>
        </w:tc>
        <w:tc>
          <w:tcPr>
            <w:tcW w:w="80" w:type="dxa"/>
            <w:vAlign w:val="bottom"/>
          </w:tcPr>
          <w:p>
            <w:pPr>
              <w:spacing w:after="0"/>
              <w:rPr>
                <w:sz w:val="20"/>
                <w:szCs w:val="20"/>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Warrant</w:t>
            </w:r>
          </w:p>
        </w:tc>
        <w:tc>
          <w:tcPr>
            <w:tcW w:w="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Warrants</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4"/>
              </w:rPr>
              <w:t>Sales</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200" w:type="dxa"/>
            <w:vAlign w:val="bottom"/>
          </w:tcPr>
          <w:p>
            <w:pPr>
              <w:spacing w:after="0"/>
              <w:rPr>
                <w:sz w:val="20"/>
                <w:szCs w:val="20"/>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Warrant</w:t>
            </w:r>
          </w:p>
        </w:tc>
        <w:tc>
          <w:tcPr>
            <w:tcW w:w="100" w:type="dxa"/>
            <w:vAlign w:val="bottom"/>
          </w:tcPr>
          <w:p>
            <w:pPr>
              <w:spacing w:after="0"/>
              <w:rPr>
                <w:sz w:val="20"/>
                <w:szCs w:val="20"/>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Note</w:t>
            </w: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shd w:val="clear" w:color="auto" w:fill="CCEEFF"/>
              </w:rPr>
              <w:t>282,850</w:t>
            </w:r>
          </w:p>
        </w:tc>
        <w:tc>
          <w:tcPr>
            <w:tcW w:w="8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shd w:val="clear" w:color="auto" w:fill="CCEEFF"/>
              </w:rPr>
              <w:t>$  9.28</w:t>
            </w: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8"/>
                <w:shd w:val="clear" w:color="auto" w:fill="CCEEFF"/>
              </w:rPr>
              <w:t>$  10.00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shd w:val="clear" w:color="auto" w:fill="CCEEFF"/>
              </w:rPr>
              <w:t>2.17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shd w:val="clear" w:color="auto" w:fill="CCEEFF"/>
              </w:rPr>
              <w:t>0.62%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shd w:val="clear" w:color="auto" w:fill="CCEEFF"/>
              </w:rPr>
              <w:t>72.36%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0.00%</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shd w:val="clear" w:color="auto" w:fill="CCEEFF"/>
              </w:rPr>
              <w:t>$   3.63</w:t>
            </w: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shd w:val="clear" w:color="auto" w:fill="CCEEFF"/>
              </w:rPr>
              <w:t>$ 1,027,000</w:t>
            </w:r>
          </w:p>
        </w:tc>
        <w:tc>
          <w:tcPr>
            <w:tcW w:w="10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shd w:val="clear" w:color="auto" w:fill="CCEEFF"/>
              </w:rPr>
              <w:t>$ 3,133,500</w:t>
            </w:r>
          </w:p>
        </w:tc>
        <w:tc>
          <w:tcPr>
            <w:tcW w:w="10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shd w:val="clear" w:color="auto" w:fill="CCEEFF"/>
              </w:rPr>
              <w:t>$ 1,122,400</w:t>
            </w:r>
          </w:p>
        </w:tc>
        <w:tc>
          <w:tcPr>
            <w:tcW w:w="98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87"/>
                <w:shd w:val="clear" w:color="auto" w:fill="CCEEFF"/>
              </w:rPr>
              <w:t>$ 454,200</w:t>
            </w:r>
          </w:p>
        </w:tc>
        <w:tc>
          <w:tcPr>
            <w:tcW w:w="9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shd w:val="clear" w:color="auto" w:fill="CCEEFF"/>
              </w:rPr>
              <w:t>$ 1,556,900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Between April 1, 2015 and May 14, 2015, we entered into additional securities purchase agreements with accredited investors pursuant to which we sold 2014 Units to such accredited investors for aggregate cash proceeds of $280,000, such 2014 Units consisting of (i) 2014 Unit Notes in the aggregate face amount of $280,000 due between April 30, 2015 and May 15, 2015 or automatically convertible into securities issuable upon our consummation of a Qualified Financing, as defined in the note; (ii) an aggregate of 33,000 restricted shares 2014 Unit Stock; and (iii) 2014 Unit Warrants exercisable through December 31, 2016 to purchase an aggregate of 24,250 restricted shares of our common stock at an exercise price of $10.00 per share.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5" w:name="page116"/>
    <w:bookmarkEnd w:id="11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above, we allocated the proceeds from the private placement sales of the 2014 Units sold during the fiscal year ended March 31, 2016 to the various securities based on their relative fair values on the dates of the sales. We calculated the fair value of these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 during the fiscal year ended March 31,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8"/>
                <w:szCs w:val="18"/>
                <w:color w:val="auto"/>
                <w:w w:val="92"/>
              </w:rPr>
              <w:t>Unit Warrants</w:t>
            </w: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5"/>
              </w:rPr>
              <w:t>Per</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60" w:type="dxa"/>
            <w:vAlign w:val="bottom"/>
            <w:tcBorders>
              <w:bottom w:val="single" w:sz="8" w:color="auto"/>
            </w:tcBorders>
            <w:gridSpan w:val="13"/>
          </w:tcPr>
          <w:p>
            <w:pPr>
              <w:jc w:val="right"/>
              <w:ind w:right="540"/>
              <w:spacing w:after="0"/>
              <w:rPr>
                <w:sz w:val="20"/>
                <w:szCs w:val="20"/>
                <w:color w:val="auto"/>
              </w:rPr>
            </w:pPr>
            <w:r>
              <w:rPr>
                <w:rFonts w:ascii="Arial" w:cs="Arial" w:eastAsia="Arial" w:hAnsi="Arial"/>
                <w:sz w:val="18"/>
                <w:szCs w:val="18"/>
                <w:color w:val="auto"/>
              </w:rPr>
              <w:t>Weighted Average Issuance Date Valuation Assumptions</w:t>
            </w: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Share</w:t>
            </w: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Aggregate</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Aggregate</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7"/>
              </w:rPr>
              <w:t>Risk</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6"/>
              </w:rPr>
              <w:t>Fair</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6"/>
          </w:tcPr>
          <w:p>
            <w:pPr>
              <w:jc w:val="center"/>
              <w:ind w:right="20"/>
              <w:spacing w:after="0" w:line="201" w:lineRule="exact"/>
              <w:rPr>
                <w:sz w:val="20"/>
                <w:szCs w:val="20"/>
                <w:color w:val="auto"/>
              </w:rPr>
            </w:pPr>
            <w:r>
              <w:rPr>
                <w:rFonts w:ascii="Arial" w:cs="Arial" w:eastAsia="Arial" w:hAnsi="Arial"/>
                <w:sz w:val="18"/>
                <w:szCs w:val="18"/>
                <w:color w:val="auto"/>
                <w:w w:val="91"/>
              </w:rPr>
              <w:t>Aggregate Allocation of Proceeds</w:t>
            </w:r>
          </w:p>
        </w:tc>
        <w:tc>
          <w:tcPr>
            <w:tcW w:w="0" w:type="dxa"/>
            <w:vAlign w:val="bottom"/>
          </w:tcPr>
          <w:p>
            <w:pPr>
              <w:spacing w:after="0"/>
              <w:rPr>
                <w:sz w:val="1"/>
                <w:szCs w:val="1"/>
                <w:color w:val="auto"/>
              </w:rPr>
            </w:pPr>
          </w:p>
        </w:tc>
      </w:tr>
      <w:tr>
        <w:trPr>
          <w:trHeight w:val="237"/>
        </w:trPr>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Warrant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free</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Fair</w:t>
            </w: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Proceeds</w:t>
            </w:r>
          </w:p>
        </w:tc>
        <w:tc>
          <w:tcPr>
            <w:tcW w:w="80" w:type="dxa"/>
            <w:vAlign w:val="bottom"/>
          </w:tcPr>
          <w:p>
            <w:pPr>
              <w:spacing w:after="0"/>
              <w:rPr>
                <w:sz w:val="20"/>
                <w:szCs w:val="20"/>
                <w:color w:val="auto"/>
              </w:rPr>
            </w:pPr>
          </w:p>
        </w:tc>
        <w:tc>
          <w:tcPr>
            <w:tcW w:w="2660" w:type="dxa"/>
            <w:vAlign w:val="bottom"/>
            <w:gridSpan w:val="6"/>
          </w:tcPr>
          <w:p>
            <w:pPr>
              <w:jc w:val="center"/>
              <w:spacing w:after="0"/>
              <w:rPr>
                <w:sz w:val="20"/>
                <w:szCs w:val="20"/>
                <w:color w:val="auto"/>
              </w:rPr>
            </w:pPr>
            <w:r>
              <w:rPr>
                <w:rFonts w:ascii="Arial" w:cs="Arial" w:eastAsia="Arial" w:hAnsi="Arial"/>
                <w:sz w:val="18"/>
                <w:szCs w:val="18"/>
                <w:color w:val="auto"/>
                <w:w w:val="90"/>
              </w:rPr>
              <w:t>Based on Relative Fair Value of:</w:t>
            </w:r>
          </w:p>
        </w:tc>
        <w:tc>
          <w:tcPr>
            <w:tcW w:w="0" w:type="dxa"/>
            <w:vAlign w:val="bottom"/>
          </w:tcPr>
          <w:p>
            <w:pPr>
              <w:spacing w:after="0"/>
              <w:rPr>
                <w:sz w:val="1"/>
                <w:szCs w:val="1"/>
                <w:color w:val="auto"/>
              </w:rPr>
            </w:pPr>
          </w:p>
        </w:tc>
      </w:tr>
      <w:tr>
        <w:trPr>
          <w:trHeight w:val="202"/>
        </w:trPr>
        <w:tc>
          <w:tcPr>
            <w:tcW w:w="82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84"/>
              </w:rPr>
              <w:t>Shares</w:t>
            </w:r>
          </w:p>
        </w:tc>
        <w:tc>
          <w:tcPr>
            <w:tcW w:w="7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Market</w:t>
            </w:r>
          </w:p>
        </w:tc>
        <w:tc>
          <w:tcPr>
            <w:tcW w:w="8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89"/>
              </w:rPr>
              <w:t>Exercise</w:t>
            </w:r>
          </w:p>
        </w:tc>
        <w:tc>
          <w:tcPr>
            <w:tcW w:w="180" w:type="dxa"/>
            <w:vAlign w:val="bottom"/>
          </w:tcPr>
          <w:p>
            <w:pPr>
              <w:spacing w:after="0"/>
              <w:rPr>
                <w:sz w:val="17"/>
                <w:szCs w:val="17"/>
                <w:color w:val="auto"/>
              </w:rPr>
            </w:pPr>
          </w:p>
        </w:tc>
        <w:tc>
          <w:tcPr>
            <w:tcW w:w="8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0"/>
              </w:rPr>
              <w:t>Term</w:t>
            </w:r>
          </w:p>
        </w:tc>
        <w:tc>
          <w:tcPr>
            <w:tcW w:w="9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9"/>
              </w:rPr>
              <w:t>Interest</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7"/>
              </w:rPr>
              <w:t>Dividend</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0"/>
              </w:rPr>
              <w:t>Value of</w:t>
            </w:r>
          </w:p>
        </w:tc>
        <w:tc>
          <w:tcPr>
            <w:tcW w:w="9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9"/>
              </w:rPr>
              <w:t>of Unit</w:t>
            </w:r>
          </w:p>
        </w:tc>
        <w:tc>
          <w:tcPr>
            <w:tcW w:w="8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9"/>
              </w:rPr>
              <w:t>of Unit</w:t>
            </w:r>
          </w:p>
        </w:tc>
        <w:tc>
          <w:tcPr>
            <w:tcW w:w="80" w:type="dxa"/>
            <w:vAlign w:val="bottom"/>
          </w:tcPr>
          <w:p>
            <w:pPr>
              <w:spacing w:after="0"/>
              <w:rPr>
                <w:sz w:val="17"/>
                <w:szCs w:val="17"/>
                <w:color w:val="auto"/>
              </w:rPr>
            </w:pPr>
          </w:p>
        </w:tc>
        <w:tc>
          <w:tcPr>
            <w:tcW w:w="900" w:type="dxa"/>
            <w:vAlign w:val="bottom"/>
            <w:tcBorders>
              <w:top w:val="single" w:sz="8" w:color="auto"/>
            </w:tcBorders>
            <w:gridSpan w:val="2"/>
          </w:tcPr>
          <w:p>
            <w:pPr>
              <w:jc w:val="center"/>
              <w:ind w:right="180"/>
              <w:spacing w:after="0" w:line="201" w:lineRule="exact"/>
              <w:rPr>
                <w:sz w:val="20"/>
                <w:szCs w:val="20"/>
                <w:color w:val="auto"/>
              </w:rPr>
            </w:pPr>
            <w:r>
              <w:rPr>
                <w:rFonts w:ascii="Arial" w:cs="Arial" w:eastAsia="Arial" w:hAnsi="Arial"/>
                <w:sz w:val="18"/>
                <w:szCs w:val="18"/>
                <w:color w:val="auto"/>
                <w:w w:val="99"/>
              </w:rPr>
              <w:t>Unit</w:t>
            </w:r>
          </w:p>
        </w:tc>
        <w:tc>
          <w:tcPr>
            <w:tcW w:w="106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9"/>
              </w:rPr>
              <w:t>Unit</w:t>
            </w: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Unit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Issued</w:t>
            </w: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180" w:type="dxa"/>
            <w:vAlign w:val="bottom"/>
          </w:tcPr>
          <w:p>
            <w:pPr>
              <w:spacing w:after="0"/>
              <w:rPr>
                <w:sz w:val="20"/>
                <w:szCs w:val="20"/>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(Years)</w:t>
            </w:r>
          </w:p>
        </w:tc>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Rate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Volatility</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Rate</w:t>
            </w:r>
          </w:p>
        </w:tc>
        <w:tc>
          <w:tcPr>
            <w:tcW w:w="100" w:type="dxa"/>
            <w:vAlign w:val="bottom"/>
          </w:tcPr>
          <w:p>
            <w:pPr>
              <w:spacing w:after="0"/>
              <w:rPr>
                <w:sz w:val="20"/>
                <w:szCs w:val="20"/>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Warrant</w:t>
            </w: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Warrants</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Sales</w:t>
            </w:r>
          </w:p>
        </w:tc>
        <w:tc>
          <w:tcPr>
            <w:tcW w:w="8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Stock</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Warrant</w:t>
            </w: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Note</w:t>
            </w:r>
          </w:p>
        </w:tc>
        <w:tc>
          <w:tcPr>
            <w:tcW w:w="0" w:type="dxa"/>
            <w:vAlign w:val="bottom"/>
          </w:tcPr>
          <w:p>
            <w:pPr>
              <w:spacing w:after="0"/>
              <w:rPr>
                <w:sz w:val="1"/>
                <w:szCs w:val="1"/>
                <w:color w:val="auto"/>
              </w:rPr>
            </w:pPr>
          </w:p>
        </w:tc>
      </w:tr>
      <w:tr>
        <w:trPr>
          <w:trHeight w:val="216"/>
        </w:trPr>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24,250</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  10.00</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10.00</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9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rPr>
              <w:t>$   3.69</w:t>
            </w: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  89,600</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$ 280,000</w:t>
            </w:r>
          </w:p>
        </w:tc>
        <w:tc>
          <w:tcPr>
            <w:tcW w:w="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7"/>
              </w:rPr>
              <w:t>$ 128,900</w:t>
            </w:r>
          </w:p>
        </w:tc>
        <w:tc>
          <w:tcPr>
            <w:tcW w:w="10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$ 2,057,900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$ 118,200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aggregate, between late-March 2014 and May 14, 2015, we entered into securities purchase agreements with accredited investors for the 2014 Unit Private Placement pursuant to which we sold 2014 Units to such accredited investors for aggregate cash proceeds of $3,413,500, consisting of (i) 2014 Unit Notes in the aggregate face amount of $3,413,500 due between March 31, 2015 and May 15, 2015 or automatically convertible into securities issuable upon our consummation of a Qualified Financing, as defined in the note; (ii) an aggregate of 315,850 restricted shares of 2014 Unit Stock; and (iii) 2014 Unit Warrants exercisable through December 31, 2016 to purchase an aggregate of 307,100 restricted shares of our common stock at an exercise price of $10.00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2015 Agreement with PLTG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May 5, 2015, we entered into an Agreement with PLTG, which, as modified, became effective on May 12, 2015 (</w:t>
      </w:r>
      <w:r>
        <w:rPr>
          <w:rFonts w:ascii="Arial" w:cs="Arial" w:eastAsia="Arial" w:hAnsi="Arial"/>
          <w:sz w:val="16"/>
          <w:szCs w:val="16"/>
          <w:i w:val="1"/>
          <w:iCs w:val="1"/>
          <w:color w:val="auto"/>
        </w:rPr>
        <w:t>PLTG Agreement</w:t>
      </w:r>
      <w:r>
        <w:rPr>
          <w:rFonts w:ascii="Arial" w:cs="Arial" w:eastAsia="Arial" w:hAnsi="Arial"/>
          <w:sz w:val="16"/>
          <w:szCs w:val="16"/>
          <w:color w:val="auto"/>
        </w:rPr>
        <w:t>) and pursuant to which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PLTG:</w:t>
      </w:r>
    </w:p>
    <w:p>
      <w:pPr>
        <w:spacing w:after="0" w:line="238" w:lineRule="exact"/>
        <w:rPr>
          <w:sz w:val="20"/>
          <w:szCs w:val="20"/>
          <w:color w:val="auto"/>
        </w:rPr>
      </w:pPr>
    </w:p>
    <w:p>
      <w:pPr>
        <w:jc w:val="both"/>
        <w:ind w:left="580" w:hanging="383"/>
        <w:spacing w:after="0" w:line="264"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Converted into 641,335 shares of Series B Preferred all of the approximately $4.5 million outstanding balance (principal and accrued but unpaid interest) of the Senior Secured Notes we had previously issued to PLTG, as described previously in Note 8, </w:t>
      </w:r>
      <w:r>
        <w:rPr>
          <w:rFonts w:ascii="Arial" w:cs="Arial" w:eastAsia="Arial" w:hAnsi="Arial"/>
          <w:sz w:val="18"/>
          <w:szCs w:val="18"/>
          <w:i w:val="1"/>
          <w:iCs w:val="1"/>
          <w:color w:val="auto"/>
        </w:rPr>
        <w:t>Convertible Promissory Notes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Notes Payable</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580" w:right="20" w:hanging="383"/>
        <w:spacing w:after="0" w:line="277"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Released all of its security interests in our assets and those of our subsidiaries by terminating the Amended and Restated Security Agreement, IP Security Agreement and Negative Covenant, each dated October 11, 2012 between us and PLTG;</w:t>
      </w:r>
    </w:p>
    <w:p>
      <w:pPr>
        <w:spacing w:after="0" w:line="197" w:lineRule="exact"/>
        <w:rPr>
          <w:rFonts w:ascii="Arial" w:cs="Arial" w:eastAsia="Arial" w:hAnsi="Arial"/>
          <w:sz w:val="18"/>
          <w:szCs w:val="18"/>
          <w:color w:val="auto"/>
        </w:rPr>
      </w:pPr>
    </w:p>
    <w:p>
      <w:pPr>
        <w:jc w:val="both"/>
        <w:ind w:left="580" w:hanging="383"/>
        <w:spacing w:after="0" w:line="312"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Converted into 240,305 shares of Series B Preferred and five-year warrants to purchase 240,305 shares of our common stock at a fixed exercise price of $7.00 per share (</w:t>
      </w:r>
      <w:r>
        <w:rPr>
          <w:rFonts w:ascii="Arial" w:cs="Arial" w:eastAsia="Arial" w:hAnsi="Arial"/>
          <w:sz w:val="16"/>
          <w:szCs w:val="16"/>
          <w:i w:val="1"/>
          <w:iCs w:val="1"/>
          <w:color w:val="auto"/>
        </w:rPr>
        <w:t>Series B Warrants</w:t>
      </w:r>
      <w:r>
        <w:rPr>
          <w:rFonts w:ascii="Arial" w:cs="Arial" w:eastAsia="Arial" w:hAnsi="Arial"/>
          <w:sz w:val="16"/>
          <w:szCs w:val="16"/>
          <w:color w:val="auto"/>
        </w:rPr>
        <w:t xml:space="preserve">) all of the approximately $1.3 million outstanding balance (principal and accrued but unpaid interest) of the 2014 Unit Notes that we issued to PLTG, as described previously in Note 8,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580" w:hanging="383"/>
        <w:spacing w:after="0" w:line="279"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Purchased approximately $1.5 million (including accrued but unpaid interest thereon) of outstanding 2014 Unit Notes we had previously issued to various accredited investors from the respective holders thereof (</w:t>
      </w:r>
      <w:r>
        <w:rPr>
          <w:rFonts w:ascii="Arial" w:cs="Arial" w:eastAsia="Arial" w:hAnsi="Arial"/>
          <w:sz w:val="17"/>
          <w:szCs w:val="17"/>
          <w:i w:val="1"/>
          <w:iCs w:val="1"/>
          <w:color w:val="auto"/>
        </w:rPr>
        <w:t>Acquired Unit Notes</w:t>
      </w:r>
      <w:r>
        <w:rPr>
          <w:rFonts w:ascii="Arial" w:cs="Arial" w:eastAsia="Arial" w:hAnsi="Arial"/>
          <w:sz w:val="17"/>
          <w:szCs w:val="17"/>
          <w:color w:val="auto"/>
        </w:rPr>
        <w:t xml:space="preserve">) and converted the entire approximately $1.5 million outstanding balance of the Acquired Unit Notes into 265,699 shares of Series B Preferred and Series B Warrants to purchase 265,699 shares of our common stock, as described previously in Note 8,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6" w:name="page117"/>
    <w:bookmarkEnd w:id="11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ind w:left="580" w:hanging="383"/>
        <w:spacing w:after="0" w:line="264"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Entered into a Securities Purchase Agreement (</w:t>
      </w:r>
      <w:r>
        <w:rPr>
          <w:rFonts w:ascii="Arial" w:cs="Arial" w:eastAsia="Arial" w:hAnsi="Arial"/>
          <w:sz w:val="18"/>
          <w:szCs w:val="18"/>
          <w:i w:val="1"/>
          <w:iCs w:val="1"/>
          <w:color w:val="auto"/>
        </w:rPr>
        <w:t>SPA</w:t>
      </w:r>
      <w:r>
        <w:rPr>
          <w:rFonts w:ascii="Arial" w:cs="Arial" w:eastAsia="Arial" w:hAnsi="Arial"/>
          <w:sz w:val="18"/>
          <w:szCs w:val="18"/>
          <w:color w:val="auto"/>
        </w:rPr>
        <w:t>) to purchase from us, in our self-placed private placement, for $1.0 million, a total of 142,857 shares of Series B Preferred and a Series B Warrant to purchase 142,857 shares of our common stock, which shares of Series B Preferred and Series B Warrants have been purchased and issued;</w:t>
      </w:r>
    </w:p>
    <w:p>
      <w:pPr>
        <w:spacing w:after="0" w:line="208" w:lineRule="exact"/>
        <w:rPr>
          <w:rFonts w:ascii="Arial" w:cs="Arial" w:eastAsia="Arial" w:hAnsi="Arial"/>
          <w:sz w:val="18"/>
          <w:szCs w:val="18"/>
          <w:color w:val="auto"/>
        </w:rPr>
      </w:pPr>
    </w:p>
    <w:p>
      <w:pPr>
        <w:jc w:val="both"/>
        <w:ind w:left="580" w:hanging="383"/>
        <w:spacing w:after="0" w:line="312"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Amended the PLTG Warrants previously issued by us to PLTG in connection with the Senior Secured Notes and the Series A Exchange Warrant to (i) fix the exercise price thereof, (ii) eliminate the exercise price reset features; (iii) fix the number of shares of our common stock issuable thereunder, and (iv) eliminate the cashless exercise provisions from the PLTG Warrants, as described in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and</w:t>
      </w:r>
    </w:p>
    <w:p>
      <w:pPr>
        <w:spacing w:after="0" w:line="173" w:lineRule="exact"/>
        <w:rPr>
          <w:rFonts w:ascii="Arial" w:cs="Arial" w:eastAsia="Arial" w:hAnsi="Arial"/>
          <w:sz w:val="16"/>
          <w:szCs w:val="16"/>
          <w:color w:val="auto"/>
        </w:rPr>
      </w:pPr>
    </w:p>
    <w:p>
      <w:pPr>
        <w:jc w:val="both"/>
        <w:ind w:left="580" w:hanging="383"/>
        <w:spacing w:after="0" w:line="264"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Agreed to refrain from the sale of any shares of our common stock held by PLTG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additional consideration for the several agreements of PLTG under the PLTG Agreement, we issued to PLTG 400,000 shares of Series B Preferred (</w:t>
      </w:r>
      <w:r>
        <w:rPr>
          <w:rFonts w:ascii="Arial" w:cs="Arial" w:eastAsia="Arial" w:hAnsi="Arial"/>
          <w:sz w:val="16"/>
          <w:szCs w:val="16"/>
          <w:i w:val="1"/>
          <w:iCs w:val="1"/>
          <w:color w:val="auto"/>
        </w:rPr>
        <w:t>Additional Consideration Shares</w:t>
      </w:r>
      <w:r>
        <w:rPr>
          <w:rFonts w:ascii="Arial" w:cs="Arial" w:eastAsia="Arial" w:hAnsi="Arial"/>
          <w:sz w:val="16"/>
          <w:szCs w:val="16"/>
          <w:color w:val="auto"/>
        </w:rPr>
        <w:t>) and Series B Warrants (</w:t>
      </w:r>
      <w:r>
        <w:rPr>
          <w:rFonts w:ascii="Arial" w:cs="Arial" w:eastAsia="Arial" w:hAnsi="Arial"/>
          <w:sz w:val="16"/>
          <w:szCs w:val="16"/>
          <w:i w:val="1"/>
          <w:iCs w:val="1"/>
          <w:color w:val="auto"/>
        </w:rPr>
        <w:t>Additional Consideration Warrants</w:t>
      </w:r>
      <w:r>
        <w:rPr>
          <w:rFonts w:ascii="Arial" w:cs="Arial" w:eastAsia="Arial" w:hAnsi="Arial"/>
          <w:sz w:val="16"/>
          <w:szCs w:val="16"/>
          <w:color w:val="auto"/>
        </w:rPr>
        <w:t xml:space="preserve">) to purchase 1.2 million shares of our common stock, and exchanged 30,000 shares of our common stock then beneficially owned or controlled by PLTG for 30,000 shares of Series B Preferred. Considering the exchangeability of the Series B Preferred into our common stock, the dividend applicable to the Series B Preferred prior to such exchange, and other factors, we determined that the fair value of a share of Series B Preferred issued to PLTG pursuant to the PLTG Agreement was equal to the market value of a share of our common stock on the effective date of the PLTG Agreement. Based on the $10.00 per share fair value of the Series B Preferred at the May 12, 2015 effective date of the PLTG Agreement, we issued Additional Consideration Shares having an aggregate fair value of $4.0 million to PLTG. We valued the Additional Consideration Warrants at an aggregate of $8,270,900 using the Black Scholes option pricing model and the same assumptions used in valuing the Series B Warrants issued to PLTG in connection with the conversion of the PLTG Unit Notes and the Acquired Unit Notes, as described previously in Note 8,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We recognized the aggregate fair value of the Additional Consideration Shares and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Warrants, $12,270,900, as an additional non-cash component of loss on debt extinguishment in the quarter ended June 30, 2015.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2015 Agreement with PLTG</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August 3, 2015, we entered into the August 2015 Agreement with PLTG pursuant to which we agreed to sell to PLTG an additional $3.0 million of our Series B Preferred and Series B Warrants (together </w:t>
      </w:r>
      <w:r>
        <w:rPr>
          <w:rFonts w:ascii="Arial" w:cs="Arial" w:eastAsia="Arial" w:hAnsi="Arial"/>
          <w:sz w:val="16"/>
          <w:szCs w:val="16"/>
          <w:i w:val="1"/>
          <w:iCs w:val="1"/>
          <w:color w:val="auto"/>
        </w:rPr>
        <w:t>Series B Preferred Units</w:t>
      </w:r>
      <w:r>
        <w:rPr>
          <w:rFonts w:ascii="Arial" w:cs="Arial" w:eastAsia="Arial" w:hAnsi="Arial"/>
          <w:sz w:val="16"/>
          <w:szCs w:val="16"/>
          <w:color w:val="auto"/>
        </w:rPr>
        <w:t>) between August 15, 2015 and October 15, 2015 and issue an aggregate of 458,571 shares of Series B Preferred and Series B Warrants to purchase 458,571 shares of our common stock. Through December 31, 2015, PLTG had purchased an aggregate of $1,650,000 of Series B Preferred Units contemplated under the August 2015 Agreement and we had issued 235,714 shares of Series B Preferred and Series B Warrants to purchase 235,714 shares of our common stock related to such purchases. As of December 31, 2015, we agreed with PLTG to terminate their right under the August 2015 Agreement to purchase any additional Series B Preferred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Series B Preferred Unit Offering</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Between May 26, 2015 and March 31, 2016, in self-placed private placement transactions, we sold to accredited investors an aggregate of $5,025,800 of units in our Series B Preferred Unit offering, which units consist of Series B Preferred and Series B Warrants (together </w:t>
      </w:r>
      <w:r>
        <w:rPr>
          <w:rFonts w:ascii="Arial" w:cs="Arial" w:eastAsia="Arial" w:hAnsi="Arial"/>
          <w:sz w:val="17"/>
          <w:szCs w:val="17"/>
          <w:i w:val="1"/>
          <w:iCs w:val="1"/>
          <w:color w:val="auto"/>
        </w:rPr>
        <w:t>Series B Preferred Units</w:t>
      </w:r>
      <w:r>
        <w:rPr>
          <w:rFonts w:ascii="Arial" w:cs="Arial" w:eastAsia="Arial" w:hAnsi="Arial"/>
          <w:sz w:val="17"/>
          <w:szCs w:val="17"/>
          <w:color w:val="auto"/>
        </w:rPr>
        <w:t>), including $2,650,000 to PLTG, which amount includes $1,650,000 pursuant to the August 2015 Agreement with PLTG. We issued 717,978 shares of Series B Preferred and Series B Warrants to purchase 717,978 shares of our common stock. Through March 31, 2016, we received an aggregate of $5,025,800 in cash proceeds from our self-placed private placement and sale of the Series B Preferred Units.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7" w:name="page118"/>
    <w:bookmarkEnd w:id="11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allocated the proceeds from the sale of the Series B Preferred Units to the Series B Preferred and the Series B Warrants based on their relative fair values on the dates of the sales. As described in Note 8,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$4.13 per share, and its Conversion Price (or stated value) of $7.00 per share represents a deemed dividend to the purchasers of the Series B Preferred Units. Accordingly, we have recognized a deemed dividend in the aggregate amount of $2,058,000 in arriving at net loss attributable to common stockholders in the accompanying Consolidated Statement of Operations and Comprehensive Loss for the fiscal year ended March 31,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color w:val="auto"/>
                <w:w w:val="94"/>
              </w:rPr>
              <w:t>Unit Warrants</w:t>
            </w: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5"/>
              </w:rPr>
              <w:t>Per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40" w:type="dxa"/>
            <w:vAlign w:val="bottom"/>
            <w:tcBorders>
              <w:bottom w:val="single" w:sz="8" w:color="auto"/>
            </w:tcBorders>
            <w:gridSpan w:val="12"/>
          </w:tcPr>
          <w:p>
            <w:pPr>
              <w:jc w:val="right"/>
              <w:ind w:right="520"/>
              <w:spacing w:after="0"/>
              <w:rPr>
                <w:sz w:val="20"/>
                <w:szCs w:val="20"/>
                <w:color w:val="auto"/>
              </w:rPr>
            </w:pPr>
            <w:r>
              <w:rPr>
                <w:rFonts w:ascii="Arial" w:cs="Arial" w:eastAsia="Arial" w:hAnsi="Arial"/>
                <w:sz w:val="18"/>
                <w:szCs w:val="18"/>
                <w:color w:val="auto"/>
              </w:rPr>
              <w:t>Weighted Average Issuance Date Valuation Assumptions</w:t>
            </w:r>
          </w:p>
        </w:tc>
        <w:tc>
          <w:tcPr>
            <w:tcW w:w="10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Share</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Aggregate</w:t>
            </w:r>
          </w:p>
        </w:tc>
        <w:tc>
          <w:tcPr>
            <w:tcW w:w="1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Aggregate</w:t>
            </w:r>
          </w:p>
        </w:tc>
        <w:tc>
          <w:tcPr>
            <w:tcW w:w="120" w:type="dxa"/>
            <w:vAlign w:val="bottom"/>
          </w:tcPr>
          <w:p>
            <w:pPr>
              <w:spacing w:after="0"/>
              <w:rPr>
                <w:sz w:val="20"/>
                <w:szCs w:val="20"/>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Aggregate Allocation of</w:t>
            </w:r>
          </w:p>
        </w:tc>
      </w:tr>
      <w:tr>
        <w:trPr>
          <w:trHeight w:val="202"/>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7"/>
              </w:rPr>
              <w:t>Risk</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4"/>
          </w:tcPr>
          <w:p>
            <w:pPr>
              <w:jc w:val="center"/>
              <w:ind w:right="120"/>
              <w:spacing w:after="0" w:line="201" w:lineRule="exact"/>
              <w:rPr>
                <w:sz w:val="20"/>
                <w:szCs w:val="20"/>
                <w:color w:val="auto"/>
              </w:rPr>
            </w:pPr>
            <w:r>
              <w:rPr>
                <w:rFonts w:ascii="Arial" w:cs="Arial" w:eastAsia="Arial" w:hAnsi="Arial"/>
                <w:sz w:val="18"/>
                <w:szCs w:val="18"/>
                <w:color w:val="auto"/>
                <w:w w:val="88"/>
              </w:rPr>
              <w:t>Proceeds Based on Relative</w:t>
            </w:r>
          </w:p>
        </w:tc>
      </w:tr>
      <w:tr>
        <w:trPr>
          <w:trHeight w:val="237"/>
        </w:trPr>
        <w:tc>
          <w:tcPr>
            <w:tcW w:w="940" w:type="dxa"/>
            <w:vAlign w:val="bottom"/>
            <w:gridSpan w:val="2"/>
          </w:tcPr>
          <w:p>
            <w:pPr>
              <w:ind w:left="80"/>
              <w:spacing w:after="0"/>
              <w:rPr>
                <w:sz w:val="20"/>
                <w:szCs w:val="20"/>
                <w:color w:val="auto"/>
              </w:rPr>
            </w:pPr>
            <w:r>
              <w:rPr>
                <w:rFonts w:ascii="Arial" w:cs="Arial" w:eastAsia="Arial" w:hAnsi="Arial"/>
                <w:sz w:val="18"/>
                <w:szCs w:val="18"/>
                <w:color w:val="auto"/>
              </w:rPr>
              <w:t>Warrant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free</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Fair Value</w:t>
            </w:r>
          </w:p>
        </w:tc>
        <w:tc>
          <w:tcPr>
            <w:tcW w:w="1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Proceeds</w:t>
            </w:r>
          </w:p>
        </w:tc>
        <w:tc>
          <w:tcPr>
            <w:tcW w:w="120" w:type="dxa"/>
            <w:vAlign w:val="bottom"/>
          </w:tcPr>
          <w:p>
            <w:pPr>
              <w:spacing w:after="0"/>
              <w:rPr>
                <w:sz w:val="20"/>
                <w:szCs w:val="20"/>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Fair Value of:</w:t>
            </w:r>
          </w:p>
        </w:tc>
      </w:tr>
      <w:tr>
        <w:trPr>
          <w:trHeight w:val="202"/>
        </w:trPr>
        <w:tc>
          <w:tcPr>
            <w:tcW w:w="9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Shares</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220" w:type="dxa"/>
            <w:vAlign w:val="bottom"/>
          </w:tcPr>
          <w:p>
            <w:pPr>
              <w:spacing w:after="0"/>
              <w:rPr>
                <w:sz w:val="17"/>
                <w:szCs w:val="17"/>
                <w:color w:val="auto"/>
              </w:rPr>
            </w:pPr>
          </w:p>
        </w:tc>
        <w:tc>
          <w:tcPr>
            <w:tcW w:w="8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Exercise</w:t>
            </w:r>
          </w:p>
        </w:tc>
        <w:tc>
          <w:tcPr>
            <w:tcW w:w="8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Term</w:t>
            </w:r>
          </w:p>
        </w:tc>
        <w:tc>
          <w:tcPr>
            <w:tcW w:w="8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9"/>
              </w:rPr>
              <w:t>Interest</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7"/>
              </w:rPr>
              <w:t>Dividend</w:t>
            </w:r>
          </w:p>
        </w:tc>
        <w:tc>
          <w:tcPr>
            <w:tcW w:w="100" w:type="dxa"/>
            <w:vAlign w:val="bottom"/>
          </w:tcPr>
          <w:p>
            <w:pPr>
              <w:spacing w:after="0"/>
              <w:rPr>
                <w:sz w:val="17"/>
                <w:szCs w:val="17"/>
                <w:color w:val="auto"/>
              </w:rPr>
            </w:pPr>
          </w:p>
        </w:tc>
        <w:tc>
          <w:tcPr>
            <w:tcW w:w="8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Value of</w:t>
            </w:r>
          </w:p>
        </w:tc>
        <w:tc>
          <w:tcPr>
            <w:tcW w:w="9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9"/>
              </w:rPr>
              <w:t>of Unit</w:t>
            </w:r>
          </w:p>
        </w:tc>
        <w:tc>
          <w:tcPr>
            <w:tcW w:w="120" w:type="dxa"/>
            <w:vAlign w:val="bottom"/>
          </w:tcPr>
          <w:p>
            <w:pPr>
              <w:spacing w:after="0"/>
              <w:rPr>
                <w:sz w:val="17"/>
                <w:szCs w:val="17"/>
                <w:color w:val="auto"/>
              </w:rPr>
            </w:pPr>
          </w:p>
        </w:tc>
        <w:tc>
          <w:tcPr>
            <w:tcW w:w="10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6"/>
              </w:rPr>
              <w:t>of Unit</w:t>
            </w:r>
          </w:p>
        </w:tc>
        <w:tc>
          <w:tcPr>
            <w:tcW w:w="120" w:type="dxa"/>
            <w:vAlign w:val="bottom"/>
          </w:tcPr>
          <w:p>
            <w:pPr>
              <w:spacing w:after="0"/>
              <w:rPr>
                <w:sz w:val="17"/>
                <w:szCs w:val="17"/>
                <w:color w:val="auto"/>
              </w:rPr>
            </w:pPr>
          </w:p>
        </w:tc>
        <w:tc>
          <w:tcPr>
            <w:tcW w:w="9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Unit</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Unit</w:t>
            </w:r>
          </w:p>
        </w:tc>
        <w:tc>
          <w:tcPr>
            <w:tcW w:w="120" w:type="dxa"/>
            <w:vAlign w:val="bottom"/>
          </w:tcPr>
          <w:p>
            <w:pPr>
              <w:spacing w:after="0"/>
              <w:rPr>
                <w:sz w:val="17"/>
                <w:szCs w:val="17"/>
                <w:color w:val="auto"/>
              </w:rPr>
            </w:pPr>
          </w:p>
        </w:tc>
      </w:tr>
      <w:tr>
        <w:trPr>
          <w:trHeight w:val="237"/>
        </w:trPr>
        <w:tc>
          <w:tcPr>
            <w:tcW w:w="940" w:type="dxa"/>
            <w:vAlign w:val="bottom"/>
            <w:gridSpan w:val="2"/>
          </w:tcPr>
          <w:p>
            <w:pPr>
              <w:ind w:left="140"/>
              <w:spacing w:after="0"/>
              <w:rPr>
                <w:sz w:val="20"/>
                <w:szCs w:val="20"/>
                <w:color w:val="auto"/>
              </w:rPr>
            </w:pPr>
            <w:r>
              <w:rPr>
                <w:rFonts w:ascii="Arial" w:cs="Arial" w:eastAsia="Arial" w:hAnsi="Arial"/>
                <w:sz w:val="18"/>
                <w:szCs w:val="18"/>
                <w:color w:val="auto"/>
              </w:rPr>
              <w:t>Issued</w:t>
            </w: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220" w:type="dxa"/>
            <w:vAlign w:val="bottom"/>
          </w:tcPr>
          <w:p>
            <w:pPr>
              <w:spacing w:after="0"/>
              <w:rPr>
                <w:sz w:val="20"/>
                <w:szCs w:val="2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Price</w:t>
            </w: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(Years)</w:t>
            </w:r>
          </w:p>
        </w:tc>
        <w:tc>
          <w:tcPr>
            <w:tcW w:w="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Rate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Volatility</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Rate</w:t>
            </w:r>
          </w:p>
        </w:tc>
        <w:tc>
          <w:tcPr>
            <w:tcW w:w="100" w:type="dxa"/>
            <w:vAlign w:val="bottom"/>
          </w:tcPr>
          <w:p>
            <w:pPr>
              <w:spacing w:after="0"/>
              <w:rPr>
                <w:sz w:val="20"/>
                <w:szCs w:val="2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Warrants</w:t>
            </w:r>
          </w:p>
        </w:tc>
        <w:tc>
          <w:tcPr>
            <w:tcW w:w="1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Sales</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24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Warrant</w:t>
            </w:r>
          </w:p>
        </w:tc>
      </w:tr>
      <w:tr>
        <w:trPr>
          <w:trHeight w:val="216"/>
        </w:trPr>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717,978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$ 10.45</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   7.00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9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rPr>
              <w:t>$  7.37</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$ 5,288,600</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$ 5,025,800</w:t>
            </w:r>
          </w:p>
        </w:tc>
        <w:tc>
          <w:tcPr>
            <w:tcW w:w="10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6"/>
              </w:rPr>
              <w:t>$ 2,967,900</w:t>
            </w:r>
          </w:p>
        </w:tc>
        <w:tc>
          <w:tcPr>
            <w:tcW w:w="11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4"/>
              </w:rPr>
              <w:t>$ 2,057,900</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for disclosure regarding additional sales of Series B Preferred Units after March 31,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 for Common Stock underlying Series B Preferred and Series B Warrants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securities purchase agreements for the Series B Preferred and Series B Preferred Units executed with PLTG, the holders of the Investor Unit Notes, the holders of our promissory notes and other indebtedness converted into shares of Series B Preferred, initial investors in Series B Preferred Units, and certain others to whom we issued Series B Preferred, contained registration rights requiring that a Registration Statement on Form S-1 (</w:t>
      </w:r>
      <w:r>
        <w:rPr>
          <w:rFonts w:ascii="Arial" w:cs="Arial" w:eastAsia="Arial" w:hAnsi="Arial"/>
          <w:sz w:val="16"/>
          <w:szCs w:val="16"/>
          <w:i w:val="1"/>
          <w:iCs w:val="1"/>
          <w:color w:val="auto"/>
        </w:rPr>
        <w:t>Registration Statement</w:t>
      </w:r>
      <w:r>
        <w:rPr>
          <w:rFonts w:ascii="Arial" w:cs="Arial" w:eastAsia="Arial" w:hAnsi="Arial"/>
          <w:sz w:val="16"/>
          <w:szCs w:val="16"/>
          <w:color w:val="auto"/>
        </w:rPr>
        <w:t>) registering, under the Securities Act, certain shares of common stock underlying the Series B Preferred and the Series B Warrants be declared effective on or before August 30, 2015. We filed an initial Registration Statement with the SEC on July 21, 2015, which we amended on August 25, 2015, and which was declared effective by the SEC on August 28, 2015. The Registration Statement registered an aggregate of 3,992,479 shares of our common stock underlying outstanding Series B Preferred and Series B Warrants. Accordingly, we incurred no cash or in kind penalties under the securities purchase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B Preferred into Common Stock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Between September 2015 and March 31, 2016, holders of an aggregate of 228,818 shares of Series B Preferred converted such shares into an equivalent number of registered shares of our common stock. Additionally, we issued an aggregate of 6,837 shares of our restricted common stock in payment of $50,900 in accrued dividends on the Series B Preferred converted.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8" w:name="page119"/>
    <w:bookmarkEnd w:id="11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Exchanges into Series C Preferred and Common Stock</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January 25, 2016, we entered into an Exchange Agreement (the </w:t>
      </w:r>
      <w:r>
        <w:rPr>
          <w:rFonts w:ascii="Arial" w:cs="Arial" w:eastAsia="Arial" w:hAnsi="Arial"/>
          <w:sz w:val="17"/>
          <w:szCs w:val="17"/>
          <w:i w:val="1"/>
          <w:iCs w:val="1"/>
          <w:color w:val="auto"/>
        </w:rPr>
        <w:t>Exchange Agreement</w:t>
      </w:r>
      <w:r>
        <w:rPr>
          <w:rFonts w:ascii="Arial" w:cs="Arial" w:eastAsia="Arial" w:hAnsi="Arial"/>
          <w:sz w:val="17"/>
          <w:szCs w:val="17"/>
          <w:color w:val="auto"/>
        </w:rPr>
        <w:t>) with PLTG and Montsant Partners, LLC, an organization affiliated with PLTG (</w:t>
      </w:r>
      <w:r>
        <w:rPr>
          <w:rFonts w:ascii="Arial" w:cs="Arial" w:eastAsia="Arial" w:hAnsi="Arial"/>
          <w:sz w:val="17"/>
          <w:szCs w:val="17"/>
          <w:i w:val="1"/>
          <w:iCs w:val="1"/>
          <w:color w:val="auto"/>
        </w:rPr>
        <w:t>Montsant</w:t>
      </w:r>
      <w:r>
        <w:rPr>
          <w:rFonts w:ascii="Arial" w:cs="Arial" w:eastAsia="Arial" w:hAnsi="Arial"/>
          <w:sz w:val="17"/>
          <w:szCs w:val="17"/>
          <w:color w:val="auto"/>
        </w:rPr>
        <w:t xml:space="preserve"> and, together with PLTG, the </w:t>
      </w:r>
      <w:r>
        <w:rPr>
          <w:rFonts w:ascii="Arial" w:cs="Arial" w:eastAsia="Arial" w:hAnsi="Arial"/>
          <w:sz w:val="17"/>
          <w:szCs w:val="17"/>
          <w:i w:val="1"/>
          <w:iCs w:val="1"/>
          <w:color w:val="auto"/>
        </w:rPr>
        <w:t>Holders</w:t>
      </w:r>
      <w:r>
        <w:rPr>
          <w:rFonts w:ascii="Arial" w:cs="Arial" w:eastAsia="Arial" w:hAnsi="Arial"/>
          <w:sz w:val="17"/>
          <w:szCs w:val="17"/>
          <w:color w:val="auto"/>
        </w:rPr>
        <w:t xml:space="preserve">), pursuant to which (i) 200,000 shares of our common stock held by the Holders were exchanged for 200,000 shares of Series C Preferred; and (ii) the Holders canceled outstanding warrants to purchase an aggregate of 2,368,658 shares of our unregistered common stock (the </w:t>
      </w:r>
      <w:r>
        <w:rPr>
          <w:rFonts w:ascii="Arial" w:cs="Arial" w:eastAsia="Arial" w:hAnsi="Arial"/>
          <w:sz w:val="17"/>
          <w:szCs w:val="17"/>
          <w:i w:val="1"/>
          <w:iCs w:val="1"/>
          <w:color w:val="auto"/>
        </w:rPr>
        <w:t>Outstanding PLTG Warrants</w:t>
      </w:r>
      <w:r>
        <w:rPr>
          <w:rFonts w:ascii="Arial" w:cs="Arial" w:eastAsia="Arial" w:hAnsi="Arial"/>
          <w:sz w:val="17"/>
          <w:szCs w:val="17"/>
          <w:color w:val="auto"/>
        </w:rPr>
        <w:t xml:space="preserve">) in exchange for a total of 1,776,494 shares of Series C Preferred. In addition, PLTG terminated its right under the Note Exchange and Purchase Agreement, originally dated October 11, 2012 (the </w:t>
      </w:r>
      <w:r>
        <w:rPr>
          <w:rFonts w:ascii="Arial" w:cs="Arial" w:eastAsia="Arial" w:hAnsi="Arial"/>
          <w:sz w:val="17"/>
          <w:szCs w:val="17"/>
          <w:i w:val="1"/>
          <w:iCs w:val="1"/>
          <w:color w:val="auto"/>
        </w:rPr>
        <w:t>NEPA</w:t>
      </w:r>
      <w:r>
        <w:rPr>
          <w:rFonts w:ascii="Arial" w:cs="Arial" w:eastAsia="Arial" w:hAnsi="Arial"/>
          <w:sz w:val="17"/>
          <w:szCs w:val="17"/>
          <w:color w:val="auto"/>
        </w:rPr>
        <w:t>), as amended, to receive the Series A Exchange Warrant to purchase a total of 455,358 shares of our common stock upon conversion of all of its shares of our Series A Preferred, and, as consideration, we issued to PLTG 341,518 shares of Series C Preferred. Upon execution of the Exchange Agreement and the termination of PLTG’s right to receive Series A Exchange Warrants under the NEPA, we issued a Series A Exchange Warrant to purchase a total of 80,357 shares of our common stock to the current holder of shares of Series A Preferred previously held, but subsequently assigned, by PLTG.</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accounted for the exchange of the Outstanding PLTG Warrants and the Series A Preferred Exchange Warrant as a warrant modification, determining the fair value of the Outstanding PLTG Warrants, and the Series A Preferred Exchange Warrant as if issued on the Exchange Agreement date, as of the Exchange Agreement date, and comparing that to the fair value of the Series C Preferred stock issued. We calculated the weighted average fair value of the Outstanding PLTG Warrants to be $6.03 per share, or $11,797,400, using the Black Scholes Option Pricing Model and the following weighted average assumptions: market price per share: $8.25; exercise price per share: $7.13; risk-free interest rate: 1.27%; remaining contractual term: 3.99 years; volatility: 79.5%; expected dividend rate: 0%. We calculated the fair value of the Series A Exchange Warrants to be $5.45 per share, or an aggregate of $2,919,200, allocated as $2,481,300 to PLTG and $437,900 to the other Holder, using the Black Scholes Option Pricing Model and the following assumptions: market price per share: $8.25; exercise price per share: $7.00; risk-free interest rate: 1.47%; remaining contractual term: 5.00 years; volatility: 77.9%; expected dividend rate: 0%. Considering the direct exchangeability of the Series C Preferred shares into shares of our common stock, we determined that the fair value of a share of Series C Preferred issued pursuant to the Exchange Agreement was equal to the market value of a share of our common stock on the date of the Exchange Agreement. Accordingly, the fair value of the aggregate of 2,118,012 Series C Preferred issued to PLTG pursuant to the Exchange Agreement was $17,473,600 and we recognized the additional fair value, $3,194,900, as warrant modification expense, included as a component of general and administrative expenses in the accompanying Consolidated Statement of Operations and Comprehensive Loss for the fiscal year ended March 31, 2016.</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January 29, 2016 and March 31, 2016, we entered into Warrant Exchange Agreements with certain holders of outstanding warrants to purchase an aggregate of 1,086,610 shares of our common stock pursuant to which the holders agreed to the cancellation of such warrants in exchange for our issuance to them of an aggregate of 814,989 shares of our unregistered common stock. In connection with these exchanges, we extended the expiration date of certain warrants by three months.</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also accounted for the exchange of these warrants as warrant modifications, comparing their fair value prior to the exchange with the fair value of the common stock issued. We calculated the weighted average fair value of the warrants prior to the exchange to be $3.76 per share, or $4,081,600, using the Black Scholes Option Pricing Model and the following weighted average assumptions: market price per share: $8.00; exercise price per share: $8.47; risk-free interest rate: 0.88%; remaining contractual term: 3.04 years; volatility: 81.0%; expected dividend rate: 0%. The weighted average fair value of the aggregate of 814,989 shares of common stock issued in the exchange was $7.97 per share or $6,495,000. Accordingly, we recognized the additional fair value, $2,143,400, as warrant modification expense, included as a component of general and administrative expenses in the accompanying Consolidated Statement of Operations and Comprehensive Loss for the fiscal year ended March 31, 2016. As noted, effective on January 25, 2016, we extended the term of warrants to purchase an aggregate of 91,230 unregistered shares of our common stock otherwise due to expire between January 31, 2016 and June 11, 2016 by three months. We calculated the fair value of the extended warrants immediately before and after the extension and determined that the fair value of the warrants increased by an aggregate of $45,700, which we treated as an additional component of warrant modification expense for the fiscal year ended March 31, 2016 in the accompanying Consolidated Statement of Operations and Comprehensive Loss. The warrants subject to the term extension were valued using the Black-Scholes Option Pricing Model and the following weighted average assumptions: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9" w:name="page120"/>
    <w:bookmarkEnd w:id="11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modification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warrants which were extended and subsequently exchanged, the pre-modification fair value used in the warrant exchange calculation was the post-modification term extension fair value, since those warrants were treated as having been modified twice in a twelve-month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2013 Unit Notes and 2013 Unit Warrants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Effective May 31, 2014, we entered into note and warrant amendment agreements with substantially all holders of 10% convertible promissory notes maturing on July 30, 2014 (</w:t>
      </w:r>
      <w:r>
        <w:rPr>
          <w:rFonts w:ascii="Arial" w:cs="Arial" w:eastAsia="Arial" w:hAnsi="Arial"/>
          <w:sz w:val="16"/>
          <w:szCs w:val="16"/>
          <w:i w:val="1"/>
          <w:iCs w:val="1"/>
          <w:color w:val="auto"/>
        </w:rPr>
        <w:t>2013 Unit Notes)</w:t>
      </w:r>
      <w:r>
        <w:rPr>
          <w:rFonts w:ascii="Arial" w:cs="Arial" w:eastAsia="Arial" w:hAnsi="Arial"/>
          <w:sz w:val="16"/>
          <w:szCs w:val="16"/>
          <w:color w:val="auto"/>
        </w:rPr>
        <w:t xml:space="preserve"> and warrants exercisable through July 30, 2016 to purchase restricted shares of our common stock at an exercise price of $20.00 per share (</w:t>
      </w:r>
      <w:r>
        <w:rPr>
          <w:rFonts w:ascii="Arial" w:cs="Arial" w:eastAsia="Arial" w:hAnsi="Arial"/>
          <w:sz w:val="16"/>
          <w:szCs w:val="16"/>
          <w:i w:val="1"/>
          <w:iCs w:val="1"/>
          <w:color w:val="auto"/>
        </w:rPr>
        <w:t>2013 Unit Warrants</w:t>
      </w:r>
      <w:r>
        <w:rPr>
          <w:rFonts w:ascii="Arial" w:cs="Arial" w:eastAsia="Arial" w:hAnsi="Arial"/>
          <w:sz w:val="16"/>
          <w:szCs w:val="16"/>
          <w:color w:val="auto"/>
        </w:rPr>
        <w:t xml:space="preserve">) to (i) modify certain terms of their 2013 Unit Notes, including the maturity date and certain conversion features, to conform to the corresponding terms of the 2014 Unit Notes and (ii) to modify certain terms of the 2013 Unit Warrants, including the exercise price and expiration date, to conform to the corresponding terms of the 2014 Unit Warrants. Holders of 2013 Unit Notes having an aggregate initial face amount of $895,000 and warrants to purchase an aggregate of 93,250 restricted shares of our common stock agreed to the amendments. The amended 2013 Unit Notes were subsequently treated as, and referred to herein, as 2014 Unit Notes. Based on the subsequent May 2015 election by the holders of the amended 2013 Unit Notes, such notes became either a component of the Acquired Unit Notes or the Investor Unit Notes, which, as described in Note 8, </w:t>
      </w:r>
      <w:r>
        <w:rPr>
          <w:rFonts w:ascii="Arial" w:cs="Arial" w:eastAsia="Arial" w:hAnsi="Arial"/>
          <w:sz w:val="16"/>
          <w:szCs w:val="16"/>
          <w:i w:val="1"/>
          <w:iCs w:val="1"/>
          <w:color w:val="auto"/>
        </w:rPr>
        <w:t>Convertible</w:t>
      </w:r>
      <w:r>
        <w:rPr>
          <w:rFonts w:ascii="Arial" w:cs="Arial" w:eastAsia="Arial" w:hAnsi="Arial"/>
          <w:sz w:val="16"/>
          <w:szCs w:val="16"/>
          <w:color w:val="auto"/>
        </w:rPr>
        <w:t xml:space="preserve"> </w:t>
      </w:r>
      <w:r>
        <w:rPr>
          <w:rFonts w:ascii="Arial" w:cs="Arial" w:eastAsia="Arial" w:hAnsi="Arial"/>
          <w:sz w:val="16"/>
          <w:szCs w:val="16"/>
          <w:i w:val="1"/>
          <w:iCs w:val="1"/>
          <w:color w:val="auto"/>
        </w:rPr>
        <w:t>Promissory Notes and Other Notes Payable</w:t>
      </w:r>
      <w:r>
        <w:rPr>
          <w:rFonts w:ascii="Arial" w:cs="Arial" w:eastAsia="Arial" w:hAnsi="Arial"/>
          <w:sz w:val="16"/>
          <w:szCs w:val="16"/>
          <w:color w:val="auto"/>
        </w:rPr>
        <w:t>, were, in either case, converted into shares of our Series B Preferred. The maturity date of 2013 Unit Notes</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to holders who did not agree to amend their 2013 Unit Note and 2013 Unit Warrant remained July 30, 2014 and the $20.00 per share exercise price and July 30, 2016 expiration date of the 2013 Unit Warrants held by such holders remained unchanged. Between April 1, 2014 and August 15, 2014, we repaid 2013 Unit Notes having an initial face value of $ 112,500 and since the later date, no un-amended 2013 Unit Notes were outstanding.</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calculated the fair value of the modified 2013 Unit Warrants immediately before and after the modifications and determined that the fair value of the warrants increased by an aggregate of $272,900, which we treated as a component of loss on extinguishment of debt for the fiscal year ended March 31, 2015 in the accompanying Consolidated Statements of Operations and Comprehensive Loss with a corresponding credit to additional paid-in capital, an equity account. The warrants subject to the exercise price modifications were valued using the Black-Scholes Option Pricing Model and the following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modification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4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6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Dividend rate</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48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6.65</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620" w:type="dxa"/>
            <w:vAlign w:val="bottom"/>
          </w:tcPr>
          <w:p>
            <w:pPr>
              <w:jc w:val="right"/>
              <w:ind w:right="27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0" w:name="page121"/>
    <w:bookmarkEnd w:id="12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Securities in Satisfaction of Technology License and Maintenance Fees and Patent Expenses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2014, we entered into an agreement with Icahn School of Medicine at Mount Sinai (</w:t>
      </w:r>
      <w:r>
        <w:rPr>
          <w:rFonts w:ascii="Arial" w:cs="Arial" w:eastAsia="Arial" w:hAnsi="Arial"/>
          <w:sz w:val="16"/>
          <w:szCs w:val="16"/>
          <w:i w:val="1"/>
          <w:iCs w:val="1"/>
          <w:color w:val="auto"/>
        </w:rPr>
        <w:t>ISMMS</w:t>
      </w:r>
      <w:r>
        <w:rPr>
          <w:rFonts w:ascii="Arial" w:cs="Arial" w:eastAsia="Arial" w:hAnsi="Arial"/>
          <w:sz w:val="16"/>
          <w:szCs w:val="16"/>
          <w:color w:val="auto"/>
        </w:rPr>
        <w:t xml:space="preserve">), one of our long-term technology licensors, pursuant to which we issued to ISMMS (i) a 10% promissory note in the face amount of $300,000 due on the earlier of December 31, 2014, or the completion of a qualified financing, as defined, (ii) 15,000 restricted shares of our common stock and (iii) a warrant exercisable through March 31, 2019 to purchase 15,000 restricted shares of our common stock at an exercise price of $10.00 per share in satisfaction of $288,400 of stem cell technology license maintenance fees and reimbursable patent prosecution costs (the </w:t>
      </w:r>
      <w:r>
        <w:rPr>
          <w:rFonts w:ascii="Arial" w:cs="Arial" w:eastAsia="Arial" w:hAnsi="Arial"/>
          <w:sz w:val="16"/>
          <w:szCs w:val="16"/>
          <w:i w:val="1"/>
          <w:iCs w:val="1"/>
          <w:color w:val="auto"/>
        </w:rPr>
        <w:t>Icahn School Agreement</w:t>
      </w:r>
      <w:r>
        <w:rPr>
          <w:rFonts w:ascii="Arial" w:cs="Arial" w:eastAsia="Arial" w:hAnsi="Arial"/>
          <w:sz w:val="16"/>
          <w:szCs w:val="16"/>
          <w:color w:val="auto"/>
        </w:rPr>
        <w:t xml:space="preserve">).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the Icahn School Agreement in the accompanying Statement of Operations and Comprehensive Loss for the fiscal year ended March 31, 2015. Under the terms of the Icahn School Agreement, an additional $35,800 of license maintenance fees and reimbursable patent prosecution costs were added to the principal amount of the promissory note through March 31, 2015. As described in Note 8, </w:t>
      </w:r>
      <w:r>
        <w:rPr>
          <w:rFonts w:ascii="Arial" w:cs="Arial" w:eastAsia="Arial" w:hAnsi="Arial"/>
          <w:sz w:val="16"/>
          <w:szCs w:val="16"/>
          <w:i w:val="1"/>
          <w:iCs w:val="1"/>
          <w:color w:val="auto"/>
        </w:rPr>
        <w:t>Convertible Promissory Notes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Notes Payable</w:t>
      </w:r>
      <w:r>
        <w:rPr>
          <w:rFonts w:ascii="Arial" w:cs="Arial" w:eastAsia="Arial" w:hAnsi="Arial"/>
          <w:sz w:val="16"/>
          <w:szCs w:val="16"/>
          <w:color w:val="auto"/>
        </w:rPr>
        <w:t>, this note was extinguished upon its conversion into shares of our Series B Preferred in June 2015.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Securities to Professional Service Providers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our fiscal year ended March 31, 2016, we issued the following securities in private placement transactions as compensation for various professional services. Unless otherwise noted, we recorded the related expense as a component of general and administrative expense in the Consolidated Statement of Operations and Comprehensive Loss for the year ended March 31, 2016.</w:t>
      </w:r>
    </w:p>
    <w:p>
      <w:pPr>
        <w:spacing w:after="0" w:line="208" w:lineRule="exact"/>
        <w:rPr>
          <w:sz w:val="20"/>
          <w:szCs w:val="20"/>
          <w:color w:val="auto"/>
        </w:rPr>
      </w:pPr>
    </w:p>
    <w:p>
      <w:pPr>
        <w:ind w:left="580" w:right="20" w:hanging="383"/>
        <w:spacing w:after="0" w:line="277"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June 2015, we issued an aggregate of 25,000 shares of our Series B Preferred having a fair value of $250,000 as compensation for legal services related to our debt restructuring and other corporate finance matters.</w:t>
      </w:r>
    </w:p>
    <w:p>
      <w:pPr>
        <w:spacing w:after="0" w:line="197" w:lineRule="exact"/>
        <w:rPr>
          <w:rFonts w:ascii="Arial" w:cs="Arial" w:eastAsia="Arial" w:hAnsi="Arial"/>
          <w:sz w:val="18"/>
          <w:szCs w:val="18"/>
          <w:color w:val="auto"/>
        </w:rPr>
      </w:pPr>
    </w:p>
    <w:p>
      <w:pPr>
        <w:jc w:val="both"/>
        <w:ind w:left="580" w:hanging="383"/>
        <w:spacing w:after="0" w:line="279"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On June 30, 2015, we issued an aggregate of 90,000 shares of our Series B Preferred having an aggregate value of $1,350,000 as compensation for financial advisory and corporate development service contracts with two independent contractors for services to be performed through June 30, 2016. The value of the Series B Preferred grants was recorded as a prepaid expense at the date of the grant and is being expensed ratably over the twelve months ending June 30, 2016, with $1,012,500 expensed during the fiscal year ended March 31, 2016.</w:t>
      </w:r>
    </w:p>
    <w:p>
      <w:pPr>
        <w:spacing w:after="0" w:line="198" w:lineRule="exact"/>
        <w:rPr>
          <w:rFonts w:ascii="Arial" w:cs="Arial" w:eastAsia="Arial" w:hAnsi="Arial"/>
          <w:sz w:val="17"/>
          <w:szCs w:val="17"/>
          <w:color w:val="auto"/>
        </w:rPr>
      </w:pPr>
    </w:p>
    <w:p>
      <w:pPr>
        <w:ind w:left="580" w:hanging="383"/>
        <w:spacing w:after="0" w:line="277"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the quarter ended June 30, 2015, we also issued an aggregate of 50,000 shares of our common stock having an aggregate value of $500,000, as compensation under two corporate development service contracts.</w:t>
      </w:r>
    </w:p>
    <w:p>
      <w:pPr>
        <w:spacing w:after="0" w:line="197"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the quarter ended September 30, 2015 we issued to two providers of intellectual property-related legal services an aggregate of 10,000 shares of our Series B Preferred having an aggregate fair value of $120,000.</w:t>
      </w:r>
    </w:p>
    <w:p>
      <w:pPr>
        <w:spacing w:after="0" w:line="197" w:lineRule="exact"/>
        <w:rPr>
          <w:rFonts w:ascii="Arial" w:cs="Arial" w:eastAsia="Arial" w:hAnsi="Arial"/>
          <w:sz w:val="18"/>
          <w:szCs w:val="18"/>
          <w:color w:val="auto"/>
        </w:rPr>
      </w:pPr>
    </w:p>
    <w:p>
      <w:pPr>
        <w:ind w:left="580" w:hanging="383"/>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January 2016, we issued 10,000 shares of our common stock having a fair value of $90,000 in connection with legal services.</w:t>
      </w:r>
    </w:p>
    <w:p>
      <w:pPr>
        <w:spacing w:after="0" w:line="252" w:lineRule="exact"/>
        <w:rPr>
          <w:rFonts w:ascii="Arial" w:cs="Arial" w:eastAsia="Arial" w:hAnsi="Arial"/>
          <w:sz w:val="18"/>
          <w:szCs w:val="18"/>
          <w:color w:val="auto"/>
        </w:rPr>
      </w:pPr>
    </w:p>
    <w:p>
      <w:pPr>
        <w:ind w:left="580" w:right="280" w:hanging="383"/>
        <w:spacing w:after="0" w:line="277"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February 2016 we issued an aggregate of 6,250 shares of our common stock in connection with legal ($25,000) and investor relations ($25,000) services;</w:t>
      </w:r>
    </w:p>
    <w:p>
      <w:pPr>
        <w:spacing w:after="0" w:line="197" w:lineRule="exact"/>
        <w:rPr>
          <w:rFonts w:ascii="Arial" w:cs="Arial" w:eastAsia="Arial" w:hAnsi="Arial"/>
          <w:sz w:val="18"/>
          <w:szCs w:val="18"/>
          <w:color w:val="auto"/>
        </w:rPr>
      </w:pPr>
    </w:p>
    <w:p>
      <w:pPr>
        <w:ind w:left="580" w:right="20" w:hanging="383"/>
        <w:spacing w:after="0" w:line="277"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March 2016, we issued an aggregate of 10,375 shares of our common stock in connection with investor relations ($58,000) and legal ($25,000) services.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1" w:name="page122"/>
    <w:bookmarkEnd w:id="12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indicated in the following table, during the quarter ended December 31, 2015, we issued warrants to purchase an aggregate of 45,000 shares of our unregistered common stock to four parties as compensation under certain investment banking agreements. In connection with the November 2015 warrant grant, we also issued 15,750 shares of unregistered common stock valued at $106,300 and, in connection with the December 11, 2015 warrant grant, we made a cash payment of $20,000. In March 2016, we issued warrants to purchase an aggregate of 230,000 shares of our common stock to eleven professional service providers in connection with investment banking, strategic planning and financing, tax, legal and research and development consulting services. We recognized $1,042,400 of general and administrative expense and $127,100 of research and development expense attributable to the March 2016 grants. We valued the warrants granted on the dates indicated using the Black Scholes Option Pricing Model and the following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2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11/23/2015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12/11/2015</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3/25/2016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77.95%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77.88%</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Dividend rate</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32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4.22</w:t>
            </w:r>
          </w:p>
        </w:tc>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2.12</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5.08</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Warrant shares granted</w:t>
            </w:r>
          </w:p>
        </w:tc>
        <w:tc>
          <w:tcPr>
            <w:tcW w:w="3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7,500</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37,500</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Expense recognized</w:t>
            </w:r>
          </w:p>
        </w:tc>
        <w:tc>
          <w:tcPr>
            <w:tcW w:w="32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31,700</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79,600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1,169,500</w:t>
            </w:r>
          </w:p>
        </w:tc>
      </w:tr>
    </w:tbl>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2014, we entered into a consulting agreement for strategic advisory and business development services pursuant to which we issued 10,000 restricted shares of our common stock as partial compensation for such professional services. We determined the fair value of stock to be $134,000, based on the $13.40 per share quoted market price of our common stock on the date of the agreement. Additionally, under the terms of the agreement, we paid an aggregate of $80,000 between May 2014 and December 31, 2014 as additional compensation for professional services rendered by the consultant. Effective January 12, 2015, we entered into a new consulting agreement with this consultant for similar services pursuant to which we issued 20,000 restricted shares of our common stock valued at $160,000, based on the $8.00 per share quoted market price of our common stock on the date of the agreement, and made cash payments of $175,000 through March 31, 2016 as compensation for such professional services.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2015, we entered into a consulting agreement with another consultant for additional advisory and business development services pursuant to which we issued 25,000 restricted shares of our common stock as compensation for such professional services. We determined the fair value of stock to be $175,000, based on the $7.50 per share quoted market price of our common stock on the date of the agreement.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2015, we issued 16,667 shares of our common stock valued at $166,700 to our legal counsel in settlement of direct legal fees related to services provided with respect to prospective, unconsummated public and private offerings of our equity securities during 2013 and 2014. We recognized a loss of $16,700 with respect to this settlement, which is included in Loss on Extinguishment of Debt in the accompanying Consolidated Statement of Operations and Comprehensive Loss for the year ended March 31,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Warrants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addition to warrants modified in connection with conversions of certain of our outstanding promissory notes into Series B Preferred as described earlier in Note 8,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xml:space="preserve"> and the warrants modified in connection with the Warrant Exchange Agreements described earlier in this note, on June 10, 2015, we modified certain other outstanding warrants to purchase an aggregate of 54,576 shares of our common stock to reduce their exercise price. We calculated the fair value of the modified warrants immediately before and after the modifications and determined that the fair value of the warrants increased by an aggregate of $122,300, which we recognized as a component of general and administrative expense for the quarter ended June 30, 2015, with a corresponding credit to additional paid-in capital. The warrants subject to the exercise price modifications were valued using the Black-Scholes Option Pricing Model and the following assumptions: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2" w:name="page123"/>
    <w:bookmarkEnd w:id="12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modification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30.23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Remaining contractual term in years (weighted average)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Fair Value per share (weighted average)</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3.79</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 and Director Warrant Grants and Modifications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2, 2015, when the market price of our common stock was $9.11 per share, our Board of Directors (</w:t>
      </w:r>
      <w:r>
        <w:rPr>
          <w:rFonts w:ascii="Arial" w:cs="Arial" w:eastAsia="Arial" w:hAnsi="Arial"/>
          <w:sz w:val="17"/>
          <w:szCs w:val="17"/>
          <w:i w:val="1"/>
          <w:iCs w:val="1"/>
          <w:color w:val="auto"/>
        </w:rPr>
        <w:t>Board</w:t>
      </w:r>
      <w:r>
        <w:rPr>
          <w:rFonts w:ascii="Arial" w:cs="Arial" w:eastAsia="Arial" w:hAnsi="Arial"/>
          <w:sz w:val="17"/>
          <w:szCs w:val="17"/>
          <w:color w:val="auto"/>
        </w:rPr>
        <w:t>) authorized the grant of fully-vested five-year warrants to purchase an aggregate of 650,000 restricted shares of our common stock at an exercise price of $9.25 per share, including an aggregate of 600,000 of such shares to company officers and independent members of the Board. We valued the new warrant grants at $5.68 per share, or an aggregate of $3,692,900, using the Black Scholes Option Pricing Model and the following assumptions: market price per share: $9.11; exercise price per share: $9.25; risk-free interest rate: 1.52%; contractual term: 5.0 years; volatility: 77.2%; expected dividend rate: 0%. We recognized non-cash research and development and general and administrative stock compensation expense in the amounts of $852,200 and $2,840,700, respectively, attributable to the warrant grants in the quarter ended September 30, 2015, which amounts are reflected in the accompanying Consolidated Statement of Operations and Comprehensive Loss for the fiscal year ended March 31, 2016.</w:t>
      </w:r>
    </w:p>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November 11, 2015, when the market price of our common stock was $6.50 per share, the Board authorized the modification of outstanding warrants to purchase an aggregate of 1,123,533 shares of our common stock, including the warrants to purchase an aggregate of 600,000 shares granted in September 2015, as described above, previously granted to company officers, independent members of the Board and a key scientific advisor to reduce the exercise prices thereof to $7.00 per share and to extend through March 19, 2019 the expiration date of such warrants to purchase an aggregate of 10,803 shares of our unregistered common stock otherwise scheduled to expire during calendar 2016. We calculated the fair value of the modified warrants immediately before and after the modifications and determined that the fair value of the warrants increased by an aggregate of $492,600. We recognized $357,500 of such increase as a component of general and administrative expense in the accompanying Consolidated Statement of Operations and Comprehensive Loss for the fiscal year ended March 31, 2016, and the remaining $135,100 as a component of research and development expense in the same period. The warrants subject to the exercise price modifications were valued using the Black-Scholes Option Pricing Model and the following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modification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9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4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Remaining contractual term in years (weighted average)</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Dividend rate</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Fair Value per share (weighted average)</w:t>
            </w:r>
          </w:p>
        </w:tc>
        <w:tc>
          <w:tcPr>
            <w:tcW w:w="41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4.08</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920" w:type="dxa"/>
            <w:vAlign w:val="bottom"/>
          </w:tcPr>
          <w:p>
            <w:pPr>
              <w:jc w:val="right"/>
              <w:ind w:right="27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3" w:name="page124"/>
    <w:bookmarkEnd w:id="12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2015, when the market price of our common stock was $8.00 per share, the Board authorized the grant of fully-vested five-year warrants to purchase an aggregate of 381,000 restricted shares of our common stock at an exercise price of $10.00 per share, including an aggregate of 340,000 such shares to company officers and independent members of the Board. The Board also granted one-year warrants to purchase 5,715 restricted shares of our common stock at an exercise price of $10.00 per share to consultants whose warrants had expired at December 31, 2014. Additionally, the Board extended by one year the expiration date of outstanding warrants to purchase 90,675 shares of our restricted common stock otherwise expiring during calendar 2015 and reduced the exercise price to $15.00 per share for such of those extended term warrants having exercise prices in excess of that amount.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We valued the new warrant grants at $1,756,900 using the Black Scholes Option Pricing Model and the following assumptions:  market price per share:</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$8.00; exercise price per share: $10.00; risk-free interest rate: 1.45% for five-year warrants and 0.24% for one-year warrants; contractual term: 5 years or 1 year; volatility: 75.86% for five-year warrants and 69.74% for one-year warrants; expected dividend rate: 0%. We calculated the fair value of the modified warrants immediately before and after the modifications and determined that the fair value of the warrants increased by $98,400, which is reflected in general and administrative expense in the accompanying Consolidated Statement of Operations and Comprehensive Loss for the fiscal year ended March 31, 2015. The warrants subject to the exercise price modifications and term extensions were valued using the Black-Scholes Option Pricing Model and the following assumptions: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modification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Contractual term in years (weighted average)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making our fair value determinations for both new warrant grants and warrant modifications using the Black Scholes Option Pricing Model, we utilize the following principles in selecting our input assumptions. The market price per share during the years ended March 31, 2016 and 2015 is based on the quoted market price of our common stock on the OTCQB on the date of the grant or modification. Because of our relatively short history as a public company, we estimate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original or modified terms. The risk-free rate of interest is based on the quoted constant maturity rate for U.S. Treasury Bills on the date of the grant or modification for the term most closely corresponding with the contractual term or remaining term of the warrant. We assume a dividend rate of zero as we have not paid and do not expect to pay dividends in the near future.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4" w:name="page125"/>
    <w:bookmarkEnd w:id="12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Outstanding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outstanding warrants to purchase shares of our common stock as of March 31, 2016. The weighted average exercise price of outstanding warrants at March 31, 2016 was $8.17 per share.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40" w:type="dxa"/>
            <w:vAlign w:val="bottom"/>
          </w:tcPr>
          <w:p>
            <w:pPr>
              <w:jc w:val="right"/>
              <w:ind w:right="361"/>
              <w:spacing w:after="0"/>
              <w:rPr>
                <w:sz w:val="20"/>
                <w:szCs w:val="20"/>
                <w:color w:val="auto"/>
              </w:rPr>
            </w:pPr>
            <w:r>
              <w:rPr>
                <w:rFonts w:ascii="Arial" w:cs="Arial" w:eastAsia="Arial" w:hAnsi="Arial"/>
                <w:sz w:val="18"/>
                <w:szCs w:val="18"/>
                <w:b w:val="1"/>
                <w:bCs w:val="1"/>
                <w:color w:val="auto"/>
              </w:rPr>
              <w:t>Exercise Price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18"/>
                <w:szCs w:val="18"/>
                <w:color w:val="auto"/>
              </w:rPr>
            </w:pPr>
          </w:p>
        </w:tc>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Shares Subject to Purchase at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40" w:type="dxa"/>
            <w:vAlign w:val="bottom"/>
          </w:tcPr>
          <w:p>
            <w:pPr>
              <w:jc w:val="right"/>
              <w:ind w:right="541"/>
              <w:spacing w:after="0"/>
              <w:rPr>
                <w:sz w:val="20"/>
                <w:szCs w:val="20"/>
                <w:color w:val="auto"/>
              </w:rPr>
            </w:pPr>
            <w:r>
              <w:rPr>
                <w:rFonts w:ascii="Arial" w:cs="Arial" w:eastAsia="Arial" w:hAnsi="Arial"/>
                <w:sz w:val="18"/>
                <w:szCs w:val="18"/>
                <w:b w:val="1"/>
                <w:bCs w:val="1"/>
                <w:color w:val="auto"/>
              </w:rPr>
              <w:t>per Share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March 31,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jc w:val="right"/>
              <w:ind w:right="268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12/11/2018 to 3/3/2023</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jc w:val="right"/>
              <w:ind w:right="268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3/25/2021</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jc w:val="right"/>
              <w:ind w:right="268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8/31/2016 to 1/11/2020</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135,384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jc w:val="right"/>
              <w:ind w:right="268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4/30/2016 to 8/31/2016</w:t>
            </w:r>
          </w:p>
        </w:tc>
        <w:tc>
          <w:tcPr>
            <w:tcW w:w="3980" w:type="dxa"/>
            <w:vAlign w:val="bottom"/>
            <w:gridSpan w:val="3"/>
          </w:tcPr>
          <w:p>
            <w:pPr>
              <w:jc w:val="right"/>
              <w:ind w:right="120"/>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jc w:val="right"/>
              <w:ind w:right="268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9/15/2019</w:t>
            </w:r>
          </w:p>
        </w:tc>
        <w:tc>
          <w:tcPr>
            <w:tcW w:w="3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jc w:val="right"/>
              <w:ind w:right="268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3600" w:type="dxa"/>
            <w:vAlign w:val="bottom"/>
          </w:tcPr>
          <w:p>
            <w:pPr>
              <w:jc w:val="center"/>
              <w:spacing w:after="0"/>
              <w:rPr>
                <w:sz w:val="20"/>
                <w:szCs w:val="20"/>
                <w:color w:val="auto"/>
              </w:rPr>
            </w:pPr>
            <w:r>
              <w:rPr>
                <w:rFonts w:ascii="Arial" w:cs="Arial" w:eastAsia="Arial" w:hAnsi="Arial"/>
                <w:sz w:val="18"/>
                <w:szCs w:val="18"/>
                <w:color w:val="auto"/>
                <w:w w:val="88"/>
              </w:rPr>
              <w:t>11/20/2017</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1,907,221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Receivable from Sale of Common Stock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2011, the Company accepted a $500,000 short-term note from an investor in payment for shares of the Company’s common stock sold to the investor in a private placement transaction. On October 2, 2014 we received a cash payment of $60,000 from the maker of the note. We considered that payment to be in full satisfaction of the outstanding principal balance of the note and related accrued interest, aggregating $194,900, at the date of the payment and recognized a loss of $134,900 on the settlement of the note, which is reflected as a component of Other expenses, net in the accompanying Consolidated Statement of Operations and Comprehensive Loss for the fiscal year ended March 31, 2015.</w:t>
      </w:r>
    </w:p>
    <w:p>
      <w:pPr>
        <w:sectPr>
          <w:pgSz w:w="11900" w:h="16838" w:orient="portrait"/>
          <w:cols w:equalWidth="0" w:num="1">
            <w:col w:w="11420"/>
          </w:cols>
          <w:pgMar w:left="240" w:top="130" w:right="2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2016, the Company has reserved shares of its common stock for future issuance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Upon exchange of all shares of Series A Preferred Stock currently issued and outstanding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Upon exchange of all shares of Series B Preferred Stock currently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Reserved for potential future issuance of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Upon exchange of all shares of Series C Preferred Stock currently issued and outstanding</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Reserved for potential future issuance of Series C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Subject to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Pursuant to stock incentive plans:</w:t>
      </w:r>
    </w:p>
    <w:p>
      <w:pPr>
        <w:spacing w:after="0" w:line="23" w:lineRule="exact"/>
        <w:rPr>
          <w:sz w:val="20"/>
          <w:szCs w:val="20"/>
          <w:color w:val="auto"/>
        </w:rPr>
      </w:pPr>
    </w:p>
    <w:p>
      <w:pPr>
        <w:ind w:left="200" w:right="3940"/>
        <w:spacing w:after="0" w:line="290" w:lineRule="auto"/>
        <w:rPr>
          <w:sz w:val="20"/>
          <w:szCs w:val="20"/>
          <w:color w:val="auto"/>
        </w:rPr>
      </w:pPr>
      <w:r>
        <w:rPr>
          <w:rFonts w:ascii="Arial" w:cs="Arial" w:eastAsia="Arial" w:hAnsi="Arial"/>
          <w:sz w:val="17"/>
          <w:szCs w:val="17"/>
          <w:color w:val="auto"/>
        </w:rPr>
        <w:t>Subject to outstanding options under the 2008 and 1999 Stock Incentive Plans Available for future grants under the 2008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ind w:left="200" w:hanging="192"/>
        <w:spacing w:after="0" w:line="238" w:lineRule="auto"/>
        <w:tabs>
          <w:tab w:leader="none" w:pos="20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assumes exchange under the terms of the October 11, 2012 Note Exchange and Purchase Agreement with PLTG,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750,000</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3,663,077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108,105</w:t>
      </w:r>
    </w:p>
    <w:p>
      <w:pPr>
        <w:spacing w:after="0" w:line="21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2,318,012</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681,988</w:t>
      </w:r>
    </w:p>
    <w:p>
      <w:pPr>
        <w:spacing w:after="0" w:line="200" w:lineRule="exact"/>
        <w:rPr>
          <w:sz w:val="20"/>
          <w:szCs w:val="20"/>
          <w:color w:val="auto"/>
        </w:rPr>
      </w:pPr>
    </w:p>
    <w:p>
      <w:pPr>
        <w:spacing w:after="0" w:line="22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1,907,221</w:t>
      </w:r>
    </w:p>
    <w:p>
      <w:pPr>
        <w:spacing w:after="0" w:line="200" w:lineRule="exact"/>
        <w:rPr>
          <w:sz w:val="20"/>
          <w:szCs w:val="20"/>
          <w:color w:val="auto"/>
        </w:rPr>
      </w:pPr>
    </w:p>
    <w:p>
      <w:pPr>
        <w:spacing w:after="0" w:line="24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336,987</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660,242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5715</wp:posOffset>
            </wp:positionV>
            <wp:extent cx="7200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997,229</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10,425,632</w:t>
      </w:r>
    </w:p>
    <w:p>
      <w:pPr>
        <w:spacing w:after="0" w:line="732" w:lineRule="exact"/>
        <w:rPr>
          <w:sz w:val="20"/>
          <w:szCs w:val="20"/>
          <w:color w:val="auto"/>
        </w:rPr>
      </w:pPr>
    </w:p>
    <w:p>
      <w:pPr>
        <w:sectPr>
          <w:pgSz w:w="11900" w:h="16838" w:orient="portrait"/>
          <w:cols w:equalWidth="0" w:num="2">
            <w:col w:w="9780" w:space="720"/>
            <w:col w:w="920"/>
          </w:cols>
          <w:pgMar w:left="240" w:top="130" w:right="239" w:bottom="1440" w:gutter="0" w:footer="0" w:header="0"/>
          <w:type w:val="continuous"/>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25" w:name="page126"/>
    <w:bookmarkEnd w:id="12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research and development expenses of approximately $3.9 million and $2.4 million in the fiscal years ended March 31, 2016 and 2015, respectively. Research and development expense is composed primarily of employee compensation expenses, including stock–based compensation, direct project expenses, and costs to maintain and prosecute our intellectual property suite, including new patent applications for AV-101 for various indications.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 for income taxes for the periods presented in the Consolidated Statements of Operations and Comprehensive Loss represents minimum California franchise taxes. Income tax expense differed from the amounts computed by applying the U.S. federal income tax rate of 34% to pretax losses as a result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28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6"/>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Tax effect of loss on debt extinguishment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19.22%</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Tax effect of warrant modifications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Tax effect of Warrant Liability mark to market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 losses not benefitted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Net operating loss carryovers</w:t>
            </w:r>
          </w:p>
        </w:tc>
        <w:tc>
          <w:tcPr>
            <w:tcW w:w="3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26,606</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differences in fixed assets</w:t>
            </w:r>
          </w:p>
        </w:tc>
        <w:tc>
          <w:tcPr>
            <w:tcW w:w="3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Accruals and reserves</w:t>
            </w: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Accordingly, the deferred tax assets have been fully offset by a valuation allowance. The valuation allowance increased by $5,443,000 and $4,619,000 during the fiscal years ended March 31, 2016 and 2015, respectively. When realized, deferred tax assets related to employee stock options will be credited to additional paid-in capital.</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2016, we had U.S. federal net operating loss carryforwards of $67.9 million, which will expire in fiscal years 2020 through 2036. As of March 31, 2016, we had state net operating loss carryforwards of $60.1 million, which will expire in fiscal years 2017 through 2036.</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6" w:name="page127"/>
    <w:bookmarkEnd w:id="12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income tax returns in the U.S. federal and Canadian jurisdictions and California and Maryland state jurisdictions. The Company is subject to U.S. federal and state income tax examinations by tax authorities for tax years 2000 through 2016 due to net operating losses that are being carried forward for tax purposes.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have any uncertain tax positions or unrecognized tax benefits at March 31, 2016 and 2015. The Company’s policy is to recognize interest and penalties related to income taxes as components of interest expense and other expense,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Licensing and Collaborative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National Institutes of Health</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fiscal years 2006 through 2008,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awarded VistaGen California a $4.2 million grant to support preclinical development of AV-101 for pain. In June 2009, the NIH further awarded VistaGen California a $4.2 million grant to support the Phase I clinical development of AV-101, which amount was subsequently increased to a total of $4.6 million in July 2010. The grant expired in the ordinary course on June 30, 2012 and all funds had been expended. AV-101, our orally available prodrug candidate is currently in Phase 2 development, initially for the adjunctive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In February 2015, we entered into a Cooperative Research and Development Agreement with the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to collaborate on an NIH-sponsored Phase 2 clinical study of the efficacy and safety of AV-101 in subjects with MDD. The first patient in this NIMH-sponsored Phase 2a study was dosed in November 2015 and we anticipate results from the study in the second calendar quarter of 2017. We believe AV-101 may also have broad therapeutic utility with multiple near term central nervous system pipeline expansion opportunities, including chronic neuropathic pain, epilepsy, Huntington’s disease and Parkinson’s disease.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 Ltd.</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built a strategic development relationship with Cato Research Ltd. (</w:t>
      </w:r>
      <w:r>
        <w:rPr>
          <w:rFonts w:ascii="Arial" w:cs="Arial" w:eastAsia="Arial" w:hAnsi="Arial"/>
          <w:sz w:val="16"/>
          <w:szCs w:val="16"/>
          <w:i w:val="1"/>
          <w:iCs w:val="1"/>
          <w:color w:val="auto"/>
        </w:rPr>
        <w:t>CRL</w:t>
      </w:r>
      <w:r>
        <w:rPr>
          <w:rFonts w:ascii="Arial" w:cs="Arial" w:eastAsia="Arial" w:hAnsi="Arial"/>
          <w:sz w:val="16"/>
          <w:szCs w:val="16"/>
          <w:color w:val="auto"/>
        </w:rPr>
        <w:t xml:space="preserve">), a global contract research and development organization, or CRO, and an affiliate of one of the Company’s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$52,600 and $38,100 for the fiscal years ended March 31, 2016 and 2015, respectively. In October 2012, we issued an unsecured promissory note in the principal amount of $1,009,000, and a warrant exercisable for 50,450 shares of our common stock, as payment in full of all amounts owed to CRL for CRO services rendered to us through December 31, 2012. As described in Note 8, </w:t>
      </w:r>
      <w:r>
        <w:rPr>
          <w:rFonts w:ascii="Arial" w:cs="Arial" w:eastAsia="Arial" w:hAnsi="Arial"/>
          <w:sz w:val="16"/>
          <w:szCs w:val="16"/>
          <w:i w:val="1"/>
          <w:iCs w:val="1"/>
          <w:color w:val="auto"/>
        </w:rPr>
        <w:t>Convertible Promissory Notes and Other Notes</w:t>
      </w:r>
      <w:r>
        <w:rPr>
          <w:rFonts w:ascii="Arial" w:cs="Arial" w:eastAsia="Arial" w:hAnsi="Arial"/>
          <w:sz w:val="16"/>
          <w:szCs w:val="16"/>
          <w:color w:val="auto"/>
        </w:rPr>
        <w:t xml:space="preserve"> </w:t>
      </w:r>
      <w:r>
        <w:rPr>
          <w:rFonts w:ascii="Arial" w:cs="Arial" w:eastAsia="Arial" w:hAnsi="Arial"/>
          <w:sz w:val="16"/>
          <w:szCs w:val="16"/>
          <w:i w:val="1"/>
          <w:iCs w:val="1"/>
          <w:color w:val="auto"/>
        </w:rPr>
        <w:t>Payable</w:t>
      </w:r>
      <w:r>
        <w:rPr>
          <w:rFonts w:ascii="Arial" w:cs="Arial" w:eastAsia="Arial" w:hAnsi="Arial"/>
          <w:sz w:val="16"/>
          <w:szCs w:val="16"/>
          <w:color w:val="auto"/>
        </w:rPr>
        <w:t>, this note and related accrued but unpaid interest was converted into shares of our Series B Preferred in June 2015.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Health Network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17, 2007, we entered into a Sponsored Research Collaboration Agreement (</w:t>
      </w:r>
      <w:r>
        <w:rPr>
          <w:rFonts w:ascii="Arial" w:cs="Arial" w:eastAsia="Arial" w:hAnsi="Arial"/>
          <w:sz w:val="17"/>
          <w:szCs w:val="17"/>
          <w:i w:val="1"/>
          <w:iCs w:val="1"/>
          <w:color w:val="auto"/>
        </w:rPr>
        <w:t>SRCA</w:t>
      </w:r>
      <w:r>
        <w:rPr>
          <w:rFonts w:ascii="Arial" w:cs="Arial" w:eastAsia="Arial" w:hAnsi="Arial"/>
          <w:sz w:val="17"/>
          <w:szCs w:val="17"/>
          <w:color w:val="auto"/>
        </w:rPr>
        <w:t>) with University Health Network (</w:t>
      </w:r>
      <w:r>
        <w:rPr>
          <w:rFonts w:ascii="Arial" w:cs="Arial" w:eastAsia="Arial" w:hAnsi="Arial"/>
          <w:sz w:val="17"/>
          <w:szCs w:val="17"/>
          <w:i w:val="1"/>
          <w:iCs w:val="1"/>
          <w:color w:val="auto"/>
        </w:rPr>
        <w:t>UHN</w:t>
      </w:r>
      <w:r>
        <w:rPr>
          <w:rFonts w:ascii="Arial" w:cs="Arial" w:eastAsia="Arial" w:hAnsi="Arial"/>
          <w:sz w:val="17"/>
          <w:szCs w:val="17"/>
          <w:color w:val="auto"/>
        </w:rPr>
        <w:t>) to develop certain stem cell technologies for drug discovery, development and rescue technologies. Under the terms of the SRCA, we have acquired exclusive worldwide rights to patent applications in the U.S. and foreign countries on multiple inventions arising from studies we have sponsored, under pre-negotiated license terms. Such pre-negotiated terms provide for royalty payments based on product sales that incorporate the licensed technology and milestone payments based on the achievement of certain events. Any drug rescue new chemical entity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7" w:name="page128"/>
    <w:bookmarkEnd w:id="12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 The sponsored research collaboration agreement (</w:t>
      </w:r>
      <w:r>
        <w:rPr>
          <w:rFonts w:ascii="Arial" w:cs="Arial" w:eastAsia="Arial" w:hAnsi="Arial"/>
          <w:sz w:val="16"/>
          <w:szCs w:val="16"/>
          <w:i w:val="1"/>
          <w:iCs w:val="1"/>
          <w:color w:val="auto"/>
        </w:rPr>
        <w:t>SRCA</w:t>
      </w:r>
      <w:r>
        <w:rPr>
          <w:rFonts w:ascii="Arial" w:cs="Arial" w:eastAsia="Arial" w:hAnsi="Arial"/>
          <w:sz w:val="16"/>
          <w:szCs w:val="16"/>
          <w:color w:val="auto"/>
        </w:rPr>
        <w:t>) with UHN, as amended, has a term of ten years, ending on September 18, 2017. We did not engage in any sponsored research activities with UHN during our fiscal years ended March 31, 2016 or 2015, however, we are currently in discussions with Dr. Keller and UHN regarding the scope of potential new sponsored research projects under the SRCA. The ten-year term of the agreement is subject to renewal upon mutual agreement of the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Plans and 401(k)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share-based compensation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Incentive Plan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Our 2008 Stock Incentive Plan (the </w:t>
      </w:r>
      <w:r>
        <w:rPr>
          <w:rFonts w:ascii="Arial" w:cs="Arial" w:eastAsia="Arial" w:hAnsi="Arial"/>
          <w:sz w:val="17"/>
          <w:szCs w:val="17"/>
          <w:i w:val="1"/>
          <w:iCs w:val="1"/>
          <w:color w:val="auto"/>
        </w:rPr>
        <w:t>2008 Plan</w:t>
      </w:r>
      <w:r>
        <w:rPr>
          <w:rFonts w:ascii="Arial" w:cs="Arial" w:eastAsia="Arial" w:hAnsi="Arial"/>
          <w:sz w:val="17"/>
          <w:szCs w:val="17"/>
          <w:color w:val="auto"/>
        </w:rPr>
        <w:t>) was adopted by the shareholders of VistaGen California on December 19, 2008 and assumed by the Company in connection with the Merger. The maximum number of shares of our common stock that may be granted pursuant to the 2008 Plan is 1,000,000 shares, subject to adjustments for stock splits, stock dividends or other similar changes in the common stock or capital structure.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1999 Stock Incentive Plan (the </w:t>
      </w:r>
      <w:r>
        <w:rPr>
          <w:rFonts w:ascii="Arial" w:cs="Arial" w:eastAsia="Arial" w:hAnsi="Arial"/>
          <w:sz w:val="18"/>
          <w:szCs w:val="18"/>
          <w:i w:val="1"/>
          <w:iCs w:val="1"/>
          <w:color w:val="auto"/>
        </w:rPr>
        <w:t>1999 Plan</w:t>
      </w:r>
      <w:r>
        <w:rPr>
          <w:rFonts w:ascii="Arial" w:cs="Arial" w:eastAsia="Arial" w:hAnsi="Arial"/>
          <w:sz w:val="18"/>
          <w:szCs w:val="18"/>
          <w:color w:val="auto"/>
        </w:rPr>
        <w:t>) was adopted by the shareholders of VistaGen California on December 6, 1999 and assumed by the Company in connection with the Merger.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2008 Plan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2008 Plan, the Compensation Committee of our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may grant nonstatutory stock options under the 2008 Plan at a price of not less than 100% of the fair market value of our common stock on the date the option is granted. Incentive stock options under the 2008 Plan may be granted at a price of not less than 100% of the fair market value of our common stock on the date the option is granted. Incentive stock options granted to employees who, on the date of grant, own stock representing more than 10% of the voting power of all of our classes of stock are granted at an exercise price of not less than 110% of the fair market value of our common stock and the maximum term of such incentive stock options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 We currently have no performance-based awards outstanding.</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terminated sooner, the 2008 Plan will automatically terminate in 2017. The Board of Directors may at any time amend, suspend or terminate our 2008 Plan.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8" w:name="page129"/>
    <w:bookmarkEnd w:id="12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September 2015, we granted options to purchase an aggregate of 90,000 shares of our common stock at an exercise price of $9.25 per share to our non-officer employees and certain strategic consultants. In February 2016, we granted options to purchase an aggregate of 30,000 shares of our common stock at an exercise price of $8.00 per share to two parties in connection with an investor relations agreement. In March 2016, we granted options to purchase 25,000 shares of our common stock at an exercise price of $8.00 per share to a new independent member of our Board of Directors. We did not grant any stock options during fiscal 2015.</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following table summarizes share-based compensation expense, including share-based expense related to grants of warrants to certain of our officers, independent directors, consultants and service providers as described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included in the accompanying Consolidated Statement of Operations and Comprehensive Loss for the years ended March 31, 2016 and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14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spacing w:after="0"/>
              <w:rPr>
                <w:sz w:val="20"/>
                <w:szCs w:val="20"/>
                <w:color w:val="auto"/>
              </w:rPr>
            </w:pPr>
            <w:r>
              <w:rPr>
                <w:rFonts w:ascii="Arial" w:cs="Arial" w:eastAsia="Arial" w:hAnsi="Arial"/>
                <w:sz w:val="18"/>
                <w:szCs w:val="18"/>
                <w:color w:val="auto"/>
              </w:rPr>
              <w:t>Research and development expense:</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grants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Warrants granted to officer in March 2014 and March 2013</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Fully-vested warrants granted to officer in September 2015</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Fully-vested warrants granted to officer and consultants in January 2015</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527,500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1,091,300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Stock option grants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93,800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granted to officers and directors in March 2014 and March 2013</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Fully-vested warrants granted to officers, directors and consultants in September 2015</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2,840,700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Fully-vested warrants granted to officers, directors and consultants in January 2015</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1,229,400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2,950,100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1,611,300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4,041,400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2,460,100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used the Black-Scholes Option Pricing model with the following assumptions to determine share-based compensation expense related to option grants during the fiscal years ended March 31, 2016 and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192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89"/>
              </w:rPr>
              <w:t>(weighted average)</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8.78</w:t>
            </w:r>
          </w:p>
        </w:tc>
        <w:tc>
          <w:tcPr>
            <w:tcW w:w="1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Market price on date of grant</w:t>
            </w:r>
          </w:p>
        </w:tc>
        <w:tc>
          <w:tcPr>
            <w:tcW w:w="3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8.69</w:t>
            </w:r>
          </w:p>
        </w:tc>
        <w:tc>
          <w:tcPr>
            <w:tcW w:w="1920" w:type="dxa"/>
            <w:vAlign w:val="bottom"/>
          </w:tcPr>
          <w:p>
            <w:pPr>
              <w:ind w:left="5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w:t>
            </w:r>
          </w:p>
        </w:tc>
        <w:tc>
          <w:tcPr>
            <w:tcW w:w="1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Expected term (years)</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8.45</w:t>
            </w:r>
          </w:p>
        </w:tc>
        <w:tc>
          <w:tcPr>
            <w:tcW w:w="1920" w:type="dxa"/>
            <w:vAlign w:val="bottom"/>
          </w:tcPr>
          <w:p>
            <w:pPr>
              <w:ind w:left="5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93.27%</w:t>
            </w:r>
          </w:p>
        </w:tc>
        <w:tc>
          <w:tcPr>
            <w:tcW w:w="1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920" w:type="dxa"/>
            <w:vAlign w:val="bottom"/>
          </w:tcPr>
          <w:p>
            <w:pPr>
              <w:ind w:left="5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Fair value per share at grant date</w:t>
            </w:r>
          </w:p>
        </w:tc>
        <w:tc>
          <w:tcPr>
            <w:tcW w:w="3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7.09</w:t>
            </w:r>
          </w:p>
        </w:tc>
        <w:tc>
          <w:tcPr>
            <w:tcW w:w="1920" w:type="dxa"/>
            <w:vAlign w:val="bottom"/>
          </w:tcPr>
          <w:p>
            <w:pPr>
              <w:ind w:left="56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jc w:val="right"/>
              <w:ind w:right="133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9" w:name="page130"/>
    <w:bookmarkEnd w:id="12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Arial" w:cs="Arial" w:eastAsia="Arial" w:hAnsi="Arial"/>
          <w:sz w:val="16"/>
          <w:szCs w:val="16"/>
          <w:i w:val="1"/>
          <w:iCs w:val="1"/>
          <w:color w:val="auto"/>
        </w:rPr>
        <w:t>SAB No. 107 and 110</w:t>
      </w:r>
      <w:r>
        <w:rPr>
          <w:rFonts w:ascii="Arial" w:cs="Arial" w:eastAsia="Arial" w:hAnsi="Arial"/>
          <w:sz w:val="16"/>
          <w:szCs w:val="16"/>
          <w:color w:val="auto"/>
        </w:rPr>
        <w:t>). The utilization of SAB No. 107 and 110 is based on the lack of relevant historical data due to both our limited historical experience as a publicly traded company as well as the historical lack of liquidity resulting from the limited number of freely-tradable shares of our common stock. Limited historical experience and lack of liquidity in our stock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the fiscal years ended March 31, 2016 and 2015 under our stock option plans: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w w:val="92"/>
              </w:rPr>
              <w:t>Fiscal Years Ended March 31,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54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2015</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beginning of period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207,638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212,486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80"/>
              <w:spacing w:after="0"/>
              <w:rPr>
                <w:sz w:val="20"/>
                <w:szCs w:val="20"/>
                <w:color w:val="auto"/>
              </w:rPr>
            </w:pPr>
            <w:r>
              <w:rPr>
                <w:rFonts w:ascii="Arial" w:cs="Arial" w:eastAsia="Arial" w:hAnsi="Arial"/>
                <w:sz w:val="18"/>
                <w:szCs w:val="18"/>
                <w:color w:val="auto"/>
              </w:rPr>
              <w:t>Options 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(10,359)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(2,001)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Options expired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at end of period</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336,987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207,638</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line="196" w:lineRule="exact"/>
              <w:rPr>
                <w:sz w:val="20"/>
                <w:szCs w:val="20"/>
                <w:color w:val="auto"/>
              </w:rPr>
            </w:pPr>
            <w:r>
              <w:rPr>
                <w:rFonts w:ascii="Arial" w:cs="Arial" w:eastAsia="Arial" w:hAnsi="Arial"/>
                <w:sz w:val="18"/>
                <w:szCs w:val="18"/>
                <w:color w:val="auto"/>
              </w:rPr>
              <w:t>Options exercisable at end of period</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201,779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10.11</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199,013</w:t>
            </w:r>
          </w:p>
        </w:tc>
        <w:tc>
          <w:tcPr>
            <w:tcW w:w="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rPr>
              <w:t>Weighted average grant-date fair value of</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380"/>
              <w:spacing w:after="0"/>
              <w:rPr>
                <w:sz w:val="20"/>
                <w:szCs w:val="20"/>
                <w:color w:val="auto"/>
              </w:rPr>
            </w:pPr>
            <w:r>
              <w:rPr>
                <w:rFonts w:ascii="Arial" w:cs="Arial" w:eastAsia="Arial" w:hAnsi="Arial"/>
                <w:sz w:val="18"/>
                <w:szCs w:val="18"/>
                <w:color w:val="auto"/>
              </w:rPr>
              <w:t>options granted during the period</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on stock options outstanding and exercisable under our stock option plans as of March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Options Outstanding</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6"/>
          </w:tcPr>
          <w:p>
            <w:pPr>
              <w:ind w:left="104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jc w:val="center"/>
              <w:ind w:right="60"/>
              <w:spacing w:after="0" w:line="198" w:lineRule="exact"/>
              <w:rPr>
                <w:sz w:val="20"/>
                <w:szCs w:val="20"/>
                <w:color w:val="auto"/>
              </w:rPr>
            </w:pPr>
            <w:r>
              <w:rPr>
                <w:rFonts w:ascii="Arial" w:cs="Arial" w:eastAsia="Arial" w:hAnsi="Arial"/>
                <w:sz w:val="18"/>
                <w:szCs w:val="18"/>
                <w:b w:val="1"/>
                <w:bCs w:val="1"/>
                <w:color w:val="auto"/>
                <w:w w:val="88"/>
              </w:rPr>
              <w:t>Weighted</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1"/>
              </w:rPr>
              <w:t>Weighted</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7"/>
              </w:rPr>
              <w:t>Average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Exercise</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16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Years until</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Exercise</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ind w:left="320"/>
              <w:spacing w:after="0"/>
              <w:rPr>
                <w:sz w:val="20"/>
                <w:szCs w:val="20"/>
                <w:color w:val="auto"/>
              </w:rPr>
            </w:pPr>
            <w:r>
              <w:rPr>
                <w:rFonts w:ascii="Arial" w:cs="Arial" w:eastAsia="Arial" w:hAnsi="Arial"/>
                <w:sz w:val="18"/>
                <w:szCs w:val="18"/>
                <w:b w:val="1"/>
                <w:bCs w:val="1"/>
                <w:color w:val="auto"/>
              </w:rPr>
              <w:t>Price</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6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Expiration</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Price</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Exercisable</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102,089</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46,881</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9.25</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80,000</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9.42</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9.25</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145,039</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145,039</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14.40 to $36.00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9,859</w:t>
            </w:r>
          </w:p>
        </w:tc>
        <w:tc>
          <w:tcPr>
            <w:tcW w:w="30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21.80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9,859</w:t>
            </w:r>
          </w:p>
        </w:tc>
        <w:tc>
          <w:tcPr>
            <w:tcW w:w="1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336,987</w:t>
            </w:r>
          </w:p>
        </w:tc>
        <w:tc>
          <w:tcPr>
            <w:tcW w:w="300" w:type="dxa"/>
            <w:vAlign w:val="bottom"/>
          </w:tcPr>
          <w:p>
            <w:pPr>
              <w:spacing w:after="0"/>
              <w:rPr>
                <w:sz w:val="18"/>
                <w:szCs w:val="18"/>
                <w:color w:val="auto"/>
              </w:rPr>
            </w:pPr>
          </w:p>
        </w:tc>
        <w:tc>
          <w:tcPr>
            <w:tcW w:w="16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6.53</w:t>
            </w:r>
          </w:p>
        </w:tc>
        <w:tc>
          <w:tcPr>
            <w:tcW w:w="5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9.56</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201,779</w:t>
            </w:r>
          </w:p>
        </w:tc>
        <w:tc>
          <w:tcPr>
            <w:tcW w:w="140" w:type="dxa"/>
            <w:vAlign w:val="bottom"/>
          </w:tcPr>
          <w:p>
            <w:pPr>
              <w:spacing w:after="0"/>
              <w:rPr>
                <w:sz w:val="18"/>
                <w:szCs w:val="18"/>
                <w:color w:val="auto"/>
              </w:rPr>
            </w:pPr>
          </w:p>
        </w:tc>
        <w:tc>
          <w:tcPr>
            <w:tcW w:w="4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5"/>
              </w:rPr>
              <w:t>-124-</w:t>
            </w: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0" w:name="page131"/>
    <w:bookmarkEnd w:id="13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2016, there were 660,242 shares of our common stock remaining available for grant under the 2008 Plan. There were no option exercises during the years ended March 31, 2016 or 2015.</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Aggregate intrinsic value is the sum of the amounts by which the fair value of the underlying common stock exceeded the exercise price of the option (</w:t>
      </w:r>
      <w:r>
        <w:rPr>
          <w:rFonts w:ascii="Arial" w:cs="Arial" w:eastAsia="Arial" w:hAnsi="Arial"/>
          <w:sz w:val="18"/>
          <w:szCs w:val="18"/>
          <w:i w:val="1"/>
          <w:iCs w:val="1"/>
          <w:color w:val="auto"/>
        </w:rPr>
        <w:t>in-the-money-options</w:t>
      </w:r>
      <w:r>
        <w:rPr>
          <w:rFonts w:ascii="Arial" w:cs="Arial" w:eastAsia="Arial" w:hAnsi="Arial"/>
          <w:sz w:val="18"/>
          <w:szCs w:val="18"/>
          <w:color w:val="auto"/>
        </w:rPr>
        <w:t>). Based on the $8.75 per share quoted market price of our common stock on March 31, 2016, the aggregate intrinsic value of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at that date was $76,600, of which $35,200 related to exercisable options.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March 31, 2016, there was approximately $746,900 of unrecognized compensation cost related to non-vested share-based compensation awards from the 2008 Plan, which is expected to be recognized through September 2017. Additionally, at March 31, 2016, there was no remaining unrecognized compensation cost related to warrant grants to independent directors and officers, all of which grants were completely vested as of April 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Cato Holding Company (</w:t>
      </w:r>
      <w:r>
        <w:rPr>
          <w:rFonts w:ascii="Arial" w:cs="Arial" w:eastAsia="Arial" w:hAnsi="Arial"/>
          <w:sz w:val="17"/>
          <w:szCs w:val="17"/>
          <w:i w:val="1"/>
          <w:iCs w:val="1"/>
          <w:color w:val="auto"/>
        </w:rPr>
        <w:t>CHC</w:t>
      </w:r>
      <w:r>
        <w:rPr>
          <w:rFonts w:ascii="Arial" w:cs="Arial" w:eastAsia="Arial" w:hAnsi="Arial"/>
          <w:sz w:val="17"/>
          <w:szCs w:val="17"/>
          <w:color w:val="auto"/>
        </w:rPr>
        <w:t>), doing business as Cato BioVentures (</w:t>
      </w:r>
      <w:r>
        <w:rPr>
          <w:rFonts w:ascii="Arial" w:cs="Arial" w:eastAsia="Arial" w:hAnsi="Arial"/>
          <w:sz w:val="17"/>
          <w:szCs w:val="17"/>
          <w:i w:val="1"/>
          <w:iCs w:val="1"/>
          <w:color w:val="auto"/>
        </w:rPr>
        <w:t>CBV</w:t>
      </w:r>
      <w:r>
        <w:rPr>
          <w:rFonts w:ascii="Arial" w:cs="Arial" w:eastAsia="Arial" w:hAnsi="Arial"/>
          <w:sz w:val="17"/>
          <w:szCs w:val="17"/>
          <w:color w:val="auto"/>
        </w:rPr>
        <w:t xml:space="preserve">), the parent of CRL, is one of our largest institutional stockholders at March 31, 2016, holding common stock and Series B Preferred. Shawn Singh, our Chief Executive Officer and member of our Board of Directors, served as Managing Principal of CBV and as an officer of CRL until August 2009. On October 10, 2012, we issued to CHC an unsecured promissory note in the principal amount of $310,400 (the </w:t>
      </w:r>
      <w:r>
        <w:rPr>
          <w:rFonts w:ascii="Arial" w:cs="Arial" w:eastAsia="Arial" w:hAnsi="Arial"/>
          <w:sz w:val="17"/>
          <w:szCs w:val="17"/>
          <w:i w:val="1"/>
          <w:iCs w:val="1"/>
          <w:color w:val="auto"/>
        </w:rPr>
        <w:t>2012 CHC Note</w:t>
      </w:r>
      <w:r>
        <w:rPr>
          <w:rFonts w:ascii="Arial" w:cs="Arial" w:eastAsia="Arial" w:hAnsi="Arial"/>
          <w:sz w:val="17"/>
          <w:szCs w:val="17"/>
          <w:color w:val="auto"/>
        </w:rPr>
        <w:t xml:space="preserve">) and a five-year warrant to purchase 12,500 restricted shares of our common stock at a price of $30.00 per share (the </w:t>
      </w:r>
      <w:r>
        <w:rPr>
          <w:rFonts w:ascii="Arial" w:cs="Arial" w:eastAsia="Arial" w:hAnsi="Arial"/>
          <w:sz w:val="17"/>
          <w:szCs w:val="17"/>
          <w:i w:val="1"/>
          <w:iCs w:val="1"/>
          <w:color w:val="auto"/>
        </w:rPr>
        <w:t>CHC</w:t>
      </w:r>
      <w:r>
        <w:rPr>
          <w:rFonts w:ascii="Arial" w:cs="Arial" w:eastAsia="Arial" w:hAnsi="Arial"/>
          <w:sz w:val="17"/>
          <w:szCs w:val="17"/>
          <w:color w:val="auto"/>
        </w:rPr>
        <w:t xml:space="preserve"> </w:t>
      </w:r>
      <w:r>
        <w:rPr>
          <w:rFonts w:ascii="Arial" w:cs="Arial" w:eastAsia="Arial" w:hAnsi="Arial"/>
          <w:sz w:val="17"/>
          <w:szCs w:val="17"/>
          <w:i w:val="1"/>
          <w:iCs w:val="1"/>
          <w:color w:val="auto"/>
        </w:rPr>
        <w:t>Warrant</w:t>
      </w:r>
      <w:r>
        <w:rPr>
          <w:rFonts w:ascii="Arial" w:cs="Arial" w:eastAsia="Arial" w:hAnsi="Arial"/>
          <w:sz w:val="17"/>
          <w:szCs w:val="17"/>
          <w:color w:val="auto"/>
        </w:rPr>
        <w:t>). Additionally, on October 10, 2012, we issued to CRL: (i) an unsecured promissory note in the initial principal amount of $1,009,000,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payable solely in restricted shares of our common stock and which accrues interest at the rate of 7.5% per annum, compounded monthly (the </w:t>
      </w:r>
      <w:r>
        <w:rPr>
          <w:rFonts w:ascii="Arial" w:cs="Arial" w:eastAsia="Arial" w:hAnsi="Arial"/>
          <w:sz w:val="17"/>
          <w:szCs w:val="17"/>
          <w:i w:val="1"/>
          <w:iCs w:val="1"/>
          <w:color w:val="auto"/>
        </w:rPr>
        <w:t>CRL Note</w:t>
      </w:r>
      <w:r>
        <w:rPr>
          <w:rFonts w:ascii="Arial" w:cs="Arial" w:eastAsia="Arial" w:hAnsi="Arial"/>
          <w:sz w:val="17"/>
          <w:szCs w:val="17"/>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such number of shares to be adjusted in relation to accrued interest on the CRL Note (</w:t>
      </w:r>
      <w:r>
        <w:rPr>
          <w:rFonts w:ascii="Arial" w:cs="Arial" w:eastAsia="Arial" w:hAnsi="Arial"/>
          <w:sz w:val="17"/>
          <w:szCs w:val="17"/>
          <w:i w:val="1"/>
          <w:iCs w:val="1"/>
          <w:color w:val="auto"/>
        </w:rPr>
        <w:t>CRL Warrant</w:t>
      </w:r>
      <w:r>
        <w:rPr>
          <w:rFonts w:ascii="Arial" w:cs="Arial" w:eastAsia="Arial" w:hAnsi="Arial"/>
          <w:sz w:val="17"/>
          <w:szCs w:val="17"/>
          <w:color w:val="auto"/>
        </w:rPr>
        <w:t xml:space="preserve">). As disclosed in Note 8, </w:t>
      </w:r>
      <w:r>
        <w:rPr>
          <w:rFonts w:ascii="Arial" w:cs="Arial" w:eastAsia="Arial" w:hAnsi="Arial"/>
          <w:sz w:val="17"/>
          <w:szCs w:val="17"/>
          <w:i w:val="1"/>
          <w:iCs w:val="1"/>
          <w:color w:val="auto"/>
        </w:rPr>
        <w:t>Convertible</w:t>
      </w:r>
      <w:r>
        <w:rPr>
          <w:rFonts w:ascii="Arial" w:cs="Arial" w:eastAsia="Arial" w:hAnsi="Arial"/>
          <w:sz w:val="17"/>
          <w:szCs w:val="17"/>
          <w:color w:val="auto"/>
        </w:rPr>
        <w:t xml:space="preserve"> </w:t>
      </w:r>
      <w:r>
        <w:rPr>
          <w:rFonts w:ascii="Arial" w:cs="Arial" w:eastAsia="Arial" w:hAnsi="Arial"/>
          <w:sz w:val="17"/>
          <w:szCs w:val="17"/>
          <w:i w:val="1"/>
          <w:iCs w:val="1"/>
          <w:color w:val="auto"/>
        </w:rPr>
        <w:t>Promissory Notes and Other Notes Payable</w:t>
      </w:r>
      <w:r>
        <w:rPr>
          <w:rFonts w:ascii="Arial" w:cs="Arial" w:eastAsia="Arial" w:hAnsi="Arial"/>
          <w:sz w:val="17"/>
          <w:szCs w:val="17"/>
          <w:color w:val="auto"/>
        </w:rPr>
        <w:t>, the Cato Notes and additional amounts payable to CRL for CRO services were extinguished in June 2015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exchange for our issuance of an aggregate of 328,571 shares of Series B Preferred to CHC. CHC also participated in the February 2016 warrant exchange disclosed in Note 9, </w:t>
      </w:r>
      <w:r>
        <w:rPr>
          <w:rFonts w:ascii="Arial" w:cs="Arial" w:eastAsia="Arial" w:hAnsi="Arial"/>
          <w:sz w:val="17"/>
          <w:szCs w:val="17"/>
          <w:i w:val="1"/>
          <w:iCs w:val="1"/>
          <w:color w:val="auto"/>
        </w:rPr>
        <w:t>Capital Stock</w:t>
      </w:r>
      <w:r>
        <w:rPr>
          <w:rFonts w:ascii="Arial" w:cs="Arial" w:eastAsia="Arial" w:hAnsi="Arial"/>
          <w:sz w:val="17"/>
          <w:szCs w:val="17"/>
          <w:color w:val="auto"/>
        </w:rPr>
        <w:t>, exchanging the CHC Warrant and the CRL Warrant, as adjusted to reflect accrued interest, for an aggregate of 54,894 shares of our unregistered common stock.</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VistaGen California’s contract research organization arrangement with CRL related to the development of AV-101, we incurred expenses of $52,600 and $38,100 for the fiscal years ended March 31, 2016 and 2015, respectively. Total interest expense on notes payable to CHC and CRL was $28,200 and $175,900 for the fiscal years ended March 31, 2016 and 2015, respectively.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1" w:name="page132"/>
    <w:bookmarkEnd w:id="13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 (ii) ten days prior to VistaGen California becoming subject to the requirements of the Securities Exchange Act of 1934, as amended (</w:t>
      </w:r>
      <w:r>
        <w:rPr>
          <w:rFonts w:ascii="Arial" w:cs="Arial" w:eastAsia="Arial" w:hAnsi="Arial"/>
          <w:sz w:val="17"/>
          <w:szCs w:val="17"/>
          <w:i w:val="1"/>
          <w:iCs w:val="1"/>
          <w:color w:val="auto"/>
        </w:rPr>
        <w:t>Exchange Act</w:t>
      </w:r>
      <w:r>
        <w:rPr>
          <w:rFonts w:ascii="Arial" w:cs="Arial" w:eastAsia="Arial" w:hAnsi="Arial"/>
          <w:sz w:val="17"/>
          <w:szCs w:val="17"/>
          <w:color w:val="auto"/>
        </w:rPr>
        <w: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was also entitled to receive an income tax gross-up on the compensation related to the note cancellation. At March 31, 2015, we had accrued $101,900 as an estimate of the gross-up amount, which amount was paid to Mr. Singh during fiscal 2016.</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our private placement financing. At March 31, 2015, we had completely repaid to Mr. Singh the balance of the advances and the $50,000 promissory note issued in connection with his investment in the private placement.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Contingencies, Guarantees and Indemnifications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2016 or 2015.</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2016 or 2015.</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2" w:name="page133"/>
    <w:bookmarkEnd w:id="13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and 2015, the following assets are under capital lease obligations and included in property and equipment: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3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Amortization expense for assets recorded under capital leases is included in depreciation expense. Future minimum payments, by year and in the aggregate, required under capital leases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Capital</w:t>
            </w:r>
          </w:p>
        </w:tc>
        <w:tc>
          <w:tcPr>
            <w:tcW w:w="0" w:type="dxa"/>
            <w:vAlign w:val="bottom"/>
          </w:tcPr>
          <w:p>
            <w:pPr>
              <w:spacing w:after="0"/>
              <w:rPr>
                <w:sz w:val="1"/>
                <w:szCs w:val="1"/>
                <w:color w:val="auto"/>
              </w:rPr>
            </w:pPr>
          </w:p>
        </w:tc>
      </w:tr>
      <w:tr>
        <w:trPr>
          <w:trHeight w:val="194"/>
        </w:trPr>
        <w:tc>
          <w:tcPr>
            <w:tcW w:w="732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Fiscal Years Ending March 31,</w:t>
            </w:r>
          </w:p>
        </w:tc>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20"/>
              <w:spacing w:after="0" w:line="194" w:lineRule="exact"/>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340" w:type="dxa"/>
            <w:vAlign w:val="bottom"/>
            <w:tcBorders>
              <w:top w:val="single" w:sz="8" w:color="auto"/>
            </w:tcBorders>
          </w:tcPr>
          <w:p>
            <w:pPr>
              <w:spacing w:after="0"/>
              <w:rPr>
                <w:sz w:val="2"/>
                <w:szCs w:val="2"/>
                <w:color w:val="auto"/>
              </w:rPr>
            </w:pPr>
          </w:p>
        </w:tc>
        <w:tc>
          <w:tcPr>
            <w:tcW w:w="49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496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2018</w:t>
            </w:r>
          </w:p>
        </w:tc>
        <w:tc>
          <w:tcPr>
            <w:tcW w:w="49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minimum lease payments</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ind w:left="180"/>
              <w:spacing w:after="0"/>
              <w:rPr>
                <w:sz w:val="20"/>
                <w:szCs w:val="20"/>
                <w:color w:val="auto"/>
              </w:rPr>
            </w:pPr>
            <w:r>
              <w:rPr>
                <w:rFonts w:ascii="Arial" w:cs="Arial" w:eastAsia="Arial" w:hAnsi="Arial"/>
                <w:sz w:val="18"/>
                <w:szCs w:val="18"/>
                <w:color w:val="auto"/>
              </w:rPr>
              <w:t>Less imputed interest included in minimum lease payments</w:t>
            </w:r>
          </w:p>
        </w:tc>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Present value of minimum lease payments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current portion</w:t>
            </w: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capital lease obligation</w:t>
            </w:r>
          </w:p>
        </w:tc>
        <w:tc>
          <w:tcPr>
            <w:tcW w:w="3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2016, future minimum payments under operating leases relate to our facility lease in South San Francisco, California through July 31, 2017 and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Fiscal Years Ending March 31,</w:t>
            </w:r>
          </w:p>
        </w:tc>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8"/>
        </w:trPr>
        <w:tc>
          <w:tcPr>
            <w:tcW w:w="20" w:type="dxa"/>
            <w:vAlign w:val="bottom"/>
          </w:tcPr>
          <w:p>
            <w:pPr>
              <w:spacing w:after="0"/>
              <w:rPr>
                <w:sz w:val="2"/>
                <w:szCs w:val="2"/>
                <w:color w:val="auto"/>
              </w:rPr>
            </w:pPr>
          </w:p>
        </w:tc>
        <w:tc>
          <w:tcPr>
            <w:tcW w:w="2340" w:type="dxa"/>
            <w:vAlign w:val="bottom"/>
            <w:tcBorders>
              <w:top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2017</w:t>
            </w:r>
          </w:p>
        </w:tc>
        <w:tc>
          <w:tcPr>
            <w:tcW w:w="39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277,100</w:t>
            </w:r>
          </w:p>
        </w:tc>
      </w:tr>
      <w:tr>
        <w:trPr>
          <w:trHeight w:val="223"/>
        </w:trPr>
        <w:tc>
          <w:tcPr>
            <w:tcW w:w="20" w:type="dxa"/>
            <w:vAlign w:val="bottom"/>
          </w:tcPr>
          <w:p>
            <w:pPr>
              <w:spacing w:after="0"/>
              <w:rPr>
                <w:sz w:val="19"/>
                <w:szCs w:val="19"/>
                <w:color w:val="auto"/>
              </w:rPr>
            </w:pPr>
          </w:p>
        </w:tc>
        <w:tc>
          <w:tcPr>
            <w:tcW w:w="2340" w:type="dxa"/>
            <w:vAlign w:val="bottom"/>
          </w:tcPr>
          <w:p>
            <w:pPr>
              <w:jc w:val="right"/>
              <w:ind w:right="1710"/>
              <w:spacing w:after="0"/>
              <w:rPr>
                <w:sz w:val="20"/>
                <w:szCs w:val="20"/>
                <w:color w:val="auto"/>
              </w:rPr>
            </w:pPr>
            <w:r>
              <w:rPr>
                <w:rFonts w:ascii="Arial" w:cs="Arial" w:eastAsia="Arial" w:hAnsi="Arial"/>
                <w:sz w:val="18"/>
                <w:szCs w:val="18"/>
                <w:color w:val="auto"/>
              </w:rPr>
              <w:t>2018</w:t>
            </w:r>
          </w:p>
        </w:tc>
        <w:tc>
          <w:tcPr>
            <w:tcW w:w="39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93,800</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4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370,900</w:t>
            </w: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incurred total facility rent expense for the fiscal years ended March 31, 2016 and 2015 of $337,200 and $337,000,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3" w:name="page134"/>
    <w:bookmarkEnd w:id="13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820" w:type="dxa"/>
            <w:vAlign w:val="bottom"/>
          </w:tcPr>
          <w:p>
            <w:pPr>
              <w:jc w:val="center"/>
              <w:ind w:right="1030"/>
              <w:spacing w:after="0"/>
              <w:rPr>
                <w:sz w:val="20"/>
                <w:szCs w:val="20"/>
                <w:color w:val="auto"/>
              </w:rPr>
            </w:pPr>
            <w:r>
              <w:rPr>
                <w:rFonts w:ascii="Arial" w:cs="Arial" w:eastAsia="Arial" w:hAnsi="Arial"/>
                <w:sz w:val="18"/>
                <w:szCs w:val="18"/>
                <w:b w:val="1"/>
                <w:bCs w:val="1"/>
                <w:color w:val="auto"/>
              </w:rPr>
              <w:t>VISTAGEN THERAPEUTICS, INC.</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820" w:type="dxa"/>
            <w:vAlign w:val="bottom"/>
          </w:tcPr>
          <w:p>
            <w:pPr>
              <w:jc w:val="center"/>
              <w:ind w:right="1010"/>
              <w:spacing w:after="0"/>
              <w:rPr>
                <w:sz w:val="20"/>
                <w:szCs w:val="20"/>
                <w:color w:val="auto"/>
              </w:rPr>
            </w:pPr>
            <w:r>
              <w:rPr>
                <w:rFonts w:ascii="Arial" w:cs="Arial" w:eastAsia="Arial" w:hAnsi="Arial"/>
                <w:sz w:val="18"/>
                <w:szCs w:val="18"/>
                <w:b w:val="1"/>
                <w:bCs w:val="1"/>
                <w:color w:val="auto"/>
              </w:rPr>
              <w:t>NOTES TO CONSOLIDATED FINANCIAL STATEMENTS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02"/>
        </w:trPr>
        <w:tc>
          <w:tcPr>
            <w:tcW w:w="101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Long-Term Debt Repayment</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180" w:type="dxa"/>
            <w:vAlign w:val="bottom"/>
            <w:gridSpan w:val="3"/>
          </w:tcPr>
          <w:p>
            <w:pPr>
              <w:spacing w:after="0"/>
              <w:rPr>
                <w:sz w:val="20"/>
                <w:szCs w:val="20"/>
                <w:color w:val="auto"/>
              </w:rPr>
            </w:pPr>
            <w:r>
              <w:rPr>
                <w:rFonts w:ascii="Arial" w:cs="Arial" w:eastAsia="Arial" w:hAnsi="Arial"/>
                <w:sz w:val="18"/>
                <w:szCs w:val="18"/>
                <w:color w:val="auto"/>
              </w:rPr>
              <w:t>At March 31, 2016, future minimum principal payments related to long-term debt were as follows: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10180" w:type="dxa"/>
            <w:vAlign w:val="bottom"/>
            <w:gridSpan w:val="3"/>
          </w:tcPr>
          <w:p>
            <w:pPr>
              <w:spacing w:after="0"/>
              <w:rPr>
                <w:sz w:val="20"/>
                <w:szCs w:val="20"/>
                <w:color w:val="auto"/>
              </w:rPr>
            </w:pPr>
            <w:r>
              <w:rPr>
                <w:rFonts w:ascii="Arial" w:cs="Arial" w:eastAsia="Arial" w:hAnsi="Arial"/>
                <w:sz w:val="18"/>
                <w:szCs w:val="18"/>
                <w:b w:val="1"/>
                <w:bCs w:val="1"/>
                <w:color w:val="auto"/>
              </w:rPr>
              <w:t>Fiscal Years Ending March 31,</w:t>
            </w:r>
          </w:p>
        </w:tc>
        <w:tc>
          <w:tcPr>
            <w:tcW w:w="1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8"/>
        </w:trPr>
        <w:tc>
          <w:tcPr>
            <w:tcW w:w="20" w:type="dxa"/>
            <w:vAlign w:val="bottom"/>
          </w:tcPr>
          <w:p>
            <w:pPr>
              <w:spacing w:after="0"/>
              <w:rPr>
                <w:sz w:val="2"/>
                <w:szCs w:val="2"/>
                <w:color w:val="auto"/>
              </w:rPr>
            </w:pPr>
          </w:p>
        </w:tc>
        <w:tc>
          <w:tcPr>
            <w:tcW w:w="2340" w:type="dxa"/>
            <w:vAlign w:val="bottom"/>
            <w:tcBorders>
              <w:top w:val="single" w:sz="8" w:color="auto"/>
            </w:tcBorders>
          </w:tcPr>
          <w:p>
            <w:pPr>
              <w:spacing w:after="0"/>
              <w:rPr>
                <w:sz w:val="2"/>
                <w:szCs w:val="2"/>
                <w:color w:val="auto"/>
              </w:rPr>
            </w:pPr>
          </w:p>
        </w:tc>
        <w:tc>
          <w:tcPr>
            <w:tcW w:w="7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7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180"/>
              <w:spacing w:after="0"/>
              <w:rPr>
                <w:sz w:val="20"/>
                <w:szCs w:val="20"/>
                <w:color w:val="auto"/>
              </w:rPr>
            </w:pPr>
            <w:r>
              <w:rPr>
                <w:rFonts w:ascii="Arial" w:cs="Arial" w:eastAsia="Arial" w:hAnsi="Arial"/>
                <w:sz w:val="18"/>
                <w:szCs w:val="18"/>
                <w:color w:val="auto"/>
              </w:rPr>
              <w:t>2018</w:t>
            </w:r>
          </w:p>
        </w:tc>
        <w:tc>
          <w:tcPr>
            <w:tcW w:w="7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7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gridSpan w:val="2"/>
          </w:tcPr>
          <w:p>
            <w:pPr>
              <w:ind w:left="180"/>
              <w:spacing w:after="0"/>
              <w:rPr>
                <w:sz w:val="20"/>
                <w:szCs w:val="20"/>
                <w:color w:val="auto"/>
              </w:rPr>
            </w:pPr>
            <w:r>
              <w:rPr>
                <w:rFonts w:ascii="Arial" w:cs="Arial" w:eastAsia="Arial" w:hAnsi="Arial"/>
                <w:sz w:val="18"/>
                <w:szCs w:val="18"/>
                <w:color w:val="auto"/>
              </w:rPr>
              <w:t>Thereafter through June 2019</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evaluated subsequent events through the date of this report and have identified the following material events and transactions that occurred 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Unit Offering</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and May 2016, in self-placed private placement transactions, we sold to accredited investors Series B Preferred Units consisting of (i) an aggregate of 39,714 shares of our Series B Preferred and (ii) Series B Warrants to purchase an aggregate of 39,714 shares of our common stock at an exercise price of $7.00 per share. We received cash proceeds of $278,000 from these sales of Series B Preferred Units.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B Preferred into Common Stock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April 2016, holders of an aggregate of 7,500 shares of Series B Preferred voluntarily converted such shares into an equivalent number of registered shares of our common stock. In connection with such conversions, we issued an aggregate of 510 shares of our unregistered common stock in payment of $4,000 in accrued dividends on the Series B Preferred converted.</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19, 2016, upon the consummation of the May 2016 Public Offering, described below, an aggregate of 2,403,051 shares of Series B Preferred were automatically converted into an aggregate of 2,192,847 registered shares of our common stock and an aggregate of 210,204 shares of our unregistered common stock. Additionally, we issued an aggregate of 416,806 shares of our unregistered common stock in payment of $1,642,100 in accrued dividends, at the rate of one share of common stock for each $3.94 of accrued dividends. On June 15, 2016, pursuant to the underwriters’ exercise of their over-allotment option, an additional 44,500 shares of Series B Preferred were converted into 44,500 shares of our registered common stock. We issued an additional 9,580 shares of our unregistered common stock in payment of $37,400 in accrued dividends, at the rate of one share of common stock for each $3.90 in accrued 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2016 Public Offering</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Effective on May 16, 2016, we consummated a fully underwritten public offering, pursuant to which we issued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pursuant to the exercise of the underwriters’ over-allotment option (the </w:t>
      </w:r>
      <w:r>
        <w:rPr>
          <w:rFonts w:ascii="Arial" w:cs="Arial" w:eastAsia="Arial" w:hAnsi="Arial"/>
          <w:sz w:val="17"/>
          <w:szCs w:val="17"/>
          <w:i w:val="1"/>
          <w:iCs w:val="1"/>
          <w:color w:val="auto"/>
        </w:rPr>
        <w:t>May 2016 Public Offering</w:t>
      </w:r>
      <w:r>
        <w:rPr>
          <w:rFonts w:ascii="Arial" w:cs="Arial" w:eastAsia="Arial" w:hAnsi="Arial"/>
          <w:sz w:val="17"/>
          <w:szCs w:val="17"/>
          <w:color w:val="auto"/>
        </w:rPr>
        <w:t>). We received gross proceeds of $10,924,000 and net proceeds of approximately $9.5 million from the May 2016 Public Offering after deducting underwriters’ commissions and other expenses.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Promissory Note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13, 2016, we paid in full the $71,600 outstanding balance (principal and accrued but unpaid interest) of the promissory note we issued to Progressive Medical Research in August 2012. Following this payment, we have no remaining outstanding promissory notes.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4" w:name="page135"/>
    <w:bookmarkEnd w:id="13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Financial Information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presents the unaudited statements of operations data for each of the eight quarters in the period ended March 31, 2016.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5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c>
          <w:tcPr>
            <w:tcW w:w="1280" w:type="dxa"/>
            <w:vAlign w:val="bottom"/>
            <w:gridSpan w:val="3"/>
          </w:tcPr>
          <w:p>
            <w:pPr>
              <w:jc w:val="right"/>
              <w:ind w:right="16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7"/>
                <w:szCs w:val="17"/>
                <w:color w:val="auto"/>
              </w:rPr>
            </w:pPr>
          </w:p>
        </w:tc>
        <w:tc>
          <w:tcPr>
            <w:tcW w:w="134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88"/>
              </w:rPr>
              <w:t>Total Fiscal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Year 2016</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13,919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(2,142)</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(8,501)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expenses, net: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Change in warrant liabilities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(29,522)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(2,147)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(8,502)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(29,524)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(2,147)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(8,502)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 on Series B Preferred stock</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8"/>
                <w:szCs w:val="18"/>
                <w:color w:val="auto"/>
              </w:rPr>
              <w:t>Deemed dividend on Series B Preferred stock</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common stockholders</w:t>
            </w:r>
          </w:p>
        </w:tc>
        <w:tc>
          <w:tcPr>
            <w:tcW w:w="6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shares used in computing:</w:t>
            </w: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loss per common share</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1,559,483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1,624,371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1,765,641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2,123,936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c>
          <w:tcPr>
            <w:tcW w:w="1280" w:type="dxa"/>
            <w:vAlign w:val="bottom"/>
            <w:gridSpan w:val="3"/>
          </w:tcPr>
          <w:p>
            <w:pPr>
              <w:jc w:val="right"/>
              <w:ind w:right="16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7"/>
                <w:szCs w:val="17"/>
                <w:color w:val="auto"/>
              </w:rPr>
            </w:pPr>
          </w:p>
        </w:tc>
        <w:tc>
          <w:tcPr>
            <w:tcW w:w="134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88"/>
              </w:rPr>
              <w:t>Total Fiscal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Year 2015</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671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(1,116)</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expenses, net: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Change in warrant liabilities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(6,222)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(4,553)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(2,021)</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(6,222)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common share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Basic net loss per common share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1,229,504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1,279,267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1,302,316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1,466,402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1,318,813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 net loss per common share</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1,229,504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1,299,115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1,302,316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1,466,402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892"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892" w:gutter="0" w:footer="0" w:header="0"/>
          <w:type w:val="continuous"/>
        </w:sectPr>
      </w:pPr>
    </w:p>
    <w:bookmarkStart w:id="135" w:name="page136"/>
    <w:bookmarkEnd w:id="13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their evaluation as of the end of the period covered by this report, our Chief Executive Officer and Chief Financial Officer have concluded that our disclosure controls and procedures (as defined in Rules 13a-15(e) and 15d-15(e) under the Exchange Act) were effective as of the end of the period covered by this report to ensure that information that we are required to disclose in reports that management files or submits under the Exchange Act is recorded, processed, summarized and reported within the time periods specified in SEC rules and forms.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disclosure controls and procedures are designed to provide reasonable assurance of achieving their objectives, and our chief executive officer and acting chief financial officer have concluded that these controls and procedures are effective at the “reasonable assurance” level.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 company’s internal control over financial reporting is a process designed to provide reasonable assurance regarding the reliability of financial reporting and the preparation of financial statements for external purposes in accordance with U.S. GAAP.</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inherent limitations in the effectiveness of any system of internal control, including the possibility of human error and the circumvention or overriding of controls. Accordingly, even effective internal controls can provide only reasonable assurances with respect to financial statement preparation. Further, because of changes in conditions, the effectiveness of internal control may vary over time.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March 31, 2016. In making this assessment, management used the criteria set forth by the Committee of Sponsoring Organizations (COSO) of the Treadway Commission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 Based on its assessment using the COSO criteria, management concluded that our internal control over financial reporting was effective as of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31, 2016.</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a result of the enactment of the Dodd-Frank Wall Street Reform and Consumer Protection Act of 2010, and the resulting amendment of Section 404 of the Sarbanes-Oxley Act of 2002, as a non-accelerated filer, we are not required to provide an attestation report by our independent registered public accounting firm regarding internal control over financial reporting for the fiscal year ended March 31, 2016 or thereafter, until such time as we are no longer eligible for the exemption for smaller issuers set forth within the Sarbanes-Oxley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6" w:name="page137"/>
    <w:bookmarkEnd w:id="13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Officers and Corporate Governance.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senior management is composed of individuals with significant management experience. Our directors and executive officers as of June 22, 2016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H. Ralph Snodgrass, Ph.D.</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60</w:t>
            </w:r>
          </w:p>
        </w:tc>
        <w:tc>
          <w:tcPr>
            <w:tcW w:w="120" w:type="dxa"/>
            <w:vAlign w:val="bottom"/>
            <w:shd w:val="clear" w:color="auto" w:fill="CCEEFF"/>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Jerrold D. Dotson</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Vice President, Chief Financial Officer and Secretary</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5"/>
                <w:szCs w:val="25"/>
                <w:color w:val="auto"/>
                <w:vertAlign w:val="superscript"/>
              </w:rPr>
              <w:t>(1)</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79</w:t>
            </w:r>
          </w:p>
        </w:tc>
        <w:tc>
          <w:tcPr>
            <w:tcW w:w="120" w:type="dxa"/>
            <w:vAlign w:val="bottom"/>
            <w:shd w:val="clear" w:color="auto" w:fill="CCEEFF"/>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5"/>
                <w:szCs w:val="25"/>
                <w:color w:val="auto"/>
                <w:vertAlign w:val="superscript"/>
              </w:rPr>
              <w:t>(2)</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75</w:t>
            </w:r>
          </w:p>
        </w:tc>
        <w:tc>
          <w:tcPr>
            <w:tcW w:w="1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5"/>
                <w:szCs w:val="25"/>
                <w:color w:val="auto"/>
                <w:vertAlign w:val="superscript"/>
              </w:rPr>
              <w:t>(3)</w:t>
            </w:r>
          </w:p>
        </w:tc>
        <w:tc>
          <w:tcPr>
            <w:tcW w:w="11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72</w:t>
            </w:r>
          </w:p>
        </w:tc>
        <w:tc>
          <w:tcPr>
            <w:tcW w:w="120" w:type="dxa"/>
            <w:vAlign w:val="bottom"/>
            <w:shd w:val="clear" w:color="auto" w:fill="CCEEFF"/>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Chairman of the audit committee and member of the compensation committee and corporate governance and nominating committee.</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Member of the audit committee and chairman of the compensation committee and corporate governance and nominating committee.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Shawn K. Singh </w:t>
      </w:r>
      <w:r>
        <w:rPr>
          <w:rFonts w:ascii="Arial" w:cs="Arial" w:eastAsia="Arial" w:hAnsi="Arial"/>
          <w:sz w:val="16"/>
          <w:szCs w:val="16"/>
          <w:color w:val="auto"/>
        </w:rPr>
        <w:t>has served as our Chief Executive Officer since August 2009; he joined our Board of Directors in 2000 and served on our management team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(part-time) from late-2003, following our acquisition of Artemis Neuroscience, of which he was President, to August 2009.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(NASDAQ: ECTE), a medical device company developing a non-invasive, wireless continuous glucose monitoring (CGM) system,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revenue-generating, specialty pharmaceutical company with a substantial commercial business in China and a product portfolio spanning major therapeutics markets, including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Juris Doctor degree from the University of Maryland School of Law. Mr. Singh is a member of the State Bar of California.</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7" w:name="page138"/>
    <w:bookmarkEnd w:id="13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H. Ralph Snodgrass, Ph.D. </w:t>
      </w:r>
      <w:r>
        <w:rPr>
          <w:rFonts w:ascii="Arial" w:cs="Arial" w:eastAsia="Arial" w:hAnsi="Arial"/>
          <w:sz w:val="17"/>
          <w:szCs w:val="17"/>
          <w:color w:val="auto"/>
        </w:rPr>
        <w:t>co-founded VistaGen with Dr. Gordon Keller in 1998 and served as our Chief Executive Officer until August 2009.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Snodgrass has served as our President and Chief Scientific Officer since August 2009. He has served as a member of our Board of Directors since 1998. Prior to founding VistaGen,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23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7"/>
          <w:szCs w:val="17"/>
          <w:i w:val="1"/>
          <w:iCs w:val="1"/>
          <w:color w:val="auto"/>
        </w:rPr>
        <w:t>BIO</w:t>
      </w:r>
      <w:r>
        <w:rPr>
          <w:rFonts w:ascii="Arial" w:cs="Arial" w:eastAsia="Arial" w:hAnsi="Arial"/>
          <w:sz w:val="17"/>
          <w:szCs w:val="17"/>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31 years’ experience in the uses of stem cells as biological tools for research, drug discovery and development.</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Mark A. Smith, M.D, Ph.D. </w:t>
      </w:r>
      <w:r>
        <w:rPr>
          <w:rFonts w:ascii="Arial" w:cs="Arial" w:eastAsia="Arial" w:hAnsi="Arial"/>
          <w:sz w:val="18"/>
          <w:szCs w:val="18"/>
          <w:color w:val="auto"/>
        </w:rPr>
        <w:t>joined VistaGen as our Chief Medical Officer effective June 18, 2016. Dr. Smith served as the Clinical Lead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Neuropsychiatry at 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Septermber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8" w:name="page139"/>
    <w:bookmarkEnd w:id="13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of Directors since 2000. He also serves as the Chairman of our Audit Committee. Mr. Saxe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Arbor Vita Corporation, Arcuo Medical, LLC, Armetheon, Inc., Cancer Prevention Pharmaceuticals, Inc., Lumos Pharma, Inc. and Trellis Bioscience, Inc.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Brian J. Underdown, Ph.D. </w:t>
      </w:r>
      <w:r>
        <w:rPr>
          <w:rFonts w:ascii="Arial" w:cs="Arial" w:eastAsia="Arial" w:hAnsi="Arial"/>
          <w:sz w:val="17"/>
          <w:szCs w:val="17"/>
          <w:color w:val="auto"/>
        </w:rPr>
        <w:t>has served as a member of our Board of Directors since November 2009. Dr. Underdown is currently a Venture Partner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Lumira Capital Corp. having served as a Managing Director with Lumira from September 1997-December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enGene Inc. Formation Biologics and Osteo QC. Some of Dr. Underdown’s previous board roles include: Argos Therapeutics (ARGS-Q), ID Biomedical (acquired by GSK), Ception Therapeutics (acquired by Cephalon). He has served on a number of Boards and advisory bodies of government-sponsored research organizations including CANVAC, the Canadian National Centre of Excellence in Vaccines, Ontario Genomics Institute (Chair), Allergen, the Canadian National Centre of Excellence in Allergy and Asthma. Dr. Underdown obtained his Ph.D. in immunology from McGill University and undertook post-doctoral studies at Washington University School of Medicine.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Jerry B. Gin, Ph.D, M.B.A </w:t>
      </w:r>
      <w:r>
        <w:rPr>
          <w:rFonts w:ascii="Arial" w:cs="Arial" w:eastAsia="Arial" w:hAnsi="Arial"/>
          <w:sz w:val="17"/>
          <w:szCs w:val="17"/>
          <w:color w:val="auto"/>
        </w:rPr>
        <w:t>was appointed to serve on our Board of Directors on March 29, 2016. Dr. Gin is currently the co-founder and CEO of Nuvora,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9" w:name="page140"/>
    <w:bookmarkEnd w:id="13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selected Dr. Gin to serve on our Board of Directors due to his extensive experience in the healthcare industry, focusing on founding and developing pharmaceutical, diagnostic and biotechnology companies and his expertise in propelling healthcare companies to their next platforms of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Executive Officers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five members. Accordingly, there are currently two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Dr. Underdown and Dr. Gin, are each members of the Audit Committee. Mr. Saxe and Dr. Underdown also currently serve as members of the Compensation Committee and the Corporate Governance and Nominating Committee.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Committee is comprised of Mr. Saxe, Dr. Underdown and Dr. Gin.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87" w:lineRule="exact"/>
        <w:rPr>
          <w:sz w:val="20"/>
          <w:szCs w:val="20"/>
          <w:color w:val="auto"/>
        </w:rPr>
      </w:pPr>
    </w:p>
    <w:p>
      <w:pPr>
        <w:ind w:left="580" w:hanging="383"/>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0" w:name="page141"/>
    <w:bookmarkEnd w:id="14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580" w:hanging="383"/>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Compensation Committee is comprised of Mr. Saxe and Dr. Underdown, who serve as the committee chairman. Our Compensation Committee charter is available on our website. Under its charter, the Compensation Committee is primarily responsible for, among other things:</w:t>
      </w:r>
    </w:p>
    <w:p>
      <w:pPr>
        <w:spacing w:after="0" w:line="170" w:lineRule="exact"/>
        <w:rPr>
          <w:sz w:val="20"/>
          <w:szCs w:val="20"/>
          <w:color w:val="auto"/>
        </w:rPr>
      </w:pPr>
    </w:p>
    <w:p>
      <w:pPr>
        <w:jc w:val="both"/>
        <w:ind w:left="580" w:hanging="383"/>
        <w:spacing w:after="0" w:line="259"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213" w:lineRule="exact"/>
        <w:rPr>
          <w:rFonts w:ascii="Arial" w:cs="Arial" w:eastAsia="Arial" w:hAnsi="Arial"/>
          <w:sz w:val="18"/>
          <w:szCs w:val="18"/>
          <w:color w:val="auto"/>
        </w:rPr>
      </w:pPr>
    </w:p>
    <w:p>
      <w:pPr>
        <w:ind w:left="580" w:hanging="383"/>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52"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97"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goals and objectives relevant to CEO compensation, evaluating CEO performance in light of such goals and objectives, and determining CEO compensation based on the evaluation;</w:t>
      </w:r>
    </w:p>
    <w:p>
      <w:pPr>
        <w:spacing w:after="0" w:line="197" w:lineRule="exact"/>
        <w:rPr>
          <w:rFonts w:ascii="Arial" w:cs="Arial" w:eastAsia="Arial" w:hAnsi="Arial"/>
          <w:sz w:val="18"/>
          <w:szCs w:val="18"/>
          <w:color w:val="auto"/>
        </w:rPr>
      </w:pPr>
    </w:p>
    <w:p>
      <w:pPr>
        <w:jc w:val="both"/>
        <w:ind w:left="580" w:hanging="383"/>
        <w:spacing w:after="0" w:line="264"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208" w:lineRule="exact"/>
        <w:rPr>
          <w:rFonts w:ascii="Arial" w:cs="Arial" w:eastAsia="Arial" w:hAnsi="Arial"/>
          <w:sz w:val="18"/>
          <w:szCs w:val="18"/>
          <w:color w:val="auto"/>
        </w:rPr>
      </w:pPr>
    </w:p>
    <w:p>
      <w:pPr>
        <w:ind w:left="580" w:hanging="383"/>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52" w:lineRule="exact"/>
        <w:rPr>
          <w:rFonts w:ascii="Arial" w:cs="Arial" w:eastAsia="Arial" w:hAnsi="Arial"/>
          <w:sz w:val="18"/>
          <w:szCs w:val="18"/>
          <w:color w:val="auto"/>
        </w:rPr>
      </w:pPr>
    </w:p>
    <w:p>
      <w:pPr>
        <w:ind w:left="580" w:right="20" w:hanging="383"/>
        <w:spacing w:after="0" w:line="277"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181" w:lineRule="exact"/>
        <w:rPr>
          <w:sz w:val="20"/>
          <w:szCs w:val="20"/>
          <w:color w:val="auto"/>
        </w:rPr>
      </w:pPr>
    </w:p>
    <w:p>
      <w:pPr>
        <w:ind w:left="580" w:hanging="383"/>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52"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97"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1" w:name="page142"/>
    <w:bookmarkEnd w:id="14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Board of Directors, Committee and Stockholder Meetings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Board of Directors met one time and acted by unanimous written consent eight times during the fiscal year ended March 31, 2016. Our Audit Committee met four times and our Compensation Committee requested action by the entire Board of Directors for grants of warrants and the modification of certain warrants during the same period. Our Nominating and Corporate Governance Committee requested action by the entire Board of Directors with respect to the March 2016 appointment of Dr. Gin to the Board and Audit Committee. Each director serving during fiscal 2016 attended all of the meetings of the Board and the committees of the Board upon which such director served that were held during the term of his service.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 formal policy regarding attendance by members of the Board at our annual meeting of stockholders, but directors are encouraged to attend.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did not hold an annual meeting of stockholders during our fiscal year ended 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 Beneficial Ownership Reporting Compliance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16(a) of the Exchange Act requires our officers, directors and persons who beneficially own more than ten percent of our common stock (collectively, </w:t>
      </w:r>
      <w:r>
        <w:rPr>
          <w:rFonts w:ascii="Arial" w:cs="Arial" w:eastAsia="Arial" w:hAnsi="Arial"/>
          <w:sz w:val="18"/>
          <w:szCs w:val="18"/>
          <w:i w:val="1"/>
          <w:iCs w:val="1"/>
          <w:color w:val="auto"/>
        </w:rPr>
        <w:t>Reporting Persons</w:t>
      </w:r>
      <w:r>
        <w:rPr>
          <w:rFonts w:ascii="Arial" w:cs="Arial" w:eastAsia="Arial" w:hAnsi="Arial"/>
          <w:sz w:val="18"/>
          <w:szCs w:val="18"/>
          <w:color w:val="auto"/>
        </w:rPr>
        <w:t>) to file reports of ownership on Form 3 and changes in ownership on Form 4 or Form 5 with the SEC. The Reporting Persons are also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SEC rules to furnish us with copies of all reports that they file pursuant to Section 16(a). We believe that during our fiscal year ended March 31, 2016, all of the Reporting Persons, other than PLTG and/or its affiliate, Montsant Partners LLC, Michael Goldberg, Cato BioVentures, and Morrison &amp; Foerster LLP, complied with all applicable reporting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Compensation Objectives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2" w:name="page143"/>
    <w:bookmarkEnd w:id="14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 As indicated in the following Summary Compensation Table, to conserve our cash resources during fiscal 2015 and fiscal 2014 the cash amounts of annual base salary that we paid to our executives was significantly less than their stated annual base salary rates.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election, our Compensation Committee did not award cash bonuses in any fiscal year from 2012 through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3" w:name="page144"/>
    <w:bookmarkEnd w:id="14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regarding the compensation of our Named Executive Officers (</w:t>
      </w:r>
      <w:r>
        <w:rPr>
          <w:rFonts w:ascii="Arial" w:cs="Arial" w:eastAsia="Arial" w:hAnsi="Arial"/>
          <w:sz w:val="16"/>
          <w:szCs w:val="16"/>
          <w:i w:val="1"/>
          <w:iCs w:val="1"/>
          <w:color w:val="auto"/>
        </w:rPr>
        <w:t>NEO’s</w:t>
      </w:r>
      <w:r>
        <w:rPr>
          <w:rFonts w:ascii="Arial" w:cs="Arial" w:eastAsia="Arial" w:hAnsi="Arial"/>
          <w:sz w:val="16"/>
          <w:szCs w:val="16"/>
          <w:color w:val="auto"/>
        </w:rPr>
        <w:t>) for services performed in the fiscal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Option and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Warrant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Fiscal</w:t>
            </w:r>
          </w:p>
        </w:tc>
        <w:tc>
          <w:tcPr>
            <w:tcW w:w="1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Salary</w:t>
            </w: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Bonus</w:t>
            </w:r>
          </w:p>
        </w:tc>
        <w:tc>
          <w:tcPr>
            <w:tcW w:w="220" w:type="dxa"/>
            <w:vAlign w:val="bottom"/>
          </w:tcPr>
          <w:p>
            <w:pPr>
              <w:spacing w:after="0"/>
              <w:rPr>
                <w:sz w:val="18"/>
                <w:szCs w:val="18"/>
                <w:color w:val="auto"/>
              </w:rPr>
            </w:pPr>
          </w:p>
        </w:tc>
        <w:tc>
          <w:tcPr>
            <w:tcW w:w="1460" w:type="dxa"/>
            <w:vAlign w:val="bottom"/>
            <w:gridSpan w:val="2"/>
          </w:tcPr>
          <w:p>
            <w:pPr>
              <w:jc w:val="center"/>
              <w:ind w:right="320"/>
              <w:spacing w:after="0" w:line="216" w:lineRule="exact"/>
              <w:rPr>
                <w:sz w:val="20"/>
                <w:szCs w:val="20"/>
                <w:color w:val="auto"/>
              </w:rPr>
            </w:pPr>
            <w:r>
              <w:rPr>
                <w:rFonts w:ascii="Arial" w:cs="Arial" w:eastAsia="Arial" w:hAnsi="Arial"/>
                <w:sz w:val="18"/>
                <w:szCs w:val="18"/>
                <w:b w:val="1"/>
                <w:bCs w:val="1"/>
                <w:color w:val="auto"/>
                <w:w w:val="86"/>
              </w:rPr>
              <w:t xml:space="preserve">Awards </w:t>
            </w:r>
            <w:r>
              <w:rPr>
                <w:rFonts w:ascii="Arial" w:cs="Arial" w:eastAsia="Arial" w:hAnsi="Arial"/>
                <w:sz w:val="25"/>
                <w:szCs w:val="25"/>
                <w:b w:val="1"/>
                <w:bCs w:val="1"/>
                <w:color w:val="auto"/>
                <w:w w:val="86"/>
                <w:vertAlign w:val="superscript"/>
              </w:rPr>
              <w:t>(7)</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Pr>
          <w:p>
            <w:pPr>
              <w:ind w:left="660"/>
              <w:spacing w:after="0"/>
              <w:rPr>
                <w:sz w:val="20"/>
                <w:szCs w:val="20"/>
                <w:color w:val="auto"/>
              </w:rPr>
            </w:pPr>
            <w:r>
              <w:rPr>
                <w:rFonts w:ascii="Arial" w:cs="Arial" w:eastAsia="Arial" w:hAnsi="Arial"/>
                <w:sz w:val="18"/>
                <w:szCs w:val="18"/>
                <w:b w:val="1"/>
                <w:bCs w:val="1"/>
                <w:color w:val="auto"/>
              </w:rPr>
              <w:t>Name and Principal Position</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center"/>
              <w:ind w:left="131"/>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5"/>
                <w:szCs w:val="25"/>
                <w:color w:val="auto"/>
                <w:vertAlign w:val="superscript"/>
              </w:rPr>
              <w:t>(1)</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6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347,500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rPr>
              <w:t>1,629,574</w:t>
            </w:r>
            <w:r>
              <w:rPr>
                <w:rFonts w:ascii="Arial" w:cs="Arial" w:eastAsia="Arial" w:hAnsi="Arial"/>
                <w:sz w:val="25"/>
                <w:szCs w:val="25"/>
                <w:color w:val="auto"/>
                <w:vertAlign w:val="superscript"/>
              </w:rPr>
              <w:t>(8)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1,977,074</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620" w:type="dxa"/>
            <w:vAlign w:val="bottom"/>
            <w:gridSpan w:val="3"/>
          </w:tcPr>
          <w:p>
            <w:pPr>
              <w:ind w:left="700"/>
              <w:spacing w:after="0"/>
              <w:rPr>
                <w:sz w:val="20"/>
                <w:szCs w:val="20"/>
                <w:color w:val="auto"/>
              </w:rPr>
            </w:pPr>
            <w:r>
              <w:rPr>
                <w:rFonts w:ascii="Arial" w:cs="Arial" w:eastAsia="Arial" w:hAnsi="Arial"/>
                <w:sz w:val="18"/>
                <w:szCs w:val="18"/>
                <w:color w:val="auto"/>
              </w:rPr>
              <w:t>347,500</w:t>
            </w:r>
            <w:r>
              <w:rPr>
                <w:rFonts w:ascii="Arial" w:cs="Arial" w:eastAsia="Arial" w:hAnsi="Arial"/>
                <w:sz w:val="25"/>
                <w:szCs w:val="25"/>
                <w:color w:val="auto"/>
                <w:vertAlign w:val="superscript"/>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auto"/>
              </w:rPr>
              <w:t>688,050</w:t>
            </w:r>
            <w:r>
              <w:rPr>
                <w:rFonts w:ascii="Arial" w:cs="Arial" w:eastAsia="Arial" w:hAnsi="Arial"/>
                <w:sz w:val="25"/>
                <w:szCs w:val="25"/>
                <w:color w:val="auto"/>
                <w:vertAlign w:val="superscript"/>
              </w:rPr>
              <w:t>(9)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1,035,550</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5"/>
                <w:szCs w:val="25"/>
                <w:color w:val="auto"/>
                <w:vertAlign w:val="superscript"/>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6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305,000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rPr>
              <w:t>985,025</w:t>
            </w:r>
            <w:r>
              <w:rPr>
                <w:rFonts w:ascii="Arial" w:cs="Arial" w:eastAsia="Arial" w:hAnsi="Arial"/>
                <w:sz w:val="25"/>
                <w:szCs w:val="25"/>
                <w:color w:val="auto"/>
                <w:vertAlign w:val="superscript"/>
              </w:rPr>
              <w:t>(8)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1,290,025</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620" w:type="dxa"/>
            <w:vAlign w:val="bottom"/>
            <w:gridSpan w:val="3"/>
          </w:tcPr>
          <w:p>
            <w:pPr>
              <w:ind w:left="700"/>
              <w:spacing w:after="0"/>
              <w:rPr>
                <w:sz w:val="20"/>
                <w:szCs w:val="20"/>
                <w:color w:val="auto"/>
              </w:rPr>
            </w:pPr>
            <w:r>
              <w:rPr>
                <w:rFonts w:ascii="Arial" w:cs="Arial" w:eastAsia="Arial" w:hAnsi="Arial"/>
                <w:sz w:val="18"/>
                <w:szCs w:val="18"/>
                <w:color w:val="auto"/>
              </w:rPr>
              <w:t>305,000</w:t>
            </w:r>
            <w:r>
              <w:rPr>
                <w:rFonts w:ascii="Arial" w:cs="Arial" w:eastAsia="Arial" w:hAnsi="Arial"/>
                <w:sz w:val="25"/>
                <w:szCs w:val="25"/>
                <w:color w:val="auto"/>
                <w:vertAlign w:val="superscript"/>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auto"/>
              </w:rPr>
              <w:t>458,700</w:t>
            </w:r>
            <w:r>
              <w:rPr>
                <w:rFonts w:ascii="Arial" w:cs="Arial" w:eastAsia="Arial" w:hAnsi="Arial"/>
                <w:sz w:val="25"/>
                <w:szCs w:val="25"/>
                <w:color w:val="auto"/>
                <w:vertAlign w:val="superscript"/>
              </w:rPr>
              <w:t>(9)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763,700</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5"/>
                <w:szCs w:val="25"/>
                <w:color w:val="auto"/>
                <w:vertAlign w:val="superscript"/>
              </w:rPr>
              <w:t>(3)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6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250,000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rPr>
              <w:t>635,297</w:t>
            </w:r>
            <w:r>
              <w:rPr>
                <w:rFonts w:ascii="Arial" w:cs="Arial" w:eastAsia="Arial" w:hAnsi="Arial"/>
                <w:sz w:val="25"/>
                <w:szCs w:val="25"/>
                <w:color w:val="auto"/>
                <w:vertAlign w:val="superscript"/>
              </w:rPr>
              <w:t>(8)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885,297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i w:val="1"/>
                <w:iCs w:val="1"/>
                <w:color w:val="auto"/>
              </w:rPr>
              <w:t>Vice President, Chief Financial Officer,</w:t>
            </w:r>
          </w:p>
        </w:tc>
        <w:tc>
          <w:tcPr>
            <w:tcW w:w="1040" w:type="dxa"/>
            <w:vAlign w:val="bottom"/>
          </w:tcPr>
          <w:p>
            <w:pPr>
              <w:spacing w:after="0"/>
              <w:rPr>
                <w:sz w:val="17"/>
                <w:szCs w:val="17"/>
                <w:color w:val="auto"/>
              </w:rPr>
            </w:pPr>
          </w:p>
        </w:tc>
        <w:tc>
          <w:tcPr>
            <w:tcW w:w="1620" w:type="dxa"/>
            <w:vAlign w:val="bottom"/>
            <w:gridSpan w:val="3"/>
          </w:tcPr>
          <w:p>
            <w:pPr>
              <w:ind w:left="700"/>
              <w:spacing w:after="0" w:line="202" w:lineRule="exact"/>
              <w:rPr>
                <w:sz w:val="20"/>
                <w:szCs w:val="20"/>
                <w:color w:val="auto"/>
              </w:rPr>
            </w:pPr>
            <w:r>
              <w:rPr>
                <w:rFonts w:ascii="Arial" w:cs="Arial" w:eastAsia="Arial" w:hAnsi="Arial"/>
                <w:sz w:val="17"/>
                <w:szCs w:val="17"/>
                <w:color w:val="auto"/>
              </w:rPr>
              <w:t>250,000</w:t>
            </w:r>
            <w:r>
              <w:rPr>
                <w:rFonts w:ascii="Arial" w:cs="Arial" w:eastAsia="Arial" w:hAnsi="Arial"/>
                <w:sz w:val="23"/>
                <w:szCs w:val="23"/>
                <w:color w:val="auto"/>
                <w:vertAlign w:val="superscript"/>
              </w:rPr>
              <w:t>(6)</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180"/>
              <w:spacing w:after="0" w:line="202" w:lineRule="exact"/>
              <w:rPr>
                <w:sz w:val="20"/>
                <w:szCs w:val="20"/>
                <w:color w:val="auto"/>
              </w:rPr>
            </w:pPr>
            <w:r>
              <w:rPr>
                <w:rFonts w:ascii="Arial" w:cs="Arial" w:eastAsia="Arial" w:hAnsi="Arial"/>
                <w:sz w:val="17"/>
                <w:szCs w:val="17"/>
                <w:color w:val="auto"/>
              </w:rPr>
              <w:t>229,350</w:t>
            </w:r>
            <w:r>
              <w:rPr>
                <w:rFonts w:ascii="Arial" w:cs="Arial" w:eastAsia="Arial" w:hAnsi="Arial"/>
                <w:sz w:val="23"/>
                <w:szCs w:val="23"/>
                <w:color w:val="auto"/>
                <w:vertAlign w:val="superscript"/>
              </w:rPr>
              <w:t>(9)</w:t>
            </w: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479,350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Secretary</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80" w:hanging="372"/>
        <w:spacing w:after="0" w:line="287" w:lineRule="auto"/>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Singh became VistaGen California’s Chief Executive Officer on August 20, 2009 and our Chief Executive Officer in May 2011, in connection with the Merger. In our fiscal years ended March 31, 2016 and 2015, Mr. Singh’s annual base cash salary, pursuant to his January 2010 employment agreement, was contractually set at $347,500. To conserve cash for our operations during fiscal 2015 and 2014, Mr. Singh voluntarily agreed to receive cash payments of less than his contractual base cash salary. The figures reported above reflect the amount of Mr. Singh’s salary that we expensed for accounting purposes in our financial statements for the respective fiscal years. As discussed in note (4) below, only $82,813 was actually paid in cash to Mr. Singh in our fiscal year ended March 31, 2015. The difference between the amounts expensed in fiscal 2015 and 2014 for accounting purposes and the amounts actually paid to Mr. Singh was accrued in fiscal 2015 and 2014 for payment in the future, $153,064 of which was paid during fiscal 2016. Mr. Singh also received cash payments during fiscal 2016 of $25,242 in payment of amounts previously accrued for vacation pay and $101,936 representing a tax gross up related to the forgiveness of a loan made prior to the date the Company became public. Additionally, pursuant to his employment agreement, Mr. Singh is eligible to receive an annual cash incentive bonus of up to fifty percent (50%) of his base cash salary. To conserve cash for our operations during our fiscal years ended March 31, 2016 and 2015, Mr. Singh voluntarily refrained from receiving any cash bonus.</w:t>
      </w:r>
    </w:p>
    <w:p>
      <w:pPr>
        <w:spacing w:after="0" w:line="172" w:lineRule="exact"/>
        <w:rPr>
          <w:rFonts w:ascii="Arial" w:cs="Arial" w:eastAsia="Arial" w:hAnsi="Arial"/>
          <w:sz w:val="16"/>
          <w:szCs w:val="16"/>
          <w:color w:val="auto"/>
        </w:rPr>
      </w:pPr>
    </w:p>
    <w:p>
      <w:pPr>
        <w:jc w:val="both"/>
        <w:ind w:left="380" w:hanging="372"/>
        <w:spacing w:after="0" w:line="269"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2016 and 2015, Dr. Snodgrass’ annual base cash salary, pursuant to his January 2010 employment agreement, was contractually set at $305,000. To conserve cash for our operations during fiscal 2015 and 2014, Dr. Snodgrass voluntarily agreed to receive cash payments of less than his contractual base cash salary. The figures reported above reflect the amount of Dr. Snodgrass’ salary that we expensed for accounting purposes in our financial statements for the respective fiscal years. As discussed in note (5) below, only $157,292 was actually paid in cash to Dr. Snodgrass in our fiscal year ended March 31, 2015. The difference between the amounts expensed in fiscal 2015 and 2014 for accounting purposes and the amounts actually paid to Dr. Snodgrass was accrued in fiscal 2015 and 2014 for payment in the future, $178,088 of which was paid during fiscal 2016. Dr. Snodgrass also received cash payments during fiscal 2016 of $18,088 in payment of amounts previously accrued for vacation pay. Additionally, pursuant to his employment agreement, Dr. Snodgrass is eligible to receive an annual cash incentive bonus of up to fifty percent (50%) of his base cash salary. To conserve cash for our operations during our fiscal years ended March 31, 2016 and 2015, Dr. Snodgrass voluntarily refrained from receiving any cash bonus.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4" w:name="page145"/>
    <w:bookmarkEnd w:id="14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left="380" w:hanging="372"/>
        <w:spacing w:after="0" w:line="271" w:lineRule="auto"/>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Mr. Dotson served as Chief Financial Officer on a part-time contract basis from September 19, 2011 through August 2012, at which time he became our full-time employee. In our fiscal years ended March 31, 2016 and 2015, Mr. Dotson’s annual base cash salary was $250,000. To conserve cash for our operations during fiscal 2015 and 2014, Mr. Dotson voluntarily agreed to receive cash payments of less than his base cash salary. The figures reported above reflect the amount of Mr. Dotson’s salary that we expensed for accounting purposes in our financial statements for the respective fiscal years. As discussed in note (6) below, only $153,917 was actually paid in cash to Mr. Dotson in our fiscal year ended March 31, 2015. The difference between the amounts expensed in fiscal 2015 and 2014 for accounting purposes and the amounts actually paid to Mr. Dotson was accrued in fiscal 2015 and 2014 for payment in the future, $144,417 of which was paid during fiscal 2016. To conserve cash for our operations, Mr. Dotson did not receive a cash bonus in either of our fiscal years ended March 31, 2016 or 2015.</w:t>
      </w:r>
    </w:p>
    <w:p>
      <w:pPr>
        <w:spacing w:after="0" w:line="205" w:lineRule="exact"/>
        <w:rPr>
          <w:rFonts w:ascii="Arial" w:cs="Arial" w:eastAsia="Arial" w:hAnsi="Arial"/>
          <w:sz w:val="17"/>
          <w:szCs w:val="17"/>
          <w:color w:val="auto"/>
        </w:rPr>
      </w:pPr>
    </w:p>
    <w:p>
      <w:pPr>
        <w:ind w:left="360" w:hanging="352"/>
        <w:spacing w:after="0" w:line="277"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Singh received only $82,813 in cash compensation in our fiscal year ended March 31, 2015. The remaining balance of $264,687 was accrued at March 31, 2015 for future payment and has been paid to Mr. Singh at the date of this Annual Report on Form 10-K.</w:t>
      </w:r>
    </w:p>
    <w:p>
      <w:pPr>
        <w:spacing w:after="0" w:line="197" w:lineRule="exact"/>
        <w:rPr>
          <w:rFonts w:ascii="Arial" w:cs="Arial" w:eastAsia="Arial" w:hAnsi="Arial"/>
          <w:sz w:val="18"/>
          <w:szCs w:val="18"/>
          <w:color w:val="auto"/>
        </w:rPr>
      </w:pPr>
    </w:p>
    <w:p>
      <w:pPr>
        <w:ind w:left="360" w:right="120" w:hanging="352"/>
        <w:spacing w:after="0" w:line="308" w:lineRule="auto"/>
        <w:tabs>
          <w:tab w:leader="none" w:pos="3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Dr. Snodgrass received only $157,292 in cash compensation in our fiscal year ended March 31, 2015. The remaining balance of $147,708 was accrued at March 31, 2015 for future payment and has been repaid to Dr. Snodgrass at the date of this Annual Report on Form 10-K.</w:t>
      </w:r>
    </w:p>
    <w:p>
      <w:pPr>
        <w:spacing w:after="0" w:line="146" w:lineRule="exact"/>
        <w:rPr>
          <w:rFonts w:ascii="Arial" w:cs="Arial" w:eastAsia="Arial" w:hAnsi="Arial"/>
          <w:sz w:val="17"/>
          <w:szCs w:val="17"/>
          <w:color w:val="auto"/>
        </w:rPr>
      </w:pPr>
    </w:p>
    <w:p>
      <w:pPr>
        <w:ind w:left="360" w:right="120" w:hanging="352"/>
        <w:spacing w:after="0" w:line="277"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Dotson received only $153,917 in cash compensation in our fiscal year ended March 31, 2015. The remaining balance of $96,083 was accrued at March 31, 2015 and was paid during fiscal 2016.</w:t>
      </w:r>
    </w:p>
    <w:p>
      <w:pPr>
        <w:spacing w:after="0" w:line="170" w:lineRule="exact"/>
        <w:rPr>
          <w:rFonts w:ascii="Arial" w:cs="Arial" w:eastAsia="Arial" w:hAnsi="Arial"/>
          <w:sz w:val="18"/>
          <w:szCs w:val="18"/>
          <w:color w:val="auto"/>
        </w:rPr>
      </w:pPr>
    </w:p>
    <w:p>
      <w:pPr>
        <w:jc w:val="both"/>
        <w:ind w:left="360" w:right="100" w:hanging="352"/>
        <w:spacing w:after="0" w:line="254"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amounts in the Option and Warrant Awards column represent the aggregate grant date fair value of warrants to purchase restricted shares of our common stock awarded to Mr. Singh, Dr. Snodgrass and Mr. Dotson, and the effect of modifications to prior grants of warrants occurring during the fiscal year presented, computed in accordance with the Financial Accounting Standards Board’s Accounting Standards Codification Topic 718, Compensation – Stock Compensation (</w:t>
      </w:r>
      <w:r>
        <w:rPr>
          <w:rFonts w:ascii="Arial" w:cs="Arial" w:eastAsia="Arial" w:hAnsi="Arial"/>
          <w:sz w:val="18"/>
          <w:szCs w:val="18"/>
          <w:i w:val="1"/>
          <w:iCs w:val="1"/>
          <w:color w:val="auto"/>
        </w:rPr>
        <w:t>ASC 718</w:t>
      </w:r>
      <w:r>
        <w:rPr>
          <w:rFonts w:ascii="Arial" w:cs="Arial" w:eastAsia="Arial" w:hAnsi="Arial"/>
          <w:sz w:val="18"/>
          <w:szCs w:val="18"/>
          <w:color w:val="auto"/>
        </w:rPr>
        <w:t>). The amounts in this column do not represent any cash payments actually received by Mr. Singh, Dr. Snodgrass or Mr. Dotson with respect to any of such options or warrants to purchase restricted shares of our common stock awarded to them or modified during the periods presented. To date, Mr. Singh, Dr. Snodgrass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92" w:lineRule="exact"/>
        <w:rPr>
          <w:rFonts w:ascii="Arial" w:cs="Arial" w:eastAsia="Arial" w:hAnsi="Arial"/>
          <w:sz w:val="18"/>
          <w:szCs w:val="18"/>
          <w:color w:val="auto"/>
        </w:rPr>
      </w:pPr>
    </w:p>
    <w:p>
      <w:pPr>
        <w:ind w:left="360" w:right="280" w:hanging="352"/>
        <w:spacing w:after="0" w:line="264"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warrant awards and modifications we granted to Mr. Singh, Dr. Snodgrass and Mr. Dotson during fiscal 2016 and the assumptions used in the Black Scholes Option Pricing Model to determine the grant date fair values of the respective awards and modifications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Warrant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60" w:type="dxa"/>
            <w:vAlign w:val="bottom"/>
            <w:gridSpan w:val="5"/>
          </w:tcPr>
          <w:p>
            <w:pPr>
              <w:jc w:val="right"/>
              <w:ind w:right="320"/>
              <w:spacing w:after="0"/>
              <w:rPr>
                <w:sz w:val="20"/>
                <w:szCs w:val="20"/>
                <w:color w:val="auto"/>
              </w:rPr>
            </w:pPr>
            <w:r>
              <w:rPr>
                <w:rFonts w:ascii="Arial" w:cs="Arial" w:eastAsia="Arial" w:hAnsi="Arial"/>
                <w:sz w:val="18"/>
                <w:szCs w:val="18"/>
                <w:color w:val="auto"/>
                <w:w w:val="98"/>
              </w:rPr>
              <w:t>Warrant Grant</w:t>
            </w:r>
          </w:p>
        </w:tc>
        <w:tc>
          <w:tcPr>
            <w:tcW w:w="1200" w:type="dxa"/>
            <w:vAlign w:val="bottom"/>
            <w:gridSpan w:val="5"/>
          </w:tcPr>
          <w:p>
            <w:pPr>
              <w:jc w:val="center"/>
              <w:ind w:right="180"/>
              <w:spacing w:after="0"/>
              <w:rPr>
                <w:sz w:val="20"/>
                <w:szCs w:val="20"/>
                <w:color w:val="auto"/>
              </w:rPr>
            </w:pPr>
            <w:r>
              <w:rPr>
                <w:rFonts w:ascii="Arial" w:cs="Arial" w:eastAsia="Arial" w:hAnsi="Arial"/>
                <w:sz w:val="18"/>
                <w:szCs w:val="18"/>
                <w:color w:val="auto"/>
                <w:w w:val="97"/>
              </w:rPr>
              <w:t>Modification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w w:val="96"/>
              </w:rPr>
              <w:t>9/2/2015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110"/>
              <w:spacing w:after="0"/>
              <w:rPr>
                <w:sz w:val="20"/>
                <w:szCs w:val="20"/>
                <w:color w:val="auto"/>
              </w:rPr>
            </w:pPr>
            <w:r>
              <w:rPr>
                <w:rFonts w:ascii="Arial" w:cs="Arial" w:eastAsia="Arial" w:hAnsi="Arial"/>
                <w:sz w:val="18"/>
                <w:szCs w:val="18"/>
                <w:color w:val="auto"/>
                <w:w w:val="88"/>
              </w:rPr>
              <w:t>11/11/2015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3"/>
          </w:tcPr>
          <w:p>
            <w:pPr>
              <w:jc w:val="right"/>
              <w:ind w:right="520"/>
              <w:spacing w:after="0"/>
              <w:rPr>
                <w:sz w:val="20"/>
                <w:szCs w:val="20"/>
                <w:color w:val="auto"/>
              </w:rPr>
            </w:pPr>
            <w:r>
              <w:rPr>
                <w:rFonts w:ascii="Arial" w:cs="Arial" w:eastAsia="Arial" w:hAnsi="Arial"/>
                <w:sz w:val="18"/>
                <w:szCs w:val="18"/>
                <w:color w:val="auto"/>
                <w:w w:val="94"/>
              </w:rPr>
              <w:t>Total</w:t>
            </w:r>
          </w:p>
        </w:tc>
      </w:tr>
      <w:tr>
        <w:trPr>
          <w:trHeight w:val="216"/>
        </w:trPr>
        <w:tc>
          <w:tcPr>
            <w:tcW w:w="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3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1,420,332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209,242</w:t>
            </w: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1,629,574</w:t>
            </w:r>
          </w:p>
        </w:tc>
      </w:tr>
      <w:tr>
        <w:trPr>
          <w:trHeight w:val="216"/>
        </w:trPr>
        <w:tc>
          <w:tcPr>
            <w:tcW w:w="3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Snodgrass</w:t>
            </w: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852,199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132,826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985,025</w:t>
            </w:r>
          </w:p>
        </w:tc>
      </w:tr>
      <w:tr>
        <w:trPr>
          <w:trHeight w:val="216"/>
        </w:trPr>
        <w:tc>
          <w:tcPr>
            <w:tcW w:w="3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Dotson</w:t>
            </w:r>
          </w:p>
        </w:tc>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67,164</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635,297</w:t>
            </w:r>
          </w:p>
        </w:tc>
      </w:tr>
      <w:tr>
        <w:trPr>
          <w:trHeight w:val="27"/>
        </w:trPr>
        <w:tc>
          <w:tcPr>
            <w:tcW w:w="36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2,840,664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409,232</w:t>
            </w: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3,249,896</w:t>
            </w:r>
          </w:p>
        </w:tc>
      </w:tr>
      <w:tr>
        <w:trPr>
          <w:trHeight w:val="21"/>
        </w:trPr>
        <w:tc>
          <w:tcPr>
            <w:tcW w:w="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8"/>
        </w:trPr>
        <w:tc>
          <w:tcPr>
            <w:tcW w:w="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8"/>
          </w:tcPr>
          <w:p>
            <w:pPr>
              <w:jc w:val="right"/>
              <w:ind w:right="240"/>
              <w:spacing w:after="0"/>
              <w:rPr>
                <w:sz w:val="20"/>
                <w:szCs w:val="20"/>
                <w:color w:val="auto"/>
              </w:rPr>
            </w:pPr>
            <w:r>
              <w:rPr>
                <w:rFonts w:ascii="Arial" w:cs="Arial" w:eastAsia="Arial" w:hAnsi="Arial"/>
                <w:sz w:val="18"/>
                <w:szCs w:val="18"/>
                <w:color w:val="auto"/>
                <w:w w:val="93"/>
              </w:rPr>
              <w:t>Weighted Average (except</w:t>
            </w:r>
          </w:p>
        </w:tc>
      </w:tr>
      <w:tr>
        <w:trPr>
          <w:trHeight w:val="237"/>
        </w:trPr>
        <w:tc>
          <w:tcPr>
            <w:tcW w:w="3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shares)</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3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7"/>
              </w:rPr>
              <w:t>Before</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After</w:t>
            </w:r>
          </w:p>
        </w:tc>
        <w:tc>
          <w:tcPr>
            <w:tcW w:w="200" w:type="dxa"/>
            <w:vAlign w:val="bottom"/>
            <w:gridSpan w:val="2"/>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Volatility</w:t>
            </w: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77.19%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78.75%</w:t>
            </w:r>
          </w:p>
        </w:tc>
      </w:tr>
      <w:tr>
        <w:trPr>
          <w:trHeight w:val="216"/>
        </w:trPr>
        <w:tc>
          <w:tcPr>
            <w:tcW w:w="3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Dividend rate</w:t>
            </w: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360" w:type="dxa"/>
            <w:vAlign w:val="bottom"/>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spacing w:after="0"/>
              <w:rPr>
                <w:sz w:val="18"/>
                <w:szCs w:val="18"/>
                <w:color w:val="auto"/>
              </w:rPr>
            </w:pPr>
          </w:p>
        </w:tc>
        <w:tc>
          <w:tcPr>
            <w:tcW w:w="120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Fair value per share</w:t>
            </w:r>
          </w:p>
        </w:tc>
        <w:tc>
          <w:tcPr>
            <w:tcW w:w="3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952,803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952,803</w:t>
            </w:r>
          </w:p>
        </w:tc>
        <w:tc>
          <w:tcPr>
            <w:tcW w:w="100" w:type="dxa"/>
            <w:vAlign w:val="bottom"/>
            <w:shd w:val="clear" w:color="auto" w:fill="CCEEFF"/>
          </w:tcPr>
          <w:p>
            <w:pPr>
              <w:spacing w:after="0"/>
              <w:rPr>
                <w:sz w:val="18"/>
                <w:szCs w:val="18"/>
                <w:color w:val="auto"/>
              </w:rPr>
            </w:pPr>
          </w:p>
        </w:tc>
      </w:tr>
      <w:tr>
        <w:trPr>
          <w:trHeight w:val="824"/>
        </w:trPr>
        <w:tc>
          <w:tcPr>
            <w:tcW w:w="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40" w:type="dxa"/>
            <w:vAlign w:val="bottom"/>
          </w:tcPr>
          <w:p>
            <w:pPr>
              <w:jc w:val="right"/>
              <w:ind w:right="145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6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5" w:name="page146"/>
    <w:bookmarkEnd w:id="14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380" w:right="300"/>
        <w:spacing w:after="0" w:line="264" w:lineRule="auto"/>
        <w:rPr>
          <w:sz w:val="20"/>
          <w:szCs w:val="20"/>
          <w:color w:val="auto"/>
        </w:rPr>
      </w:pPr>
      <w:r>
        <w:rPr>
          <w:rFonts w:ascii="Arial" w:cs="Arial" w:eastAsia="Arial" w:hAnsi="Arial"/>
          <w:sz w:val="18"/>
          <w:szCs w:val="18"/>
          <w:color w:val="auto"/>
        </w:rPr>
        <w:t>Mr. Singh, Dr. Snodgrass and Mr. Dotson were granted warrants to purchase 250,000, 150,000 and 100,000 restricted shares of our common stock, respectively. We modified warrants to purchase an aggregate of 477,803 shares, 310,000 shares and 165,000 shares held by Mr. Singh, Dr. Snodgrass and Mr. Dotson, respectively.</w:t>
      </w:r>
    </w:p>
    <w:p>
      <w:pPr>
        <w:spacing w:after="0" w:line="208" w:lineRule="exact"/>
        <w:rPr>
          <w:sz w:val="20"/>
          <w:szCs w:val="20"/>
          <w:color w:val="auto"/>
        </w:rPr>
      </w:pPr>
    </w:p>
    <w:p>
      <w:pPr>
        <w:ind w:left="380" w:right="20" w:hanging="372"/>
        <w:spacing w:after="0" w:line="277"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used the Black Scholes Option Pricing Model and the following assumptions for determining the grant date fair value of the warrants to purchase shares of our common stock granted in January 2015.</w:t>
      </w:r>
    </w:p>
    <w:p>
      <w:pPr>
        <w:spacing w:after="0" w:line="185"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600" w:type="dxa"/>
            <w:vAlign w:val="bottom"/>
            <w:shd w:val="clear" w:color="auto" w:fill="CCEEFF"/>
          </w:tcPr>
          <w:p>
            <w:pPr>
              <w:ind w:left="3800"/>
              <w:spacing w:after="0"/>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600" w:type="dxa"/>
            <w:vAlign w:val="bottom"/>
          </w:tcPr>
          <w:p>
            <w:pPr>
              <w:ind w:left="3800"/>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00" w:type="dxa"/>
            <w:vAlign w:val="bottom"/>
            <w:shd w:val="clear" w:color="auto" w:fill="CCEEFF"/>
          </w:tcPr>
          <w:p>
            <w:pPr>
              <w:ind w:left="3920"/>
              <w:spacing w:after="0"/>
              <w:rPr>
                <w:sz w:val="20"/>
                <w:szCs w:val="20"/>
                <w:color w:val="auto"/>
              </w:rPr>
            </w:pPr>
            <w:r>
              <w:rPr>
                <w:rFonts w:ascii="Arial" w:cs="Arial" w:eastAsia="Arial" w:hAnsi="Arial"/>
                <w:sz w:val="18"/>
                <w:szCs w:val="18"/>
                <w:color w:val="auto"/>
              </w:rPr>
              <w:t>1.45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Expected Term (years)</w:t>
            </w:r>
          </w:p>
        </w:tc>
        <w:tc>
          <w:tcPr>
            <w:tcW w:w="4600" w:type="dxa"/>
            <w:vAlign w:val="bottom"/>
          </w:tcPr>
          <w:p>
            <w:pPr>
              <w:ind w:left="3920"/>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600" w:type="dxa"/>
            <w:vAlign w:val="bottom"/>
            <w:shd w:val="clear" w:color="auto" w:fill="CCEEFF"/>
          </w:tcPr>
          <w:p>
            <w:pPr>
              <w:ind w:left="3920"/>
              <w:spacing w:after="0"/>
              <w:rPr>
                <w:sz w:val="20"/>
                <w:szCs w:val="20"/>
                <w:color w:val="auto"/>
              </w:rPr>
            </w:pPr>
            <w:r>
              <w:rPr>
                <w:rFonts w:ascii="Arial" w:cs="Arial" w:eastAsia="Arial" w:hAnsi="Arial"/>
                <w:sz w:val="18"/>
                <w:szCs w:val="18"/>
                <w:color w:val="auto"/>
              </w:rPr>
              <w:t>75.86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Dividend rate</w:t>
            </w:r>
          </w:p>
        </w:tc>
        <w:tc>
          <w:tcPr>
            <w:tcW w:w="4600" w:type="dxa"/>
            <w:vAlign w:val="bottom"/>
          </w:tcPr>
          <w:p>
            <w:pPr>
              <w:ind w:left="3920"/>
              <w:spacing w:after="0"/>
              <w:rPr>
                <w:sz w:val="20"/>
                <w:szCs w:val="20"/>
                <w:color w:val="auto"/>
              </w:rPr>
            </w:pPr>
            <w:r>
              <w:rPr>
                <w:rFonts w:ascii="Arial" w:cs="Arial" w:eastAsia="Arial" w:hAnsi="Arial"/>
                <w:sz w:val="18"/>
                <w:szCs w:val="18"/>
                <w:color w:val="auto"/>
              </w:rPr>
              <w:t>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Grant date fair value per share</w:t>
            </w:r>
          </w:p>
        </w:tc>
        <w:tc>
          <w:tcPr>
            <w:tcW w:w="4600" w:type="dxa"/>
            <w:vAlign w:val="bottom"/>
          </w:tcPr>
          <w:p>
            <w:pPr>
              <w:ind w:left="3800"/>
              <w:spacing w:after="0"/>
              <w:rPr>
                <w:sz w:val="20"/>
                <w:szCs w:val="20"/>
                <w:color w:val="auto"/>
              </w:rPr>
            </w:pPr>
            <w:r>
              <w:rPr>
                <w:rFonts w:ascii="Arial" w:cs="Arial" w:eastAsia="Arial" w:hAnsi="Arial"/>
                <w:sz w:val="18"/>
                <w:szCs w:val="18"/>
                <w:color w:val="auto"/>
              </w:rPr>
              <w:t>$4.59</w:t>
            </w:r>
          </w:p>
        </w:tc>
        <w:tc>
          <w:tcPr>
            <w:tcW w:w="460" w:type="dxa"/>
            <w:vAlign w:val="bottom"/>
          </w:tcPr>
          <w:p>
            <w:pPr>
              <w:spacing w:after="0"/>
              <w:rPr>
                <w:sz w:val="20"/>
                <w:szCs w:val="20"/>
                <w:color w:val="auto"/>
              </w:rPr>
            </w:pPr>
          </w:p>
        </w:tc>
      </w:tr>
    </w:tbl>
    <w:p>
      <w:pPr>
        <w:spacing w:after="0" w:line="187"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Mr. Singh, Dr. Snodgrass and Mr. Dotson were granted warrants to purchase 150,000, 100,000 and 50,000 restricted shares of our common stock,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None of the NEOs is entitled to perquisites or other personal benefits that, in the aggregate, are worth over $50,000 or over 10% of their base salary.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6" w:name="page147"/>
    <w:bookmarkEnd w:id="14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 Granted to NEOs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restricted shares of our common stock held by each of the named executive officers as of March 31,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Borders>
              <w:bottom w:val="single" w:sz="8" w:color="auto"/>
            </w:tcBorders>
            <w:gridSpan w:val="5"/>
          </w:tcPr>
          <w:p>
            <w:pPr>
              <w:jc w:val="center"/>
              <w:ind w:left="1050"/>
              <w:spacing w:after="0"/>
              <w:rPr>
                <w:sz w:val="20"/>
                <w:szCs w:val="20"/>
                <w:color w:val="auto"/>
              </w:rPr>
            </w:pPr>
            <w:r>
              <w:rPr>
                <w:rFonts w:ascii="Arial" w:cs="Arial" w:eastAsia="Arial" w:hAnsi="Arial"/>
                <w:sz w:val="18"/>
                <w:szCs w:val="18"/>
                <w:b w:val="1"/>
                <w:bCs w:val="1"/>
                <w:color w:val="auto"/>
                <w:w w:val="90"/>
              </w:rPr>
              <w:t>Stock Options and Warrants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1"/>
              </w:rPr>
              <w:t>Number of</w:t>
            </w:r>
          </w:p>
        </w:tc>
        <w:tc>
          <w:tcPr>
            <w:tcW w:w="1920" w:type="dxa"/>
            <w:vAlign w:val="bottom"/>
            <w:gridSpan w:val="3"/>
          </w:tcPr>
          <w:p>
            <w:pPr>
              <w:jc w:val="center"/>
              <w:ind w:right="56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Securities</w:t>
            </w:r>
          </w:p>
        </w:tc>
        <w:tc>
          <w:tcPr>
            <w:tcW w:w="19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8"/>
              </w:rPr>
              <w:t>Securities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Underlying</w:t>
            </w:r>
          </w:p>
        </w:tc>
        <w:tc>
          <w:tcPr>
            <w:tcW w:w="19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3"/>
              </w:rPr>
              <w:t>Underlying</w:t>
            </w: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Unexercised</w:t>
            </w:r>
          </w:p>
        </w:tc>
        <w:tc>
          <w:tcPr>
            <w:tcW w:w="19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5"/>
              </w:rPr>
              <w:t>Unexercised</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Options</w:t>
            </w:r>
          </w:p>
        </w:tc>
        <w:tc>
          <w:tcPr>
            <w:tcW w:w="19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8"/>
              </w:rPr>
              <w:t>Options</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241"/>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 Exercisable</w:t>
            </w:r>
          </w:p>
        </w:tc>
        <w:tc>
          <w:tcPr>
            <w:tcW w:w="19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8"/>
              </w:rPr>
              <w:t>(#) Unexercisable</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2,000</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5/17/2017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1,125</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21,250</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4,017</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1,786</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72,000</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line="216" w:lineRule="exact"/>
              <w:rPr>
                <w:sz w:val="20"/>
                <w:szCs w:val="20"/>
                <w:color w:val="auto"/>
              </w:rPr>
            </w:pPr>
            <w:r>
              <w:rPr>
                <w:rFonts w:ascii="Arial" w:cs="Arial" w:eastAsia="Arial" w:hAnsi="Arial"/>
                <w:sz w:val="18"/>
                <w:szCs w:val="18"/>
                <w:color w:val="auto"/>
              </w:rPr>
              <w:t>150,000</w:t>
            </w:r>
            <w:r>
              <w:rPr>
                <w:rFonts w:ascii="Arial" w:cs="Arial" w:eastAsia="Arial" w:hAnsi="Arial"/>
                <w:sz w:val="25"/>
                <w:szCs w:val="25"/>
                <w:color w:val="auto"/>
                <w:vertAlign w:val="superscript"/>
              </w:rPr>
              <w:t>(2)</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r>
              <w:rPr>
                <w:rFonts w:ascii="Arial" w:cs="Arial" w:eastAsia="Arial" w:hAnsi="Arial"/>
                <w:sz w:val="12"/>
                <w:szCs w:val="12"/>
                <w:color w:val="auto"/>
              </w:rPr>
              <w:t>(3)</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9/2/2020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Total:</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563,178</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H. Ralph Snodgrass, Ph.D.</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319</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17.60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12/20/2016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1,250</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5,000</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4/26/2016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1,875</w:t>
            </w:r>
          </w:p>
        </w:tc>
        <w:tc>
          <w:tcPr>
            <w:tcW w:w="1700" w:type="dxa"/>
            <w:vAlign w:val="bottom"/>
            <w:gridSpan w:val="2"/>
          </w:tcPr>
          <w:p>
            <w:pPr>
              <w:jc w:val="right"/>
              <w:ind w:right="180"/>
              <w:spacing w:after="0" w:line="216" w:lineRule="exact"/>
              <w:rPr>
                <w:sz w:val="20"/>
                <w:szCs w:val="20"/>
                <w:color w:val="auto"/>
              </w:rPr>
            </w:pPr>
            <w:r>
              <w:rPr>
                <w:rFonts w:ascii="Arial" w:cs="Arial" w:eastAsia="Arial" w:hAnsi="Arial"/>
                <w:sz w:val="18"/>
                <w:szCs w:val="18"/>
                <w:color w:val="auto"/>
              </w:rPr>
              <w:t>625</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5,625</w:t>
            </w:r>
          </w:p>
        </w:tc>
        <w:tc>
          <w:tcPr>
            <w:tcW w:w="1700" w:type="dxa"/>
            <w:vAlign w:val="bottom"/>
            <w:gridSpan w:val="2"/>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rPr>
              <w:t>1,875</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20"/>
              <w:spacing w:after="0" w:line="216" w:lineRule="exact"/>
              <w:rPr>
                <w:sz w:val="20"/>
                <w:szCs w:val="20"/>
                <w:color w:val="auto"/>
              </w:rPr>
            </w:pPr>
            <w:r>
              <w:rPr>
                <w:rFonts w:ascii="Arial" w:cs="Arial" w:eastAsia="Arial" w:hAnsi="Arial"/>
                <w:sz w:val="18"/>
                <w:szCs w:val="18"/>
                <w:color w:val="auto"/>
              </w:rPr>
              <w:t>100,000</w:t>
            </w:r>
            <w:r>
              <w:rPr>
                <w:rFonts w:ascii="Arial" w:cs="Arial" w:eastAsia="Arial" w:hAnsi="Arial"/>
                <w:sz w:val="25"/>
                <w:szCs w:val="25"/>
                <w:color w:val="auto"/>
                <w:vertAlign w:val="superscript"/>
              </w:rPr>
              <w:t>(2)</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r>
              <w:rPr>
                <w:rFonts w:ascii="Arial" w:cs="Arial" w:eastAsia="Arial" w:hAnsi="Arial"/>
                <w:sz w:val="12"/>
                <w:szCs w:val="12"/>
                <w:color w:val="auto"/>
              </w:rPr>
              <w:t>(3)</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9/20/2020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329,069</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Jerrold D. Dotson</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5,001</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10/30/2022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3,750</w:t>
            </w:r>
          </w:p>
        </w:tc>
        <w:tc>
          <w:tcPr>
            <w:tcW w:w="1700" w:type="dxa"/>
            <w:vAlign w:val="bottom"/>
            <w:gridSpan w:val="2"/>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rPr>
              <w:t>1,250</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20"/>
              <w:spacing w:after="0" w:line="216" w:lineRule="exact"/>
              <w:rPr>
                <w:sz w:val="20"/>
                <w:szCs w:val="20"/>
                <w:color w:val="auto"/>
              </w:rPr>
            </w:pPr>
            <w:r>
              <w:rPr>
                <w:rFonts w:ascii="Arial" w:cs="Arial" w:eastAsia="Arial" w:hAnsi="Arial"/>
                <w:sz w:val="18"/>
                <w:szCs w:val="18"/>
                <w:color w:val="auto"/>
              </w:rPr>
              <w:t>50,000</w:t>
            </w:r>
            <w:r>
              <w:rPr>
                <w:rFonts w:ascii="Arial" w:cs="Arial" w:eastAsia="Arial" w:hAnsi="Arial"/>
                <w:sz w:val="25"/>
                <w:szCs w:val="25"/>
                <w:color w:val="auto"/>
                <w:vertAlign w:val="superscript"/>
              </w:rPr>
              <w:t>(2)</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r>
              <w:rPr>
                <w:rFonts w:ascii="Arial" w:cs="Arial" w:eastAsia="Arial" w:hAnsi="Arial"/>
                <w:sz w:val="12"/>
                <w:szCs w:val="12"/>
                <w:color w:val="auto"/>
              </w:rPr>
              <w:t>(3)</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9/2/2020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169,751</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770"/>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7" w:name="page148"/>
    <w:bookmarkEnd w:id="14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left="380" w:hanging="372"/>
        <w:spacing w:after="0" w:line="264"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warrant to purchase restricted shares of our common stock granted on March 19, 2014 when the market price of our common stock was $9.20 per share. The warrant became exercisable for 50% of the shares on April 1, 2014, and became exercisable for an additional 25% of the shares on April 1, 2015. The warrant became exercisable for the remaining 25% of the shares on April 1, 2016.</w:t>
      </w:r>
    </w:p>
    <w:p>
      <w:pPr>
        <w:spacing w:after="0" w:line="181"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Represents a warrant to purchase restricted shares of our common stock granted as fully exercisable on January 11, 2015 when the market price of our common stock was $8.00 per share. Warrant was modified on November 11, 2015 to reduce the exercise price to $7.00 per share.</w:t>
      </w:r>
    </w:p>
    <w:p>
      <w:pPr>
        <w:spacing w:after="0" w:line="146" w:lineRule="exact"/>
        <w:rPr>
          <w:rFonts w:ascii="Arial" w:cs="Arial" w:eastAsia="Arial" w:hAnsi="Arial"/>
          <w:sz w:val="17"/>
          <w:szCs w:val="17"/>
          <w:color w:val="auto"/>
        </w:rPr>
      </w:pPr>
    </w:p>
    <w:p>
      <w:pPr>
        <w:ind w:left="380" w:right="20" w:hanging="372"/>
        <w:spacing w:after="0" w:line="308" w:lineRule="auto"/>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Represents a warrant to purchase restricted shares of our common stock granted as fully exercisable on September 2, 2015 when the market price of our common stock was $9.11 per share. Warrant was modified on November 11, 2015 to reduce the exercise price to $7.00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employment agreements with Mr. Singh and Dr. Snodgrass.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entered into an employment agreement with Mr. Singh on April 28, 2010. Under the agreement, as amended on May 9, 2011, Mr. Singh’s base salary is $347,500 per year. However, to conserve cash for our operations, during our fiscal year ended March 31, 2015, Mr. Singh received only $82,813 in cash. Although, under his agreement, Mr. Singh is eligible to receive an annual incentive cash bonus of up to 50% of his base salary, he has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73" w:lineRule="exact"/>
        <w:rPr>
          <w:sz w:val="20"/>
          <w:szCs w:val="20"/>
          <w:color w:val="auto"/>
        </w:rPr>
      </w:pPr>
    </w:p>
    <w:p>
      <w:pPr>
        <w:ind w:left="580" w:hanging="383"/>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pro-rated portion of the incentive cash bonus that the Board of Directors determines in good faith that Mr. Singh earned prior to his termination; and</w:t>
      </w:r>
    </w:p>
    <w:p>
      <w:pPr>
        <w:spacing w:after="0" w:line="248" w:lineRule="exact"/>
        <w:rPr>
          <w:rFonts w:ascii="Arial" w:cs="Arial" w:eastAsia="Arial" w:hAnsi="Arial"/>
          <w:sz w:val="16"/>
          <w:szCs w:val="16"/>
          <w:color w:val="auto"/>
        </w:rPr>
      </w:pPr>
    </w:p>
    <w:p>
      <w:pPr>
        <w:ind w:left="580" w:hanging="383"/>
        <w:spacing w:after="0" w:line="277" w:lineRule="auto"/>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he is entitled to twelve months of his then-current base salary payable in the form of salary continuation.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2006, we accepted a full-recourse promissory note in the amount of $103,411 from Mr. Singh in payment of the exercise price for options and warrants to purchase an aggregate of 6,320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2016 and 2015, we had accrued $101,936 as an estimate of the gross-up amount, which amount was subsequently paid. See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to our audited Consolidated Financial Statements for the years ended March 31, 2016 and 2015 included in Item 8 of this Annual Report on Form 10-K.</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22, 2016, the Compensation Committee amended Mr. Singh’s employment agreement to increase his base salary to $395,000 per year, effective June 16, 2016.</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8" w:name="page149"/>
    <w:bookmarkEnd w:id="14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entered into an employment agreement with Dr. Snodgrass on April 28, 2010. Under the agreement, as amended on May 9, 2011, Dr. Snodgrass’s base salary is $305,000 per year. However, to conserve cash for our operations, during our fiscal year ended March 31, 2015, Dr. Snodgrass received only $157,292 in cash. Dr. Snodgrass is eligible to receive an annual incentive cash bonus of up to 50% of his base salary, but he has foregone any such cash bonus payment to conserve cash for our operations. Payment of his annual incentive bonus is at the discretion of the Board of Directors. In the event we terminate Dr. Snodgrass’s employment without cause, he is entitled to receive severance in an amount equal to:</w:t>
      </w:r>
    </w:p>
    <w:p>
      <w:pPr>
        <w:spacing w:after="0" w:line="173" w:lineRule="exact"/>
        <w:rPr>
          <w:sz w:val="20"/>
          <w:szCs w:val="20"/>
          <w:color w:val="auto"/>
        </w:rPr>
      </w:pPr>
    </w:p>
    <w:p>
      <w:pPr>
        <w:ind w:left="580" w:hanging="383"/>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pro-rated portion of the incentive bonus that the Board of Directors determines in good faith that Dr. Snodgrass earned prior to his termination; and</w:t>
      </w:r>
    </w:p>
    <w:p>
      <w:pPr>
        <w:spacing w:after="0" w:line="275" w:lineRule="exact"/>
        <w:rPr>
          <w:rFonts w:ascii="Arial" w:cs="Arial" w:eastAsia="Arial" w:hAnsi="Arial"/>
          <w:sz w:val="16"/>
          <w:szCs w:val="16"/>
          <w:color w:val="auto"/>
        </w:rPr>
      </w:pPr>
    </w:p>
    <w:p>
      <w:pPr>
        <w:ind w:left="580" w:hanging="383"/>
        <w:spacing w:after="0"/>
        <w:tabs>
          <w:tab w:leader="none" w:pos="5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such amounts required to reimburse him for COBRA payments for continuation of his medical health benefits for such twelve-month period.</w:t>
      </w:r>
    </w:p>
    <w:p>
      <w:pPr>
        <w:spacing w:after="0" w:line="2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in the event Dr. Snodgrass terminates his employment with good reason, he is entitled to twelve months of his then-current base salary payable in the form of salary continuation.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22, 2016, the Compensation Committee amended Mr. Singh’s employment agreement to increase his base salary to $395,000 per year, effective June 16,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affected by us without the executive’s consent (subject to our right to cure):</w:t>
      </w:r>
    </w:p>
    <w:p>
      <w:pPr>
        <w:spacing w:after="0" w:line="214" w:lineRule="exact"/>
        <w:rPr>
          <w:sz w:val="20"/>
          <w:szCs w:val="20"/>
          <w:color w:val="auto"/>
        </w:rPr>
      </w:pPr>
    </w:p>
    <w:p>
      <w:pPr>
        <w:ind w:left="580" w:hanging="383"/>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52"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9" w:name="page150"/>
    <w:bookmarkEnd w:id="14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their respective employment agreements, as recently amended, the estimated amount that could be paid by us assuming that a change of control occurred on the last business day of our current fiscal year, is $395,000 for Mr. Singh and $350,000 for Dr. Snodgrass, excluding the imputed value of accelerated vesting of incentive stock options, if 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retainer, payable in cash or shares of common stock.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did not pay our independent directors any cash compensation during our fiscal years ended March 31, 2016 or 2015.</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our director compensation policy, as updated in March 2016, each independent director will also receive an annual grant of an option or warrant to purchase a minimum of 12,000 shares of our common stock, which will vest monthly over a one-year period from the date of grant. In September 2015, we granted fully vested warrants to purchase 50,000 shares of our restricted common stock at an exercise price of $9.25 per share to each of Mr. Saxe and Dr. Underdown. In November 2015, we modified those warrants, and others granted to them previously, to reduce the exercise price to $7.00 per share. On March 30, 2016, we granted an option to purchase 25,000 shares of our common stock to Dr. Gin upon his appointment to the Board, in accordance with the director compensation policy described above. We expect to make future grants on the same date as our annual meeting, or as soon thereafter as reasonably practicable. Prorated grants will be made for partial years of service.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compensation earned by our non-employee directors in our fiscal year ended March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Fees Earned or</w:t>
            </w:r>
          </w:p>
        </w:tc>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Option and Warrant</w:t>
            </w:r>
          </w:p>
        </w:tc>
        <w:tc>
          <w:tcPr>
            <w:tcW w:w="18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440"/>
              <w:spacing w:after="0" w:line="216" w:lineRule="exact"/>
              <w:rPr>
                <w:sz w:val="20"/>
                <w:szCs w:val="20"/>
                <w:color w:val="auto"/>
              </w:rPr>
            </w:pPr>
            <w:r>
              <w:rPr>
                <w:rFonts w:ascii="Arial" w:cs="Arial" w:eastAsia="Arial" w:hAnsi="Arial"/>
                <w:sz w:val="18"/>
                <w:szCs w:val="18"/>
                <w:b w:val="1"/>
                <w:bCs w:val="1"/>
                <w:color w:val="auto"/>
                <w:w w:val="88"/>
              </w:rPr>
              <w:t xml:space="preserve">Paid in Cash </w:t>
            </w:r>
            <w:r>
              <w:rPr>
                <w:rFonts w:ascii="Arial" w:cs="Arial" w:eastAsia="Arial" w:hAnsi="Arial"/>
                <w:sz w:val="25"/>
                <w:szCs w:val="25"/>
                <w:b w:val="1"/>
                <w:bCs w:val="1"/>
                <w:color w:val="auto"/>
                <w:w w:val="88"/>
                <w:vertAlign w:val="superscript"/>
              </w:rPr>
              <w:t>(1)</w:t>
            </w:r>
          </w:p>
        </w:tc>
        <w:tc>
          <w:tcPr>
            <w:tcW w:w="260" w:type="dxa"/>
            <w:vAlign w:val="bottom"/>
          </w:tcPr>
          <w:p>
            <w:pPr>
              <w:spacing w:after="0"/>
              <w:rPr>
                <w:sz w:val="18"/>
                <w:szCs w:val="18"/>
                <w:color w:val="auto"/>
              </w:rPr>
            </w:pPr>
          </w:p>
        </w:tc>
        <w:tc>
          <w:tcPr>
            <w:tcW w:w="1680" w:type="dxa"/>
            <w:vAlign w:val="bottom"/>
            <w:gridSpan w:val="2"/>
          </w:tcPr>
          <w:p>
            <w:pPr>
              <w:jc w:val="center"/>
              <w:ind w:right="580"/>
              <w:spacing w:after="0" w:line="216" w:lineRule="exact"/>
              <w:rPr>
                <w:sz w:val="20"/>
                <w:szCs w:val="20"/>
                <w:color w:val="auto"/>
              </w:rPr>
            </w:pPr>
            <w:r>
              <w:rPr>
                <w:rFonts w:ascii="Arial" w:cs="Arial" w:eastAsia="Arial" w:hAnsi="Arial"/>
                <w:sz w:val="18"/>
                <w:szCs w:val="18"/>
                <w:b w:val="1"/>
                <w:bCs w:val="1"/>
                <w:color w:val="auto"/>
                <w:w w:val="86"/>
              </w:rPr>
              <w:t xml:space="preserve">Awards </w:t>
            </w:r>
            <w:r>
              <w:rPr>
                <w:rFonts w:ascii="Arial" w:cs="Arial" w:eastAsia="Arial" w:hAnsi="Arial"/>
                <w:sz w:val="25"/>
                <w:szCs w:val="25"/>
                <w:b w:val="1"/>
                <w:bCs w:val="1"/>
                <w:color w:val="auto"/>
                <w:w w:val="86"/>
                <w:vertAlign w:val="superscript"/>
              </w:rPr>
              <w:t>(2)</w:t>
            </w:r>
          </w:p>
        </w:tc>
        <w:tc>
          <w:tcPr>
            <w:tcW w:w="18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Compensation</w:t>
            </w:r>
          </w:p>
        </w:tc>
        <w:tc>
          <w:tcPr>
            <w:tcW w:w="360" w:type="dxa"/>
            <w:vAlign w:val="bottom"/>
          </w:tcPr>
          <w:p>
            <w:pPr>
              <w:spacing w:after="0"/>
              <w:rPr>
                <w:sz w:val="18"/>
                <w:szCs w:val="18"/>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5"/>
                <w:szCs w:val="25"/>
                <w:color w:val="auto"/>
                <w:vertAlign w:val="superscript"/>
              </w:rPr>
              <w:t>(3)</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324,816</w:t>
            </w:r>
            <w:r>
              <w:rPr>
                <w:rFonts w:ascii="Arial" w:cs="Arial" w:eastAsia="Arial" w:hAnsi="Arial"/>
                <w:sz w:val="12"/>
                <w:szCs w:val="12"/>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5"/>
                <w:szCs w:val="25"/>
                <w:color w:val="auto"/>
                <w:vertAlign w:val="superscript"/>
              </w:rPr>
              <w:t>(4)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57,500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324,400</w:t>
            </w:r>
            <w:r>
              <w:rPr>
                <w:rFonts w:ascii="Arial" w:cs="Arial" w:eastAsia="Arial" w:hAnsi="Arial"/>
                <w:sz w:val="12"/>
                <w:szCs w:val="12"/>
                <w:color w:val="auto"/>
              </w:rPr>
              <w:t>(6)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381,900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5"/>
                <w:szCs w:val="25"/>
                <w:color w:val="auto"/>
                <w:vertAlign w:val="superscript"/>
              </w:rPr>
              <w:t>(5)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181,103</w:t>
            </w:r>
            <w:r>
              <w:rPr>
                <w:rFonts w:ascii="Arial" w:cs="Arial" w:eastAsia="Arial" w:hAnsi="Arial"/>
                <w:sz w:val="12"/>
                <w:szCs w:val="12"/>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amounts shown represent fees earned for service on our Board of Directors, and Audit Committee, Compensation Committee and Corporate Governance and Nominating Committee during the fiscal year ended March 31, 2016 which we accrued in full at that date and a portion of which has been paid to the director through the date of this Annual Report on Form 10-K.</w:t>
      </w:r>
    </w:p>
    <w:p>
      <w:pPr>
        <w:spacing w:after="0" w:line="181" w:lineRule="exact"/>
        <w:rPr>
          <w:rFonts w:ascii="Arial" w:cs="Arial" w:eastAsia="Arial" w:hAnsi="Arial"/>
          <w:sz w:val="18"/>
          <w:szCs w:val="18"/>
          <w:color w:val="auto"/>
        </w:rPr>
      </w:pPr>
    </w:p>
    <w:p>
      <w:pPr>
        <w:jc w:val="both"/>
        <w:ind w:left="500" w:hanging="492"/>
        <w:spacing w:after="0" w:line="271" w:lineRule="auto"/>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amounts in the Option and Warrant Awards column represent the aggregate grant date fair value of warrants or options to purchase shares of our common stock awarded to Mr. Saxe, Dr. Underdown and Dr. Gin, and the effect of modifications to prior grants of warrants to Mr. Saxe and Dr. Underdown occurring during our fiscal year ended March 31, 2016, computed in accordance with the Financial Accounting Standards Board’s Accounting Standards Codification Topic 718, Compensation –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The amounts in this column do not represent any cash payments actually received by Mr. Saxe, Dr. Underdown or Dr. Gin with respect to any of such warrants or options to purchase shares of our common stock awarded to them during the fiscal year ended March 31, 2016. To date, Mr. Saxe, Dr. Underdown and Dr. Gin have not exercised such warrants or options to purchase common stock, and there can be no assurance that any of them will ever realize any of the ASC 718 grant date fair value amounts presented in the Option and Warrant Awards column.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0" w:name="page151"/>
    <w:bookmarkEnd w:id="15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left="500" w:hanging="492"/>
        <w:spacing w:after="0" w:line="25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Saxe has served as the Chairman of our Board of Directors, the Chairman of our Audit Committee and a member of our Compensation Committee and Corporate Governance and Nominating Committee throughout our fiscal year ended March 31, 2016. At March 31, 2016, Mr. Saxe holds: (i) 1,875 restricted shares of our common stock; (ii) fully-vested options to purchase 12,250 registered shares of our common stock; and (iii) warrants to purchase 83,250 restricted shares of our common stock, of which 82,438 shares are exercisable and of which the remaining 812 shares became exercisable on April 1, 2016.</w:t>
      </w:r>
    </w:p>
    <w:p>
      <w:pPr>
        <w:spacing w:after="0" w:line="188"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Dr. Underdown has served as a member of our Board of Directors, as the Chairman of our Compensation Committee and Corporate Governance and Nominating Committee and as a member of our Audit Committee throughout our fiscal year ended March 31, 2016. At March 31, 2016, Dr. Underdown holds: (i) fully-vested options to purchase 9,250 registered shares of our common stock and (ii) warrants to purchase 82,500 restricted shares of our common stock, of which 81,875 shares are exercisable as of March 31, 2016 and of which the remaining 625 shares became exercisable on April 1, 2016</w:t>
      </w:r>
    </w:p>
    <w:p>
      <w:pPr>
        <w:spacing w:after="0" w:line="18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Dr. Gin was appointed to our Board of Directors and as a member of our Audit Committee on March 29, 2016. At March 31, 2016, Dr. Gin holds an option to purchase 25,000 registered shares of our common stock granted in connection with his appointment to the Board, in accordance with the director compensation policy described above.</w:t>
      </w:r>
    </w:p>
    <w:p>
      <w:pPr>
        <w:spacing w:after="0" w:line="181" w:lineRule="exact"/>
        <w:rPr>
          <w:rFonts w:ascii="Arial" w:cs="Arial" w:eastAsia="Arial" w:hAnsi="Arial"/>
          <w:sz w:val="18"/>
          <w:szCs w:val="18"/>
          <w:color w:val="auto"/>
        </w:rPr>
      </w:pPr>
    </w:p>
    <w:p>
      <w:pPr>
        <w:jc w:val="both"/>
        <w:ind w:left="500" w:right="20" w:hanging="492"/>
        <w:spacing w:after="0" w:line="264"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warrant awards and modifications we granted to Mr. Saxe and Dr. Underdown during fiscal 2016 and the assumptions used in the Black Scholes Option Pricing Model to determine the grant date fair values of the respective awards and modifications.</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w w:val="96"/>
              </w:rPr>
              <w:t>Warrant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Warrant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Grant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180"/>
              <w:spacing w:after="0"/>
              <w:rPr>
                <w:sz w:val="20"/>
                <w:szCs w:val="20"/>
                <w:color w:val="auto"/>
              </w:rPr>
            </w:pPr>
            <w:r>
              <w:rPr>
                <w:rFonts w:ascii="Arial" w:cs="Arial" w:eastAsia="Arial" w:hAnsi="Arial"/>
                <w:sz w:val="18"/>
                <w:szCs w:val="18"/>
                <w:color w:val="auto"/>
                <w:w w:val="97"/>
              </w:rPr>
              <w:t>Modification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3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w w:val="96"/>
              </w:rPr>
              <w:t>9/2/2015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11/11/2015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Total</w:t>
            </w:r>
          </w:p>
        </w:tc>
      </w:tr>
      <w:tr>
        <w:trPr>
          <w:trHeight w:val="216"/>
        </w:trPr>
        <w:tc>
          <w:tcPr>
            <w:tcW w:w="4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Saxe</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284,066</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40,750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324,816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Underdown</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284,066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40,334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324,400</w:t>
            </w:r>
          </w:p>
        </w:tc>
      </w:tr>
      <w:tr>
        <w:trPr>
          <w:trHeight w:val="27"/>
        </w:trPr>
        <w:tc>
          <w:tcPr>
            <w:tcW w:w="43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380" w:type="dxa"/>
            <w:vAlign w:val="bottom"/>
            <w:shd w:val="clear" w:color="auto" w:fill="CCEEFF"/>
          </w:tcPr>
          <w:p>
            <w:pPr>
              <w:spacing w:after="0"/>
              <w:rPr>
                <w:sz w:val="20"/>
                <w:szCs w:val="20"/>
                <w:color w:val="auto"/>
              </w:rPr>
            </w:pPr>
          </w:p>
        </w:tc>
        <w:tc>
          <w:tcPr>
            <w:tcW w:w="2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568,132</w:t>
            </w:r>
          </w:p>
        </w:tc>
        <w:tc>
          <w:tcPr>
            <w:tcW w:w="30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81,084</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649,216</w:t>
            </w:r>
          </w:p>
        </w:tc>
      </w:tr>
      <w:tr>
        <w:trPr>
          <w:trHeight w:val="20"/>
        </w:trPr>
        <w:tc>
          <w:tcPr>
            <w:tcW w:w="43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4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20" w:type="dxa"/>
            <w:vAlign w:val="bottom"/>
            <w:gridSpan w:val="12"/>
          </w:tcPr>
          <w:p>
            <w:pPr>
              <w:ind w:left="60"/>
              <w:spacing w:after="0"/>
              <w:rPr>
                <w:sz w:val="20"/>
                <w:szCs w:val="20"/>
                <w:color w:val="auto"/>
              </w:rPr>
            </w:pPr>
            <w:r>
              <w:rPr>
                <w:rFonts w:ascii="Arial" w:cs="Arial" w:eastAsia="Arial" w:hAnsi="Arial"/>
                <w:sz w:val="18"/>
                <w:szCs w:val="18"/>
                <w:color w:val="auto"/>
                <w:w w:val="95"/>
              </w:rPr>
              <w:t>Weighted Average (except shares)</w:t>
            </w:r>
          </w:p>
        </w:tc>
      </w:tr>
      <w:tr>
        <w:trPr>
          <w:trHeight w:val="223"/>
        </w:trPr>
        <w:tc>
          <w:tcPr>
            <w:tcW w:w="43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Before</w:t>
            </w:r>
          </w:p>
        </w:tc>
        <w:tc>
          <w:tcPr>
            <w:tcW w:w="240" w:type="dxa"/>
            <w:vAlign w:val="bottom"/>
            <w:tcBorders>
              <w:top w:val="single" w:sz="8" w:color="auto"/>
            </w:tcBorders>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After</w:t>
            </w:r>
          </w:p>
        </w:tc>
        <w:tc>
          <w:tcPr>
            <w:tcW w:w="200" w:type="dxa"/>
            <w:vAlign w:val="bottom"/>
            <w:gridSpan w:val="2"/>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9.11</w:t>
            </w:r>
          </w:p>
        </w:tc>
        <w:tc>
          <w:tcPr>
            <w:tcW w:w="200" w:type="dxa"/>
            <w:vAlign w:val="bottom"/>
            <w:tcBorders>
              <w:lef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9.25</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Volatility</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76.21%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78.56%</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5.00</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Dividend rate</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3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lef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Fair value per share</w:t>
            </w:r>
          </w:p>
        </w:tc>
        <w:tc>
          <w:tcPr>
            <w:tcW w:w="2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5.68</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100,000</w:t>
            </w:r>
          </w:p>
        </w:tc>
        <w:tc>
          <w:tcPr>
            <w:tcW w:w="1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165,750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165,750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500" w:right="400"/>
        <w:spacing w:after="0" w:line="277" w:lineRule="auto"/>
        <w:rPr>
          <w:sz w:val="20"/>
          <w:szCs w:val="20"/>
          <w:color w:val="auto"/>
        </w:rPr>
      </w:pPr>
      <w:r>
        <w:rPr>
          <w:rFonts w:ascii="Arial" w:cs="Arial" w:eastAsia="Arial" w:hAnsi="Arial"/>
          <w:sz w:val="18"/>
          <w:szCs w:val="18"/>
          <w:color w:val="auto"/>
        </w:rPr>
        <w:t>Mr. Saxe and Dr. Underdown were each granted warrants to purchase 50,000 restricted shares of our common stock. We modified warrants to purchase an aggregate of 83,250 shares and 82,500 shares held by Mr. Saxe and Dr. Underdown,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1" w:name="page152"/>
    <w:bookmarkEnd w:id="15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500" w:right="2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award we granted to Dr. Gin during fiscal 2016 and the assumptions used in the Black Scholes Option Pricing Model to determine the grant date fair value of the award as reported in the table above:</w:t>
      </w:r>
    </w:p>
    <w:p>
      <w:pPr>
        <w:spacing w:after="0" w:line="185"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8.00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Volatility</w:t>
            </w:r>
          </w:p>
        </w:tc>
        <w:tc>
          <w:tcPr>
            <w:tcW w:w="4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102.94%</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4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Dividend rate</w:t>
            </w:r>
          </w:p>
        </w:tc>
        <w:tc>
          <w:tcPr>
            <w:tcW w:w="4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7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Fair value per share</w:t>
            </w:r>
          </w:p>
        </w:tc>
        <w:tc>
          <w:tcPr>
            <w:tcW w:w="4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7.24</w:t>
            </w:r>
          </w:p>
        </w:tc>
      </w:tr>
      <w:tr>
        <w:trPr>
          <w:trHeight w:val="216"/>
        </w:trPr>
        <w:tc>
          <w:tcPr>
            <w:tcW w:w="57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Option shares granted</w:t>
            </w:r>
          </w:p>
        </w:tc>
        <w:tc>
          <w:tcPr>
            <w:tcW w:w="438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currently listed on The Nasdaq Capital Market, which has a requirement that a majority of our directors be independent. Accordingly, we evaluate independence by the standards for director independence established by applicable laws, rules, and listing standards, including, without limitation, the standards for independent directors established by the SEC and the NASDAQ Stock Market.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Dr. Underdown and Dr. Gin are “independent” as that term is defined under the applicable rules and regulations of the SEC. Our Board of Directors has also determined that Mr. Saxe and Dr. Underdown, who comprise our audit committee, compensation committee, corporate governance and nominating committee, and Dr. Gin, who serves as a member of our audit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52" w:name="page153"/>
    <w:bookmarkEnd w:id="15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22, 2016 for:</w:t>
      </w:r>
    </w:p>
    <w:p>
      <w:pPr>
        <w:spacing w:after="0" w:line="225" w:lineRule="exact"/>
        <w:rPr>
          <w:sz w:val="20"/>
          <w:szCs w:val="20"/>
          <w:color w:val="auto"/>
        </w:rPr>
      </w:pPr>
    </w:p>
    <w:p>
      <w:pPr>
        <w:ind w:left="680" w:hanging="474"/>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23" w:lineRule="exact"/>
        <w:rPr>
          <w:rFonts w:ascii="Arial" w:cs="Arial" w:eastAsia="Arial" w:hAnsi="Arial"/>
          <w:sz w:val="18"/>
          <w:szCs w:val="18"/>
          <w:color w:val="auto"/>
        </w:rPr>
      </w:pPr>
    </w:p>
    <w:p>
      <w:pPr>
        <w:ind w:left="680" w:hanging="474"/>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 w:lineRule="exact"/>
        <w:rPr>
          <w:rFonts w:ascii="Arial" w:cs="Arial" w:eastAsia="Arial" w:hAnsi="Arial"/>
          <w:sz w:val="18"/>
          <w:szCs w:val="18"/>
          <w:color w:val="auto"/>
        </w:rPr>
      </w:pPr>
    </w:p>
    <w:p>
      <w:pPr>
        <w:ind w:left="680" w:hanging="474"/>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 w:lineRule="exact"/>
        <w:rPr>
          <w:rFonts w:ascii="Arial" w:cs="Arial" w:eastAsia="Arial" w:hAnsi="Arial"/>
          <w:sz w:val="18"/>
          <w:szCs w:val="18"/>
          <w:color w:val="auto"/>
        </w:rPr>
      </w:pPr>
    </w:p>
    <w:p>
      <w:pPr>
        <w:ind w:left="680" w:hanging="474"/>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Applicable percentage ownership is based on 7,970,705 shares of common stock outstanding at June 22, 2016.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June 22, 2016.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June 22, 2016. Unless otherwise noted below, the address of each beneficial owner listed in the table is c/o VistaGen Therapeutics, Inc., 343 Allerton Avenue, South San Francisco, California 94080.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shares</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41"/>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owned</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owned (1)</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5"/>
                <w:szCs w:val="25"/>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589,412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5"/>
                <w:szCs w:val="25"/>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386,793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5"/>
                <w:szCs w:val="25"/>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5"/>
                <w:szCs w:val="25"/>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171,677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5"/>
                <w:szCs w:val="25"/>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97,001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5"/>
                <w:szCs w:val="25"/>
                <w:color w:val="auto"/>
                <w:vertAlign w:val="superscript"/>
              </w:rPr>
              <w:t>(7)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91,750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5"/>
                <w:szCs w:val="25"/>
                <w:color w:val="auto"/>
                <w:vertAlign w:val="superscript"/>
              </w:rPr>
              <w:t>(8)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Stockholders: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line="216" w:lineRule="exact"/>
              <w:rPr>
                <w:sz w:val="20"/>
                <w:szCs w:val="20"/>
                <w:color w:val="auto"/>
              </w:rPr>
            </w:pPr>
            <w:r>
              <w:rPr>
                <w:rFonts w:ascii="Arial" w:cs="Arial" w:eastAsia="Arial" w:hAnsi="Arial"/>
                <w:sz w:val="18"/>
                <w:szCs w:val="18"/>
                <w:color w:val="auto"/>
              </w:rPr>
              <w:t xml:space="preserve">Platinum Long Term Growth Fund VII/Montsant Partners, LLC </w:t>
            </w:r>
            <w:r>
              <w:rPr>
                <w:rFonts w:ascii="Arial" w:cs="Arial" w:eastAsia="Arial" w:hAnsi="Arial"/>
                <w:sz w:val="25"/>
                <w:szCs w:val="25"/>
                <w:color w:val="auto"/>
                <w:vertAlign w:val="superscript"/>
              </w:rPr>
              <w:t>(9)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4,970,012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Empery Asset Management, LP </w:t>
            </w:r>
            <w:r>
              <w:rPr>
                <w:rFonts w:ascii="Arial" w:cs="Arial" w:eastAsia="Arial" w:hAnsi="Arial"/>
                <w:sz w:val="25"/>
                <w:szCs w:val="25"/>
                <w:color w:val="auto"/>
                <w:vertAlign w:val="superscript"/>
              </w:rPr>
              <w:t>(10)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761,267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line="216" w:lineRule="exact"/>
              <w:rPr>
                <w:sz w:val="20"/>
                <w:szCs w:val="20"/>
                <w:color w:val="auto"/>
              </w:rPr>
            </w:pPr>
            <w:r>
              <w:rPr>
                <w:rFonts w:ascii="Arial" w:cs="Arial" w:eastAsia="Arial" w:hAnsi="Arial"/>
                <w:sz w:val="18"/>
                <w:szCs w:val="18"/>
                <w:color w:val="auto"/>
              </w:rPr>
              <w:t xml:space="preserve">Sabby Management, LLC </w:t>
            </w:r>
            <w:r>
              <w:rPr>
                <w:rFonts w:ascii="Arial" w:cs="Arial" w:eastAsia="Arial" w:hAnsi="Arial"/>
                <w:sz w:val="25"/>
                <w:szCs w:val="25"/>
                <w:color w:val="auto"/>
                <w:vertAlign w:val="superscript"/>
              </w:rPr>
              <w:t>(11)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761,267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Michael Goldberg </w:t>
            </w:r>
            <w:r>
              <w:rPr>
                <w:rFonts w:ascii="Arial" w:cs="Arial" w:eastAsia="Arial" w:hAnsi="Arial"/>
                <w:sz w:val="25"/>
                <w:szCs w:val="25"/>
                <w:color w:val="auto"/>
                <w:vertAlign w:val="superscript"/>
              </w:rPr>
              <w:t>(12)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464,970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Cato BioVentures </w:t>
            </w:r>
            <w:r>
              <w:rPr>
                <w:rFonts w:ascii="Arial" w:cs="Arial" w:eastAsia="Arial" w:hAnsi="Arial"/>
                <w:sz w:val="25"/>
                <w:szCs w:val="25"/>
                <w:color w:val="auto"/>
                <w:vertAlign w:val="superscript"/>
              </w:rPr>
              <w:t>(13)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561,775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Morrison &amp; Foerster LLP </w:t>
            </w:r>
            <w:r>
              <w:rPr>
                <w:rFonts w:ascii="Arial" w:cs="Arial" w:eastAsia="Arial" w:hAnsi="Arial"/>
                <w:sz w:val="25"/>
                <w:szCs w:val="25"/>
                <w:color w:val="auto"/>
                <w:vertAlign w:val="superscript"/>
              </w:rPr>
              <w:t>(14)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422,928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All executive officers and directors as a group (7 persons) </w:t>
            </w:r>
            <w:r>
              <w:rPr>
                <w:rFonts w:ascii="Arial" w:cs="Arial" w:eastAsia="Arial" w:hAnsi="Arial"/>
                <w:sz w:val="25"/>
                <w:szCs w:val="25"/>
                <w:color w:val="auto"/>
                <w:vertAlign w:val="superscript"/>
              </w:rPr>
              <w:t>(15)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1,344,966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spacing w:after="0" w:line="201" w:lineRule="exact"/>
              <w:rPr>
                <w:sz w:val="20"/>
                <w:szCs w:val="20"/>
                <w:color w:val="auto"/>
              </w:rPr>
            </w:pPr>
            <w:r>
              <w:rPr>
                <w:rFonts w:ascii="Arial" w:cs="Arial" w:eastAsia="Arial" w:hAnsi="Arial"/>
                <w:sz w:val="18"/>
                <w:szCs w:val="18"/>
                <w:color w:val="auto"/>
              </w:rPr>
              <w:t>____________</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7,970,705 shares of common stock issued and outstanding as of June 22, 2016.</w:t>
      </w:r>
    </w:p>
    <w:p>
      <w:pPr>
        <w:spacing w:after="0" w:line="252"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options to purchase 85,375 registered shares of common stock exercisable within 60 days of June 22, 2016 and warrants to purchase 477,803 restricted shares of common stock exercisable within 60 days of June 22, 2016. Excludes options to purchase 200,000 shares of registered common stock granted on June 19, 2016 not exercisable within 60 days of June 22, 2016 and of which 75,000 shares are subject to stockholder approval of an amendment to the Company's 2008 Stock Incentive Plan.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3" w:name="page154"/>
    <w:bookmarkEnd w:id="15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left="580" w:hanging="572"/>
        <w:spacing w:after="0" w:line="264"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options to purchase 16,569 registered shares of common stock exercisable within 60 days of June 22, 2016 and warrants to purchase 310,000 restricted shares of common stock exercisable within 60 days of June 22, 2016. Excludes options to purchase 125,000 shares of registered common stock granted on June 19, 2016 not exercisable within 60 days of June 22, 2016.</w:t>
      </w:r>
    </w:p>
    <w:p>
      <w:pPr>
        <w:spacing w:after="0" w:line="181" w:lineRule="exact"/>
        <w:rPr>
          <w:rFonts w:ascii="Arial" w:cs="Arial" w:eastAsia="Arial" w:hAnsi="Arial"/>
          <w:sz w:val="18"/>
          <w:szCs w:val="18"/>
          <w:color w:val="auto"/>
        </w:rPr>
      </w:pPr>
    </w:p>
    <w:p>
      <w:pPr>
        <w:ind w:left="580" w:right="20" w:hanging="572"/>
        <w:spacing w:after="0" w:line="308" w:lineRule="auto"/>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Excludes options to purchase 180,000 shares of registered common stock granted on June 19, 2016 not exercisable within 60 days of June 22, 2016 and of which 30,000 shares are subject to stockholder approval of an amendment to the Company's 2008 Stock Incentive Plan.</w:t>
      </w:r>
    </w:p>
    <w:p>
      <w:pPr>
        <w:spacing w:after="0" w:line="146" w:lineRule="exact"/>
        <w:rPr>
          <w:rFonts w:ascii="Arial" w:cs="Arial" w:eastAsia="Arial" w:hAnsi="Arial"/>
          <w:sz w:val="17"/>
          <w:szCs w:val="17"/>
          <w:color w:val="auto"/>
        </w:rPr>
      </w:pPr>
    </w:p>
    <w:p>
      <w:pPr>
        <w:jc w:val="both"/>
        <w:ind w:left="580" w:hanging="572"/>
        <w:spacing w:after="0" w:line="259"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options to purchase 6,677 registered shares of common stock exercisable within 60 days of June 22, 2016, including options to purchase 676 shares of common stock held by Mr. Dotson’s wife, and warrants to purchase 165,000 restricted shares of common stock exercisable within 60 days of June 22, 2016. Excludes options to purchase 75,000 shares of registered common stock granted on June 19, 2016 not exercisable within 60 days of June 22, 2016.</w:t>
      </w:r>
    </w:p>
    <w:p>
      <w:pPr>
        <w:spacing w:after="0" w:line="186"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options to purchase 11,875 registered shares of common stock exercisable within 60 days of June 22, 2016 and warrants to purchase 83,250 restricted shares of common stock exercisable within 60 days of June 22, 2016. Excludes options to purchase 25,000 shares of registered common stock granted on June 19, 2016 not exercisable within 60 days of June 19, 2016.</w:t>
      </w:r>
    </w:p>
    <w:p>
      <w:pPr>
        <w:spacing w:after="0" w:line="181"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options to purchase 9,250 registered shares of common stock exercisable within 60 days of June 22, 2016 and warrants to purchase 82,500 restricted shares of common stock exercisable within 60 days of June 22, 2016. Excludes options to purchase 25,000 shares of registered common stock granted on June 19, 2016 not exercisable within 60 days of June 22, 2016.</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options to purchase 4,166 registered shares of common stock exercisable within 60 days of June 22, 2016. Excludes options to purchase 25,000 shares of registered common stock granted on June 19, 2016 not exercisable within 60 days of June 22, 2016.</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upon information contained in Schedule 13G/A filed on February 18, 2015 by Platinum Long Term Growth Fund VII (</w:t>
      </w:r>
      <w:r>
        <w:rPr>
          <w:rFonts w:ascii="Arial" w:cs="Arial" w:eastAsia="Arial" w:hAnsi="Arial"/>
          <w:sz w:val="18"/>
          <w:szCs w:val="18"/>
          <w:i w:val="1"/>
          <w:iCs w:val="1"/>
          <w:color w:val="auto"/>
        </w:rPr>
        <w:t>PLTG</w:t>
      </w:r>
      <w:r>
        <w:rPr>
          <w:rFonts w:ascii="Arial" w:cs="Arial" w:eastAsia="Arial" w:hAnsi="Arial"/>
          <w:sz w:val="18"/>
          <w:szCs w:val="18"/>
          <w:color w:val="auto"/>
        </w:rPr>
        <w:t>) and adjusted to give effect to the transactions consummated between PLTG, Montsant Partners, LLC (</w:t>
      </w:r>
      <w:r>
        <w:rPr>
          <w:rFonts w:ascii="Arial" w:cs="Arial" w:eastAsia="Arial" w:hAnsi="Arial"/>
          <w:sz w:val="18"/>
          <w:szCs w:val="18"/>
          <w:i w:val="1"/>
          <w:iCs w:val="1"/>
          <w:color w:val="auto"/>
        </w:rPr>
        <w:t>Montsant</w:t>
      </w:r>
      <w:r>
        <w:rPr>
          <w:rFonts w:ascii="Arial" w:cs="Arial" w:eastAsia="Arial" w:hAnsi="Arial"/>
          <w:sz w:val="18"/>
          <w:szCs w:val="18"/>
          <w:color w:val="auto"/>
        </w:rPr>
        <w:t>), a PLTG affiliate, and Platinum Partners Value Arbitrage Fund, L.P. (</w:t>
      </w:r>
      <w:r>
        <w:rPr>
          <w:rFonts w:ascii="Arial" w:cs="Arial" w:eastAsia="Arial" w:hAnsi="Arial"/>
          <w:sz w:val="18"/>
          <w:szCs w:val="18"/>
          <w:i w:val="1"/>
          <w:iCs w:val="1"/>
          <w:color w:val="auto"/>
        </w:rPr>
        <w:t>PPVA</w:t>
      </w:r>
      <w:r>
        <w:rPr>
          <w:rFonts w:ascii="Arial" w:cs="Arial" w:eastAsia="Arial" w:hAnsi="Arial"/>
          <w:sz w:val="18"/>
          <w:szCs w:val="18"/>
          <w:color w:val="auto"/>
        </w:rPr>
        <w:t>), another PLTG affiliate, and us through June 22, 2016.</w:t>
      </w:r>
    </w:p>
    <w:p>
      <w:pPr>
        <w:spacing w:after="0" w:line="181" w:lineRule="exact"/>
        <w:rPr>
          <w:rFonts w:ascii="Arial" w:cs="Arial" w:eastAsia="Arial" w:hAnsi="Arial"/>
          <w:sz w:val="18"/>
          <w:szCs w:val="18"/>
          <w:color w:val="auto"/>
        </w:rPr>
      </w:pPr>
    </w:p>
    <w:p>
      <w:pPr>
        <w:jc w:val="both"/>
        <w:ind w:left="580"/>
        <w:spacing w:after="0" w:line="293" w:lineRule="auto"/>
        <w:rPr>
          <w:rFonts w:ascii="Arial" w:cs="Arial" w:eastAsia="Arial" w:hAnsi="Arial"/>
          <w:sz w:val="18"/>
          <w:szCs w:val="18"/>
          <w:color w:val="auto"/>
        </w:rPr>
      </w:pPr>
      <w:r>
        <w:rPr>
          <w:rFonts w:ascii="Arial" w:cs="Arial" w:eastAsia="Arial" w:hAnsi="Arial"/>
          <w:sz w:val="16"/>
          <w:szCs w:val="16"/>
          <w:color w:val="auto"/>
        </w:rPr>
        <w:t>The number of beneficially owned shares reported includes 637,500 restricted shares of common stock that may currently be acquired by Montsant upon exchange of 425,000 restricted shares of our Series A Preferred Stock (</w:t>
      </w:r>
      <w:r>
        <w:rPr>
          <w:rFonts w:ascii="Arial" w:cs="Arial" w:eastAsia="Arial" w:hAnsi="Arial"/>
          <w:sz w:val="16"/>
          <w:szCs w:val="16"/>
          <w:i w:val="1"/>
          <w:iCs w:val="1"/>
          <w:color w:val="auto"/>
        </w:rPr>
        <w:t>Series A Preferred</w:t>
      </w:r>
      <w:r>
        <w:rPr>
          <w:rFonts w:ascii="Arial" w:cs="Arial" w:eastAsia="Arial" w:hAnsi="Arial"/>
          <w:sz w:val="16"/>
          <w:szCs w:val="16"/>
          <w:color w:val="auto"/>
        </w:rPr>
        <w:t>). Pursuant to the October 11, 2012 Note Exchange and Purchase Agreement by and between us and PLTG, there is, however, a limitation on exchange such that the number of shares of our common stock that may be acquired by PLTG or its affiliates upon exchange of the Series A Preferred is limited to the extent necessary to ensure that, following such exchange, the total number of shares of our common stock then beneficially owned by PLTG or its affiliates does not exceed 9.99% of the total number of our then issued and outstanding shares of common stock without providing us with 61 days’ prior notice thereof.</w:t>
      </w:r>
    </w:p>
    <w:p>
      <w:pPr>
        <w:spacing w:after="0" w:line="164" w:lineRule="exact"/>
        <w:rPr>
          <w:rFonts w:ascii="Arial" w:cs="Arial" w:eastAsia="Arial" w:hAnsi="Arial"/>
          <w:sz w:val="18"/>
          <w:szCs w:val="18"/>
          <w:color w:val="auto"/>
        </w:rPr>
      </w:pPr>
    </w:p>
    <w:p>
      <w:pPr>
        <w:jc w:val="both"/>
        <w:ind w:left="580"/>
        <w:spacing w:after="0" w:line="272" w:lineRule="auto"/>
        <w:rPr>
          <w:rFonts w:ascii="Arial" w:cs="Arial" w:eastAsia="Arial" w:hAnsi="Arial"/>
          <w:sz w:val="18"/>
          <w:szCs w:val="18"/>
          <w:color w:val="auto"/>
        </w:rPr>
      </w:pPr>
      <w:r>
        <w:rPr>
          <w:rFonts w:ascii="Arial" w:cs="Arial" w:eastAsia="Arial" w:hAnsi="Arial"/>
          <w:sz w:val="17"/>
          <w:szCs w:val="17"/>
          <w:color w:val="auto"/>
        </w:rPr>
        <w:t>Further, the reported number of shares beneficially owned by Montsant also includes 1,219,169 shares of common stock pursuant to its ownership of 1,219,169 shares of our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4" w:name="page155"/>
    <w:bookmarkEnd w:id="15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left="500" w:right="100"/>
        <w:spacing w:after="0" w:line="272" w:lineRule="auto"/>
        <w:rPr>
          <w:sz w:val="20"/>
          <w:szCs w:val="20"/>
          <w:color w:val="auto"/>
        </w:rPr>
      </w:pPr>
      <w:r>
        <w:rPr>
          <w:rFonts w:ascii="Arial" w:cs="Arial" w:eastAsia="Arial" w:hAnsi="Arial"/>
          <w:sz w:val="17"/>
          <w:szCs w:val="17"/>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7"/>
          <w:szCs w:val="17"/>
          <w:i w:val="1"/>
          <w:iCs w:val="1"/>
          <w:color w:val="auto"/>
        </w:rPr>
        <w:t>Series C Preferred</w:t>
      </w:r>
      <w:r>
        <w:rPr>
          <w:rFonts w:ascii="Arial" w:cs="Arial" w:eastAsia="Arial" w:hAnsi="Arial"/>
          <w:sz w:val="17"/>
          <w:szCs w:val="17"/>
          <w:color w:val="auto"/>
        </w:rPr>
        <w:t>), immediately convertible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w:t>
      </w:r>
    </w:p>
    <w:p>
      <w:pPr>
        <w:spacing w:after="0" w:line="178" w:lineRule="exact"/>
        <w:rPr>
          <w:sz w:val="20"/>
          <w:szCs w:val="20"/>
          <w:color w:val="auto"/>
        </w:rPr>
      </w:pPr>
    </w:p>
    <w:p>
      <w:pPr>
        <w:jc w:val="both"/>
        <w:ind w:left="500" w:right="100"/>
        <w:spacing w:after="0" w:line="259" w:lineRule="auto"/>
        <w:rPr>
          <w:sz w:val="20"/>
          <w:szCs w:val="20"/>
          <w:color w:val="auto"/>
        </w:rPr>
      </w:pPr>
      <w:r>
        <w:rPr>
          <w:rFonts w:ascii="Arial" w:cs="Arial" w:eastAsia="Arial" w:hAnsi="Arial"/>
          <w:sz w:val="18"/>
          <w:szCs w:val="18"/>
          <w:color w:val="auto"/>
        </w:rPr>
        <w:t>Excluding the shares otherwise subject to the beneficial ownership restrictions noted above, PLTG, Montsant and PPVA beneficially own 795,331 shares or 9.98% of our common stock. The primary business address of PLTG and Montsant Partners, LLC is c/o Platinum Partners, 250 West 55th Street, 14th Floor, New York, New York 10019. Mark Nordlicht has voting and investment control over the shares held by PLTG, Montsant and PPVA.</w:t>
      </w:r>
    </w:p>
    <w:p>
      <w:pPr>
        <w:spacing w:after="0" w:line="187" w:lineRule="exact"/>
        <w:rPr>
          <w:sz w:val="20"/>
          <w:szCs w:val="20"/>
          <w:color w:val="auto"/>
        </w:rPr>
      </w:pPr>
    </w:p>
    <w:p>
      <w:pPr>
        <w:jc w:val="both"/>
        <w:ind w:left="500" w:hanging="492"/>
        <w:spacing w:after="0" w:line="254"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Based upon information contained in Form 13G filed on May 19, 2016. The number of shares reported excludes immediately exercisable warrants to purchase 761,267 registered shares of our common stock, which warrants are subject to a limitation on exercise such that the number of shares of common stock that Empery Asset Management, LP and its affiliates, Empery Asset master, Ltd.; Empery Tax Efficient, LP; and Empery Tax Efficient II, LP (together, </w:t>
      </w:r>
      <w:r>
        <w:rPr>
          <w:rFonts w:ascii="Arial" w:cs="Arial" w:eastAsia="Arial" w:hAnsi="Arial"/>
          <w:sz w:val="18"/>
          <w:szCs w:val="18"/>
          <w:i w:val="1"/>
          <w:iCs w:val="1"/>
          <w:color w:val="auto"/>
        </w:rPr>
        <w:t>Empery</w:t>
      </w:r>
      <w:r>
        <w:rPr>
          <w:rFonts w:ascii="Arial" w:cs="Arial" w:eastAsia="Arial" w:hAnsi="Arial"/>
          <w:sz w:val="18"/>
          <w:szCs w:val="18"/>
          <w:color w:val="auto"/>
        </w:rPr>
        <w:t>) may beneficially acquire upon such exercise is limited to the extent necessary to ensure that, following such exercise, the total number of shares of common stock then beneficially owned by Empery does not exceed 4.99% of the total number of issued and outstanding shares of our common stock without providing us with 61 days’ prior notice thereof. The primary business address of Empery Asset Management, LP and its affiliates is 1 Rockefeller Plaza, Suite 1205, New York, New York 10020. Messrs. Ryan M. Lane and Martin D. Hoe have voting and investment control over the shares held by Empery.</w:t>
      </w:r>
    </w:p>
    <w:p>
      <w:pPr>
        <w:spacing w:after="0" w:line="192" w:lineRule="exact"/>
        <w:rPr>
          <w:rFonts w:ascii="Arial" w:cs="Arial" w:eastAsia="Arial" w:hAnsi="Arial"/>
          <w:sz w:val="18"/>
          <w:szCs w:val="18"/>
          <w:color w:val="auto"/>
        </w:rPr>
      </w:pPr>
    </w:p>
    <w:p>
      <w:pPr>
        <w:jc w:val="both"/>
        <w:ind w:left="500" w:hanging="492"/>
        <w:spacing w:after="0" w:line="291" w:lineRule="auto"/>
        <w:tabs>
          <w:tab w:leader="none" w:pos="5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Based upon information contained in Form 13G filed on May 13, 2016. The number of shares reported excludes immediately exercisable warrants to purchase 761,267 registered shares of our common stock, which warrants are subject to a limitation on exercise such that the number of shares of common stock that Sabby Management, LLC and its affiliates, Sabby Healthcare Master Fund, Ltd. and Sabby Volatility Warrant Master Fund, Ltd. (together, </w:t>
      </w:r>
      <w:r>
        <w:rPr>
          <w:rFonts w:ascii="Arial" w:cs="Arial" w:eastAsia="Arial" w:hAnsi="Arial"/>
          <w:sz w:val="16"/>
          <w:szCs w:val="16"/>
          <w:i w:val="1"/>
          <w:iCs w:val="1"/>
          <w:color w:val="auto"/>
        </w:rPr>
        <w:t>Sabby</w:t>
      </w:r>
      <w:r>
        <w:rPr>
          <w:rFonts w:ascii="Arial" w:cs="Arial" w:eastAsia="Arial" w:hAnsi="Arial"/>
          <w:sz w:val="16"/>
          <w:szCs w:val="16"/>
          <w:color w:val="auto"/>
        </w:rPr>
        <w:t>) may beneficially acquire upon such exercise is limited to the extent necessary to ensure that, following such exercise, the total number of shares of common stock then beneficially owned by Sabby does not exceed 4.99% of the total number of issued and outstanding shares of our common stock without providing us with 61 days’ prior notice thereof. The primary business address of Sabby Mangement, LLC and its affiliates is 10 Mountainview Road, Suite 205, Upper Saddle River, New Jersey 07458. Hal Mintz has voting and investment control over the shares held by Sabby.</w:t>
      </w:r>
    </w:p>
    <w:p>
      <w:pPr>
        <w:spacing w:after="0" w:line="194" w:lineRule="exact"/>
        <w:rPr>
          <w:rFonts w:ascii="Arial" w:cs="Arial" w:eastAsia="Arial" w:hAnsi="Arial"/>
          <w:sz w:val="16"/>
          <w:szCs w:val="16"/>
          <w:color w:val="auto"/>
        </w:rPr>
      </w:pPr>
    </w:p>
    <w:p>
      <w:pPr>
        <w:jc w:val="both"/>
        <w:ind w:left="520" w:right="100" w:hanging="512"/>
        <w:spacing w:after="0" w:line="259"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PLTG has transferred to Michael Goldberg (</w:t>
      </w:r>
      <w:r>
        <w:rPr>
          <w:rFonts w:ascii="Arial" w:cs="Arial" w:eastAsia="Arial" w:hAnsi="Arial"/>
          <w:sz w:val="18"/>
          <w:szCs w:val="18"/>
          <w:i w:val="1"/>
          <w:iCs w:val="1"/>
          <w:color w:val="auto"/>
        </w:rPr>
        <w:t>Goldberg</w:t>
      </w:r>
      <w:r>
        <w:rPr>
          <w:rFonts w:ascii="Arial" w:cs="Arial" w:eastAsia="Arial" w:hAnsi="Arial"/>
          <w:sz w:val="18"/>
          <w:szCs w:val="18"/>
          <w:color w:val="auto"/>
        </w:rPr>
        <w:t>) certain of the equity securities initially issued by us to PLTG. The conversion or exercise restrictions in those securities initially applicable to PLTG remain applicable to Goldberg. The number of shares reported as beneficially owned by Goldberg includes 112,500 restricted shares of common stock that may currently be acquired by Goldberg upon exchange of 75,000 restricted shares of our Series A Preferred.</w:t>
      </w:r>
    </w:p>
    <w:p>
      <w:pPr>
        <w:spacing w:after="0" w:line="186" w:lineRule="exact"/>
        <w:rPr>
          <w:rFonts w:ascii="Arial" w:cs="Arial" w:eastAsia="Arial" w:hAnsi="Arial"/>
          <w:sz w:val="18"/>
          <w:szCs w:val="18"/>
          <w:color w:val="auto"/>
        </w:rPr>
      </w:pPr>
    </w:p>
    <w:p>
      <w:pPr>
        <w:jc w:val="both"/>
        <w:ind w:left="520" w:right="100" w:hanging="512"/>
        <w:spacing w:after="0" w:line="264"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upon information contained in Form 4 filed on January 9, 2012, as updated to give effect to transactions through June 22, 2016 as recorded on our books. Lynda Sutton has voting and investment authority over the shares held by Cato Holding Company. The primary business address of Cato BioVentures is 4364 South Alston Avenue, Durham, North Carolina 27713.</w:t>
      </w:r>
    </w:p>
    <w:p>
      <w:pPr>
        <w:spacing w:after="0" w:line="181" w:lineRule="exact"/>
        <w:rPr>
          <w:rFonts w:ascii="Arial" w:cs="Arial" w:eastAsia="Arial" w:hAnsi="Arial"/>
          <w:sz w:val="18"/>
          <w:szCs w:val="18"/>
          <w:color w:val="auto"/>
        </w:rPr>
      </w:pPr>
    </w:p>
    <w:p>
      <w:pPr>
        <w:jc w:val="both"/>
        <w:ind w:left="520" w:right="100" w:hanging="512"/>
        <w:spacing w:after="0" w:line="264"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currently exercisable warrants to purchase 110,448 restricted shares of common stock. The primary business address of Morrison &amp; Foerster is 555 Market Street, San Francisco, California 94105. Mark Blumenthal has voting and investment control over the shares held by Morrison &amp; Foerster.</w:t>
      </w:r>
    </w:p>
    <w:p>
      <w:pPr>
        <w:spacing w:after="0" w:line="181" w:lineRule="exact"/>
        <w:rPr>
          <w:rFonts w:ascii="Arial" w:cs="Arial" w:eastAsia="Arial" w:hAnsi="Arial"/>
          <w:sz w:val="18"/>
          <w:szCs w:val="18"/>
          <w:color w:val="auto"/>
        </w:rPr>
      </w:pPr>
    </w:p>
    <w:p>
      <w:pPr>
        <w:jc w:val="both"/>
        <w:ind w:left="520" w:right="100" w:hanging="512"/>
        <w:spacing w:after="0" w:line="259"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options to purchase an aggregate of 138,079 registered shares of common stock exercisable within 60 days of June 22, 2016 and warrants to purchase an aggregate of 1,118,553 restricted shares of common stock exercisable within 60 days of June 22, 2016. Excludes options to purchase an aggregate of 525,000 shares of registered common stock and warrants to purchase an aggregate of 130,000 shares of unregistered common stock granted on June 19, 2016 not exercisable within 60 days of June 22, 2016.</w:t>
      </w:r>
    </w:p>
    <w:p>
      <w:pPr>
        <w:spacing w:after="0" w:line="3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130" w:right="139" w:bottom="1440" w:gutter="0" w:footer="0" w:header="0"/>
        </w:sectPr>
      </w:pPr>
    </w:p>
    <w:bookmarkStart w:id="155" w:name="page156"/>
    <w:bookmarkEnd w:id="15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2016, options to purchase a total of 336,987 restricted shares of our common stock were outstanding at a weighted average exercise price of $9.56 per share, of which 201,779 options were vested and exercisable at a weighted average exercise price of $10.11 per share and 135,208 were unvested and not exercisable at a weighted average exercise price of $8.74 per share. These options were issued under our 2008 Plan and our 1999 Plan, each as described below. At March 31, 2016, an additional 660,242 shares remained available for future equity grants under our 2008 Plan.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future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 -</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to be issued</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upon</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exercise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options,</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options,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warrants and</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warrants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rights</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and rights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column (a))</w:t>
            </w:r>
          </w:p>
        </w:tc>
      </w:tr>
      <w:tr>
        <w:trPr>
          <w:trHeight w:val="24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324,758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660,242</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336,987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9.56</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660,242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Stockholders of VistaGen California adopted our 2008 Plan on December 19, 2008 and we assumed the plan in connection with the Merger. In August 2015, our stockholders approved an amendment to the 2008 Plan to increase the number of shares of our common stock authorized for issuance to thereunder from 250,000 to 1.0 million shares.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8"/>
          <w:szCs w:val="18"/>
          <w:i w:val="1"/>
          <w:iCs w:val="1"/>
          <w:color w:val="auto"/>
        </w:rPr>
        <w:t>Code</w:t>
      </w:r>
      <w:r>
        <w:rPr>
          <w:rFonts w:ascii="Arial" w:cs="Arial" w:eastAsia="Arial" w:hAnsi="Arial"/>
          <w:sz w:val="18"/>
          <w:szCs w:val="18"/>
          <w:color w:val="auto"/>
        </w:rPr>
        <w:t>), is 1.0 million.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or the Compensation Committee of the Board of Directors, referred to as the “Administrator”, administers our 2008 Plan, including selecting the award recipients, determining the number of shares to be subject to each award, the exercise or purchase price of each award and the vesting and exercise periods of each award.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6" w:name="page157"/>
    <w:bookmarkEnd w:id="15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ten years. The Administrator determines the term and exercise or purchase price of all other awards granted under our 2008 Plan.</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51" w:lineRule="exact"/>
        <w:rPr>
          <w:sz w:val="20"/>
          <w:szCs w:val="20"/>
          <w:color w:val="auto"/>
        </w:rPr>
      </w:pPr>
    </w:p>
    <w:p>
      <w:pPr>
        <w:ind w:left="580" w:hanging="383"/>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52" w:lineRule="exact"/>
        <w:rPr>
          <w:rFonts w:ascii="Arial" w:cs="Arial" w:eastAsia="Arial" w:hAnsi="Arial"/>
          <w:sz w:val="18"/>
          <w:szCs w:val="18"/>
          <w:color w:val="auto"/>
        </w:rPr>
      </w:pPr>
    </w:p>
    <w:p>
      <w:pPr>
        <w:ind w:left="580" w:hanging="383"/>
        <w:spacing w:after="0" w:line="277"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Administrator by gift or pursuant to a domestic relations order to members of the participant’s immediate family.</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2008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Administrator).</w:t>
      </w:r>
    </w:p>
    <w:p>
      <w:pPr>
        <w:spacing w:after="0" w:line="2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maximum number of shares with respect to which options and stock appreciation rights may be granted to any participant in any calendar year will be 125,000 shares of common stock. In connection with a participant’s commencement of service with us, a participant may be granted options and stock appreciation rights for up to an additional 25,000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125,000 shares of common stock. The limits described in this paragraph are subject to adjustment in the event of any change in our capital structure as described below.</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7" w:name="page158"/>
    <w:bookmarkEnd w:id="15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terms and conditions of awards are determined by the Administrator, including the vesting schedule and any forfeiture provisions. Awards under the plan may vest upon the passage of time or upon the attainment of certain performance criteria. Although we do not currently have any awards outstanding that vest upon the attainment of performance criteria, the Administrator may establish criteria based on any one of, or combination of, the following:</w:t>
      </w:r>
    </w:p>
    <w:p>
      <w:pPr>
        <w:spacing w:after="0" w:line="174" w:lineRule="exact"/>
        <w:rPr>
          <w:sz w:val="20"/>
          <w:szCs w:val="20"/>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increase in share price;</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pre-tax profit;</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cash flow;</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revenue;</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expenses;</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earnings before interest, taxes and depreciation;</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economic value added; and</w:t>
      </w:r>
    </w:p>
    <w:p>
      <w:pPr>
        <w:spacing w:after="0" w:line="225" w:lineRule="exact"/>
        <w:rPr>
          <w:rFonts w:ascii="Arial" w:cs="Arial" w:eastAsia="Arial" w:hAnsi="Arial"/>
          <w:sz w:val="18"/>
          <w:szCs w:val="18"/>
          <w:color w:val="auto"/>
        </w:rPr>
      </w:pPr>
    </w:p>
    <w:p>
      <w:pPr>
        <w:ind w:left="580" w:hanging="383"/>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8" w:name="page159"/>
    <w:bookmarkEnd w:id="15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Under our 2008 Plan, a Corporate Transaction is generally defined as:</w:t>
      </w:r>
    </w:p>
    <w:p>
      <w:pPr>
        <w:spacing w:after="0" w:line="225" w:lineRule="exact"/>
        <w:rPr>
          <w:sz w:val="20"/>
          <w:szCs w:val="20"/>
          <w:color w:val="auto"/>
        </w:rPr>
      </w:pPr>
    </w:p>
    <w:p>
      <w:pPr>
        <w:ind w:left="580" w:hanging="383"/>
        <w:spacing w:after="0" w:line="277"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97" w:lineRule="exact"/>
        <w:rPr>
          <w:rFonts w:ascii="Arial" w:cs="Arial" w:eastAsia="Arial" w:hAnsi="Arial"/>
          <w:sz w:val="18"/>
          <w:szCs w:val="18"/>
          <w:color w:val="auto"/>
        </w:rPr>
      </w:pPr>
    </w:p>
    <w:p>
      <w:pPr>
        <w:jc w:val="both"/>
        <w:ind w:left="580" w:hanging="383"/>
        <w:spacing w:after="0" w:line="259"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213" w:lineRule="exact"/>
        <w:rPr>
          <w:rFonts w:ascii="Arial" w:cs="Arial" w:eastAsia="Arial" w:hAnsi="Arial"/>
          <w:sz w:val="18"/>
          <w:szCs w:val="18"/>
          <w:color w:val="auto"/>
        </w:rPr>
      </w:pPr>
    </w:p>
    <w:p>
      <w:pPr>
        <w:ind w:left="580" w:hanging="383"/>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our Corporation;</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merger or consolidation in which our Corporation is not the surviving entity; or</w:t>
      </w:r>
    </w:p>
    <w:p>
      <w:pPr>
        <w:spacing w:after="0" w:line="252" w:lineRule="exact"/>
        <w:rPr>
          <w:rFonts w:ascii="Arial" w:cs="Arial" w:eastAsia="Arial" w:hAnsi="Arial"/>
          <w:sz w:val="18"/>
          <w:szCs w:val="18"/>
          <w:color w:val="auto"/>
        </w:rPr>
      </w:pPr>
    </w:p>
    <w:p>
      <w:pPr>
        <w:ind w:left="580" w:hanging="383"/>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will obtain stockholder approval of any such amendment to the 2008 Stock Plan in such a manner and to such a degree as required.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As of June 22, 2016, we have options to purchase an aggregate of 974,758 registered shares of our common stock outstanding under our 2008 Plan.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9" w:name="page160"/>
    <w:bookmarkEnd w:id="15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w:t>
      </w:r>
      <w:r>
        <w:rPr>
          <w:rFonts w:ascii="Arial" w:cs="Arial" w:eastAsia="Arial" w:hAnsi="Arial"/>
          <w:sz w:val="17"/>
          <w:szCs w:val="17"/>
          <w:color w:val="auto"/>
        </w:rPr>
        <w:t>he exercise price of incentive stock options awarded under the 1999 Plan could not be less than the fair market value of the common stock on the date of the</w:t>
      </w:r>
      <w:r>
        <w:rPr>
          <w:rFonts w:ascii="Arial" w:cs="Arial" w:eastAsia="Arial" w:hAnsi="Arial"/>
          <w:sz w:val="21"/>
          <w:szCs w:val="21"/>
          <w:color w:val="auto"/>
        </w:rPr>
        <w:t xml:space="preserve"> </w:t>
      </w:r>
      <w:r>
        <w:rPr>
          <w:rFonts w:ascii="Arial" w:cs="Arial" w:eastAsia="Arial" w:hAnsi="Arial"/>
          <w:sz w:val="17"/>
          <w:szCs w:val="17"/>
          <w:color w:val="auto"/>
        </w:rPr>
        <w:t>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As of June 22, 2016, we have options outstanding under the 1999 Plan to purchase an aggregate of 11,854 registered shares of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Securities to Cato Holding Company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Cato Holding Company (</w:t>
      </w:r>
      <w:r>
        <w:rPr>
          <w:rFonts w:ascii="Arial" w:cs="Arial" w:eastAsia="Arial" w:hAnsi="Arial"/>
          <w:sz w:val="18"/>
          <w:szCs w:val="18"/>
          <w:i w:val="1"/>
          <w:iCs w:val="1"/>
          <w:color w:val="auto"/>
        </w:rPr>
        <w:t>CHC</w:t>
      </w:r>
      <w:r>
        <w:rPr>
          <w:rFonts w:ascii="Arial" w:cs="Arial" w:eastAsia="Arial" w:hAnsi="Arial"/>
          <w:sz w:val="18"/>
          <w:szCs w:val="18"/>
          <w:color w:val="auto"/>
        </w:rPr>
        <w:t>), doing business as Cato BioVentures (</w:t>
      </w:r>
      <w:r>
        <w:rPr>
          <w:rFonts w:ascii="Arial" w:cs="Arial" w:eastAsia="Arial" w:hAnsi="Arial"/>
          <w:sz w:val="18"/>
          <w:szCs w:val="18"/>
          <w:i w:val="1"/>
          <w:iCs w:val="1"/>
          <w:color w:val="auto"/>
        </w:rPr>
        <w:t>CBV</w:t>
      </w:r>
      <w:r>
        <w:rPr>
          <w:rFonts w:ascii="Arial" w:cs="Arial" w:eastAsia="Arial" w:hAnsi="Arial"/>
          <w:sz w:val="18"/>
          <w:szCs w:val="18"/>
          <w:color w:val="auto"/>
        </w:rPr>
        <w:t>), the parent of Cato Research Ltd. (</w:t>
      </w:r>
      <w:r>
        <w:rPr>
          <w:rFonts w:ascii="Arial" w:cs="Arial" w:eastAsia="Arial" w:hAnsi="Arial"/>
          <w:sz w:val="18"/>
          <w:szCs w:val="18"/>
          <w:i w:val="1"/>
          <w:iCs w:val="1"/>
          <w:color w:val="auto"/>
        </w:rPr>
        <w:t>CRL)</w:t>
      </w:r>
      <w:r>
        <w:rPr>
          <w:rFonts w:ascii="Arial" w:cs="Arial" w:eastAsia="Arial" w:hAnsi="Arial"/>
          <w:sz w:val="18"/>
          <w:szCs w:val="18"/>
          <w:color w:val="auto"/>
        </w:rPr>
        <w:t xml:space="preserve">, was one of our largest institutional stockholders at March 31, 2016, holding common stock and Series B Preferred. Shawn Singh, our Chief Executive Officer and member of our Board of Directors, served as Managing Principal of CBV and as an officer of CRL until August 2009. In October 2012, we issued to CHC an unsecured promissory note in the principal amount of $310,443 (the </w:t>
      </w:r>
      <w:r>
        <w:rPr>
          <w:rFonts w:ascii="Arial" w:cs="Arial" w:eastAsia="Arial" w:hAnsi="Arial"/>
          <w:sz w:val="18"/>
          <w:szCs w:val="18"/>
          <w:i w:val="1"/>
          <w:iCs w:val="1"/>
          <w:color w:val="auto"/>
        </w:rPr>
        <w:t>2012 CHC Note</w:t>
      </w:r>
      <w:r>
        <w:rPr>
          <w:rFonts w:ascii="Arial" w:cs="Arial" w:eastAsia="Arial" w:hAnsi="Arial"/>
          <w:sz w:val="18"/>
          <w:szCs w:val="18"/>
          <w:color w:val="auto"/>
        </w:rPr>
        <w:t xml:space="preserve">) and a five-year warrant to purchase 12,500 restricted shares of the Company’s common stock at a price of $30.00 per share (the </w:t>
      </w:r>
      <w:r>
        <w:rPr>
          <w:rFonts w:ascii="Arial" w:cs="Arial" w:eastAsia="Arial" w:hAnsi="Arial"/>
          <w:sz w:val="18"/>
          <w:szCs w:val="18"/>
          <w:i w:val="1"/>
          <w:iCs w:val="1"/>
          <w:color w:val="auto"/>
        </w:rPr>
        <w:t>CHC Warrant</w:t>
      </w:r>
      <w:r>
        <w:rPr>
          <w:rFonts w:ascii="Arial" w:cs="Arial" w:eastAsia="Arial" w:hAnsi="Arial"/>
          <w:sz w:val="18"/>
          <w:szCs w:val="18"/>
          <w:color w:val="auto"/>
        </w:rPr>
        <w:t>).</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Also in October 2012, we issued to CRL: (i) an unsecured promissory note in the initial principal amount of $1,009,000, which was payable solely in restricted shares of our common stock and which accrued interest at the rate of 7.5% per annum, compounded monthly (the </w:t>
      </w:r>
      <w:r>
        <w:rPr>
          <w:rFonts w:ascii="Arial" w:cs="Arial" w:eastAsia="Arial" w:hAnsi="Arial"/>
          <w:sz w:val="17"/>
          <w:szCs w:val="17"/>
          <w:i w:val="1"/>
          <w:iCs w:val="1"/>
          <w:color w:val="auto"/>
        </w:rPr>
        <w:t>CRL Note</w:t>
      </w:r>
      <w:r>
        <w:rPr>
          <w:rFonts w:ascii="Arial" w:cs="Arial" w:eastAsia="Arial" w:hAnsi="Arial"/>
          <w:sz w:val="17"/>
          <w:szCs w:val="17"/>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w:t>
      </w:r>
      <w:r>
        <w:rPr>
          <w:rFonts w:ascii="Arial" w:cs="Arial" w:eastAsia="Arial" w:hAnsi="Arial"/>
          <w:sz w:val="17"/>
          <w:szCs w:val="17"/>
          <w:i w:val="1"/>
          <w:iCs w:val="1"/>
          <w:color w:val="auto"/>
        </w:rPr>
        <w:t>CRL</w:t>
      </w:r>
      <w:r>
        <w:rPr>
          <w:rFonts w:ascii="Arial" w:cs="Arial" w:eastAsia="Arial" w:hAnsi="Arial"/>
          <w:sz w:val="17"/>
          <w:szCs w:val="17"/>
          <w:color w:val="auto"/>
        </w:rPr>
        <w:t xml:space="preserve"> </w:t>
      </w:r>
      <w:r>
        <w:rPr>
          <w:rFonts w:ascii="Arial" w:cs="Arial" w:eastAsia="Arial" w:hAnsi="Arial"/>
          <w:sz w:val="17"/>
          <w:szCs w:val="17"/>
          <w:i w:val="1"/>
          <w:iCs w:val="1"/>
          <w:color w:val="auto"/>
        </w:rPr>
        <w:t>Warrant</w:t>
      </w:r>
      <w:r>
        <w:rPr>
          <w:rFonts w:ascii="Arial" w:cs="Arial" w:eastAsia="Arial" w:hAnsi="Arial"/>
          <w:sz w:val="17"/>
          <w:szCs w:val="17"/>
          <w:color w:val="auto"/>
        </w:rPr>
        <w:t>). Each of the CRL Note and 2012 CHC Note were scheduled to mature on March 31, 2016. In June 2015, the outstanding balance of the 2012 CHC</w:t>
      </w:r>
      <w:r>
        <w:rPr>
          <w:rFonts w:ascii="Arial" w:cs="Arial" w:eastAsia="Arial" w:hAnsi="Arial"/>
          <w:sz w:val="17"/>
          <w:szCs w:val="17"/>
          <w:i w:val="1"/>
          <w:iCs w:val="1"/>
          <w:color w:val="auto"/>
        </w:rPr>
        <w:t xml:space="preserve"> </w:t>
      </w:r>
      <w:r>
        <w:rPr>
          <w:rFonts w:ascii="Arial" w:cs="Arial" w:eastAsia="Arial" w:hAnsi="Arial"/>
          <w:sz w:val="17"/>
          <w:szCs w:val="17"/>
          <w:color w:val="auto"/>
        </w:rPr>
        <w:t>Note, the CRL Note and all other outstanding amounts owed to CRL for CRO services were converted into 328,571 shares of our Series B Preferred, and the exercise prices of the CHC Warrant and the CRL Warrant were each reduced to $7.00 per share. CHC also participated in the February 2016 warrant exchange for common stock, exchanging the CHC Warrant and the CRL Warrant, as adjusted to reflect accrued interest, for an aggregate of 54,894 shares of our unregistered common stock.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0" w:name="page161"/>
    <w:bookmarkEnd w:id="16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year 2007, we entered into a contract research organization arrangement with CRL related to the development of AV-101, under which we incurred expenses of $52,600 and $38,100 for the fiscal years ended March 31, 2016 and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Advances to us by Shawn Singh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September 2013 and December 2013, Mr. Singh provided short-term cash advances aggregating $64,000 to meet our short-term working capital requirements. In lieu of cash repayment of the entire amount of the advances, in December 2013, Mr. Singh elected to invest $50,000 of the balance due him in the 2013 Unit Private Placement. At March 31, 2015, we had completely repaid to Mr. Singh the remaining balance of the advances and the $50,000 promissory note issued in connection with his investment in the 2013 Unit Private Placement.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OUM &amp; Co. LLP (</w:t>
      </w:r>
      <w:r>
        <w:rPr>
          <w:rFonts w:ascii="Arial" w:cs="Arial" w:eastAsia="Arial" w:hAnsi="Arial"/>
          <w:sz w:val="17"/>
          <w:szCs w:val="17"/>
          <w:i w:val="1"/>
          <w:iCs w:val="1"/>
          <w:color w:val="auto"/>
        </w:rPr>
        <w:t>OUM</w:t>
      </w:r>
      <w:r>
        <w:rPr>
          <w:rFonts w:ascii="Arial" w:cs="Arial" w:eastAsia="Arial" w:hAnsi="Arial"/>
          <w:sz w:val="17"/>
          <w:szCs w:val="17"/>
          <w:color w:val="auto"/>
        </w:rPr>
        <w:t>) served as our independent registered public accounting firm for the fiscal years ended March 31, 2016 and March 31, 2015. Information provided below includes fees for professional services provided to us by OUM for the fiscal years ended March 31, 2016 and 2015.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260"/>
              <w:spacing w:after="0"/>
              <w:rPr>
                <w:sz w:val="20"/>
                <w:szCs w:val="20"/>
                <w:color w:val="auto"/>
              </w:rPr>
            </w:pPr>
            <w:r>
              <w:rPr>
                <w:rFonts w:ascii="Arial" w:cs="Arial" w:eastAsia="Arial" w:hAnsi="Arial"/>
                <w:sz w:val="18"/>
                <w:szCs w:val="18"/>
                <w:b w:val="1"/>
                <w:bCs w:val="1"/>
                <w:color w:val="auto"/>
              </w:rPr>
              <w:t>Fiscal Years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4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197,180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Audit-related fees</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All other fees</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4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236,121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Fees: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Audit fees include fees billed for the annual audit of the Company’s financial statements and quarterly reviews for the fiscal years ended March 31, 2016 and 2015, and for services normally provided by OUM in connection with routine statutory and regulatory filings or engagements.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Audit-related fees includes fees billed for assurance and related services that are reasonably related to the performance of the annual audit or reviews of the Company’s financial statements and are not reported under “Audit Fees.” During the fiscal year ended March 31, 2016, OUM billed the Company for services related to consents for the use of its audit opinion in the Company’s filings of Registration Statements on Form S-1 that included the Company’s audited financial statements for the fiscal year ended March 31, 2015. During the fiscal year ended March 31, 2015, such fees related to accounting research projects regarding certain prospective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Tax fees include fees for professional services for tax compliance, tax advice and tax planning for the tax years ended March 31, 2016 and 2015.</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other fees include fees for products and services other than those described above. During the fiscal years ended March 31, 2016 and 2015, no such fees were billed by OUM.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1" w:name="page162"/>
    <w:bookmarkEnd w:id="16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of Audit and Non-Audit Services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auditing services and non-audit services provided to us by our independent registered public accounting firm are required to be pre-approved by the Audit Committee. OUM did not provide any non- audit-related or other services in fiscal 2016 and 2015. The pre-approval of non-audit services to be provided by OUM includes making a determination that the provision of the services is compatible with maintaining OUM’s independence as an independent registered public accounting firm and would be approved in accordance with SEC rules for maintaining auditor independence. None of the fees outlined above were approved using the “de minimis exception” under SEC rules.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Audit Committee has reviewed and discussed with management and OUM &amp; Co. LLP (</w:t>
      </w:r>
      <w:r>
        <w:rPr>
          <w:rFonts w:ascii="Arial" w:cs="Arial" w:eastAsia="Arial" w:hAnsi="Arial"/>
          <w:sz w:val="16"/>
          <w:szCs w:val="16"/>
          <w:i w:val="1"/>
          <w:iCs w:val="1"/>
          <w:color w:val="auto"/>
        </w:rPr>
        <w:t>OUM</w:t>
      </w:r>
      <w:r>
        <w:rPr>
          <w:rFonts w:ascii="Arial" w:cs="Arial" w:eastAsia="Arial" w:hAnsi="Arial"/>
          <w:sz w:val="16"/>
          <w:szCs w:val="16"/>
          <w:color w:val="auto"/>
        </w:rPr>
        <w:t>), our independent registered public accounting firm, the audited consolidated financial statements in the VistaGen Therapeutics, Inc. Annual Report on Form 10-K for the year ended March 31, 2016. The Audit Committee has also discussed with OUM those matters required to be discussed by Public Company Accounting Oversight Board Auditing Standard No. 16.</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2016.</w:t>
      </w:r>
    </w:p>
    <w:p>
      <w:pPr>
        <w:spacing w:after="0" w:line="200" w:lineRule="exact"/>
        <w:rPr>
          <w:sz w:val="20"/>
          <w:szCs w:val="20"/>
          <w:color w:val="auto"/>
        </w:rPr>
      </w:pP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Respectfully Submitted 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MEMBERS OF THE AUDIT COMMITTEE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Jon S. Saxe, Audit Committee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J. Underdown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Jerry B. Gin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June 22, 2016</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contained above under the caption “Report of the Audit Committee of the Board of Directors” shall not be deemed to be soliciting material or to be filed with the SEC, nor shall such information be incorporated by reference into any future filing under the Securities Act or the Exchange Act, except to the extent that we specifically incorporate it by reference into such filing.</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2" w:name="page163"/>
    <w:bookmarkEnd w:id="16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under Item 8 on page 83.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Consolidated Financial Statement Schedules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Consolidated financial statement schedules are omitted because they are not applicable or are not required or the information required to be set forth therein is included in the Consolidated Financial Statements or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Exhibit Index below are filed or incorporated by reference as part of this report.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94"/>
              </w:rPr>
              <w:t>Exhibit Index</w:t>
            </w:r>
          </w:p>
        </w:tc>
      </w:tr>
      <w:tr>
        <w:trPr>
          <w:trHeight w:val="466"/>
        </w:trPr>
        <w:tc>
          <w:tcPr>
            <w:tcW w:w="11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2"/>
        </w:trPr>
        <w:tc>
          <w:tcPr>
            <w:tcW w:w="20" w:type="dxa"/>
            <w:vAlign w:val="bottom"/>
          </w:tcPr>
          <w:p>
            <w:pPr>
              <w:spacing w:after="0"/>
              <w:rPr>
                <w:sz w:val="17"/>
                <w:szCs w:val="17"/>
                <w:color w:val="auto"/>
              </w:rPr>
            </w:pPr>
          </w:p>
        </w:tc>
        <w:tc>
          <w:tcPr>
            <w:tcW w:w="11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7"/>
                <w:szCs w:val="17"/>
                <w:color w:val="auto"/>
              </w:rPr>
            </w:pPr>
          </w:p>
        </w:tc>
        <w:tc>
          <w:tcPr>
            <w:tcW w:w="10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Agreement and Plan of Merger by and among Excaliber Enterprises, Ltd., VistaGen Therapeutics, Inc. and Excaliber Merger Subsidiary,</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Inc.</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Articles of Incorporation, dated October 6, 2005.</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7"/>
                <w:szCs w:val="17"/>
                <w:color w:val="auto"/>
              </w:rPr>
            </w:pPr>
          </w:p>
        </w:tc>
        <w:tc>
          <w:tcPr>
            <w:tcW w:w="10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Certificate of Amendment filed with the Nevada Secretary of State on December 6, 2011, incorporated by reference from Exhibit 3.3 to the</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Company's Annual Report on Form 10-K, filed July 2, 2012.</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10120" w:type="dxa"/>
            <w:vAlign w:val="bottom"/>
          </w:tcPr>
          <w:p>
            <w:pPr>
              <w:spacing w:after="0" w:line="201" w:lineRule="exact"/>
              <w:rPr>
                <w:sz w:val="20"/>
                <w:szCs w:val="20"/>
                <w:color w:val="auto"/>
              </w:rPr>
            </w:pPr>
            <w:r>
              <w:rPr>
                <w:rFonts w:ascii="Arial" w:cs="Arial" w:eastAsia="Arial" w:hAnsi="Arial"/>
                <w:sz w:val="18"/>
                <w:szCs w:val="18"/>
                <w:color w:val="auto"/>
                <w:w w:val="96"/>
              </w:rPr>
              <w:t>Amended and Restated Bylaws as of February 5, 2014, incorporated by reference from the Company’s Report on Form 8-K filed on</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February 7, 2014.</w:t>
            </w: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10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Articles of Merger filed with the Nevada Secretary of State on May 24, 2011, incorporated by reference from Exhibit 3.1 to the Company's</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Current Report on Form 8-K filed on May 31, 2011.</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10120" w:type="dxa"/>
            <w:vAlign w:val="bottom"/>
          </w:tcPr>
          <w:p>
            <w:pPr>
              <w:spacing w:after="0" w:line="201" w:lineRule="exact"/>
              <w:rPr>
                <w:sz w:val="20"/>
                <w:szCs w:val="20"/>
                <w:color w:val="auto"/>
              </w:rPr>
            </w:pPr>
            <w:r>
              <w:rPr>
                <w:rFonts w:ascii="Arial" w:cs="Arial" w:eastAsia="Arial" w:hAnsi="Arial"/>
                <w:sz w:val="18"/>
                <w:szCs w:val="18"/>
                <w:color w:val="auto"/>
                <w:w w:val="93"/>
              </w:rPr>
              <w:t>Certificate of Designations Series A Preferred, incorporated by reference from Exhibit 3.1 to the Company’s Current Report on Form 8-K</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filed on December 23, 2011.</w:t>
            </w: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7"/>
                <w:szCs w:val="17"/>
                <w:color w:val="auto"/>
              </w:rPr>
            </w:pPr>
          </w:p>
        </w:tc>
        <w:tc>
          <w:tcPr>
            <w:tcW w:w="10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Certificate of Change filed with the Nevada Secretary of State on August 11, 2014 incorporated by reference from Exhibit 3.1 to the</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Company’s Current Report on Form 8-K filed on August 14, 2014.</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10120" w:type="dxa"/>
            <w:vAlign w:val="bottom"/>
          </w:tcPr>
          <w:p>
            <w:pPr>
              <w:spacing w:after="0" w:line="201" w:lineRule="exact"/>
              <w:rPr>
                <w:sz w:val="20"/>
                <w:szCs w:val="20"/>
                <w:color w:val="auto"/>
              </w:rPr>
            </w:pPr>
            <w:r>
              <w:rPr>
                <w:rFonts w:ascii="Arial" w:cs="Arial" w:eastAsia="Arial" w:hAnsi="Arial"/>
                <w:sz w:val="18"/>
                <w:szCs w:val="18"/>
                <w:color w:val="auto"/>
              </w:rPr>
              <w:t>Certificate of Designation of the Relative Rights and Preferences of the Series B 10% Convertible Preferred Stock of VistaGen</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2"/>
              </w:rPr>
              <w:t>Therapeutics, Inc., filed with the Nevada Secretary of State on May 7, 2015, incorporated by reference from Exhibit 3.1 to the Company’s</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Current Report on Form 8-K filed on May 13, 2015.</w:t>
            </w: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7"/>
                <w:szCs w:val="17"/>
                <w:color w:val="auto"/>
              </w:rPr>
            </w:pPr>
          </w:p>
        </w:tc>
        <w:tc>
          <w:tcPr>
            <w:tcW w:w="10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Certificate of Amendment to the Articles of Incorporation of VistaGen Therapeutics, Inc., dated August 24, 2015, incorporated by reference</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from Exhibit 3.1 to the Company's Current Report on Form 8-K filed on August 25, 2015.</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10120" w:type="dxa"/>
            <w:vAlign w:val="bottom"/>
          </w:tcPr>
          <w:p>
            <w:pPr>
              <w:spacing w:after="0" w:line="201" w:lineRule="exact"/>
              <w:rPr>
                <w:sz w:val="20"/>
                <w:szCs w:val="20"/>
                <w:color w:val="auto"/>
              </w:rPr>
            </w:pPr>
            <w:r>
              <w:rPr>
                <w:rFonts w:ascii="Arial" w:cs="Arial" w:eastAsia="Arial" w:hAnsi="Arial"/>
                <w:sz w:val="18"/>
                <w:szCs w:val="18"/>
                <w:color w:val="auto"/>
                <w:w w:val="93"/>
              </w:rPr>
              <w:t>Certificate of Designation of the Relative Rights and Preferences of the Series C Convertible Preferred Stock of VistaGen Therapeutics,</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1"/>
              </w:rPr>
              <w:t>Inc., dated January 25, 2016, incorporated by reference from Exhibit 3.1 to the Company's Current Report on Form 8-K filed on January 29,</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10.1 *</w:t>
            </w:r>
          </w:p>
        </w:tc>
        <w:tc>
          <w:tcPr>
            <w:tcW w:w="120" w:type="dxa"/>
            <w:vAlign w:val="bottom"/>
            <w:shd w:val="clear" w:color="auto" w:fill="CCEEFF"/>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VistaGen’s 1999 Stock Incentive Plan.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Option Agreement under VistaGen’s 1999 Stock Incentive Plan.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10.5 *</w:t>
            </w:r>
          </w:p>
        </w:tc>
        <w:tc>
          <w:tcPr>
            <w:tcW w:w="120" w:type="dxa"/>
            <w:vAlign w:val="bottom"/>
            <w:shd w:val="clear" w:color="auto" w:fill="CCEEFF"/>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VistaGen’s 2008 Stock Incentive Plan.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10.6 *</w:t>
            </w:r>
          </w:p>
        </w:tc>
        <w:tc>
          <w:tcPr>
            <w:tcW w:w="1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Option Agreement under VistaGen’s 2008 Stock Incentive Plan.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10.20 *</w:t>
            </w:r>
          </w:p>
        </w:tc>
        <w:tc>
          <w:tcPr>
            <w:tcW w:w="120" w:type="dxa"/>
            <w:vAlign w:val="bottom"/>
            <w:shd w:val="clear" w:color="auto" w:fill="CCEEFF"/>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Strategic Development Services Agreement, dated February 26, 2007, by and between VistaGen and Cato Research Ltd.</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line="201" w:lineRule="exact"/>
              <w:rPr>
                <w:sz w:val="20"/>
                <w:szCs w:val="20"/>
                <w:color w:val="auto"/>
              </w:rPr>
            </w:pPr>
            <w:r>
              <w:rPr>
                <w:rFonts w:ascii="Arial" w:cs="Arial" w:eastAsia="Arial" w:hAnsi="Arial"/>
                <w:sz w:val="18"/>
                <w:szCs w:val="18"/>
                <w:color w:val="auto"/>
              </w:rPr>
              <w:t>10.21 *</w:t>
            </w:r>
          </w:p>
        </w:tc>
        <w:tc>
          <w:tcPr>
            <w:tcW w:w="120" w:type="dxa"/>
            <w:vAlign w:val="bottom"/>
          </w:tcPr>
          <w:p>
            <w:pPr>
              <w:spacing w:after="0"/>
              <w:rPr>
                <w:sz w:val="17"/>
                <w:szCs w:val="17"/>
                <w:color w:val="auto"/>
              </w:rPr>
            </w:pPr>
          </w:p>
        </w:tc>
        <w:tc>
          <w:tcPr>
            <w:tcW w:w="10120" w:type="dxa"/>
            <w:vAlign w:val="bottom"/>
          </w:tcPr>
          <w:p>
            <w:pPr>
              <w:spacing w:after="0" w:line="201" w:lineRule="exact"/>
              <w:rPr>
                <w:sz w:val="20"/>
                <w:szCs w:val="20"/>
                <w:color w:val="auto"/>
              </w:rPr>
            </w:pPr>
            <w:r>
              <w:rPr>
                <w:rFonts w:ascii="Arial" w:cs="Arial" w:eastAsia="Arial" w:hAnsi="Arial"/>
                <w:sz w:val="18"/>
                <w:szCs w:val="18"/>
                <w:color w:val="auto"/>
                <w:w w:val="90"/>
              </w:rPr>
              <w:t>License Agreement by and between National Jewish Medical and Research Center and VistaGen, dated July 12, 1999, as amended by that</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1"/>
              </w:rPr>
              <w:t>certain Amendment to License Agreement dated January 25, 2001, as amended by that certain Second Amendment to License Agreement</w:t>
            </w: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2"/>
              </w:rPr>
              <w:t>dated November 6, 2002, as amended by that certain Third Amendment to License Agreement dated March 1, 2003, and as amended by</w:t>
            </w: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that certain Fourth Amendment to License Agreement dated April 15, 2010.</w:t>
            </w:r>
          </w:p>
        </w:tc>
      </w:tr>
      <w:tr>
        <w:trPr>
          <w:trHeight w:val="60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40" w:type="dxa"/>
            <w:vAlign w:val="bottom"/>
            <w:gridSpan w:val="2"/>
          </w:tcPr>
          <w:p>
            <w:pPr>
              <w:jc w:val="right"/>
              <w:ind w:right="543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84"/>
        </w:trPr>
        <w:tc>
          <w:tcPr>
            <w:tcW w:w="1220" w:type="dxa"/>
            <w:vAlign w:val="bottom"/>
            <w:gridSpan w:val="3"/>
          </w:tcPr>
          <w:p>
            <w:pPr>
              <w:spacing w:after="0"/>
              <w:rPr>
                <w:rFonts w:ascii="Arial" w:cs="Arial" w:eastAsia="Arial" w:hAnsi="Arial"/>
                <w:sz w:val="16"/>
                <w:szCs w:val="16"/>
                <w:i w:val="1"/>
                <w:iCs w:val="1"/>
                <w:color w:val="0000EE"/>
                <w:w w:val="94"/>
              </w:rPr>
            </w:pPr>
            <w:hyperlink w:anchor="page3">
              <w:r>
                <w:rPr>
                  <w:rFonts w:ascii="Arial" w:cs="Arial" w:eastAsia="Arial" w:hAnsi="Arial"/>
                  <w:sz w:val="16"/>
                  <w:szCs w:val="16"/>
                  <w:i w:val="1"/>
                  <w:iCs w:val="1"/>
                  <w:color w:val="0000EE"/>
                  <w:w w:val="94"/>
                </w:rPr>
                <w:t>Table of Contents</w:t>
              </w:r>
            </w:hyperlink>
          </w:p>
        </w:tc>
        <w:tc>
          <w:tcPr>
            <w:tcW w:w="10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112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10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10.22 *</w:t>
            </w:r>
          </w:p>
        </w:tc>
        <w:tc>
          <w:tcPr>
            <w:tcW w:w="80" w:type="dxa"/>
            <w:vAlign w:val="bottom"/>
            <w:shd w:val="clear" w:color="auto" w:fill="CCEEFF"/>
          </w:tcPr>
          <w:p>
            <w:pPr>
              <w:spacing w:after="0"/>
              <w:rPr>
                <w:sz w:val="18"/>
                <w:szCs w:val="18"/>
                <w:color w:val="auto"/>
              </w:rPr>
            </w:pPr>
          </w:p>
        </w:tc>
        <w:tc>
          <w:tcPr>
            <w:tcW w:w="10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License Agreement by and between Mount Sinai School of Medicine of New York University and the Company, dated October 1, 2004.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10.23 *</w:t>
            </w:r>
          </w:p>
        </w:tc>
        <w:tc>
          <w:tcPr>
            <w:tcW w:w="80" w:type="dxa"/>
            <w:vAlign w:val="bottom"/>
          </w:tcPr>
          <w:p>
            <w:pPr>
              <w:spacing w:after="0"/>
              <w:rPr>
                <w:sz w:val="17"/>
                <w:szCs w:val="17"/>
                <w:color w:val="auto"/>
              </w:rPr>
            </w:pPr>
          </w:p>
        </w:tc>
        <w:tc>
          <w:tcPr>
            <w:tcW w:w="10200" w:type="dxa"/>
            <w:vAlign w:val="bottom"/>
          </w:tcPr>
          <w:p>
            <w:pPr>
              <w:ind w:left="80"/>
              <w:spacing w:after="0" w:line="201" w:lineRule="exact"/>
              <w:rPr>
                <w:sz w:val="20"/>
                <w:szCs w:val="20"/>
                <w:color w:val="auto"/>
              </w:rPr>
            </w:pPr>
            <w:r>
              <w:rPr>
                <w:rFonts w:ascii="Arial" w:cs="Arial" w:eastAsia="Arial" w:hAnsi="Arial"/>
                <w:sz w:val="18"/>
                <w:szCs w:val="18"/>
                <w:color w:val="auto"/>
                <w:w w:val="92"/>
              </w:rPr>
              <w:t>Non-Exclusive License Agreement, dated December 5, 2008, by and between VistaGen and Wisconsin Alumni Research Foundation,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80"/>
              <w:spacing w:after="0"/>
              <w:rPr>
                <w:sz w:val="20"/>
                <w:szCs w:val="20"/>
                <w:color w:val="auto"/>
              </w:rPr>
            </w:pPr>
            <w:r>
              <w:rPr>
                <w:rFonts w:ascii="Arial" w:cs="Arial" w:eastAsia="Arial" w:hAnsi="Arial"/>
                <w:sz w:val="18"/>
                <w:szCs w:val="18"/>
                <w:color w:val="auto"/>
              </w:rPr>
              <w:t>amended by that certain Wisconsin Materials Addendum, dated February 2, 2009.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10.24 *</w:t>
            </w:r>
          </w:p>
        </w:tc>
        <w:tc>
          <w:tcPr>
            <w:tcW w:w="80" w:type="dxa"/>
            <w:vAlign w:val="bottom"/>
            <w:shd w:val="clear" w:color="auto" w:fill="CCEEFF"/>
          </w:tcPr>
          <w:p>
            <w:pPr>
              <w:spacing w:after="0"/>
              <w:rPr>
                <w:sz w:val="17"/>
                <w:szCs w:val="17"/>
                <w:color w:val="auto"/>
              </w:rPr>
            </w:pPr>
          </w:p>
        </w:tc>
        <w:tc>
          <w:tcPr>
            <w:tcW w:w="102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1"/>
              </w:rPr>
              <w:t>Sponsored Research Collaboration Agreement, dated September 18, 2007, between VistaGen and University Health Network, as amended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by that certain Amendment No. 1 and Amendment No. 2, dated April 19, 2010 and December 15, 2010, respectively.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10.26 *</w:t>
            </w:r>
          </w:p>
        </w:tc>
        <w:tc>
          <w:tcPr>
            <w:tcW w:w="80" w:type="dxa"/>
            <w:vAlign w:val="bottom"/>
          </w:tcPr>
          <w:p>
            <w:pPr>
              <w:spacing w:after="0"/>
              <w:rPr>
                <w:sz w:val="17"/>
                <w:szCs w:val="17"/>
                <w:color w:val="auto"/>
              </w:rPr>
            </w:pPr>
          </w:p>
        </w:tc>
        <w:tc>
          <w:tcPr>
            <w:tcW w:w="10200" w:type="dxa"/>
            <w:vAlign w:val="bottom"/>
          </w:tcPr>
          <w:p>
            <w:pPr>
              <w:ind w:left="80"/>
              <w:spacing w:after="0" w:line="201" w:lineRule="exact"/>
              <w:rPr>
                <w:sz w:val="20"/>
                <w:szCs w:val="20"/>
                <w:color w:val="auto"/>
              </w:rPr>
            </w:pPr>
            <w:r>
              <w:rPr>
                <w:rFonts w:ascii="Arial" w:cs="Arial" w:eastAsia="Arial" w:hAnsi="Arial"/>
                <w:sz w:val="18"/>
                <w:szCs w:val="18"/>
                <w:color w:val="auto"/>
                <w:w w:val="94"/>
              </w:rPr>
              <w:t>License Agreement, dated October 24, 2001, by and between the University of Maryland, Baltimore, Cornell Research Foundation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80"/>
              <w:spacing w:after="0"/>
              <w:rPr>
                <w:sz w:val="20"/>
                <w:szCs w:val="20"/>
                <w:color w:val="auto"/>
              </w:rPr>
            </w:pPr>
            <w:r>
              <w:rPr>
                <w:rFonts w:ascii="Arial" w:cs="Arial" w:eastAsia="Arial" w:hAnsi="Arial"/>
                <w:sz w:val="18"/>
                <w:szCs w:val="18"/>
                <w:color w:val="auto"/>
              </w:rPr>
              <w:t>Artemis Neuroscience,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10.27 *</w:t>
            </w:r>
          </w:p>
        </w:tc>
        <w:tc>
          <w:tcPr>
            <w:tcW w:w="80" w:type="dxa"/>
            <w:vAlign w:val="bottom"/>
            <w:shd w:val="clear" w:color="auto" w:fill="CCEEFF"/>
          </w:tcPr>
          <w:p>
            <w:pPr>
              <w:spacing w:after="0"/>
              <w:rPr>
                <w:sz w:val="18"/>
                <w:szCs w:val="18"/>
                <w:color w:val="auto"/>
              </w:rPr>
            </w:pPr>
          </w:p>
        </w:tc>
        <w:tc>
          <w:tcPr>
            <w:tcW w:w="10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Non-exclusive License Agreement, dated September 1, 2010, by and between VistaGen and TET Systems GmbH &amp; Co. KG.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10.31 *</w:t>
            </w:r>
          </w:p>
        </w:tc>
        <w:tc>
          <w:tcPr>
            <w:tcW w:w="80" w:type="dxa"/>
            <w:vAlign w:val="bottom"/>
          </w:tcPr>
          <w:p>
            <w:pPr>
              <w:spacing w:after="0"/>
              <w:rPr>
                <w:sz w:val="18"/>
                <w:szCs w:val="18"/>
                <w:color w:val="auto"/>
              </w:rPr>
            </w:pPr>
          </w:p>
        </w:tc>
        <w:tc>
          <w:tcPr>
            <w:tcW w:w="10200" w:type="dxa"/>
            <w:vAlign w:val="bottom"/>
          </w:tcPr>
          <w:p>
            <w:pPr>
              <w:ind w:left="80"/>
              <w:spacing w:after="0"/>
              <w:rPr>
                <w:sz w:val="20"/>
                <w:szCs w:val="20"/>
                <w:color w:val="auto"/>
              </w:rPr>
            </w:pPr>
            <w:r>
              <w:rPr>
                <w:rFonts w:ascii="Arial" w:cs="Arial" w:eastAsia="Arial" w:hAnsi="Arial"/>
                <w:sz w:val="18"/>
                <w:szCs w:val="18"/>
                <w:color w:val="auto"/>
              </w:rPr>
              <w:t>Unsecured Promissory Note dated April 28, 2011 issued by VistaGen to Desjardins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10.32 *</w:t>
            </w:r>
          </w:p>
        </w:tc>
        <w:tc>
          <w:tcPr>
            <w:tcW w:w="80" w:type="dxa"/>
            <w:vAlign w:val="bottom"/>
            <w:shd w:val="clear" w:color="auto" w:fill="CCEEFF"/>
          </w:tcPr>
          <w:p>
            <w:pPr>
              <w:spacing w:after="0"/>
              <w:rPr>
                <w:sz w:val="18"/>
                <w:szCs w:val="18"/>
                <w:color w:val="auto"/>
              </w:rPr>
            </w:pPr>
          </w:p>
        </w:tc>
        <w:tc>
          <w:tcPr>
            <w:tcW w:w="10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Unsecured Promissory Note dated April 28, 2011 issued by VistaGen to McCarthy Tetrault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10.34 *</w:t>
            </w:r>
          </w:p>
        </w:tc>
        <w:tc>
          <w:tcPr>
            <w:tcW w:w="80" w:type="dxa"/>
            <w:vAlign w:val="bottom"/>
          </w:tcPr>
          <w:p>
            <w:pPr>
              <w:spacing w:after="0"/>
              <w:rPr>
                <w:sz w:val="18"/>
                <w:szCs w:val="18"/>
                <w:color w:val="auto"/>
              </w:rPr>
            </w:pPr>
          </w:p>
        </w:tc>
        <w:tc>
          <w:tcPr>
            <w:tcW w:w="10200" w:type="dxa"/>
            <w:vAlign w:val="bottom"/>
          </w:tcPr>
          <w:p>
            <w:pPr>
              <w:ind w:left="80"/>
              <w:spacing w:after="0"/>
              <w:rPr>
                <w:sz w:val="20"/>
                <w:szCs w:val="20"/>
                <w:color w:val="auto"/>
              </w:rPr>
            </w:pPr>
            <w:r>
              <w:rPr>
                <w:rFonts w:ascii="Arial" w:cs="Arial" w:eastAsia="Arial" w:hAnsi="Arial"/>
                <w:sz w:val="18"/>
                <w:szCs w:val="18"/>
                <w:color w:val="auto"/>
              </w:rPr>
              <w:t>Promissory Note dated February 25, 2010 issued by VistaGen to The Regents of the University of 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10.40 *</w:t>
            </w:r>
          </w:p>
        </w:tc>
        <w:tc>
          <w:tcPr>
            <w:tcW w:w="80" w:type="dxa"/>
            <w:vAlign w:val="bottom"/>
            <w:shd w:val="clear" w:color="auto" w:fill="CCEEFF"/>
          </w:tcPr>
          <w:p>
            <w:pPr>
              <w:spacing w:after="0"/>
              <w:rPr>
                <w:sz w:val="18"/>
                <w:szCs w:val="18"/>
                <w:color w:val="auto"/>
              </w:rPr>
            </w:pPr>
          </w:p>
        </w:tc>
        <w:tc>
          <w:tcPr>
            <w:tcW w:w="10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Employment Agreement, by and between, VistaGen and Shawn K. Singh, dated April 28, 2010, as amended May 9,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10.41 *</w:t>
            </w:r>
          </w:p>
        </w:tc>
        <w:tc>
          <w:tcPr>
            <w:tcW w:w="80" w:type="dxa"/>
            <w:vAlign w:val="bottom"/>
          </w:tcPr>
          <w:p>
            <w:pPr>
              <w:spacing w:after="0"/>
              <w:rPr>
                <w:sz w:val="18"/>
                <w:szCs w:val="18"/>
                <w:color w:val="auto"/>
              </w:rPr>
            </w:pPr>
          </w:p>
        </w:tc>
        <w:tc>
          <w:tcPr>
            <w:tcW w:w="10200" w:type="dxa"/>
            <w:vAlign w:val="bottom"/>
          </w:tcPr>
          <w:p>
            <w:pPr>
              <w:ind w:left="80"/>
              <w:spacing w:after="0"/>
              <w:rPr>
                <w:sz w:val="20"/>
                <w:szCs w:val="20"/>
                <w:color w:val="auto"/>
              </w:rPr>
            </w:pPr>
            <w:r>
              <w:rPr>
                <w:rFonts w:ascii="Arial" w:cs="Arial" w:eastAsia="Arial" w:hAnsi="Arial"/>
                <w:sz w:val="18"/>
                <w:szCs w:val="18"/>
                <w:color w:val="auto"/>
                <w:w w:val="96"/>
              </w:rPr>
              <w:t>Employment Agreement, by and between, VistaGen and H. Ralph Snodgrass, PhD, dated April 28, 2010, as amended May 9,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10.46</w:t>
            </w:r>
          </w:p>
        </w:tc>
        <w:tc>
          <w:tcPr>
            <w:tcW w:w="80" w:type="dxa"/>
            <w:vAlign w:val="bottom"/>
            <w:shd w:val="clear" w:color="auto" w:fill="CCEEFF"/>
          </w:tcPr>
          <w:p>
            <w:pPr>
              <w:spacing w:after="0"/>
              <w:rPr>
                <w:sz w:val="17"/>
                <w:szCs w:val="17"/>
                <w:color w:val="auto"/>
              </w:rPr>
            </w:pPr>
          </w:p>
        </w:tc>
        <w:tc>
          <w:tcPr>
            <w:tcW w:w="102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Notice of Award by National Institutes of Health, Small Business Innovation Research Program, to VistaGen Therapeutics, Inc. for project,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Clinical Development of 4-CI-KYN to Treat Pain dated June 22, 2009, with revisions dated July 19, 2010 and August 9, 2011,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by reference from Exhibit 10.46 to the Company’s Current Report on Form 8-K/A filed on December 20,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10.47</w:t>
            </w:r>
          </w:p>
        </w:tc>
        <w:tc>
          <w:tcPr>
            <w:tcW w:w="80" w:type="dxa"/>
            <w:vAlign w:val="bottom"/>
          </w:tcPr>
          <w:p>
            <w:pPr>
              <w:spacing w:after="0"/>
              <w:rPr>
                <w:sz w:val="17"/>
                <w:szCs w:val="17"/>
                <w:color w:val="auto"/>
              </w:rPr>
            </w:pPr>
          </w:p>
        </w:tc>
        <w:tc>
          <w:tcPr>
            <w:tcW w:w="10200" w:type="dxa"/>
            <w:vAlign w:val="bottom"/>
          </w:tcPr>
          <w:p>
            <w:pPr>
              <w:ind w:left="80"/>
              <w:spacing w:after="0" w:line="201" w:lineRule="exact"/>
              <w:rPr>
                <w:sz w:val="20"/>
                <w:szCs w:val="20"/>
                <w:color w:val="auto"/>
              </w:rPr>
            </w:pPr>
            <w:r>
              <w:rPr>
                <w:rFonts w:ascii="Arial" w:cs="Arial" w:eastAsia="Arial" w:hAnsi="Arial"/>
                <w:sz w:val="18"/>
                <w:szCs w:val="18"/>
                <w:color w:val="auto"/>
                <w:w w:val="94"/>
              </w:rPr>
              <w:t>Notice of Grant Award by California Institute of Regenerative Medicine and VistaGen Therapeutics, Inc. for Project: Development of 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tcPr>
          <w:p>
            <w:pPr>
              <w:ind w:left="80"/>
              <w:spacing w:after="0"/>
              <w:rPr>
                <w:sz w:val="20"/>
                <w:szCs w:val="20"/>
                <w:color w:val="auto"/>
              </w:rPr>
            </w:pPr>
            <w:r>
              <w:rPr>
                <w:rFonts w:ascii="Arial" w:cs="Arial" w:eastAsia="Arial" w:hAnsi="Arial"/>
                <w:sz w:val="18"/>
                <w:szCs w:val="18"/>
                <w:color w:val="auto"/>
                <w:w w:val="95"/>
              </w:rPr>
              <w:t>hES Cell-Based Assay System for Hepatocyte Differentiation Studies and Predictive Toxicology Drug Screening, dated April 1,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80"/>
              <w:spacing w:after="0"/>
              <w:rPr>
                <w:sz w:val="20"/>
                <w:szCs w:val="20"/>
                <w:color w:val="auto"/>
              </w:rPr>
            </w:pPr>
            <w:r>
              <w:rPr>
                <w:rFonts w:ascii="Arial" w:cs="Arial" w:eastAsia="Arial" w:hAnsi="Arial"/>
                <w:sz w:val="18"/>
                <w:szCs w:val="18"/>
                <w:color w:val="auto"/>
              </w:rPr>
              <w:t>incorporated by reference from Exhibit 10.47 to the Company’s Current Report on Form 8-K/A filed on December 20,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10.48</w:t>
            </w:r>
          </w:p>
        </w:tc>
        <w:tc>
          <w:tcPr>
            <w:tcW w:w="80" w:type="dxa"/>
            <w:vAlign w:val="bottom"/>
            <w:shd w:val="clear" w:color="auto" w:fill="CCEEFF"/>
          </w:tcPr>
          <w:p>
            <w:pPr>
              <w:spacing w:after="0"/>
              <w:rPr>
                <w:sz w:val="17"/>
                <w:szCs w:val="17"/>
                <w:color w:val="auto"/>
              </w:rPr>
            </w:pPr>
          </w:p>
        </w:tc>
        <w:tc>
          <w:tcPr>
            <w:tcW w:w="102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Amendment No. 4, dated October 24, 2011, to Sponsored Research Collaboration Agreement between VistaGen and University Health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Network, incorporated by reference from Exhibit 10.2 to the Company’s Current Report on Form 8-K filed on November 30,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10.49</w:t>
            </w:r>
          </w:p>
        </w:tc>
        <w:tc>
          <w:tcPr>
            <w:tcW w:w="80" w:type="dxa"/>
            <w:vAlign w:val="bottom"/>
          </w:tcPr>
          <w:p>
            <w:pPr>
              <w:spacing w:after="0"/>
              <w:rPr>
                <w:sz w:val="17"/>
                <w:szCs w:val="17"/>
                <w:color w:val="auto"/>
              </w:rPr>
            </w:pPr>
          </w:p>
        </w:tc>
        <w:tc>
          <w:tcPr>
            <w:tcW w:w="10200" w:type="dxa"/>
            <w:vAlign w:val="bottom"/>
          </w:tcPr>
          <w:p>
            <w:pPr>
              <w:ind w:left="80"/>
              <w:spacing w:after="0" w:line="201" w:lineRule="exact"/>
              <w:rPr>
                <w:sz w:val="20"/>
                <w:szCs w:val="20"/>
                <w:color w:val="auto"/>
              </w:rPr>
            </w:pPr>
            <w:r>
              <w:rPr>
                <w:rFonts w:ascii="Arial" w:cs="Arial" w:eastAsia="Arial" w:hAnsi="Arial"/>
                <w:sz w:val="18"/>
                <w:szCs w:val="18"/>
                <w:color w:val="auto"/>
                <w:w w:val="91"/>
              </w:rPr>
              <w:t>License Agreement No. 1, dated as of October 24, 2011 between University Health Network and VistaGen Therapeutics, Inc.,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80"/>
              <w:spacing w:after="0"/>
              <w:rPr>
                <w:sz w:val="20"/>
                <w:szCs w:val="20"/>
                <w:color w:val="auto"/>
              </w:rPr>
            </w:pPr>
            <w:r>
              <w:rPr>
                <w:rFonts w:ascii="Arial" w:cs="Arial" w:eastAsia="Arial" w:hAnsi="Arial"/>
                <w:sz w:val="18"/>
                <w:szCs w:val="18"/>
                <w:color w:val="auto"/>
              </w:rPr>
              <w:t>by reference from Exhibit 10.1 to the Company’s Current Report on Form 8-K filed on November 30,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7"/>
                <w:szCs w:val="17"/>
                <w:color w:val="auto"/>
              </w:rPr>
            </w:pPr>
          </w:p>
        </w:tc>
        <w:tc>
          <w:tcPr>
            <w:tcW w:w="102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0"/>
              </w:rPr>
              <w:t>Strategic Medicinal Chemistry Services Agreement, dated as of December 6, 2011, between Synterys, Inc. and VistaGen Therapeutics,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incorporated by reference from Exhibit 10.1 to the Company’s Current Report on Form 8-K filed on December 7,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10.51</w:t>
            </w:r>
          </w:p>
        </w:tc>
        <w:tc>
          <w:tcPr>
            <w:tcW w:w="80" w:type="dxa"/>
            <w:vAlign w:val="bottom"/>
          </w:tcPr>
          <w:p>
            <w:pPr>
              <w:spacing w:after="0"/>
              <w:rPr>
                <w:sz w:val="17"/>
                <w:szCs w:val="17"/>
                <w:color w:val="auto"/>
              </w:rPr>
            </w:pPr>
          </w:p>
        </w:tc>
        <w:tc>
          <w:tcPr>
            <w:tcW w:w="10200" w:type="dxa"/>
            <w:vAlign w:val="bottom"/>
          </w:tcPr>
          <w:p>
            <w:pPr>
              <w:ind w:left="80"/>
              <w:spacing w:after="0" w:line="201" w:lineRule="exact"/>
              <w:rPr>
                <w:sz w:val="20"/>
                <w:szCs w:val="20"/>
                <w:color w:val="auto"/>
              </w:rPr>
            </w:pPr>
            <w:r>
              <w:rPr>
                <w:rFonts w:ascii="Arial" w:cs="Arial" w:eastAsia="Arial" w:hAnsi="Arial"/>
                <w:sz w:val="18"/>
                <w:szCs w:val="18"/>
                <w:color w:val="auto"/>
                <w:w w:val="96"/>
              </w:rPr>
              <w:t>Common Stock Exchange Agreement, dated as of December 22, 2011 between Platinum Long Term Growth VII, LLC and VistaGen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80"/>
              <w:spacing w:after="0"/>
              <w:rPr>
                <w:sz w:val="20"/>
                <w:szCs w:val="20"/>
                <w:color w:val="auto"/>
              </w:rPr>
            </w:pPr>
            <w:r>
              <w:rPr>
                <w:rFonts w:ascii="Arial" w:cs="Arial" w:eastAsia="Arial" w:hAnsi="Arial"/>
                <w:sz w:val="18"/>
                <w:szCs w:val="18"/>
                <w:color w:val="auto"/>
                <w:w w:val="91"/>
              </w:rPr>
              <w:t>Therapeutics, Inc., incorporated by reference from Exhibit 10.1 to the Company’s Current Report on Form 8-K filed on December 23,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10.52</w:t>
            </w:r>
          </w:p>
        </w:tc>
        <w:tc>
          <w:tcPr>
            <w:tcW w:w="80" w:type="dxa"/>
            <w:vAlign w:val="bottom"/>
            <w:shd w:val="clear" w:color="auto" w:fill="CCEEFF"/>
          </w:tcPr>
          <w:p>
            <w:pPr>
              <w:spacing w:after="0"/>
              <w:rPr>
                <w:sz w:val="17"/>
                <w:szCs w:val="17"/>
                <w:color w:val="auto"/>
              </w:rPr>
            </w:pPr>
          </w:p>
        </w:tc>
        <w:tc>
          <w:tcPr>
            <w:tcW w:w="102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Note and Warrant Exchange Agreement, dated as of December 28, 2011 between Platinum Long Term Growth VII, LLC and VistaGen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Therapeutics, Inc., incorporated by reference from Exhibit 10.1 to the Current Report on Form 8-K filed on January 4, 2012.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10.55</w:t>
            </w:r>
          </w:p>
        </w:tc>
        <w:tc>
          <w:tcPr>
            <w:tcW w:w="80" w:type="dxa"/>
            <w:vAlign w:val="bottom"/>
          </w:tcPr>
          <w:p>
            <w:pPr>
              <w:spacing w:after="0"/>
              <w:rPr>
                <w:sz w:val="17"/>
                <w:szCs w:val="17"/>
                <w:color w:val="auto"/>
              </w:rPr>
            </w:pPr>
          </w:p>
        </w:tc>
        <w:tc>
          <w:tcPr>
            <w:tcW w:w="10200" w:type="dxa"/>
            <w:vAlign w:val="bottom"/>
          </w:tcPr>
          <w:p>
            <w:pPr>
              <w:ind w:left="80"/>
              <w:spacing w:after="0" w:line="201" w:lineRule="exact"/>
              <w:rPr>
                <w:sz w:val="20"/>
                <w:szCs w:val="20"/>
                <w:color w:val="auto"/>
              </w:rPr>
            </w:pPr>
            <w:r>
              <w:rPr>
                <w:rFonts w:ascii="Arial" w:cs="Arial" w:eastAsia="Arial" w:hAnsi="Arial"/>
                <w:sz w:val="18"/>
                <w:szCs w:val="18"/>
                <w:color w:val="auto"/>
                <w:w w:val="90"/>
              </w:rPr>
              <w:t>Form of Warrant to Purchase Common Stock, dated as of February 28, 2012, incorporated by reference from Exhibit 10.3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80"/>
              <w:spacing w:after="0"/>
              <w:rPr>
                <w:sz w:val="20"/>
                <w:szCs w:val="20"/>
                <w:color w:val="auto"/>
              </w:rPr>
            </w:pPr>
            <w:r>
              <w:rPr>
                <w:rFonts w:ascii="Arial" w:cs="Arial" w:eastAsia="Arial" w:hAnsi="Arial"/>
                <w:sz w:val="18"/>
                <w:szCs w:val="18"/>
                <w:color w:val="auto"/>
              </w:rPr>
              <w:t>Current Report on Form 8-K filed on March 2, 2012.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10.57</w:t>
            </w:r>
          </w:p>
        </w:tc>
        <w:tc>
          <w:tcPr>
            <w:tcW w:w="80" w:type="dxa"/>
            <w:vAlign w:val="bottom"/>
            <w:shd w:val="clear" w:color="auto" w:fill="CCEEFF"/>
          </w:tcPr>
          <w:p>
            <w:pPr>
              <w:spacing w:after="0"/>
              <w:rPr>
                <w:sz w:val="17"/>
                <w:szCs w:val="17"/>
                <w:color w:val="auto"/>
              </w:rPr>
            </w:pPr>
          </w:p>
        </w:tc>
        <w:tc>
          <w:tcPr>
            <w:tcW w:w="102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License Agreement No. 2, dated as of March 19, 2012 between University Health Network and VistaGen Therapeutics, Inc.,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by reference from Exhibit 10.57 to the Company’s Annual Report on Form 10-K filed on July 2, 2012.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10.58</w:t>
            </w:r>
          </w:p>
        </w:tc>
        <w:tc>
          <w:tcPr>
            <w:tcW w:w="80" w:type="dxa"/>
            <w:vAlign w:val="bottom"/>
          </w:tcPr>
          <w:p>
            <w:pPr>
              <w:spacing w:after="0"/>
              <w:rPr>
                <w:sz w:val="17"/>
                <w:szCs w:val="17"/>
                <w:color w:val="auto"/>
              </w:rPr>
            </w:pPr>
          </w:p>
        </w:tc>
        <w:tc>
          <w:tcPr>
            <w:tcW w:w="10200" w:type="dxa"/>
            <w:vAlign w:val="bottom"/>
          </w:tcPr>
          <w:p>
            <w:pPr>
              <w:ind w:left="80"/>
              <w:spacing w:after="0" w:line="201" w:lineRule="exact"/>
              <w:rPr>
                <w:sz w:val="20"/>
                <w:szCs w:val="20"/>
                <w:color w:val="auto"/>
              </w:rPr>
            </w:pPr>
            <w:r>
              <w:rPr>
                <w:rFonts w:ascii="Arial" w:cs="Arial" w:eastAsia="Arial" w:hAnsi="Arial"/>
                <w:sz w:val="18"/>
                <w:szCs w:val="18"/>
                <w:color w:val="auto"/>
                <w:w w:val="98"/>
              </w:rPr>
              <w:t>Exchange Agreement dated as of June 29, 2012 between Platinum Long Term Growth VII, LLC and VistaGen Therapeutics. Inc.,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80"/>
              <w:spacing w:after="0"/>
              <w:rPr>
                <w:sz w:val="20"/>
                <w:szCs w:val="20"/>
                <w:color w:val="auto"/>
              </w:rPr>
            </w:pPr>
            <w:r>
              <w:rPr>
                <w:rFonts w:ascii="Arial" w:cs="Arial" w:eastAsia="Arial" w:hAnsi="Arial"/>
                <w:sz w:val="18"/>
                <w:szCs w:val="18"/>
                <w:color w:val="auto"/>
              </w:rPr>
              <w:t>incorporated by reference from Exhibit 10.58 to the Company’s Annual Report on Form 10-K filed on July 2, 2012.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10.63</w:t>
            </w:r>
          </w:p>
        </w:tc>
        <w:tc>
          <w:tcPr>
            <w:tcW w:w="80" w:type="dxa"/>
            <w:vAlign w:val="bottom"/>
            <w:shd w:val="clear" w:color="auto" w:fill="CCEEFF"/>
          </w:tcPr>
          <w:p>
            <w:pPr>
              <w:spacing w:after="0"/>
              <w:rPr>
                <w:sz w:val="17"/>
                <w:szCs w:val="17"/>
                <w:color w:val="auto"/>
              </w:rPr>
            </w:pPr>
          </w:p>
        </w:tc>
        <w:tc>
          <w:tcPr>
            <w:tcW w:w="102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Unsecured Promissory Note in the face amount of $1,000,000 issued to Morrison &amp; Foerster LLP on August 31, 2012 (Replacement Note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 incorporated by reference from Exhibit 10.3 to the Company’s Current Report on Form 8-K filed on September 6, 2012.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10.64</w:t>
            </w:r>
          </w:p>
        </w:tc>
        <w:tc>
          <w:tcPr>
            <w:tcW w:w="80" w:type="dxa"/>
            <w:vAlign w:val="bottom"/>
          </w:tcPr>
          <w:p>
            <w:pPr>
              <w:spacing w:after="0"/>
              <w:rPr>
                <w:sz w:val="17"/>
                <w:szCs w:val="17"/>
                <w:color w:val="auto"/>
              </w:rPr>
            </w:pPr>
          </w:p>
        </w:tc>
        <w:tc>
          <w:tcPr>
            <w:tcW w:w="10200" w:type="dxa"/>
            <w:vAlign w:val="bottom"/>
          </w:tcPr>
          <w:p>
            <w:pPr>
              <w:ind w:left="80"/>
              <w:spacing w:after="0" w:line="201" w:lineRule="exact"/>
              <w:rPr>
                <w:sz w:val="20"/>
                <w:szCs w:val="20"/>
                <w:color w:val="auto"/>
              </w:rPr>
            </w:pPr>
            <w:r>
              <w:rPr>
                <w:rFonts w:ascii="Arial" w:cs="Arial" w:eastAsia="Arial" w:hAnsi="Arial"/>
                <w:sz w:val="18"/>
                <w:szCs w:val="18"/>
                <w:color w:val="auto"/>
                <w:w w:val="92"/>
              </w:rPr>
              <w:t>Unsecured Promissory Note in the face amount of $1,379,376 issued to Morrison &amp; Foerster LLP on August 31, 2012 (Replacement Note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tcPr>
          <w:p>
            <w:pPr>
              <w:ind w:left="80"/>
              <w:spacing w:after="0"/>
              <w:rPr>
                <w:sz w:val="20"/>
                <w:szCs w:val="20"/>
                <w:color w:val="auto"/>
              </w:rPr>
            </w:pPr>
            <w:r>
              <w:rPr>
                <w:rFonts w:ascii="Arial" w:cs="Arial" w:eastAsia="Arial" w:hAnsi="Arial"/>
                <w:sz w:val="18"/>
                <w:szCs w:val="18"/>
                <w:color w:val="auto"/>
              </w:rPr>
              <w:t>B), incorporated by reference from Exhibit 10.4 to the Company’s Current Report on Form 8-K filed on September 6, 2012.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0" w:type="dxa"/>
            <w:vAlign w:val="bottom"/>
          </w:tcPr>
          <w:p>
            <w:pPr>
              <w:ind w:left="43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4" w:name="page165"/>
    <w:bookmarkEnd w:id="16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8"/>
              </w:rPr>
              <w:t>10.65</w:t>
            </w: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Stock Purchase Warrant issued to Morrison &amp; Foerster LLP on August 31, 2012 to purchase 1,379,376 shares of the Company’s common</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stock (New Morrison &amp; Foerster Warrant), incorporated by reference from Exhibit 10.5 to the Company’s Current Report on Form 8-K filed</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on September 6, 2012.</w:t>
            </w:r>
          </w:p>
        </w:tc>
      </w:tr>
      <w:tr>
        <w:trPr>
          <w:trHeight w:val="202"/>
        </w:trPr>
        <w:tc>
          <w:tcPr>
            <w:tcW w:w="86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88"/>
              </w:rPr>
              <w:t>10.66</w:t>
            </w:r>
          </w:p>
        </w:tc>
        <w:tc>
          <w:tcPr>
            <w:tcW w:w="10560" w:type="dxa"/>
            <w:vAlign w:val="bottom"/>
          </w:tcPr>
          <w:p>
            <w:pPr>
              <w:ind w:left="440"/>
              <w:spacing w:after="0" w:line="201" w:lineRule="exact"/>
              <w:rPr>
                <w:sz w:val="20"/>
                <w:szCs w:val="20"/>
                <w:color w:val="auto"/>
              </w:rPr>
            </w:pPr>
            <w:r>
              <w:rPr>
                <w:rFonts w:ascii="Arial" w:cs="Arial" w:eastAsia="Arial" w:hAnsi="Arial"/>
                <w:sz w:val="18"/>
                <w:szCs w:val="18"/>
                <w:color w:val="auto"/>
                <w:w w:val="91"/>
              </w:rPr>
              <w:t>Warrant to Purchase Common Stock issued to Morrison &amp; Foerster LLP on August 31, 2012 to purchase 425,000 shares of the Company’s</w:t>
            </w:r>
          </w:p>
        </w:tc>
      </w:tr>
      <w:tr>
        <w:trPr>
          <w:trHeight w:val="216"/>
        </w:trPr>
        <w:tc>
          <w:tcPr>
            <w:tcW w:w="860" w:type="dxa"/>
            <w:vAlign w:val="bottom"/>
          </w:tcPr>
          <w:p>
            <w:pPr>
              <w:spacing w:after="0"/>
              <w:rPr>
                <w:sz w:val="18"/>
                <w:szCs w:val="18"/>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w w:val="92"/>
              </w:rPr>
              <w:t>common stock (Amended Morrison &amp; Foerster Warrant), incorporated by reference from Exhibit 10.6 to the Company’s Current Report on</w:t>
            </w:r>
          </w:p>
        </w:tc>
      </w:tr>
      <w:tr>
        <w:trPr>
          <w:trHeight w:val="230"/>
        </w:trPr>
        <w:tc>
          <w:tcPr>
            <w:tcW w:w="860" w:type="dxa"/>
            <w:vAlign w:val="bottom"/>
          </w:tcPr>
          <w:p>
            <w:pPr>
              <w:spacing w:after="0"/>
              <w:rPr>
                <w:sz w:val="20"/>
                <w:szCs w:val="20"/>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rPr>
              <w:t>Form 8-K filed on September 6, 2012.</w:t>
            </w:r>
          </w:p>
        </w:tc>
      </w:tr>
      <w:tr>
        <w:trPr>
          <w:trHeight w:val="202"/>
        </w:trPr>
        <w:tc>
          <w:tcPr>
            <w:tcW w:w="86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88"/>
              </w:rPr>
              <w:t>10.67</w:t>
            </w:r>
          </w:p>
        </w:tc>
        <w:tc>
          <w:tcPr>
            <w:tcW w:w="10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3"/>
              </w:rPr>
              <w:t>Note Exchange and Purchase Agreement dated as of October 11, 2012 by and between VistaGen Therapeutics, Inc. and Platinum Long</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Term Growth VII, LLP, incorporated by reference from Exhibit 10.1 to the Company’s Current Report on Form 8-K filed on October 16,</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2012.</w:t>
            </w:r>
          </w:p>
        </w:tc>
      </w:tr>
      <w:tr>
        <w:trPr>
          <w:trHeight w:val="202"/>
        </w:trPr>
        <w:tc>
          <w:tcPr>
            <w:tcW w:w="86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88"/>
              </w:rPr>
              <w:t>10.68</w:t>
            </w:r>
          </w:p>
        </w:tc>
        <w:tc>
          <w:tcPr>
            <w:tcW w:w="10560" w:type="dxa"/>
            <w:vAlign w:val="bottom"/>
          </w:tcPr>
          <w:p>
            <w:pPr>
              <w:ind w:left="440"/>
              <w:spacing w:after="0" w:line="201" w:lineRule="exact"/>
              <w:rPr>
                <w:sz w:val="20"/>
                <w:szCs w:val="20"/>
                <w:color w:val="auto"/>
              </w:rPr>
            </w:pPr>
            <w:r>
              <w:rPr>
                <w:rFonts w:ascii="Arial" w:cs="Arial" w:eastAsia="Arial" w:hAnsi="Arial"/>
                <w:sz w:val="18"/>
                <w:szCs w:val="18"/>
                <w:color w:val="auto"/>
                <w:w w:val="96"/>
              </w:rPr>
              <w:t>Form of Senior Secured Convertible Promissory Note issued to Platinum Long Term Growth VII, LLP under the Note Exchange and</w:t>
            </w:r>
          </w:p>
        </w:tc>
      </w:tr>
      <w:tr>
        <w:trPr>
          <w:trHeight w:val="216"/>
        </w:trPr>
        <w:tc>
          <w:tcPr>
            <w:tcW w:w="860" w:type="dxa"/>
            <w:vAlign w:val="bottom"/>
          </w:tcPr>
          <w:p>
            <w:pPr>
              <w:spacing w:after="0"/>
              <w:rPr>
                <w:sz w:val="18"/>
                <w:szCs w:val="18"/>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w w:val="95"/>
              </w:rPr>
              <w:t>Purchase Agreement, incorporated by reference from Exhibit 10.2 to the Company’s Current Report on Form 8-K filed on October 16,</w:t>
            </w:r>
          </w:p>
        </w:tc>
      </w:tr>
      <w:tr>
        <w:trPr>
          <w:trHeight w:val="230"/>
        </w:trPr>
        <w:tc>
          <w:tcPr>
            <w:tcW w:w="860" w:type="dxa"/>
            <w:vAlign w:val="bottom"/>
          </w:tcPr>
          <w:p>
            <w:pPr>
              <w:spacing w:after="0"/>
              <w:rPr>
                <w:sz w:val="20"/>
                <w:szCs w:val="20"/>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rPr>
              <w:t>2012.</w:t>
            </w:r>
          </w:p>
        </w:tc>
      </w:tr>
      <w:tr>
        <w:trPr>
          <w:trHeight w:val="202"/>
        </w:trPr>
        <w:tc>
          <w:tcPr>
            <w:tcW w:w="86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88"/>
              </w:rPr>
              <w:t>10.69</w:t>
            </w:r>
          </w:p>
        </w:tc>
        <w:tc>
          <w:tcPr>
            <w:tcW w:w="10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5"/>
              </w:rPr>
              <w:t>Form of Warrant to Purchase Shares of Common Stock issued to Platinum Long Term Growth VII, LLP under the Note Exchange and</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Purchase Agreement, incorporated by reference from Exhibit 10.3 to the Company’s Current Report on Form 8-K filed on October 16,</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2012.</w:t>
            </w:r>
          </w:p>
        </w:tc>
      </w:tr>
      <w:tr>
        <w:trPr>
          <w:trHeight w:val="202"/>
        </w:trPr>
        <w:tc>
          <w:tcPr>
            <w:tcW w:w="86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88"/>
              </w:rPr>
              <w:t>10.70</w:t>
            </w:r>
          </w:p>
        </w:tc>
        <w:tc>
          <w:tcPr>
            <w:tcW w:w="10560" w:type="dxa"/>
            <w:vAlign w:val="bottom"/>
          </w:tcPr>
          <w:p>
            <w:pPr>
              <w:ind w:left="440"/>
              <w:spacing w:after="0" w:line="201" w:lineRule="exact"/>
              <w:rPr>
                <w:sz w:val="20"/>
                <w:szCs w:val="20"/>
                <w:color w:val="auto"/>
              </w:rPr>
            </w:pPr>
            <w:r>
              <w:rPr>
                <w:rFonts w:ascii="Arial" w:cs="Arial" w:eastAsia="Arial" w:hAnsi="Arial"/>
                <w:sz w:val="18"/>
                <w:szCs w:val="18"/>
                <w:color w:val="auto"/>
                <w:w w:val="91"/>
              </w:rPr>
              <w:t>Amended and Restated Security Agreement as of October 11, 2012 between VistaGen Therapeutics, Inc. and Platinum Long Term Growth</w:t>
            </w:r>
          </w:p>
        </w:tc>
      </w:tr>
      <w:tr>
        <w:trPr>
          <w:trHeight w:val="230"/>
        </w:trPr>
        <w:tc>
          <w:tcPr>
            <w:tcW w:w="860" w:type="dxa"/>
            <w:vAlign w:val="bottom"/>
          </w:tcPr>
          <w:p>
            <w:pPr>
              <w:spacing w:after="0"/>
              <w:rPr>
                <w:sz w:val="20"/>
                <w:szCs w:val="20"/>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rPr>
              <w:t>VII, LLP, incorporated by reference from Exhibit 10.4 to the Company’s Current Report on Form 8-K filed on October 16, 2012.</w:t>
            </w:r>
          </w:p>
        </w:tc>
      </w:tr>
      <w:tr>
        <w:trPr>
          <w:trHeight w:val="202"/>
        </w:trPr>
        <w:tc>
          <w:tcPr>
            <w:tcW w:w="86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88"/>
              </w:rPr>
              <w:t>10.71</w:t>
            </w:r>
          </w:p>
        </w:tc>
        <w:tc>
          <w:tcPr>
            <w:tcW w:w="10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2"/>
              </w:rPr>
              <w:t>Intellectual Property Security and Stock Pledge Agreement as of October 11, 2012 between VistaGen California and Platinum Long Term</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Growth VII, LLP, incorporated by reference from Exhibit 10.5 to the Company’s Current Report on Form 8-K filed on October 16, 2012.</w:t>
            </w:r>
          </w:p>
        </w:tc>
      </w:tr>
      <w:tr>
        <w:trPr>
          <w:trHeight w:val="202"/>
        </w:trPr>
        <w:tc>
          <w:tcPr>
            <w:tcW w:w="86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88"/>
              </w:rPr>
              <w:t>10.72</w:t>
            </w:r>
          </w:p>
        </w:tc>
        <w:tc>
          <w:tcPr>
            <w:tcW w:w="10560" w:type="dxa"/>
            <w:vAlign w:val="bottom"/>
          </w:tcPr>
          <w:p>
            <w:pPr>
              <w:ind w:left="440"/>
              <w:spacing w:after="0" w:line="201" w:lineRule="exact"/>
              <w:rPr>
                <w:sz w:val="20"/>
                <w:szCs w:val="20"/>
                <w:color w:val="auto"/>
              </w:rPr>
            </w:pPr>
            <w:r>
              <w:rPr>
                <w:rFonts w:ascii="Arial" w:cs="Arial" w:eastAsia="Arial" w:hAnsi="Arial"/>
                <w:sz w:val="18"/>
                <w:szCs w:val="18"/>
                <w:color w:val="auto"/>
                <w:w w:val="91"/>
              </w:rPr>
              <w:t>Negative Covenant Agreement dated October 11, 2012 between VistaGen California, Artemis Neuroscience, Inc. and Platinum Long Term</w:t>
            </w:r>
          </w:p>
        </w:tc>
      </w:tr>
      <w:tr>
        <w:trPr>
          <w:trHeight w:val="230"/>
        </w:trPr>
        <w:tc>
          <w:tcPr>
            <w:tcW w:w="860" w:type="dxa"/>
            <w:vAlign w:val="bottom"/>
          </w:tcPr>
          <w:p>
            <w:pPr>
              <w:spacing w:after="0"/>
              <w:rPr>
                <w:sz w:val="20"/>
                <w:szCs w:val="20"/>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w w:val="94"/>
              </w:rPr>
              <w:t>Growth VII, LLP, incorporated by reference from Exhibit 10.6 to the Company’s Current Report on Form 8-K filed on October 16, 2012.</w:t>
            </w:r>
          </w:p>
        </w:tc>
      </w:tr>
      <w:tr>
        <w:trPr>
          <w:trHeight w:val="202"/>
        </w:trPr>
        <w:tc>
          <w:tcPr>
            <w:tcW w:w="86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88"/>
              </w:rPr>
              <w:t>10.73</w:t>
            </w:r>
          </w:p>
        </w:tc>
        <w:tc>
          <w:tcPr>
            <w:tcW w:w="10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0"/>
              </w:rPr>
              <w:t>Amendment to Note Exchange and Purchase Agreement as of November 14, 2012 between VistaGen Therapeutics Inc. and Platinum Long</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Term Growth VII, LLP, incorporated by reference from Exhibit 10.1 to the Company’s Current Report on Form 8-K filed on November 20,</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2012.</w:t>
            </w:r>
          </w:p>
        </w:tc>
      </w:tr>
      <w:tr>
        <w:trPr>
          <w:trHeight w:val="202"/>
        </w:trPr>
        <w:tc>
          <w:tcPr>
            <w:tcW w:w="86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88"/>
              </w:rPr>
              <w:t>10.75</w:t>
            </w:r>
          </w:p>
        </w:tc>
        <w:tc>
          <w:tcPr>
            <w:tcW w:w="10560" w:type="dxa"/>
            <w:vAlign w:val="bottom"/>
          </w:tcPr>
          <w:p>
            <w:pPr>
              <w:ind w:left="440"/>
              <w:spacing w:after="0" w:line="201" w:lineRule="exact"/>
              <w:rPr>
                <w:sz w:val="20"/>
                <w:szCs w:val="20"/>
                <w:color w:val="auto"/>
              </w:rPr>
            </w:pPr>
            <w:r>
              <w:rPr>
                <w:rFonts w:ascii="Arial" w:cs="Arial" w:eastAsia="Arial" w:hAnsi="Arial"/>
                <w:sz w:val="18"/>
                <w:szCs w:val="18"/>
                <w:color w:val="auto"/>
                <w:w w:val="92"/>
              </w:rPr>
              <w:t>Amendment No. 2 to Note Exchange and Purchase Agreement as of January 31, 2013 between VistaGen Therapeutics Inc. and Platinum</w:t>
            </w:r>
          </w:p>
        </w:tc>
      </w:tr>
      <w:tr>
        <w:trPr>
          <w:trHeight w:val="216"/>
        </w:trPr>
        <w:tc>
          <w:tcPr>
            <w:tcW w:w="860" w:type="dxa"/>
            <w:vAlign w:val="bottom"/>
          </w:tcPr>
          <w:p>
            <w:pPr>
              <w:spacing w:after="0"/>
              <w:rPr>
                <w:sz w:val="18"/>
                <w:szCs w:val="18"/>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w w:val="97"/>
              </w:rPr>
              <w:t>Long Term Growth VII, LLP, incorporated by reference from Exhibit 10.1 to the Company’s Quarterly Report on Form 10-Q filed on</w:t>
            </w:r>
          </w:p>
        </w:tc>
      </w:tr>
      <w:tr>
        <w:trPr>
          <w:trHeight w:val="230"/>
        </w:trPr>
        <w:tc>
          <w:tcPr>
            <w:tcW w:w="860" w:type="dxa"/>
            <w:vAlign w:val="bottom"/>
          </w:tcPr>
          <w:p>
            <w:pPr>
              <w:spacing w:after="0"/>
              <w:rPr>
                <w:sz w:val="20"/>
                <w:szCs w:val="20"/>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rPr>
              <w:t>February 14, 2013.</w:t>
            </w:r>
          </w:p>
        </w:tc>
      </w:tr>
      <w:tr>
        <w:trPr>
          <w:trHeight w:val="202"/>
        </w:trPr>
        <w:tc>
          <w:tcPr>
            <w:tcW w:w="86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88"/>
              </w:rPr>
              <w:t>10.76</w:t>
            </w:r>
          </w:p>
        </w:tc>
        <w:tc>
          <w:tcPr>
            <w:tcW w:w="10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1"/>
              </w:rPr>
              <w:t>Amendment No. 3 to Note Exchange and Purchase Agreement as of February 22, 2013 between VistaGen Therapeutics Inc. and Platinum</w:t>
            </w:r>
          </w:p>
        </w:tc>
      </w:tr>
      <w:tr>
        <w:trPr>
          <w:trHeight w:val="216"/>
        </w:trPr>
        <w:tc>
          <w:tcPr>
            <w:tcW w:w="860" w:type="dxa"/>
            <w:vAlign w:val="bottom"/>
            <w:shd w:val="clear" w:color="auto" w:fill="CCEEFF"/>
          </w:tcPr>
          <w:p>
            <w:pPr>
              <w:spacing w:after="0"/>
              <w:rPr>
                <w:sz w:val="18"/>
                <w:szCs w:val="18"/>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Long Term Growth VII, LLP, incorporated by reference from Exhibit 10.1 to the Company’s Current Report on Form 8-K filed on February</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28, 2013.</w:t>
            </w:r>
          </w:p>
        </w:tc>
      </w:tr>
      <w:tr>
        <w:trPr>
          <w:trHeight w:val="202"/>
        </w:trPr>
        <w:tc>
          <w:tcPr>
            <w:tcW w:w="86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88"/>
              </w:rPr>
              <w:t>10.77</w:t>
            </w:r>
          </w:p>
        </w:tc>
        <w:tc>
          <w:tcPr>
            <w:tcW w:w="10560" w:type="dxa"/>
            <w:vAlign w:val="bottom"/>
          </w:tcPr>
          <w:p>
            <w:pPr>
              <w:ind w:left="440"/>
              <w:spacing w:after="0" w:line="201" w:lineRule="exact"/>
              <w:rPr>
                <w:sz w:val="20"/>
                <w:szCs w:val="20"/>
                <w:color w:val="auto"/>
              </w:rPr>
            </w:pPr>
            <w:r>
              <w:rPr>
                <w:rFonts w:ascii="Arial" w:cs="Arial" w:eastAsia="Arial" w:hAnsi="Arial"/>
                <w:sz w:val="18"/>
                <w:szCs w:val="18"/>
                <w:color w:val="auto"/>
                <w:w w:val="95"/>
              </w:rPr>
              <w:t>Form of Warrant to Purchase Common Stock issued to independent members of the Company’s Board of Directors and its executive</w:t>
            </w:r>
          </w:p>
        </w:tc>
      </w:tr>
      <w:tr>
        <w:trPr>
          <w:trHeight w:val="216"/>
        </w:trPr>
        <w:tc>
          <w:tcPr>
            <w:tcW w:w="860" w:type="dxa"/>
            <w:vAlign w:val="bottom"/>
          </w:tcPr>
          <w:p>
            <w:pPr>
              <w:spacing w:after="0"/>
              <w:rPr>
                <w:sz w:val="18"/>
                <w:szCs w:val="18"/>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w w:val="94"/>
              </w:rPr>
              <w:t>officers on March 3, 2013, incorporated by reference from Exhibit 10.1 to the Company’s Current Report on Form 8-K filed on March 6,</w:t>
            </w:r>
          </w:p>
        </w:tc>
      </w:tr>
      <w:tr>
        <w:trPr>
          <w:trHeight w:val="230"/>
        </w:trPr>
        <w:tc>
          <w:tcPr>
            <w:tcW w:w="860" w:type="dxa"/>
            <w:vAlign w:val="bottom"/>
          </w:tcPr>
          <w:p>
            <w:pPr>
              <w:spacing w:after="0"/>
              <w:rPr>
                <w:sz w:val="20"/>
                <w:szCs w:val="20"/>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rPr>
              <w:t>2013.</w:t>
            </w:r>
          </w:p>
        </w:tc>
      </w:tr>
      <w:tr>
        <w:trPr>
          <w:trHeight w:val="202"/>
        </w:trPr>
        <w:tc>
          <w:tcPr>
            <w:tcW w:w="86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88"/>
              </w:rPr>
              <w:t>10.78</w:t>
            </w:r>
          </w:p>
        </w:tc>
        <w:tc>
          <w:tcPr>
            <w:tcW w:w="10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1"/>
              </w:rPr>
              <w:t>Securities Purchase Agreement between VistaGen Therapeutics, Inc., and Autilion AG dated April 8, 2013, incorporated by reference from</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Exhibit 10.1 to the Company’s Current Report on Form 8-K filed on April 10, 2013.</w:t>
            </w:r>
          </w:p>
        </w:tc>
      </w:tr>
      <w:tr>
        <w:trPr>
          <w:trHeight w:val="202"/>
        </w:trPr>
        <w:tc>
          <w:tcPr>
            <w:tcW w:w="86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88"/>
              </w:rPr>
              <w:t>10.79</w:t>
            </w:r>
          </w:p>
        </w:tc>
        <w:tc>
          <w:tcPr>
            <w:tcW w:w="10560" w:type="dxa"/>
            <w:vAlign w:val="bottom"/>
          </w:tcPr>
          <w:p>
            <w:pPr>
              <w:ind w:left="440"/>
              <w:spacing w:after="0" w:line="201" w:lineRule="exact"/>
              <w:rPr>
                <w:sz w:val="20"/>
                <w:szCs w:val="20"/>
                <w:color w:val="auto"/>
              </w:rPr>
            </w:pPr>
            <w:r>
              <w:rPr>
                <w:rFonts w:ascii="Arial" w:cs="Arial" w:eastAsia="Arial" w:hAnsi="Arial"/>
                <w:sz w:val="18"/>
                <w:szCs w:val="18"/>
                <w:color w:val="auto"/>
                <w:w w:val="92"/>
              </w:rPr>
              <w:t>Voting Agreement between VistaGen Therapeutics, Inc., and Autilion AG dated April 8, 2013, incorporated by reference from Exhibit 10.2</w:t>
            </w:r>
          </w:p>
        </w:tc>
      </w:tr>
      <w:tr>
        <w:trPr>
          <w:trHeight w:val="230"/>
        </w:trPr>
        <w:tc>
          <w:tcPr>
            <w:tcW w:w="860" w:type="dxa"/>
            <w:vAlign w:val="bottom"/>
          </w:tcPr>
          <w:p>
            <w:pPr>
              <w:spacing w:after="0"/>
              <w:rPr>
                <w:sz w:val="20"/>
                <w:szCs w:val="20"/>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rPr>
              <w:t>to the Company’s Current Report on Form 8-K filed on April 10, 2013.</w:t>
            </w:r>
          </w:p>
        </w:tc>
      </w:tr>
      <w:tr>
        <w:trPr>
          <w:trHeight w:val="202"/>
        </w:trPr>
        <w:tc>
          <w:tcPr>
            <w:tcW w:w="86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88"/>
              </w:rPr>
              <w:t>10.80</w:t>
            </w:r>
          </w:p>
        </w:tc>
        <w:tc>
          <w:tcPr>
            <w:tcW w:w="10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9"/>
              </w:rPr>
              <w:t>Note Conversion Agreement as of April 4, 2013 between VistaGen Therapeutics Inc. and Platinum Long Term Growth VII, LLP,</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incorporated by reference from Exhibit 10.3 to the Company’s Current Report on Form 8-K filed on April 10, 2013.</w:t>
            </w:r>
          </w:p>
        </w:tc>
      </w:tr>
      <w:tr>
        <w:trPr>
          <w:trHeight w:val="202"/>
        </w:trPr>
        <w:tc>
          <w:tcPr>
            <w:tcW w:w="86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88"/>
              </w:rPr>
              <w:t>10.81</w:t>
            </w:r>
          </w:p>
        </w:tc>
        <w:tc>
          <w:tcPr>
            <w:tcW w:w="10560" w:type="dxa"/>
            <w:vAlign w:val="bottom"/>
          </w:tcPr>
          <w:p>
            <w:pPr>
              <w:ind w:left="440"/>
              <w:spacing w:after="0" w:line="201" w:lineRule="exact"/>
              <w:rPr>
                <w:sz w:val="20"/>
                <w:szCs w:val="20"/>
                <w:color w:val="auto"/>
              </w:rPr>
            </w:pPr>
            <w:r>
              <w:rPr>
                <w:rFonts w:ascii="Arial" w:cs="Arial" w:eastAsia="Arial" w:hAnsi="Arial"/>
                <w:sz w:val="18"/>
                <w:szCs w:val="18"/>
                <w:color w:val="auto"/>
              </w:rPr>
              <w:t>Assignment and Assumption Agreement between Autilion AG and Bergamo Acquisition Corp. PTE LTD dated April 12, 2013,</w:t>
            </w:r>
          </w:p>
        </w:tc>
      </w:tr>
      <w:tr>
        <w:trPr>
          <w:trHeight w:val="230"/>
        </w:trPr>
        <w:tc>
          <w:tcPr>
            <w:tcW w:w="860" w:type="dxa"/>
            <w:vAlign w:val="bottom"/>
          </w:tcPr>
          <w:p>
            <w:pPr>
              <w:spacing w:after="0"/>
              <w:rPr>
                <w:sz w:val="20"/>
                <w:szCs w:val="20"/>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rPr>
              <w:t>incorporated by reference from Exhibit 10.81 to the Company’s Annual Report on Form 10-K filed July 18, 2013.</w:t>
            </w:r>
          </w:p>
        </w:tc>
      </w:tr>
      <w:tr>
        <w:trPr>
          <w:trHeight w:val="202"/>
        </w:trPr>
        <w:tc>
          <w:tcPr>
            <w:tcW w:w="86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88"/>
              </w:rPr>
              <w:t>10.82</w:t>
            </w:r>
          </w:p>
        </w:tc>
        <w:tc>
          <w:tcPr>
            <w:tcW w:w="10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2"/>
              </w:rPr>
              <w:t>Amendment No. 1 to Securities Purchase Agreement dated April 30, 2013 between VistaGen Therapeutics, Inc. and Bergamo Acquisition</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Corp. PTE LTD, incorporated by reference from Exhibit 10.1 to the Company’s Current Report on Form 8-K filed on May 1, 2013.</w:t>
            </w:r>
          </w:p>
        </w:tc>
      </w:tr>
      <w:tr>
        <w:trPr>
          <w:trHeight w:val="202"/>
        </w:trPr>
        <w:tc>
          <w:tcPr>
            <w:tcW w:w="86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88"/>
              </w:rPr>
              <w:t>10.83</w:t>
            </w:r>
          </w:p>
        </w:tc>
        <w:tc>
          <w:tcPr>
            <w:tcW w:w="10560" w:type="dxa"/>
            <w:vAlign w:val="bottom"/>
          </w:tcPr>
          <w:p>
            <w:pPr>
              <w:ind w:left="440"/>
              <w:spacing w:after="0" w:line="201" w:lineRule="exact"/>
              <w:rPr>
                <w:sz w:val="20"/>
                <w:szCs w:val="20"/>
                <w:color w:val="auto"/>
              </w:rPr>
            </w:pPr>
            <w:r>
              <w:rPr>
                <w:rFonts w:ascii="Arial" w:cs="Arial" w:eastAsia="Arial" w:hAnsi="Arial"/>
                <w:sz w:val="18"/>
                <w:szCs w:val="18"/>
                <w:color w:val="auto"/>
                <w:w w:val="96"/>
              </w:rPr>
              <w:t>Lease between Bayside Area Development, LLC and VistaGen Therapeutics, Inc. (California) dated April 24, 2013, incorporated by</w:t>
            </w:r>
          </w:p>
        </w:tc>
      </w:tr>
      <w:tr>
        <w:trPr>
          <w:trHeight w:val="230"/>
        </w:trPr>
        <w:tc>
          <w:tcPr>
            <w:tcW w:w="860" w:type="dxa"/>
            <w:vAlign w:val="bottom"/>
          </w:tcPr>
          <w:p>
            <w:pPr>
              <w:spacing w:after="0"/>
              <w:rPr>
                <w:sz w:val="20"/>
                <w:szCs w:val="20"/>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rPr>
              <w:t>reference from Exhibit 10.83 to the Company’s Annual Report on Form 10-K filed July 18, 2013.</w:t>
            </w:r>
          </w:p>
        </w:tc>
      </w:tr>
      <w:tr>
        <w:trPr>
          <w:trHeight w:val="202"/>
        </w:trPr>
        <w:tc>
          <w:tcPr>
            <w:tcW w:w="86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w w:val="88"/>
              </w:rPr>
              <w:t>10.84</w:t>
            </w:r>
          </w:p>
        </w:tc>
        <w:tc>
          <w:tcPr>
            <w:tcW w:w="10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1"/>
              </w:rPr>
              <w:t>Indemnification Agreement effective May 20, 2013 between the Company and Jon S. Saxe, incorporated by reference from Exhibit 10.84 to</w:t>
            </w:r>
          </w:p>
        </w:tc>
      </w:tr>
      <w:tr>
        <w:trPr>
          <w:trHeight w:val="230"/>
        </w:trPr>
        <w:tc>
          <w:tcPr>
            <w:tcW w:w="860" w:type="dxa"/>
            <w:vAlign w:val="bottom"/>
            <w:shd w:val="clear" w:color="auto" w:fill="CCEEFF"/>
          </w:tcPr>
          <w:p>
            <w:pPr>
              <w:spacing w:after="0"/>
              <w:rPr>
                <w:sz w:val="20"/>
                <w:szCs w:val="20"/>
                <w:color w:val="auto"/>
              </w:rPr>
            </w:pPr>
          </w:p>
        </w:tc>
        <w:tc>
          <w:tcPr>
            <w:tcW w:w="10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 Company's Annual Report on Form 10-K filed on July 18, 2013.</w:t>
            </w:r>
          </w:p>
        </w:tc>
      </w:tr>
      <w:tr>
        <w:trPr>
          <w:trHeight w:val="202"/>
        </w:trPr>
        <w:tc>
          <w:tcPr>
            <w:tcW w:w="86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88"/>
              </w:rPr>
              <w:t>10.85</w:t>
            </w:r>
          </w:p>
        </w:tc>
        <w:tc>
          <w:tcPr>
            <w:tcW w:w="10560" w:type="dxa"/>
            <w:vAlign w:val="bottom"/>
          </w:tcPr>
          <w:p>
            <w:pPr>
              <w:ind w:left="440"/>
              <w:spacing w:after="0" w:line="201" w:lineRule="exact"/>
              <w:rPr>
                <w:sz w:val="20"/>
                <w:szCs w:val="20"/>
                <w:color w:val="auto"/>
              </w:rPr>
            </w:pPr>
            <w:r>
              <w:rPr>
                <w:rFonts w:ascii="Arial" w:cs="Arial" w:eastAsia="Arial" w:hAnsi="Arial"/>
                <w:sz w:val="18"/>
                <w:szCs w:val="18"/>
                <w:color w:val="auto"/>
                <w:w w:val="94"/>
              </w:rPr>
              <w:t>Indemnification Agreement effective May 20, 2013 between the Company and Shawn K. Singh, incorporated by reference from Exhibit</w:t>
            </w:r>
          </w:p>
        </w:tc>
      </w:tr>
      <w:tr>
        <w:trPr>
          <w:trHeight w:val="230"/>
        </w:trPr>
        <w:tc>
          <w:tcPr>
            <w:tcW w:w="860" w:type="dxa"/>
            <w:vAlign w:val="bottom"/>
          </w:tcPr>
          <w:p>
            <w:pPr>
              <w:spacing w:after="0"/>
              <w:rPr>
                <w:sz w:val="20"/>
                <w:szCs w:val="20"/>
                <w:color w:val="auto"/>
              </w:rPr>
            </w:pPr>
          </w:p>
        </w:tc>
        <w:tc>
          <w:tcPr>
            <w:tcW w:w="10560" w:type="dxa"/>
            <w:vAlign w:val="bottom"/>
          </w:tcPr>
          <w:p>
            <w:pPr>
              <w:ind w:left="440"/>
              <w:spacing w:after="0"/>
              <w:rPr>
                <w:sz w:val="20"/>
                <w:szCs w:val="20"/>
                <w:color w:val="auto"/>
              </w:rPr>
            </w:pPr>
            <w:r>
              <w:rPr>
                <w:rFonts w:ascii="Arial" w:cs="Arial" w:eastAsia="Arial" w:hAnsi="Arial"/>
                <w:sz w:val="18"/>
                <w:szCs w:val="18"/>
                <w:color w:val="auto"/>
              </w:rPr>
              <w:t>10.85 to the Company’s Annual Report on Form 10-K filed on July 18, 2013.</w:t>
            </w:r>
          </w:p>
        </w:tc>
      </w:tr>
      <w:tr>
        <w:trPr>
          <w:trHeight w:val="608"/>
        </w:trPr>
        <w:tc>
          <w:tcPr>
            <w:tcW w:w="860" w:type="dxa"/>
            <w:vAlign w:val="bottom"/>
          </w:tcPr>
          <w:p>
            <w:pPr>
              <w:spacing w:after="0"/>
              <w:rPr>
                <w:sz w:val="24"/>
                <w:szCs w:val="24"/>
                <w:color w:val="auto"/>
              </w:rPr>
            </w:pPr>
          </w:p>
        </w:tc>
        <w:tc>
          <w:tcPr>
            <w:tcW w:w="10560" w:type="dxa"/>
            <w:vAlign w:val="bottom"/>
          </w:tcPr>
          <w:p>
            <w:pPr>
              <w:ind w:left="4660"/>
              <w:spacing w:after="0"/>
              <w:rPr>
                <w:sz w:val="20"/>
                <w:szCs w:val="20"/>
                <w:color w:val="auto"/>
              </w:rPr>
            </w:pPr>
            <w:r>
              <w:rPr>
                <w:rFonts w:ascii="Arial" w:cs="Arial" w:eastAsia="Arial" w:hAnsi="Arial"/>
                <w:sz w:val="18"/>
                <w:szCs w:val="18"/>
                <w:color w:val="auto"/>
              </w:rPr>
              <w:t>-159-</w:t>
            </w:r>
          </w:p>
        </w:tc>
      </w:tr>
      <w:tr>
        <w:trPr>
          <w:trHeight w:val="118"/>
        </w:trPr>
        <w:tc>
          <w:tcPr>
            <w:tcW w:w="860" w:type="dxa"/>
            <w:vAlign w:val="bottom"/>
            <w:tcBorders>
              <w:bottom w:val="single" w:sz="8" w:color="808080"/>
            </w:tcBorders>
          </w:tcPr>
          <w:p>
            <w:pPr>
              <w:spacing w:after="0"/>
              <w:rPr>
                <w:sz w:val="10"/>
                <w:szCs w:val="10"/>
                <w:color w:val="auto"/>
              </w:rPr>
            </w:pPr>
          </w:p>
        </w:tc>
        <w:tc>
          <w:tcPr>
            <w:tcW w:w="10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5" w:name="page166"/>
    <w:bookmarkEnd w:id="16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10.86</w:t>
            </w: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Indemnification Agreement effective May 20, 2013 between the Company and H. Ralph Snodgrass, incorporated by reference from Exhibit</w:t>
            </w:r>
          </w:p>
        </w:tc>
      </w:tr>
      <w:tr>
        <w:trPr>
          <w:trHeight w:val="230"/>
        </w:trPr>
        <w:tc>
          <w:tcPr>
            <w:tcW w:w="900" w:type="dxa"/>
            <w:vAlign w:val="bottom"/>
            <w:shd w:val="clear" w:color="auto" w:fill="CCEEFF"/>
          </w:tcPr>
          <w:p>
            <w:pPr>
              <w:spacing w:after="0"/>
              <w:rPr>
                <w:sz w:val="20"/>
                <w:szCs w:val="20"/>
                <w:color w:val="auto"/>
              </w:rPr>
            </w:pP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10.86 to the Company’s Annual Report on Form 10-K filed on July 18, 2013.</w:t>
            </w: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10.87</w:t>
            </w:r>
          </w:p>
        </w:tc>
        <w:tc>
          <w:tcPr>
            <w:tcW w:w="10520" w:type="dxa"/>
            <w:vAlign w:val="bottom"/>
          </w:tcPr>
          <w:p>
            <w:pPr>
              <w:ind w:left="400"/>
              <w:spacing w:after="0" w:line="201" w:lineRule="exact"/>
              <w:rPr>
                <w:sz w:val="20"/>
                <w:szCs w:val="20"/>
                <w:color w:val="auto"/>
              </w:rPr>
            </w:pPr>
            <w:r>
              <w:rPr>
                <w:rFonts w:ascii="Arial" w:cs="Arial" w:eastAsia="Arial" w:hAnsi="Arial"/>
                <w:sz w:val="18"/>
                <w:szCs w:val="18"/>
                <w:color w:val="auto"/>
                <w:w w:val="91"/>
              </w:rPr>
              <w:t>Indemnification Agreement effective May 20, 2013 between the Company and Brian J. Underdown, incorporated by reference from Exhibit</w:t>
            </w:r>
          </w:p>
        </w:tc>
      </w:tr>
      <w:tr>
        <w:trPr>
          <w:trHeight w:val="230"/>
        </w:trPr>
        <w:tc>
          <w:tcPr>
            <w:tcW w:w="900" w:type="dxa"/>
            <w:vAlign w:val="bottom"/>
          </w:tcPr>
          <w:p>
            <w:pPr>
              <w:spacing w:after="0"/>
              <w:rPr>
                <w:sz w:val="20"/>
                <w:szCs w:val="20"/>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10.87 to the Company’s Annual Report on Form 10-K filed on July 18, 2013.</w:t>
            </w: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10.88</w:t>
            </w:r>
          </w:p>
        </w:tc>
        <w:tc>
          <w:tcPr>
            <w:tcW w:w="105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Indemnification Agreement effective May 20, 2013 between the Company and Jerrold D. Dotson, incorporated by reference from Exhibit</w:t>
            </w:r>
          </w:p>
        </w:tc>
      </w:tr>
      <w:tr>
        <w:trPr>
          <w:trHeight w:val="230"/>
        </w:trPr>
        <w:tc>
          <w:tcPr>
            <w:tcW w:w="900" w:type="dxa"/>
            <w:vAlign w:val="bottom"/>
            <w:shd w:val="clear" w:color="auto" w:fill="CCEEFF"/>
          </w:tcPr>
          <w:p>
            <w:pPr>
              <w:spacing w:after="0"/>
              <w:rPr>
                <w:sz w:val="20"/>
                <w:szCs w:val="20"/>
                <w:color w:val="auto"/>
              </w:rPr>
            </w:pP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10.88 to the Company’s Annual Report on Form 10-K filed on July 18, 2013.</w:t>
            </w: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10.89</w:t>
            </w:r>
          </w:p>
        </w:tc>
        <w:tc>
          <w:tcPr>
            <w:tcW w:w="10520" w:type="dxa"/>
            <w:vAlign w:val="bottom"/>
          </w:tcPr>
          <w:p>
            <w:pPr>
              <w:ind w:left="400"/>
              <w:spacing w:after="0" w:line="201" w:lineRule="exact"/>
              <w:rPr>
                <w:sz w:val="20"/>
                <w:szCs w:val="20"/>
                <w:color w:val="auto"/>
              </w:rPr>
            </w:pPr>
            <w:r>
              <w:rPr>
                <w:rFonts w:ascii="Arial" w:cs="Arial" w:eastAsia="Arial" w:hAnsi="Arial"/>
                <w:sz w:val="18"/>
                <w:szCs w:val="18"/>
                <w:color w:val="auto"/>
                <w:w w:val="97"/>
              </w:rPr>
              <w:t>Amendment and Waiver effective May 24, 2013 between the Company and Platinum Long Term Growth VII, LLC, incorporated by</w:t>
            </w:r>
          </w:p>
        </w:tc>
      </w:tr>
      <w:tr>
        <w:trPr>
          <w:trHeight w:val="230"/>
        </w:trPr>
        <w:tc>
          <w:tcPr>
            <w:tcW w:w="900" w:type="dxa"/>
            <w:vAlign w:val="bottom"/>
          </w:tcPr>
          <w:p>
            <w:pPr>
              <w:spacing w:after="0"/>
              <w:rPr>
                <w:sz w:val="20"/>
                <w:szCs w:val="20"/>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reference from Exhibit 10.1 to the Company’s Current Report on Form 8-K filed on June 3, 2013.</w:t>
            </w: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10.90</w:t>
            </w:r>
          </w:p>
        </w:tc>
        <w:tc>
          <w:tcPr>
            <w:tcW w:w="105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Amendment No 2 to Securities Purchase Agreement dated June 27, 2013 between the Company, Autilion AG and Bergamo Acquisition</w:t>
            </w:r>
          </w:p>
        </w:tc>
      </w:tr>
      <w:tr>
        <w:trPr>
          <w:trHeight w:val="230"/>
        </w:trPr>
        <w:tc>
          <w:tcPr>
            <w:tcW w:w="900" w:type="dxa"/>
            <w:vAlign w:val="bottom"/>
            <w:shd w:val="clear" w:color="auto" w:fill="CCEEFF"/>
          </w:tcPr>
          <w:p>
            <w:pPr>
              <w:spacing w:after="0"/>
              <w:rPr>
                <w:sz w:val="20"/>
                <w:szCs w:val="20"/>
                <w:color w:val="auto"/>
              </w:rPr>
            </w:pP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Corp. PTE LTD, incorporated by reference from Exhibit 10.1 to the Company’s Current Report on Form 8-K filed on June 28, 2013.</w:t>
            </w: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10.91</w:t>
            </w:r>
          </w:p>
        </w:tc>
        <w:tc>
          <w:tcPr>
            <w:tcW w:w="10520" w:type="dxa"/>
            <w:vAlign w:val="bottom"/>
          </w:tcPr>
          <w:p>
            <w:pPr>
              <w:ind w:left="400"/>
              <w:spacing w:after="0" w:line="201" w:lineRule="exact"/>
              <w:rPr>
                <w:sz w:val="20"/>
                <w:szCs w:val="20"/>
                <w:color w:val="auto"/>
              </w:rPr>
            </w:pPr>
            <w:r>
              <w:rPr>
                <w:rFonts w:ascii="Arial" w:cs="Arial" w:eastAsia="Arial" w:hAnsi="Arial"/>
                <w:sz w:val="18"/>
                <w:szCs w:val="18"/>
                <w:color w:val="auto"/>
                <w:w w:val="97"/>
              </w:rPr>
              <w:t>Senior Secured Convertible Promissory Note, dated July 26, 2013 issued to Platinum Long Term Growth VII, LLP, incorporated by</w:t>
            </w:r>
          </w:p>
        </w:tc>
      </w:tr>
      <w:tr>
        <w:trPr>
          <w:trHeight w:val="230"/>
        </w:trPr>
        <w:tc>
          <w:tcPr>
            <w:tcW w:w="900" w:type="dxa"/>
            <w:vAlign w:val="bottom"/>
          </w:tcPr>
          <w:p>
            <w:pPr>
              <w:spacing w:after="0"/>
              <w:rPr>
                <w:sz w:val="20"/>
                <w:szCs w:val="20"/>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reference from Exhibit 10.1 to the Company’s Current Report on Form 8-K filed on August 2, 2013.</w:t>
            </w: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10.92</w:t>
            </w:r>
          </w:p>
        </w:tc>
        <w:tc>
          <w:tcPr>
            <w:tcW w:w="105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Common Stock Warrant, dated July 26, 2013 issued to Platinum Long Term Growth VII, LLP, incorporated by reference from Exhibit 10.2</w:t>
            </w:r>
          </w:p>
        </w:tc>
      </w:tr>
      <w:tr>
        <w:trPr>
          <w:trHeight w:val="230"/>
        </w:trPr>
        <w:tc>
          <w:tcPr>
            <w:tcW w:w="900" w:type="dxa"/>
            <w:vAlign w:val="bottom"/>
            <w:shd w:val="clear" w:color="auto" w:fill="CCEEFF"/>
          </w:tcPr>
          <w:p>
            <w:pPr>
              <w:spacing w:after="0"/>
              <w:rPr>
                <w:sz w:val="20"/>
                <w:szCs w:val="20"/>
                <w:color w:val="auto"/>
              </w:rPr>
            </w:pP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 the Company’s Current Report on Form 8-K filed on August 2, 2013.</w:t>
            </w: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10.93</w:t>
            </w:r>
          </w:p>
        </w:tc>
        <w:tc>
          <w:tcPr>
            <w:tcW w:w="10520" w:type="dxa"/>
            <w:vAlign w:val="bottom"/>
          </w:tcPr>
          <w:p>
            <w:pPr>
              <w:ind w:left="400"/>
              <w:spacing w:after="0" w:line="201" w:lineRule="exact"/>
              <w:rPr>
                <w:sz w:val="20"/>
                <w:szCs w:val="20"/>
                <w:color w:val="auto"/>
              </w:rPr>
            </w:pPr>
            <w:r>
              <w:rPr>
                <w:rFonts w:ascii="Arial" w:cs="Arial" w:eastAsia="Arial" w:hAnsi="Arial"/>
                <w:sz w:val="18"/>
                <w:szCs w:val="18"/>
                <w:color w:val="auto"/>
                <w:w w:val="92"/>
              </w:rPr>
              <w:t>Form of Subscription Agreement between the Company and investors in the Fall 2013 Unit Private Placement, incorporated by reference</w:t>
            </w:r>
          </w:p>
        </w:tc>
      </w:tr>
      <w:tr>
        <w:trPr>
          <w:trHeight w:val="230"/>
        </w:trPr>
        <w:tc>
          <w:tcPr>
            <w:tcW w:w="900" w:type="dxa"/>
            <w:vAlign w:val="bottom"/>
          </w:tcPr>
          <w:p>
            <w:pPr>
              <w:spacing w:after="0"/>
              <w:rPr>
                <w:sz w:val="20"/>
                <w:szCs w:val="20"/>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from Exhibit 10.93 to the Company’s Annual Report on Form 10-K filed on June 24, 2014.</w:t>
            </w: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10.94</w:t>
            </w:r>
          </w:p>
        </w:tc>
        <w:tc>
          <w:tcPr>
            <w:tcW w:w="105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6"/>
              </w:rPr>
              <w:t>Form of Convertible Promissory Note between the Company and investors in the Fall 2013 Unit Private Placement, incorporated by</w:t>
            </w:r>
          </w:p>
        </w:tc>
      </w:tr>
      <w:tr>
        <w:trPr>
          <w:trHeight w:val="230"/>
        </w:trPr>
        <w:tc>
          <w:tcPr>
            <w:tcW w:w="900" w:type="dxa"/>
            <w:vAlign w:val="bottom"/>
            <w:shd w:val="clear" w:color="auto" w:fill="CCEEFF"/>
          </w:tcPr>
          <w:p>
            <w:pPr>
              <w:spacing w:after="0"/>
              <w:rPr>
                <w:sz w:val="20"/>
                <w:szCs w:val="20"/>
                <w:color w:val="auto"/>
              </w:rPr>
            </w:pP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reference from Exhibit 10.94 to the Company’s Annual Report on Form 10-K filed on June 24, 2014.</w:t>
            </w: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10.95</w:t>
            </w:r>
          </w:p>
        </w:tc>
        <w:tc>
          <w:tcPr>
            <w:tcW w:w="10520" w:type="dxa"/>
            <w:vAlign w:val="bottom"/>
          </w:tcPr>
          <w:p>
            <w:pPr>
              <w:ind w:left="400"/>
              <w:spacing w:after="0" w:line="201" w:lineRule="exact"/>
              <w:rPr>
                <w:sz w:val="20"/>
                <w:szCs w:val="20"/>
                <w:color w:val="auto"/>
              </w:rPr>
            </w:pPr>
            <w:r>
              <w:rPr>
                <w:rFonts w:ascii="Arial" w:cs="Arial" w:eastAsia="Arial" w:hAnsi="Arial"/>
                <w:sz w:val="18"/>
                <w:szCs w:val="18"/>
                <w:color w:val="auto"/>
                <w:w w:val="92"/>
              </w:rPr>
              <w:t>Form of Common Stock Purchase Warrant between the Company and investors in the Fall 2013 Unit Private Placement, incorporated by</w:t>
            </w:r>
          </w:p>
        </w:tc>
      </w:tr>
      <w:tr>
        <w:trPr>
          <w:trHeight w:val="230"/>
        </w:trPr>
        <w:tc>
          <w:tcPr>
            <w:tcW w:w="900" w:type="dxa"/>
            <w:vAlign w:val="bottom"/>
          </w:tcPr>
          <w:p>
            <w:pPr>
              <w:spacing w:after="0"/>
              <w:rPr>
                <w:sz w:val="20"/>
                <w:szCs w:val="20"/>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reference from Exhibit 10.95 to the Company’s Annual Report on Form 10-K filed on June 24, 2014.</w:t>
            </w: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10.96</w:t>
            </w:r>
          </w:p>
        </w:tc>
        <w:tc>
          <w:tcPr>
            <w:tcW w:w="105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6"/>
              </w:rPr>
              <w:t>Form of Amendment to Convertible Promissory Note and Warrant between the Company and investors in the Fall 2013 Unit Private</w:t>
            </w:r>
          </w:p>
        </w:tc>
      </w:tr>
      <w:tr>
        <w:trPr>
          <w:trHeight w:val="216"/>
        </w:trPr>
        <w:tc>
          <w:tcPr>
            <w:tcW w:w="900" w:type="dxa"/>
            <w:vAlign w:val="bottom"/>
            <w:shd w:val="clear" w:color="auto" w:fill="CCEEFF"/>
          </w:tcPr>
          <w:p>
            <w:pPr>
              <w:spacing w:after="0"/>
              <w:rPr>
                <w:sz w:val="18"/>
                <w:szCs w:val="18"/>
                <w:color w:val="auto"/>
              </w:rPr>
            </w:pP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Placement, effective May 31, 2014, incorporated by reference from Exhibit 10.96 to the Company’s Annual Report on Form 10-K filed on</w:t>
            </w:r>
          </w:p>
        </w:tc>
      </w:tr>
      <w:tr>
        <w:trPr>
          <w:trHeight w:val="230"/>
        </w:trPr>
        <w:tc>
          <w:tcPr>
            <w:tcW w:w="900" w:type="dxa"/>
            <w:vAlign w:val="bottom"/>
            <w:shd w:val="clear" w:color="auto" w:fill="CCEEFF"/>
          </w:tcPr>
          <w:p>
            <w:pPr>
              <w:spacing w:after="0"/>
              <w:rPr>
                <w:sz w:val="20"/>
                <w:szCs w:val="20"/>
                <w:color w:val="auto"/>
              </w:rPr>
            </w:pP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June 24, 2014.</w:t>
            </w: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10.97</w:t>
            </w:r>
          </w:p>
        </w:tc>
        <w:tc>
          <w:tcPr>
            <w:tcW w:w="10520" w:type="dxa"/>
            <w:vAlign w:val="bottom"/>
          </w:tcPr>
          <w:p>
            <w:pPr>
              <w:ind w:left="400"/>
              <w:spacing w:after="0" w:line="201" w:lineRule="exact"/>
              <w:rPr>
                <w:sz w:val="20"/>
                <w:szCs w:val="20"/>
                <w:color w:val="auto"/>
              </w:rPr>
            </w:pPr>
            <w:r>
              <w:rPr>
                <w:rFonts w:ascii="Arial" w:cs="Arial" w:eastAsia="Arial" w:hAnsi="Arial"/>
                <w:sz w:val="18"/>
                <w:szCs w:val="18"/>
                <w:color w:val="auto"/>
                <w:w w:val="92"/>
              </w:rPr>
              <w:t>Form of Unit Subscription Agreement between the Company and investors in the Spring 2014 Unit Private Placement dated April 1, 2014,</w:t>
            </w:r>
          </w:p>
        </w:tc>
      </w:tr>
      <w:tr>
        <w:trPr>
          <w:trHeight w:val="230"/>
        </w:trPr>
        <w:tc>
          <w:tcPr>
            <w:tcW w:w="900" w:type="dxa"/>
            <w:vAlign w:val="bottom"/>
          </w:tcPr>
          <w:p>
            <w:pPr>
              <w:spacing w:after="0"/>
              <w:rPr>
                <w:sz w:val="20"/>
                <w:szCs w:val="20"/>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incorporated by reference from Exhibit 10.1 to the Company’s Current Report on Form 8-K filed on April 8, 2014.</w:t>
            </w: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10.98</w:t>
            </w:r>
          </w:p>
        </w:tc>
        <w:tc>
          <w:tcPr>
            <w:tcW w:w="105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Form of Subordinate Convertible Promissory Note between the Company and investors in the Spring 2014 Unit Private Placement dated</w:t>
            </w:r>
          </w:p>
        </w:tc>
      </w:tr>
      <w:tr>
        <w:trPr>
          <w:trHeight w:val="230"/>
        </w:trPr>
        <w:tc>
          <w:tcPr>
            <w:tcW w:w="900" w:type="dxa"/>
            <w:vAlign w:val="bottom"/>
            <w:shd w:val="clear" w:color="auto" w:fill="CCEEFF"/>
          </w:tcPr>
          <w:p>
            <w:pPr>
              <w:spacing w:after="0"/>
              <w:rPr>
                <w:sz w:val="20"/>
                <w:szCs w:val="20"/>
                <w:color w:val="auto"/>
              </w:rPr>
            </w:pP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April 1, 2014, incorporated by reference from Exhibit 10.2 to the Company’s Current Report on Form 8-K filed on April 8, 2014.</w:t>
            </w: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10.99</w:t>
            </w:r>
          </w:p>
        </w:tc>
        <w:tc>
          <w:tcPr>
            <w:tcW w:w="10520" w:type="dxa"/>
            <w:vAlign w:val="bottom"/>
          </w:tcPr>
          <w:p>
            <w:pPr>
              <w:ind w:left="400"/>
              <w:spacing w:after="0" w:line="201" w:lineRule="exact"/>
              <w:rPr>
                <w:sz w:val="20"/>
                <w:szCs w:val="20"/>
                <w:color w:val="auto"/>
              </w:rPr>
            </w:pPr>
            <w:r>
              <w:rPr>
                <w:rFonts w:ascii="Arial" w:cs="Arial" w:eastAsia="Arial" w:hAnsi="Arial"/>
                <w:sz w:val="18"/>
                <w:szCs w:val="18"/>
                <w:color w:val="auto"/>
                <w:w w:val="92"/>
              </w:rPr>
              <w:t>Form of Common Stock Purchase Warrant between the Company and investors in the Spring 2014 Unit Private Placement dated April 1,</w:t>
            </w:r>
          </w:p>
        </w:tc>
      </w:tr>
      <w:tr>
        <w:trPr>
          <w:trHeight w:val="230"/>
        </w:trPr>
        <w:tc>
          <w:tcPr>
            <w:tcW w:w="900" w:type="dxa"/>
            <w:vAlign w:val="bottom"/>
          </w:tcPr>
          <w:p>
            <w:pPr>
              <w:spacing w:after="0"/>
              <w:rPr>
                <w:sz w:val="20"/>
                <w:szCs w:val="20"/>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2014, incorporated by reference from Exhibit 10.3 to the Company’s Current Report on Form 8-K filed on April 8, 2014.</w:t>
            </w: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10.100</w:t>
            </w:r>
          </w:p>
        </w:tc>
        <w:tc>
          <w:tcPr>
            <w:tcW w:w="105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2"/>
              </w:rPr>
              <w:t>Common Stock Purchase Warrant between the Company and Platinum Long Term Growth Fund VII dated May 14, 2014, incorporated by</w:t>
            </w:r>
          </w:p>
        </w:tc>
      </w:tr>
      <w:tr>
        <w:trPr>
          <w:trHeight w:val="230"/>
        </w:trPr>
        <w:tc>
          <w:tcPr>
            <w:tcW w:w="900" w:type="dxa"/>
            <w:vAlign w:val="bottom"/>
            <w:shd w:val="clear" w:color="auto" w:fill="CCEEFF"/>
          </w:tcPr>
          <w:p>
            <w:pPr>
              <w:spacing w:after="0"/>
              <w:rPr>
                <w:sz w:val="20"/>
                <w:szCs w:val="20"/>
                <w:color w:val="auto"/>
              </w:rPr>
            </w:pP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reference from Exhibit 10.1 to the Company’s Current Report on Form 8-K filed on May 19, 2014.</w:t>
            </w: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10.101</w:t>
            </w:r>
          </w:p>
        </w:tc>
        <w:tc>
          <w:tcPr>
            <w:tcW w:w="10520" w:type="dxa"/>
            <w:vAlign w:val="bottom"/>
          </w:tcPr>
          <w:p>
            <w:pPr>
              <w:ind w:left="400"/>
              <w:spacing w:after="0" w:line="201" w:lineRule="exact"/>
              <w:rPr>
                <w:sz w:val="20"/>
                <w:szCs w:val="20"/>
                <w:color w:val="auto"/>
              </w:rPr>
            </w:pPr>
            <w:r>
              <w:rPr>
                <w:rFonts w:ascii="Arial" w:cs="Arial" w:eastAsia="Arial" w:hAnsi="Arial"/>
                <w:sz w:val="18"/>
                <w:szCs w:val="18"/>
                <w:color w:val="auto"/>
                <w:w w:val="98"/>
              </w:rPr>
              <w:t>Subordinate Convertible Promissory Note between the Company and Platinum Long Term Growth Fund VII dated May 14, 2014,</w:t>
            </w:r>
          </w:p>
        </w:tc>
      </w:tr>
      <w:tr>
        <w:trPr>
          <w:trHeight w:val="230"/>
        </w:trPr>
        <w:tc>
          <w:tcPr>
            <w:tcW w:w="900" w:type="dxa"/>
            <w:vAlign w:val="bottom"/>
          </w:tcPr>
          <w:p>
            <w:pPr>
              <w:spacing w:after="0"/>
              <w:rPr>
                <w:sz w:val="20"/>
                <w:szCs w:val="20"/>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incorporated by reference from Exhibit 10.2 to the Company’s Current Report on Form 8-K filed on May 19, 2014.</w:t>
            </w: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10.102</w:t>
            </w:r>
          </w:p>
        </w:tc>
        <w:tc>
          <w:tcPr>
            <w:tcW w:w="105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1"/>
              </w:rPr>
              <w:t>Form of Promissory Note and Form of Warrant issued by the Company to Icahn School of Business at Mount Sinai effective April 10, 2014</w:t>
            </w:r>
          </w:p>
        </w:tc>
      </w:tr>
      <w:tr>
        <w:trPr>
          <w:trHeight w:val="216"/>
        </w:trPr>
        <w:tc>
          <w:tcPr>
            <w:tcW w:w="900" w:type="dxa"/>
            <w:vAlign w:val="bottom"/>
            <w:shd w:val="clear" w:color="auto" w:fill="CCEEFF"/>
          </w:tcPr>
          <w:p>
            <w:pPr>
              <w:spacing w:after="0"/>
              <w:rPr>
                <w:sz w:val="18"/>
                <w:szCs w:val="18"/>
                <w:color w:val="auto"/>
              </w:rPr>
            </w:pP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in satisfaction of technology license maintenance fees and reimbursable patent costs, incorporated by reference from Exhibit 10.102 to the</w:t>
            </w:r>
          </w:p>
        </w:tc>
      </w:tr>
      <w:tr>
        <w:trPr>
          <w:trHeight w:val="230"/>
        </w:trPr>
        <w:tc>
          <w:tcPr>
            <w:tcW w:w="900" w:type="dxa"/>
            <w:vAlign w:val="bottom"/>
            <w:shd w:val="clear" w:color="auto" w:fill="CCEEFF"/>
          </w:tcPr>
          <w:p>
            <w:pPr>
              <w:spacing w:after="0"/>
              <w:rPr>
                <w:sz w:val="20"/>
                <w:szCs w:val="20"/>
                <w:color w:val="auto"/>
              </w:rPr>
            </w:pP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Company’s Annual Report on Form 10-K filed on June 24, 2014.</w:t>
            </w: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10.103</w:t>
            </w:r>
          </w:p>
        </w:tc>
        <w:tc>
          <w:tcPr>
            <w:tcW w:w="10520" w:type="dxa"/>
            <w:vAlign w:val="bottom"/>
          </w:tcPr>
          <w:p>
            <w:pPr>
              <w:ind w:left="400"/>
              <w:spacing w:after="0" w:line="201" w:lineRule="exact"/>
              <w:rPr>
                <w:sz w:val="20"/>
                <w:szCs w:val="20"/>
                <w:color w:val="auto"/>
              </w:rPr>
            </w:pPr>
            <w:r>
              <w:rPr>
                <w:rFonts w:ascii="Arial" w:cs="Arial" w:eastAsia="Arial" w:hAnsi="Arial"/>
                <w:sz w:val="18"/>
                <w:szCs w:val="18"/>
                <w:color w:val="auto"/>
                <w:w w:val="91"/>
              </w:rPr>
              <w:t>Amendment No. 3 to Sponsored Research Collaboration Agreement, dated April 25, 2011, by and between VistaGen and University Health</w:t>
            </w:r>
          </w:p>
        </w:tc>
      </w:tr>
      <w:tr>
        <w:trPr>
          <w:trHeight w:val="230"/>
        </w:trPr>
        <w:tc>
          <w:tcPr>
            <w:tcW w:w="900" w:type="dxa"/>
            <w:vAlign w:val="bottom"/>
          </w:tcPr>
          <w:p>
            <w:pPr>
              <w:spacing w:after="0"/>
              <w:rPr>
                <w:sz w:val="20"/>
                <w:szCs w:val="20"/>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Network, incorporated by reference from Exhibit 10.103 to the Company’s Annual Report on Form 10-K filed on June 24, 2014.</w:t>
            </w:r>
          </w:p>
        </w:tc>
      </w:tr>
      <w:tr>
        <w:trPr>
          <w:trHeight w:val="202"/>
        </w:trPr>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10.104</w:t>
            </w:r>
          </w:p>
        </w:tc>
        <w:tc>
          <w:tcPr>
            <w:tcW w:w="105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Amendment No. 5 to Sponsored Research Collaboration Agreement, dated October 10, 2012, by and between VistaGen and University</w:t>
            </w:r>
          </w:p>
        </w:tc>
      </w:tr>
      <w:tr>
        <w:trPr>
          <w:trHeight w:val="230"/>
        </w:trPr>
        <w:tc>
          <w:tcPr>
            <w:tcW w:w="900" w:type="dxa"/>
            <w:vAlign w:val="bottom"/>
            <w:shd w:val="clear" w:color="auto" w:fill="CCEEFF"/>
          </w:tcPr>
          <w:p>
            <w:pPr>
              <w:spacing w:after="0"/>
              <w:rPr>
                <w:sz w:val="20"/>
                <w:szCs w:val="20"/>
                <w:color w:val="auto"/>
              </w:rPr>
            </w:pPr>
          </w:p>
        </w:tc>
        <w:tc>
          <w:tcPr>
            <w:tcW w:w="105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Health Network, incorporated by reference from Exhibit 10.104 to the Company’s Annual Report on Form 10-K filed on June 24, 2014.</w:t>
            </w: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10.105</w:t>
            </w:r>
          </w:p>
        </w:tc>
        <w:tc>
          <w:tcPr>
            <w:tcW w:w="10520" w:type="dxa"/>
            <w:vAlign w:val="bottom"/>
          </w:tcPr>
          <w:p>
            <w:pPr>
              <w:ind w:left="400"/>
              <w:spacing w:after="0" w:line="201" w:lineRule="exact"/>
              <w:rPr>
                <w:sz w:val="20"/>
                <w:szCs w:val="20"/>
                <w:color w:val="auto"/>
              </w:rPr>
            </w:pPr>
            <w:r>
              <w:rPr>
                <w:rFonts w:ascii="Arial" w:cs="Arial" w:eastAsia="Arial" w:hAnsi="Arial"/>
                <w:sz w:val="18"/>
                <w:szCs w:val="18"/>
                <w:color w:val="auto"/>
                <w:w w:val="91"/>
              </w:rPr>
              <w:t>Amended and Restated Note Conversion Agreement and Warrant Amendment, by and between VistaGen Therapeutics, Inc. and Platinum</w:t>
            </w:r>
          </w:p>
        </w:tc>
      </w:tr>
      <w:tr>
        <w:trPr>
          <w:trHeight w:val="216"/>
        </w:trPr>
        <w:tc>
          <w:tcPr>
            <w:tcW w:w="900" w:type="dxa"/>
            <w:vAlign w:val="bottom"/>
          </w:tcPr>
          <w:p>
            <w:pPr>
              <w:spacing w:after="0"/>
              <w:rPr>
                <w:sz w:val="18"/>
                <w:szCs w:val="18"/>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w w:val="93"/>
              </w:rPr>
              <w:t>Long Term Growth VII, LLC, dated July 18, 2014, incorporated by reference from Exhibit 10.1 to the Company’s Current Report on Form</w:t>
            </w:r>
          </w:p>
        </w:tc>
      </w:tr>
      <w:tr>
        <w:trPr>
          <w:trHeight w:val="230"/>
        </w:trPr>
        <w:tc>
          <w:tcPr>
            <w:tcW w:w="900" w:type="dxa"/>
            <w:vAlign w:val="bottom"/>
          </w:tcPr>
          <w:p>
            <w:pPr>
              <w:spacing w:after="0"/>
              <w:rPr>
                <w:sz w:val="20"/>
                <w:szCs w:val="20"/>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8-K filed on July 22, 2014.</w:t>
            </w:r>
          </w:p>
        </w:tc>
      </w:tr>
      <w:tr>
        <w:trPr>
          <w:trHeight w:val="608"/>
        </w:trPr>
        <w:tc>
          <w:tcPr>
            <w:tcW w:w="900" w:type="dxa"/>
            <w:vAlign w:val="bottom"/>
          </w:tcPr>
          <w:p>
            <w:pPr>
              <w:spacing w:after="0"/>
              <w:rPr>
                <w:sz w:val="24"/>
                <w:szCs w:val="24"/>
                <w:color w:val="auto"/>
              </w:rPr>
            </w:pPr>
          </w:p>
        </w:tc>
        <w:tc>
          <w:tcPr>
            <w:tcW w:w="10520" w:type="dxa"/>
            <w:vAlign w:val="bottom"/>
          </w:tcPr>
          <w:p>
            <w:pPr>
              <w:ind w:left="4620"/>
              <w:spacing w:after="0"/>
              <w:rPr>
                <w:sz w:val="20"/>
                <w:szCs w:val="20"/>
                <w:color w:val="auto"/>
              </w:rPr>
            </w:pPr>
            <w:r>
              <w:rPr>
                <w:rFonts w:ascii="Arial" w:cs="Arial" w:eastAsia="Arial" w:hAnsi="Arial"/>
                <w:sz w:val="18"/>
                <w:szCs w:val="18"/>
                <w:color w:val="auto"/>
              </w:rPr>
              <w:t>-160-</w:t>
            </w:r>
          </w:p>
        </w:tc>
      </w:tr>
      <w:tr>
        <w:trPr>
          <w:trHeight w:val="118"/>
        </w:trPr>
        <w:tc>
          <w:tcPr>
            <w:tcW w:w="900" w:type="dxa"/>
            <w:vAlign w:val="bottom"/>
            <w:tcBorders>
              <w:bottom w:val="single" w:sz="8" w:color="808080"/>
            </w:tcBorders>
          </w:tcPr>
          <w:p>
            <w:pPr>
              <w:spacing w:after="0"/>
              <w:rPr>
                <w:sz w:val="10"/>
                <w:szCs w:val="10"/>
                <w:color w:val="auto"/>
              </w:rPr>
            </w:pPr>
          </w:p>
        </w:tc>
        <w:tc>
          <w:tcPr>
            <w:tcW w:w="10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6" w:name="page167"/>
    <w:bookmarkEnd w:id="16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10.106</w:t>
            </w: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Amendment No. 1 to Amended and Restated Note Conversion Agreement and Warrant Amendment, by and between VistaGen</w:t>
            </w:r>
          </w:p>
        </w:tc>
      </w:tr>
      <w:tr>
        <w:trPr>
          <w:trHeight w:val="216"/>
        </w:trPr>
        <w:tc>
          <w:tcPr>
            <w:tcW w:w="980" w:type="dxa"/>
            <w:vAlign w:val="bottom"/>
            <w:shd w:val="clear" w:color="auto" w:fill="CCEEFF"/>
          </w:tcPr>
          <w:p>
            <w:pPr>
              <w:spacing w:after="0"/>
              <w:rPr>
                <w:sz w:val="18"/>
                <w:szCs w:val="18"/>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Therapeutics, Inc. and Platinum Long Term Growth VII, LLC, dated September 2, 2014, incorporated by reference from Exhibit 10.1 to the</w:t>
            </w:r>
          </w:p>
        </w:tc>
      </w:tr>
      <w:tr>
        <w:trPr>
          <w:trHeight w:val="230"/>
        </w:trPr>
        <w:tc>
          <w:tcPr>
            <w:tcW w:w="980" w:type="dxa"/>
            <w:vAlign w:val="bottom"/>
            <w:shd w:val="clear" w:color="auto" w:fill="CCEEFF"/>
          </w:tcPr>
          <w:p>
            <w:pPr>
              <w:spacing w:after="0"/>
              <w:rPr>
                <w:sz w:val="20"/>
                <w:szCs w:val="20"/>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Company’s Current Report on Form 8-K filed on September 4, 2014.</w:t>
            </w: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color w:val="auto"/>
              </w:rPr>
              <w:t>10.107</w:t>
            </w:r>
          </w:p>
        </w:tc>
        <w:tc>
          <w:tcPr>
            <w:tcW w:w="10440" w:type="dxa"/>
            <w:vAlign w:val="bottom"/>
          </w:tcPr>
          <w:p>
            <w:pPr>
              <w:ind w:left="280"/>
              <w:spacing w:after="0" w:line="201" w:lineRule="exact"/>
              <w:rPr>
                <w:sz w:val="20"/>
                <w:szCs w:val="20"/>
                <w:color w:val="auto"/>
              </w:rPr>
            </w:pPr>
            <w:r>
              <w:rPr>
                <w:rFonts w:ascii="Arial" w:cs="Arial" w:eastAsia="Arial" w:hAnsi="Arial"/>
                <w:sz w:val="18"/>
                <w:szCs w:val="18"/>
                <w:color w:val="auto"/>
              </w:rPr>
              <w:t>Amendment No. 2 to Amended and Restated Note Conversion Agreement and Warrant Amendment, by and between VistaGen</w:t>
            </w:r>
          </w:p>
        </w:tc>
      </w:tr>
      <w:tr>
        <w:trPr>
          <w:trHeight w:val="216"/>
        </w:trPr>
        <w:tc>
          <w:tcPr>
            <w:tcW w:w="98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Therapeutics, Inc. and Platinum Long Term Growth VII, LLC, dated September 30, 2014, incorporated by reference from Exhibit 10.1 to the</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filed on October 3, 2014.</w:t>
            </w:r>
          </w:p>
        </w:tc>
      </w:tr>
      <w:tr>
        <w:trPr>
          <w:trHeight w:val="202"/>
        </w:trPr>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10.108</w:t>
            </w:r>
          </w:p>
        </w:tc>
        <w:tc>
          <w:tcPr>
            <w:tcW w:w="104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Agreement, by and between VistaGen Therapeutics, Inc. and Platinum Long Term Growth VII, LLC, dated May 5, 2015, incorporated by</w:t>
            </w:r>
          </w:p>
        </w:tc>
      </w:tr>
      <w:tr>
        <w:trPr>
          <w:trHeight w:val="230"/>
        </w:trPr>
        <w:tc>
          <w:tcPr>
            <w:tcW w:w="980" w:type="dxa"/>
            <w:vAlign w:val="bottom"/>
            <w:shd w:val="clear" w:color="auto" w:fill="CCEEFF"/>
          </w:tcPr>
          <w:p>
            <w:pPr>
              <w:spacing w:after="0"/>
              <w:rPr>
                <w:sz w:val="20"/>
                <w:szCs w:val="20"/>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reference from Exhibit 10.1 to the Company’s Current Report on Form 8-K filed on May 13, 2015.</w:t>
            </w: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color w:val="auto"/>
              </w:rPr>
              <w:t>10.109</w:t>
            </w:r>
          </w:p>
        </w:tc>
        <w:tc>
          <w:tcPr>
            <w:tcW w:w="10440" w:type="dxa"/>
            <w:vAlign w:val="bottom"/>
          </w:tcPr>
          <w:p>
            <w:pPr>
              <w:ind w:left="280"/>
              <w:spacing w:after="0" w:line="201" w:lineRule="exact"/>
              <w:rPr>
                <w:sz w:val="20"/>
                <w:szCs w:val="20"/>
                <w:color w:val="auto"/>
              </w:rPr>
            </w:pPr>
            <w:r>
              <w:rPr>
                <w:rFonts w:ascii="Arial" w:cs="Arial" w:eastAsia="Arial" w:hAnsi="Arial"/>
                <w:sz w:val="18"/>
                <w:szCs w:val="18"/>
                <w:color w:val="auto"/>
                <w:w w:val="92"/>
              </w:rPr>
              <w:t>Acknowledgement and Agreement, by and between VistaGen Therapeutics, Inc. and Platinum Long Term Growth VII, LLC, dated May 12,</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2015, incorporated by reference from Exhibit 10.2 to the Company’s Current Report on Form 8-K filed on May 13, 2015.</w:t>
            </w:r>
          </w:p>
        </w:tc>
      </w:tr>
      <w:tr>
        <w:trPr>
          <w:trHeight w:val="202"/>
        </w:trPr>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10.110</w:t>
            </w:r>
          </w:p>
        </w:tc>
        <w:tc>
          <w:tcPr>
            <w:tcW w:w="104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1"/>
              </w:rPr>
              <w:t>Form of Securities Purchase Agreement by and between VistaGen Therapeutics, Inc. and Platinum Long Term Growth VII, LLC, dated May</w:t>
            </w:r>
          </w:p>
        </w:tc>
      </w:tr>
      <w:tr>
        <w:trPr>
          <w:trHeight w:val="230"/>
        </w:trPr>
        <w:tc>
          <w:tcPr>
            <w:tcW w:w="980" w:type="dxa"/>
            <w:vAlign w:val="bottom"/>
            <w:shd w:val="clear" w:color="auto" w:fill="CCEEFF"/>
          </w:tcPr>
          <w:p>
            <w:pPr>
              <w:spacing w:after="0"/>
              <w:rPr>
                <w:sz w:val="20"/>
                <w:szCs w:val="20"/>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12, 2015, incorporated by reference from Exhibit 10.3 to the Company’s Current Report on Form 8-K filed on May 13, 2015.</w:t>
            </w: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color w:val="auto"/>
              </w:rPr>
              <w:t>10.111</w:t>
            </w:r>
          </w:p>
        </w:tc>
        <w:tc>
          <w:tcPr>
            <w:tcW w:w="10440" w:type="dxa"/>
            <w:vAlign w:val="bottom"/>
          </w:tcPr>
          <w:p>
            <w:pPr>
              <w:ind w:left="280"/>
              <w:spacing w:after="0" w:line="201" w:lineRule="exact"/>
              <w:rPr>
                <w:sz w:val="20"/>
                <w:szCs w:val="20"/>
                <w:color w:val="auto"/>
              </w:rPr>
            </w:pPr>
            <w:r>
              <w:rPr>
                <w:rFonts w:ascii="Arial" w:cs="Arial" w:eastAsia="Arial" w:hAnsi="Arial"/>
                <w:sz w:val="18"/>
                <w:szCs w:val="18"/>
                <w:color w:val="auto"/>
                <w:w w:val="94"/>
              </w:rPr>
              <w:t>Exchange Agreement, by and between VistaGen Therapeutics, Inc., and Platinum Long Term Growth VII, LLC and Montsant Partners,</w:t>
            </w:r>
          </w:p>
        </w:tc>
      </w:tr>
      <w:tr>
        <w:trPr>
          <w:trHeight w:val="216"/>
        </w:trPr>
        <w:tc>
          <w:tcPr>
            <w:tcW w:w="98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2"/>
              </w:rPr>
              <w:t>LLC, dated January 25, 2016, incorporated by reference from Exhibit 10.1 to the Company's Current Report on Form 8-K filed on January</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29, 2016.</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10.112</w:t>
            </w: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Indemnification Agreement effective April 8, 2016 between the Company and Jerry B. Gin, filed herewith.</w:t>
            </w: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color w:val="auto"/>
              </w:rPr>
              <w:t>10.113</w:t>
            </w:r>
          </w:p>
        </w:tc>
        <w:tc>
          <w:tcPr>
            <w:tcW w:w="10440" w:type="dxa"/>
            <w:vAlign w:val="bottom"/>
          </w:tcPr>
          <w:p>
            <w:pPr>
              <w:ind w:left="280"/>
              <w:spacing w:after="0" w:line="201" w:lineRule="exact"/>
              <w:rPr>
                <w:sz w:val="20"/>
                <w:szCs w:val="20"/>
                <w:color w:val="auto"/>
              </w:rPr>
            </w:pPr>
            <w:r>
              <w:rPr>
                <w:rFonts w:ascii="Arial" w:cs="Arial" w:eastAsia="Arial" w:hAnsi="Arial"/>
                <w:sz w:val="18"/>
                <w:szCs w:val="18"/>
                <w:color w:val="auto"/>
                <w:w w:val="92"/>
              </w:rPr>
              <w:t>Underwriting Agreement, by and between Chardan Capital Markets, LLC and WallachBeth Capital, LLC, as representatives of the several</w:t>
            </w:r>
          </w:p>
        </w:tc>
      </w:tr>
      <w:tr>
        <w:trPr>
          <w:trHeight w:val="216"/>
        </w:trPr>
        <w:tc>
          <w:tcPr>
            <w:tcW w:w="98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3"/>
              </w:rPr>
              <w:t>underwriters, and VistaGen Therapeutics, Inc., dated May 10, 2016, incorporated by reference from Exhibit 1.1 to the Company's Current</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Report on Form 8-K filed on May 16, 2016.</w:t>
            </w:r>
          </w:p>
        </w:tc>
      </w:tr>
      <w:tr>
        <w:trPr>
          <w:trHeight w:val="202"/>
        </w:trPr>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10.114</w:t>
            </w:r>
          </w:p>
        </w:tc>
        <w:tc>
          <w:tcPr>
            <w:tcW w:w="104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2"/>
              </w:rPr>
              <w:t>Warrant Agency Agreement, by and between Computershare, Inc. and VistaGen Therapeutics, Inc., dated May 16, 2016, incorporated by</w:t>
            </w:r>
          </w:p>
        </w:tc>
      </w:tr>
      <w:tr>
        <w:trPr>
          <w:trHeight w:val="230"/>
        </w:trPr>
        <w:tc>
          <w:tcPr>
            <w:tcW w:w="980" w:type="dxa"/>
            <w:vAlign w:val="bottom"/>
            <w:shd w:val="clear" w:color="auto" w:fill="CCEEFF"/>
          </w:tcPr>
          <w:p>
            <w:pPr>
              <w:spacing w:after="0"/>
              <w:rPr>
                <w:sz w:val="20"/>
                <w:szCs w:val="20"/>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reference from Exhibit 4.1 to the Company's Current Report on Form 8-K filed on May 16, 2016.</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10.115</w:t>
            </w:r>
          </w:p>
        </w:tc>
        <w:tc>
          <w:tcPr>
            <w:tcW w:w="10440" w:type="dxa"/>
            <w:vAlign w:val="bottom"/>
          </w:tcPr>
          <w:p>
            <w:pPr>
              <w:ind w:left="280"/>
              <w:spacing w:after="0"/>
              <w:rPr>
                <w:sz w:val="20"/>
                <w:szCs w:val="20"/>
                <w:color w:val="auto"/>
              </w:rPr>
            </w:pPr>
            <w:r>
              <w:rPr>
                <w:rFonts w:ascii="Arial" w:cs="Arial" w:eastAsia="Arial" w:hAnsi="Arial"/>
                <w:sz w:val="18"/>
                <w:szCs w:val="18"/>
                <w:color w:val="auto"/>
                <w:w w:val="98"/>
              </w:rPr>
              <w:t>Form of Warrant; incorporated by reference from Exhibit 4.2 to the Company's Current Report on Form 8-K filed on May 16, 2016.</w:t>
            </w:r>
          </w:p>
        </w:tc>
      </w:tr>
      <w:tr>
        <w:trPr>
          <w:trHeight w:val="202"/>
        </w:trPr>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10.116</w:t>
            </w:r>
          </w:p>
        </w:tc>
        <w:tc>
          <w:tcPr>
            <w:tcW w:w="104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Second Amendment to Employment Agreement by and between VistaGen Therapeutics, Inc. and Shawn K. Singh, dated June 22, 2016,</w:t>
            </w:r>
          </w:p>
        </w:tc>
      </w:tr>
      <w:tr>
        <w:trPr>
          <w:trHeight w:val="230"/>
        </w:trPr>
        <w:tc>
          <w:tcPr>
            <w:tcW w:w="980" w:type="dxa"/>
            <w:vAlign w:val="bottom"/>
            <w:shd w:val="clear" w:color="auto" w:fill="CCEEFF"/>
          </w:tcPr>
          <w:p>
            <w:pPr>
              <w:spacing w:after="0"/>
              <w:rPr>
                <w:sz w:val="20"/>
                <w:szCs w:val="20"/>
                <w:color w:val="auto"/>
              </w:rPr>
            </w:pP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filed herewith.</w:t>
            </w: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color w:val="auto"/>
              </w:rPr>
              <w:t>10.117</w:t>
            </w:r>
          </w:p>
        </w:tc>
        <w:tc>
          <w:tcPr>
            <w:tcW w:w="10440" w:type="dxa"/>
            <w:vAlign w:val="bottom"/>
          </w:tcPr>
          <w:p>
            <w:pPr>
              <w:ind w:left="280"/>
              <w:spacing w:after="0" w:line="201" w:lineRule="exact"/>
              <w:rPr>
                <w:sz w:val="20"/>
                <w:szCs w:val="20"/>
                <w:color w:val="auto"/>
              </w:rPr>
            </w:pPr>
            <w:r>
              <w:rPr>
                <w:rFonts w:ascii="Arial" w:cs="Arial" w:eastAsia="Arial" w:hAnsi="Arial"/>
                <w:sz w:val="18"/>
                <w:szCs w:val="18"/>
                <w:color w:val="auto"/>
                <w:w w:val="90"/>
              </w:rPr>
              <w:t>Second Amendment to Employment Agreement by and between VistaGen Therapeutics, Inc. and H. Ralph Snodgrass, Ph.D., dated June 22,</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2016, filed herewith.</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List of Subsidiaries.</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1044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24.1</w:t>
            </w: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Power of Attorney</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tcPr>
          <w:p>
            <w:pPr>
              <w:ind w:left="28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color w:val="auto"/>
              </w:rPr>
              <w:t>32.1</w:t>
            </w:r>
          </w:p>
        </w:tc>
        <w:tc>
          <w:tcPr>
            <w:tcW w:w="10440" w:type="dxa"/>
            <w:vAlign w:val="bottom"/>
          </w:tcPr>
          <w:p>
            <w:pPr>
              <w:ind w:left="280"/>
              <w:spacing w:after="0" w:line="201" w:lineRule="exact"/>
              <w:rPr>
                <w:sz w:val="20"/>
                <w:szCs w:val="20"/>
                <w:color w:val="auto"/>
              </w:rPr>
            </w:pPr>
            <w:r>
              <w:rPr>
                <w:rFonts w:ascii="Arial" w:cs="Arial" w:eastAsia="Arial" w:hAnsi="Arial"/>
                <w:sz w:val="18"/>
                <w:szCs w:val="18"/>
                <w:color w:val="auto"/>
                <w:w w:val="94"/>
              </w:rPr>
              <w:t>Certification of the Company’s Chief Executive Officer and Chief Financial Officer pursuant to Section 906 of the Sarbanes-Oxley Act of</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2002.</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Instance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Taxonomy Schema</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87" w:lineRule="exact"/>
        <w:rPr>
          <w:sz w:val="20"/>
          <w:szCs w:val="20"/>
          <w:color w:val="auto"/>
        </w:rPr>
      </w:pPr>
    </w:p>
    <w:p>
      <w:pPr>
        <w:ind w:left="5520" w:right="2620" w:hanging="5512"/>
        <w:spacing w:after="0" w:line="731" w:lineRule="auto"/>
        <w:tabs>
          <w:tab w:leader="none" w:pos="1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Incorporated by reference from the like-numbered exhibit filed with our Current Report on Form 8-K on May 16, 2011.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7" w:name="page168"/>
    <w:bookmarkEnd w:id="16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94"/>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South San Francisco, State of California, on the 24th day of June, 2016.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4540" w:type="dxa"/>
            <w:vAlign w:val="bottom"/>
            <w:gridSpan w:val="2"/>
          </w:tcPr>
          <w:p>
            <w:pPr>
              <w:ind w:left="2120"/>
              <w:spacing w:after="0"/>
              <w:rPr>
                <w:sz w:val="20"/>
                <w:szCs w:val="20"/>
                <w:color w:val="auto"/>
              </w:rPr>
            </w:pPr>
            <w:r>
              <w:rPr>
                <w:rFonts w:ascii="Arial" w:cs="Arial" w:eastAsia="Arial" w:hAnsi="Arial"/>
                <w:sz w:val="18"/>
                <w:szCs w:val="18"/>
                <w:b w:val="1"/>
                <w:bCs w:val="1"/>
                <w:color w:val="auto"/>
              </w:rPr>
              <w:t>VistaGen Therapeutics, Inc.</w:t>
            </w:r>
          </w:p>
        </w:tc>
      </w:tr>
      <w:tr>
        <w:trPr>
          <w:trHeight w:val="392"/>
        </w:trPr>
        <w:tc>
          <w:tcPr>
            <w:tcW w:w="3600" w:type="dxa"/>
            <w:vAlign w:val="bottom"/>
          </w:tcPr>
          <w:p>
            <w:pPr>
              <w:spacing w:after="0"/>
              <w:rPr>
                <w:sz w:val="20"/>
                <w:szCs w:val="20"/>
                <w:color w:val="auto"/>
              </w:rPr>
            </w:pPr>
            <w:r>
              <w:rPr>
                <w:rFonts w:ascii="Arial" w:cs="Arial" w:eastAsia="Arial" w:hAnsi="Arial"/>
                <w:sz w:val="18"/>
                <w:szCs w:val="18"/>
                <w:color w:val="auto"/>
              </w:rPr>
              <w:t>Date: June 24, 2016</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Shawn K. Singh</w:t>
            </w:r>
          </w:p>
        </w:tc>
      </w:tr>
      <w:tr>
        <w:trPr>
          <w:trHeight w:val="237"/>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b w:val="1"/>
                <w:bCs w:val="1"/>
                <w:color w:val="auto"/>
              </w:rPr>
              <w:t>Shawn K. Singh, J.D.</w:t>
            </w:r>
          </w:p>
        </w:tc>
      </w:tr>
    </w:tbl>
    <w:p>
      <w:pPr>
        <w:ind w:left="634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880" w:type="dxa"/>
            <w:vAlign w:val="bottom"/>
            <w:gridSpan w:val="5"/>
          </w:tcPr>
          <w:p>
            <w:pPr>
              <w:ind w:left="1120"/>
              <w:spacing w:after="0"/>
              <w:rPr>
                <w:sz w:val="20"/>
                <w:szCs w:val="20"/>
                <w:color w:val="auto"/>
              </w:rPr>
            </w:pPr>
            <w:r>
              <w:rPr>
                <w:rFonts w:ascii="Arial" w:cs="Arial" w:eastAsia="Arial" w:hAnsi="Arial"/>
                <w:sz w:val="18"/>
                <w:szCs w:val="18"/>
                <w:b w:val="1"/>
                <w:bCs w:val="1"/>
                <w:color w:val="auto"/>
              </w:rPr>
              <w:t>Signature</w:t>
            </w:r>
          </w:p>
        </w:tc>
        <w:tc>
          <w:tcPr>
            <w:tcW w:w="5560" w:type="dxa"/>
            <w:vAlign w:val="bottom"/>
          </w:tcPr>
          <w:p>
            <w:pPr>
              <w:ind w:left="2740"/>
              <w:spacing w:after="0"/>
              <w:rPr>
                <w:sz w:val="20"/>
                <w:szCs w:val="20"/>
                <w:color w:val="auto"/>
              </w:rPr>
            </w:pPr>
            <w:r>
              <w:rPr>
                <w:rFonts w:ascii="Arial" w:cs="Arial" w:eastAsia="Arial" w:hAnsi="Arial"/>
                <w:sz w:val="18"/>
                <w:szCs w:val="18"/>
                <w:b w:val="1"/>
                <w:bCs w:val="1"/>
                <w:color w:val="auto"/>
              </w:rPr>
              <w:t>Title</w:t>
            </w:r>
          </w:p>
        </w:tc>
        <w:tc>
          <w:tcPr>
            <w:tcW w:w="278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Date</w:t>
            </w:r>
          </w:p>
        </w:tc>
      </w:tr>
      <w:tr>
        <w:trPr>
          <w:trHeight w:val="392"/>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Shawn K. Singh</w:t>
            </w:r>
          </w:p>
        </w:tc>
        <w:tc>
          <w:tcPr>
            <w:tcW w:w="1160" w:type="dxa"/>
            <w:vAlign w:val="bottom"/>
            <w:gridSpan w:val="3"/>
          </w:tcPr>
          <w:p>
            <w:pPr>
              <w:spacing w:after="0"/>
              <w:rPr>
                <w:sz w:val="24"/>
                <w:szCs w:val="24"/>
                <w:color w:val="auto"/>
              </w:rPr>
            </w:pPr>
          </w:p>
        </w:tc>
        <w:tc>
          <w:tcPr>
            <w:tcW w:w="5560" w:type="dxa"/>
            <w:vAlign w:val="bottom"/>
          </w:tcPr>
          <w:p>
            <w:pPr>
              <w:ind w:left="980"/>
              <w:spacing w:after="0"/>
              <w:rPr>
                <w:sz w:val="20"/>
                <w:szCs w:val="20"/>
                <w:color w:val="auto"/>
              </w:rPr>
            </w:pPr>
            <w:r>
              <w:rPr>
                <w:rFonts w:ascii="Arial" w:cs="Arial" w:eastAsia="Arial" w:hAnsi="Arial"/>
                <w:sz w:val="18"/>
                <w:szCs w:val="18"/>
                <w:color w:val="auto"/>
              </w:rPr>
              <w:t>Chief Executive Officer, and Director</w:t>
            </w:r>
          </w:p>
        </w:tc>
        <w:tc>
          <w:tcPr>
            <w:tcW w:w="2780" w:type="dxa"/>
            <w:vAlign w:val="bottom"/>
          </w:tcPr>
          <w:p>
            <w:pPr>
              <w:jc w:val="center"/>
              <w:ind w:left="490"/>
              <w:spacing w:after="0"/>
              <w:rPr>
                <w:sz w:val="20"/>
                <w:szCs w:val="20"/>
                <w:color w:val="auto"/>
              </w:rPr>
            </w:pPr>
            <w:r>
              <w:rPr>
                <w:rFonts w:ascii="Arial" w:cs="Arial" w:eastAsia="Arial" w:hAnsi="Arial"/>
                <w:sz w:val="18"/>
                <w:szCs w:val="18"/>
                <w:color w:val="auto"/>
                <w:w w:val="87"/>
              </w:rPr>
              <w:t>June 24, 2016</w:t>
            </w:r>
          </w:p>
        </w:tc>
      </w:tr>
      <w:tr>
        <w:trPr>
          <w:trHeight w:val="237"/>
        </w:trPr>
        <w:tc>
          <w:tcPr>
            <w:tcW w:w="3100" w:type="dxa"/>
            <w:vAlign w:val="bottom"/>
            <w:gridSpan w:val="6"/>
          </w:tcPr>
          <w:p>
            <w:pPr>
              <w:spacing w:after="0"/>
              <w:rPr>
                <w:sz w:val="20"/>
                <w:szCs w:val="20"/>
                <w:color w:val="auto"/>
              </w:rPr>
            </w:pPr>
            <w:r>
              <w:rPr>
                <w:rFonts w:ascii="Arial" w:cs="Arial" w:eastAsia="Arial" w:hAnsi="Arial"/>
                <w:sz w:val="18"/>
                <w:szCs w:val="18"/>
                <w:b w:val="1"/>
                <w:bCs w:val="1"/>
                <w:color w:val="auto"/>
              </w:rPr>
              <w:t>Shawn K. Singh, JD</w:t>
            </w:r>
          </w:p>
        </w:tc>
        <w:tc>
          <w:tcPr>
            <w:tcW w:w="5560" w:type="dxa"/>
            <w:vAlign w:val="bottom"/>
          </w:tcPr>
          <w:p>
            <w:pPr>
              <w:ind w:left="980"/>
              <w:spacing w:after="0"/>
              <w:rPr>
                <w:sz w:val="20"/>
                <w:szCs w:val="20"/>
                <w:color w:val="auto"/>
              </w:rPr>
            </w:pPr>
            <w:r>
              <w:rPr>
                <w:rFonts w:ascii="Arial" w:cs="Arial" w:eastAsia="Arial" w:hAnsi="Arial"/>
                <w:sz w:val="18"/>
                <w:szCs w:val="18"/>
                <w:i w:val="1"/>
                <w:iCs w:val="1"/>
                <w:color w:val="auto"/>
              </w:rPr>
              <w:t>(Principal Executive Officer)</w:t>
            </w:r>
          </w:p>
        </w:tc>
        <w:tc>
          <w:tcPr>
            <w:tcW w:w="2780" w:type="dxa"/>
            <w:vAlign w:val="bottom"/>
          </w:tcPr>
          <w:p>
            <w:pPr>
              <w:spacing w:after="0"/>
              <w:rPr>
                <w:sz w:val="20"/>
                <w:szCs w:val="20"/>
                <w:color w:val="auto"/>
              </w:rPr>
            </w:pPr>
          </w:p>
        </w:tc>
      </w:tr>
      <w:tr>
        <w:trPr>
          <w:trHeight w:val="392"/>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Jerrold D. Dotson</w:t>
            </w:r>
          </w:p>
        </w:tc>
        <w:tc>
          <w:tcPr>
            <w:tcW w:w="1180" w:type="dxa"/>
            <w:vAlign w:val="bottom"/>
            <w:gridSpan w:val="4"/>
          </w:tcPr>
          <w:p>
            <w:pPr>
              <w:spacing w:after="0"/>
              <w:rPr>
                <w:sz w:val="24"/>
                <w:szCs w:val="24"/>
                <w:color w:val="auto"/>
              </w:rPr>
            </w:pPr>
          </w:p>
        </w:tc>
        <w:tc>
          <w:tcPr>
            <w:tcW w:w="5560" w:type="dxa"/>
            <w:vAlign w:val="bottom"/>
          </w:tcPr>
          <w:p>
            <w:pPr>
              <w:ind w:left="980"/>
              <w:spacing w:after="0"/>
              <w:rPr>
                <w:sz w:val="20"/>
                <w:szCs w:val="20"/>
                <w:color w:val="auto"/>
              </w:rPr>
            </w:pPr>
            <w:r>
              <w:rPr>
                <w:rFonts w:ascii="Arial" w:cs="Arial" w:eastAsia="Arial" w:hAnsi="Arial"/>
                <w:sz w:val="18"/>
                <w:szCs w:val="18"/>
                <w:color w:val="auto"/>
              </w:rPr>
              <w:t>Vice President and Chief Financial Officer</w:t>
            </w:r>
          </w:p>
        </w:tc>
        <w:tc>
          <w:tcPr>
            <w:tcW w:w="2780" w:type="dxa"/>
            <w:vAlign w:val="bottom"/>
          </w:tcPr>
          <w:p>
            <w:pPr>
              <w:jc w:val="center"/>
              <w:ind w:left="490"/>
              <w:spacing w:after="0"/>
              <w:rPr>
                <w:sz w:val="20"/>
                <w:szCs w:val="20"/>
                <w:color w:val="auto"/>
              </w:rPr>
            </w:pPr>
            <w:r>
              <w:rPr>
                <w:rFonts w:ascii="Arial" w:cs="Arial" w:eastAsia="Arial" w:hAnsi="Arial"/>
                <w:sz w:val="18"/>
                <w:szCs w:val="18"/>
                <w:color w:val="auto"/>
                <w:w w:val="87"/>
              </w:rPr>
              <w:t>June 24, 2016</w:t>
            </w:r>
          </w:p>
        </w:tc>
      </w:tr>
      <w:tr>
        <w:trPr>
          <w:trHeight w:val="237"/>
        </w:trPr>
        <w:tc>
          <w:tcPr>
            <w:tcW w:w="3100" w:type="dxa"/>
            <w:vAlign w:val="bottom"/>
            <w:gridSpan w:val="6"/>
          </w:tcPr>
          <w:p>
            <w:pPr>
              <w:spacing w:after="0"/>
              <w:rPr>
                <w:sz w:val="20"/>
                <w:szCs w:val="20"/>
                <w:color w:val="auto"/>
              </w:rPr>
            </w:pPr>
            <w:r>
              <w:rPr>
                <w:rFonts w:ascii="Arial" w:cs="Arial" w:eastAsia="Arial" w:hAnsi="Arial"/>
                <w:sz w:val="18"/>
                <w:szCs w:val="18"/>
                <w:b w:val="1"/>
                <w:bCs w:val="1"/>
                <w:color w:val="auto"/>
              </w:rPr>
              <w:t>Jerrold D. Dotson</w:t>
            </w:r>
          </w:p>
        </w:tc>
        <w:tc>
          <w:tcPr>
            <w:tcW w:w="5560" w:type="dxa"/>
            <w:vAlign w:val="bottom"/>
          </w:tcPr>
          <w:p>
            <w:pPr>
              <w:ind w:left="980"/>
              <w:spacing w:after="0"/>
              <w:rPr>
                <w:sz w:val="20"/>
                <w:szCs w:val="20"/>
                <w:color w:val="auto"/>
              </w:rPr>
            </w:pPr>
            <w:r>
              <w:rPr>
                <w:rFonts w:ascii="Arial" w:cs="Arial" w:eastAsia="Arial" w:hAnsi="Arial"/>
                <w:sz w:val="18"/>
                <w:szCs w:val="18"/>
                <w:i w:val="1"/>
                <w:iCs w:val="1"/>
                <w:color w:val="auto"/>
              </w:rPr>
              <w:t>(Principal Financial and Accounting Officer)</w:t>
            </w:r>
          </w:p>
        </w:tc>
        <w:tc>
          <w:tcPr>
            <w:tcW w:w="2780" w:type="dxa"/>
            <w:vAlign w:val="bottom"/>
          </w:tcPr>
          <w:p>
            <w:pPr>
              <w:spacing w:after="0"/>
              <w:rPr>
                <w:sz w:val="20"/>
                <w:szCs w:val="20"/>
                <w:color w:val="auto"/>
              </w:rPr>
            </w:pPr>
          </w:p>
        </w:tc>
      </w:tr>
      <w:tr>
        <w:trPr>
          <w:trHeight w:val="392"/>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H. Ralph Snodgrass</w:t>
            </w:r>
          </w:p>
        </w:tc>
        <w:tc>
          <w:tcPr>
            <w:tcW w:w="1180" w:type="dxa"/>
            <w:vAlign w:val="bottom"/>
            <w:gridSpan w:val="4"/>
          </w:tcPr>
          <w:p>
            <w:pPr>
              <w:spacing w:after="0"/>
              <w:rPr>
                <w:sz w:val="24"/>
                <w:szCs w:val="24"/>
                <w:color w:val="auto"/>
              </w:rPr>
            </w:pPr>
          </w:p>
        </w:tc>
        <w:tc>
          <w:tcPr>
            <w:tcW w:w="5560" w:type="dxa"/>
            <w:vAlign w:val="bottom"/>
          </w:tcPr>
          <w:p>
            <w:pPr>
              <w:ind w:left="980"/>
              <w:spacing w:after="0"/>
              <w:rPr>
                <w:sz w:val="20"/>
                <w:szCs w:val="20"/>
                <w:color w:val="auto"/>
              </w:rPr>
            </w:pPr>
            <w:r>
              <w:rPr>
                <w:rFonts w:ascii="Arial" w:cs="Arial" w:eastAsia="Arial" w:hAnsi="Arial"/>
                <w:sz w:val="18"/>
                <w:szCs w:val="18"/>
                <w:color w:val="auto"/>
              </w:rPr>
              <w:t>President, Chief Scientific Officer and Director</w:t>
            </w:r>
          </w:p>
        </w:tc>
        <w:tc>
          <w:tcPr>
            <w:tcW w:w="2780" w:type="dxa"/>
            <w:vAlign w:val="bottom"/>
          </w:tcPr>
          <w:p>
            <w:pPr>
              <w:jc w:val="center"/>
              <w:ind w:left="490"/>
              <w:spacing w:after="0"/>
              <w:rPr>
                <w:sz w:val="20"/>
                <w:szCs w:val="20"/>
                <w:color w:val="auto"/>
              </w:rPr>
            </w:pPr>
            <w:r>
              <w:rPr>
                <w:rFonts w:ascii="Arial" w:cs="Arial" w:eastAsia="Arial" w:hAnsi="Arial"/>
                <w:sz w:val="18"/>
                <w:szCs w:val="18"/>
                <w:color w:val="auto"/>
                <w:w w:val="87"/>
              </w:rPr>
              <w:t>June 24, 2016</w:t>
            </w:r>
          </w:p>
        </w:tc>
      </w:tr>
      <w:tr>
        <w:trPr>
          <w:trHeight w:val="237"/>
        </w:trPr>
        <w:tc>
          <w:tcPr>
            <w:tcW w:w="3100" w:type="dxa"/>
            <w:vAlign w:val="bottom"/>
            <w:gridSpan w:val="6"/>
          </w:tcPr>
          <w:p>
            <w:pPr>
              <w:spacing w:after="0"/>
              <w:rPr>
                <w:sz w:val="20"/>
                <w:szCs w:val="20"/>
                <w:color w:val="auto"/>
              </w:rPr>
            </w:pPr>
            <w:r>
              <w:rPr>
                <w:rFonts w:ascii="Arial" w:cs="Arial" w:eastAsia="Arial" w:hAnsi="Arial"/>
                <w:sz w:val="18"/>
                <w:szCs w:val="18"/>
                <w:b w:val="1"/>
                <w:bCs w:val="1"/>
                <w:color w:val="auto"/>
              </w:rPr>
              <w:t>H. Ralph Snodgrass, Ph.D</w:t>
            </w:r>
          </w:p>
        </w:tc>
        <w:tc>
          <w:tcPr>
            <w:tcW w:w="55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392"/>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7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Jon S. Saxe</w:t>
            </w:r>
          </w:p>
        </w:tc>
        <w:tc>
          <w:tcPr>
            <w:tcW w:w="1100" w:type="dxa"/>
            <w:vAlign w:val="bottom"/>
            <w:gridSpan w:val="2"/>
          </w:tcPr>
          <w:p>
            <w:pPr>
              <w:spacing w:after="0"/>
              <w:rPr>
                <w:sz w:val="24"/>
                <w:szCs w:val="24"/>
                <w:color w:val="auto"/>
              </w:rPr>
            </w:pPr>
          </w:p>
        </w:tc>
        <w:tc>
          <w:tcPr>
            <w:tcW w:w="5560" w:type="dxa"/>
            <w:vAlign w:val="bottom"/>
          </w:tcPr>
          <w:p>
            <w:pPr>
              <w:ind w:left="980"/>
              <w:spacing w:after="0"/>
              <w:rPr>
                <w:sz w:val="20"/>
                <w:szCs w:val="20"/>
                <w:color w:val="auto"/>
              </w:rPr>
            </w:pPr>
            <w:r>
              <w:rPr>
                <w:rFonts w:ascii="Arial" w:cs="Arial" w:eastAsia="Arial" w:hAnsi="Arial"/>
                <w:sz w:val="18"/>
                <w:szCs w:val="18"/>
                <w:color w:val="auto"/>
              </w:rPr>
              <w:t>Chairman of the Board of Directors</w:t>
            </w:r>
          </w:p>
        </w:tc>
        <w:tc>
          <w:tcPr>
            <w:tcW w:w="2780" w:type="dxa"/>
            <w:vAlign w:val="bottom"/>
          </w:tcPr>
          <w:p>
            <w:pPr>
              <w:jc w:val="center"/>
              <w:ind w:left="490"/>
              <w:spacing w:after="0"/>
              <w:rPr>
                <w:sz w:val="20"/>
                <w:szCs w:val="20"/>
                <w:color w:val="auto"/>
              </w:rPr>
            </w:pPr>
            <w:r>
              <w:rPr>
                <w:rFonts w:ascii="Arial" w:cs="Arial" w:eastAsia="Arial" w:hAnsi="Arial"/>
                <w:sz w:val="18"/>
                <w:szCs w:val="18"/>
                <w:color w:val="auto"/>
                <w:w w:val="87"/>
              </w:rPr>
              <w:t>June 24, 2016</w:t>
            </w:r>
          </w:p>
        </w:tc>
      </w:tr>
      <w:tr>
        <w:trPr>
          <w:trHeight w:val="237"/>
        </w:trPr>
        <w:tc>
          <w:tcPr>
            <w:tcW w:w="3100" w:type="dxa"/>
            <w:vAlign w:val="bottom"/>
            <w:gridSpan w:val="6"/>
          </w:tcPr>
          <w:p>
            <w:pPr>
              <w:spacing w:after="0"/>
              <w:rPr>
                <w:sz w:val="20"/>
                <w:szCs w:val="20"/>
                <w:color w:val="auto"/>
              </w:rPr>
            </w:pPr>
            <w:r>
              <w:rPr>
                <w:rFonts w:ascii="Arial" w:cs="Arial" w:eastAsia="Arial" w:hAnsi="Arial"/>
                <w:sz w:val="18"/>
                <w:szCs w:val="18"/>
                <w:b w:val="1"/>
                <w:bCs w:val="1"/>
                <w:color w:val="auto"/>
              </w:rPr>
              <w:t>Jon S. Saxe</w:t>
            </w:r>
          </w:p>
        </w:tc>
        <w:tc>
          <w:tcPr>
            <w:tcW w:w="55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392"/>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Brian J. Underdown</w:t>
            </w:r>
          </w:p>
        </w:tc>
        <w:tc>
          <w:tcPr>
            <w:tcW w:w="1160" w:type="dxa"/>
            <w:vAlign w:val="bottom"/>
            <w:gridSpan w:val="3"/>
          </w:tcPr>
          <w:p>
            <w:pPr>
              <w:spacing w:after="0"/>
              <w:rPr>
                <w:sz w:val="24"/>
                <w:szCs w:val="24"/>
                <w:color w:val="auto"/>
              </w:rPr>
            </w:pPr>
          </w:p>
        </w:tc>
        <w:tc>
          <w:tcPr>
            <w:tcW w:w="5560" w:type="dxa"/>
            <w:vAlign w:val="bottom"/>
          </w:tcPr>
          <w:p>
            <w:pPr>
              <w:ind w:left="98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ind w:left="490"/>
              <w:spacing w:after="0"/>
              <w:rPr>
                <w:sz w:val="20"/>
                <w:szCs w:val="20"/>
                <w:color w:val="auto"/>
              </w:rPr>
            </w:pPr>
            <w:r>
              <w:rPr>
                <w:rFonts w:ascii="Arial" w:cs="Arial" w:eastAsia="Arial" w:hAnsi="Arial"/>
                <w:sz w:val="18"/>
                <w:szCs w:val="18"/>
                <w:color w:val="auto"/>
                <w:w w:val="87"/>
              </w:rPr>
              <w:t>June 24, 2016</w:t>
            </w:r>
          </w:p>
        </w:tc>
      </w:tr>
      <w:tr>
        <w:trPr>
          <w:trHeight w:val="237"/>
        </w:trPr>
        <w:tc>
          <w:tcPr>
            <w:tcW w:w="3100" w:type="dxa"/>
            <w:vAlign w:val="bottom"/>
            <w:gridSpan w:val="6"/>
          </w:tcPr>
          <w:p>
            <w:pPr>
              <w:spacing w:after="0"/>
              <w:rPr>
                <w:sz w:val="20"/>
                <w:szCs w:val="20"/>
                <w:color w:val="auto"/>
              </w:rPr>
            </w:pPr>
            <w:r>
              <w:rPr>
                <w:rFonts w:ascii="Arial" w:cs="Arial" w:eastAsia="Arial" w:hAnsi="Arial"/>
                <w:sz w:val="18"/>
                <w:szCs w:val="18"/>
                <w:b w:val="1"/>
                <w:bCs w:val="1"/>
                <w:color w:val="auto"/>
              </w:rPr>
              <w:t>Brian J. Underdown, Ph. D</w:t>
            </w:r>
          </w:p>
        </w:tc>
        <w:tc>
          <w:tcPr>
            <w:tcW w:w="55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392"/>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Jerry B. Gin, Ph.D</w:t>
            </w:r>
          </w:p>
        </w:tc>
        <w:tc>
          <w:tcPr>
            <w:tcW w:w="1080" w:type="dxa"/>
            <w:vAlign w:val="bottom"/>
          </w:tcPr>
          <w:p>
            <w:pPr>
              <w:spacing w:after="0"/>
              <w:rPr>
                <w:sz w:val="24"/>
                <w:szCs w:val="24"/>
                <w:color w:val="auto"/>
              </w:rPr>
            </w:pPr>
          </w:p>
        </w:tc>
        <w:tc>
          <w:tcPr>
            <w:tcW w:w="5560" w:type="dxa"/>
            <w:vAlign w:val="bottom"/>
          </w:tcPr>
          <w:p>
            <w:pPr>
              <w:ind w:left="980"/>
              <w:spacing w:after="0"/>
              <w:rPr>
                <w:sz w:val="20"/>
                <w:szCs w:val="20"/>
                <w:color w:val="auto"/>
              </w:rPr>
            </w:pPr>
            <w:r>
              <w:rPr>
                <w:rFonts w:ascii="Arial" w:cs="Arial" w:eastAsia="Arial" w:hAnsi="Arial"/>
                <w:sz w:val="18"/>
                <w:szCs w:val="18"/>
                <w:color w:val="auto"/>
              </w:rPr>
              <w:t>Director</w:t>
            </w:r>
          </w:p>
        </w:tc>
        <w:tc>
          <w:tcPr>
            <w:tcW w:w="2780" w:type="dxa"/>
            <w:vAlign w:val="bottom"/>
          </w:tcPr>
          <w:p>
            <w:pPr>
              <w:jc w:val="center"/>
              <w:ind w:left="490"/>
              <w:spacing w:after="0"/>
              <w:rPr>
                <w:sz w:val="20"/>
                <w:szCs w:val="20"/>
                <w:color w:val="auto"/>
              </w:rPr>
            </w:pPr>
            <w:r>
              <w:rPr>
                <w:rFonts w:ascii="Arial" w:cs="Arial" w:eastAsia="Arial" w:hAnsi="Arial"/>
                <w:sz w:val="18"/>
                <w:szCs w:val="18"/>
                <w:color w:val="auto"/>
                <w:w w:val="87"/>
              </w:rPr>
              <w:t>June 24, 2016</w:t>
            </w:r>
          </w:p>
        </w:tc>
      </w:tr>
      <w:tr>
        <w:trPr>
          <w:trHeight w:val="237"/>
        </w:trPr>
        <w:tc>
          <w:tcPr>
            <w:tcW w:w="3100" w:type="dxa"/>
            <w:vAlign w:val="bottom"/>
            <w:gridSpan w:val="6"/>
          </w:tcPr>
          <w:p>
            <w:pPr>
              <w:spacing w:after="0"/>
              <w:rPr>
                <w:sz w:val="20"/>
                <w:szCs w:val="20"/>
                <w:color w:val="auto"/>
              </w:rPr>
            </w:pPr>
            <w:r>
              <w:rPr>
                <w:rFonts w:ascii="Arial" w:cs="Arial" w:eastAsia="Arial" w:hAnsi="Arial"/>
                <w:sz w:val="18"/>
                <w:szCs w:val="18"/>
                <w:b w:val="1"/>
                <w:bCs w:val="1"/>
                <w:color w:val="auto"/>
              </w:rPr>
              <w:t>Jerry B. Gin, Ph.D.</w:t>
            </w:r>
          </w:p>
        </w:tc>
        <w:tc>
          <w:tcPr>
            <w:tcW w:w="55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864"/>
        </w:trPr>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60" w:type="dxa"/>
            <w:vAlign w:val="bottom"/>
          </w:tcPr>
          <w:p>
            <w:pPr>
              <w:ind w:left="2420"/>
              <w:spacing w:after="0"/>
              <w:rPr>
                <w:sz w:val="20"/>
                <w:szCs w:val="20"/>
                <w:color w:val="auto"/>
              </w:rPr>
            </w:pPr>
            <w:r>
              <w:rPr>
                <w:rFonts w:ascii="Arial" w:cs="Arial" w:eastAsia="Arial" w:hAnsi="Arial"/>
                <w:sz w:val="18"/>
                <w:szCs w:val="18"/>
                <w:color w:val="auto"/>
              </w:rPr>
              <w:t>-162-</w:t>
            </w:r>
          </w:p>
        </w:tc>
        <w:tc>
          <w:tcPr>
            <w:tcW w:w="2780" w:type="dxa"/>
            <w:vAlign w:val="bottom"/>
          </w:tcPr>
          <w:p>
            <w:pPr>
              <w:spacing w:after="0"/>
              <w:rPr>
                <w:sz w:val="24"/>
                <w:szCs w:val="24"/>
                <w:color w:val="auto"/>
              </w:rPr>
            </w:pPr>
          </w:p>
        </w:tc>
      </w:tr>
      <w:tr>
        <w:trPr>
          <w:trHeight w:val="118"/>
        </w:trPr>
        <w:tc>
          <w:tcPr>
            <w:tcW w:w="2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556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color w:val="auto"/>
        </w:rPr>
        <w:t>Exhibit 10.112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 INDEMNIFICATION AGREEMENT</w:t>
      </w:r>
    </w:p>
    <w:p>
      <w:pPr>
        <w:spacing w:after="0" w:line="256" w:lineRule="exact"/>
        <w:rPr>
          <w:sz w:val="20"/>
          <w:szCs w:val="20"/>
          <w:color w:val="auto"/>
        </w:rPr>
      </w:pPr>
    </w:p>
    <w:p>
      <w:pPr>
        <w:jc w:val="both"/>
        <w:ind w:firstLine="665"/>
        <w:spacing w:after="0" w:line="277" w:lineRule="auto"/>
        <w:rPr>
          <w:sz w:val="20"/>
          <w:szCs w:val="20"/>
          <w:color w:val="auto"/>
        </w:rPr>
      </w:pPr>
      <w:r>
        <w:rPr>
          <w:rFonts w:ascii="Arial" w:cs="Arial" w:eastAsia="Arial" w:hAnsi="Arial"/>
          <w:sz w:val="18"/>
          <w:szCs w:val="18"/>
          <w:color w:val="auto"/>
        </w:rPr>
        <w:t>THIS AGREEMENT is entered into, effective as of April 8, 2016 between VistaGen Therapeutics, Inc., a Nevada corporation (the "Company"), and Jerry B. Gin, Ph.D. (“Indemnitee”).</w:t>
      </w:r>
    </w:p>
    <w:p>
      <w:pPr>
        <w:spacing w:after="0" w:line="19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WHEREAS, Indemnitee is a director of the Company;</w:t>
      </w:r>
    </w:p>
    <w:p>
      <w:pPr>
        <w:spacing w:after="0" w:line="252" w:lineRule="exact"/>
        <w:rPr>
          <w:sz w:val="20"/>
          <w:szCs w:val="20"/>
          <w:color w:val="auto"/>
        </w:rPr>
      </w:pPr>
    </w:p>
    <w:p>
      <w:pPr>
        <w:jc w:val="both"/>
        <w:ind w:right="20" w:firstLine="682"/>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currently being asserted against directors and officers of corporations; and</w:t>
      </w:r>
    </w:p>
    <w:p>
      <w:pPr>
        <w:spacing w:after="0" w:line="197" w:lineRule="exact"/>
        <w:rPr>
          <w:sz w:val="20"/>
          <w:szCs w:val="20"/>
          <w:color w:val="auto"/>
        </w:rPr>
      </w:pPr>
    </w:p>
    <w:p>
      <w:pPr>
        <w:jc w:val="both"/>
        <w:ind w:firstLine="683"/>
        <w:spacing w:after="0" w:line="257" w:lineRule="auto"/>
        <w:rPr>
          <w:sz w:val="20"/>
          <w:szCs w:val="20"/>
          <w:color w:val="auto"/>
        </w:rPr>
      </w:pPr>
      <w:r>
        <w:rPr>
          <w:rFonts w:ascii="Arial" w:cs="Arial" w:eastAsia="Arial" w:hAnsi="Arial"/>
          <w:sz w:val="18"/>
          <w:szCs w:val="18"/>
          <w:color w:val="auto"/>
        </w:rPr>
        <w:t>WHEREAS, in recognition of Indemnitee's need for substantial protection against personal liability in order to enhance Indemnitee's continued and effective service to the Company, and in order to induce Indemnitee to provide services to the Company as a director,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215" w:lineRule="exact"/>
        <w:rPr>
          <w:sz w:val="20"/>
          <w:szCs w:val="20"/>
          <w:color w:val="auto"/>
        </w:rPr>
      </w:pPr>
    </w:p>
    <w:p>
      <w:pPr>
        <w:jc w:val="both"/>
        <w:ind w:right="20" w:firstLine="703"/>
        <w:spacing w:after="0" w:line="277" w:lineRule="auto"/>
        <w:rPr>
          <w:sz w:val="20"/>
          <w:szCs w:val="20"/>
          <w:color w:val="auto"/>
        </w:rPr>
      </w:pPr>
      <w:r>
        <w:rPr>
          <w:rFonts w:ascii="Arial" w:cs="Arial" w:eastAsia="Arial" w:hAnsi="Arial"/>
          <w:sz w:val="18"/>
          <w:szCs w:val="18"/>
          <w:color w:val="auto"/>
        </w:rPr>
        <w:t>NOW, THEREFORE, in consideration of the above premises and of Indemnitee's continuing to serve the Company directly or, at its request, with another enterprise, and intending to be legally bound hereby, the parties agree as follows:</w:t>
      </w:r>
    </w:p>
    <w:p>
      <w:pPr>
        <w:spacing w:after="0" w:line="197" w:lineRule="exact"/>
        <w:rPr>
          <w:sz w:val="20"/>
          <w:szCs w:val="20"/>
          <w:color w:val="auto"/>
        </w:rPr>
      </w:pPr>
    </w:p>
    <w:p>
      <w:pPr>
        <w:ind w:left="980" w:hanging="306"/>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Definitions:</w:t>
      </w:r>
    </w:p>
    <w:p>
      <w:pPr>
        <w:spacing w:after="0" w:line="252" w:lineRule="exact"/>
        <w:rPr>
          <w:rFonts w:ascii="Arial" w:cs="Arial" w:eastAsia="Arial" w:hAnsi="Arial"/>
          <w:sz w:val="18"/>
          <w:szCs w:val="18"/>
          <w:color w:val="auto"/>
        </w:rPr>
      </w:pPr>
    </w:p>
    <w:p>
      <w:pPr>
        <w:ind w:left="1760" w:hanging="465"/>
        <w:spacing w:after="0"/>
        <w:tabs>
          <w:tab w:leader="none" w:pos="176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252" w:lineRule="exact"/>
        <w:rPr>
          <w:rFonts w:ascii="Arial" w:cs="Arial" w:eastAsia="Arial" w:hAnsi="Arial"/>
          <w:sz w:val="18"/>
          <w:szCs w:val="18"/>
          <w:color w:val="auto"/>
        </w:rPr>
      </w:pPr>
    </w:p>
    <w:p>
      <w:pPr>
        <w:jc w:val="both"/>
        <w:ind w:firstLine="1361"/>
        <w:spacing w:after="0" w:line="268" w:lineRule="auto"/>
        <w:tabs>
          <w:tab w:leader="none" w:pos="1902" w:val="left"/>
        </w:tabs>
        <w:numPr>
          <w:ilvl w:val="4"/>
          <w:numId w:val="73"/>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185" w:lineRule="exact"/>
        <w:rPr>
          <w:rFonts w:ascii="Arial" w:cs="Arial" w:eastAsia="Arial" w:hAnsi="Arial"/>
          <w:sz w:val="17"/>
          <w:szCs w:val="17"/>
          <w:color w:val="auto"/>
        </w:rPr>
      </w:pPr>
    </w:p>
    <w:p>
      <w:pPr>
        <w:jc w:val="both"/>
        <w:ind w:firstLine="1299"/>
        <w:spacing w:after="0" w:line="279" w:lineRule="auto"/>
        <w:tabs>
          <w:tab w:leader="none" w:pos="1784" w:val="left"/>
        </w:tabs>
        <w:numPr>
          <w:ilvl w:val="2"/>
          <w:numId w:val="73"/>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spacing w:after="0" w:line="171" w:lineRule="exact"/>
        <w:rPr>
          <w:rFonts w:ascii="Arial" w:cs="Arial" w:eastAsia="Arial" w:hAnsi="Arial"/>
          <w:sz w:val="17"/>
          <w:szCs w:val="17"/>
          <w:color w:val="auto"/>
        </w:rPr>
      </w:pPr>
    </w:p>
    <w:p>
      <w:pPr>
        <w:jc w:val="both"/>
        <w:ind w:firstLine="1325"/>
        <w:spacing w:after="0" w:line="255" w:lineRule="auto"/>
        <w:tabs>
          <w:tab w:leader="none" w:pos="1866" w:val="left"/>
        </w:tabs>
        <w:numPr>
          <w:ilvl w:val="3"/>
          <w:numId w:val="73"/>
        </w:numPr>
        <w:rPr>
          <w:rFonts w:ascii="Arial" w:cs="Arial" w:eastAsia="Arial" w:hAnsi="Arial"/>
          <w:sz w:val="18"/>
          <w:szCs w:val="18"/>
          <w:color w:val="auto"/>
        </w:rPr>
      </w:pPr>
      <w:r>
        <w:rPr>
          <w:rFonts w:ascii="Arial" w:cs="Arial" w:eastAsia="Arial" w:hAnsi="Arial"/>
          <w:sz w:val="18"/>
          <w:szCs w:val="18"/>
          <w:u w:val="single" w:color="auto"/>
          <w:color w:val="auto"/>
        </w:rPr>
        <w:t>Indemnifiable Event</w:t>
      </w:r>
      <w:r>
        <w:rPr>
          <w:rFonts w:ascii="Arial" w:cs="Arial" w:eastAsia="Arial" w:hAnsi="Arial"/>
          <w:sz w:val="18"/>
          <w:szCs w:val="18"/>
          <w:color w:val="auto"/>
        </w:rPr>
        <w:t>: any event or occurrence that takes place either prior to or after the execution of this Agreement, related to the fact that Indemnitee is or was a director of the Company, or while a director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189" w:lineRule="exact"/>
        <w:rPr>
          <w:sz w:val="20"/>
          <w:szCs w:val="20"/>
          <w:color w:val="auto"/>
        </w:rPr>
      </w:pPr>
    </w:p>
    <w:p>
      <w:pPr>
        <w:ind w:left="1760" w:hanging="465"/>
        <w:spacing w:after="0"/>
        <w:tabs>
          <w:tab w:leader="none" w:pos="176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Independent Counsel</w:t>
      </w:r>
      <w:r>
        <w:rPr>
          <w:rFonts w:ascii="Arial" w:cs="Arial" w:eastAsia="Arial" w:hAnsi="Arial"/>
          <w:sz w:val="18"/>
          <w:szCs w:val="18"/>
          <w:color w:val="auto"/>
        </w:rPr>
        <w:t>: the person or body appointed in connection with Section 3.</w:t>
      </w:r>
    </w:p>
    <w:p>
      <w:pPr>
        <w:spacing w:after="0" w:line="225" w:lineRule="exact"/>
        <w:rPr>
          <w:rFonts w:ascii="Arial" w:cs="Arial" w:eastAsia="Arial" w:hAnsi="Arial"/>
          <w:sz w:val="18"/>
          <w:szCs w:val="18"/>
          <w:color w:val="auto"/>
        </w:rPr>
      </w:pPr>
    </w:p>
    <w:p>
      <w:pPr>
        <w:jc w:val="both"/>
        <w:ind w:right="20" w:firstLine="1455"/>
        <w:spacing w:after="0" w:line="264" w:lineRule="auto"/>
        <w:tabs>
          <w:tab w:leader="none" w:pos="212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Proceeding</w:t>
      </w:r>
      <w:r>
        <w:rPr>
          <w:rFonts w:ascii="Arial" w:cs="Arial" w:eastAsia="Arial" w:hAnsi="Arial"/>
          <w:sz w:val="18"/>
          <w:szCs w:val="18"/>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181" w:lineRule="exact"/>
        <w:rPr>
          <w:sz w:val="20"/>
          <w:szCs w:val="20"/>
          <w:color w:val="auto"/>
        </w:rPr>
      </w:pPr>
    </w:p>
    <w:p>
      <w:pPr>
        <w:ind w:left="1780" w:hanging="485"/>
        <w:spacing w:after="0"/>
        <w:tabs>
          <w:tab w:leader="none" w:pos="17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the person or body appointed in accordance with Section 3.</w:t>
      </w:r>
    </w:p>
    <w:p>
      <w:pPr>
        <w:spacing w:after="0" w:line="225" w:lineRule="exact"/>
        <w:rPr>
          <w:rFonts w:ascii="Arial" w:cs="Arial" w:eastAsia="Arial" w:hAnsi="Arial"/>
          <w:sz w:val="18"/>
          <w:szCs w:val="18"/>
          <w:color w:val="auto"/>
        </w:rPr>
      </w:pPr>
    </w:p>
    <w:p>
      <w:pPr>
        <w:ind w:left="1780" w:hanging="485"/>
        <w:spacing w:after="0"/>
        <w:tabs>
          <w:tab w:leader="none" w:pos="17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Voting Securities</w:t>
      </w:r>
      <w:r>
        <w:rPr>
          <w:rFonts w:ascii="Arial" w:cs="Arial" w:eastAsia="Arial" w:hAnsi="Arial"/>
          <w:sz w:val="18"/>
          <w:szCs w:val="18"/>
          <w:color w:val="auto"/>
        </w:rPr>
        <w:t>: any securities of the Company that vote generally in the election of directors.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69" w:name="page170"/>
    <w:bookmarkEnd w:id="169"/>
    <w:p>
      <w:pPr>
        <w:ind w:left="860" w:hanging="186"/>
        <w:spacing w:after="0"/>
        <w:tabs>
          <w:tab w:leader="none" w:pos="8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Agreement to Indemnify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30"/>
        <w:spacing w:after="0" w:line="272" w:lineRule="auto"/>
        <w:tabs>
          <w:tab w:leader="none" w:pos="1838" w:val="left"/>
        </w:tabs>
        <w:numPr>
          <w:ilvl w:val="2"/>
          <w:numId w:val="76"/>
        </w:numPr>
        <w:rPr>
          <w:rFonts w:ascii="Arial" w:cs="Arial" w:eastAsia="Arial" w:hAnsi="Arial"/>
          <w:sz w:val="17"/>
          <w:szCs w:val="17"/>
          <w:color w:val="auto"/>
        </w:rPr>
      </w:pPr>
      <w:r>
        <w:rPr>
          <w:rFonts w:ascii="Arial" w:cs="Arial" w:eastAsia="Arial" w:hAnsi="Arial"/>
          <w:sz w:val="17"/>
          <w:szCs w:val="17"/>
          <w:u w:val="single" w:color="auto"/>
          <w:color w:val="auto"/>
        </w:rPr>
        <w:t>General Agreement</w:t>
      </w:r>
      <w:r>
        <w:rPr>
          <w:rFonts w:ascii="Arial" w:cs="Arial" w:eastAsia="Arial" w:hAnsi="Arial"/>
          <w:sz w:val="17"/>
          <w:szCs w:val="17"/>
          <w:color w:val="auto"/>
        </w:rPr>
        <w: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177" w:lineRule="exact"/>
        <w:rPr>
          <w:rFonts w:ascii="Arial" w:cs="Arial" w:eastAsia="Arial" w:hAnsi="Arial"/>
          <w:sz w:val="17"/>
          <w:szCs w:val="17"/>
          <w:color w:val="auto"/>
        </w:rPr>
      </w:pPr>
    </w:p>
    <w:p>
      <w:pPr>
        <w:jc w:val="both"/>
        <w:ind w:firstLine="1516"/>
        <w:spacing w:after="0" w:line="297" w:lineRule="auto"/>
        <w:tabs>
          <w:tab w:leader="none" w:pos="2258" w:val="left"/>
        </w:tabs>
        <w:numPr>
          <w:ilvl w:val="3"/>
          <w:numId w:val="76"/>
        </w:numPr>
        <w:rPr>
          <w:rFonts w:ascii="Arial" w:cs="Arial" w:eastAsia="Arial" w:hAnsi="Arial"/>
          <w:sz w:val="16"/>
          <w:szCs w:val="16"/>
          <w:color w:val="auto"/>
        </w:rPr>
      </w:pPr>
      <w:r>
        <w:rPr>
          <w:rFonts w:ascii="Arial" w:cs="Arial" w:eastAsia="Arial" w:hAnsi="Arial"/>
          <w:sz w:val="16"/>
          <w:szCs w:val="16"/>
          <w:u w:val="single" w:color="auto"/>
          <w:color w:val="auto"/>
        </w:rPr>
        <w:t>Initiation of Proceeding</w:t>
      </w:r>
      <w:r>
        <w:rPr>
          <w:rFonts w:ascii="Arial" w:cs="Arial" w:eastAsia="Arial" w:hAnsi="Arial"/>
          <w:sz w:val="16"/>
          <w:szCs w:val="16"/>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158" w:lineRule="exact"/>
        <w:rPr>
          <w:rFonts w:ascii="Arial" w:cs="Arial" w:eastAsia="Arial" w:hAnsi="Arial"/>
          <w:sz w:val="16"/>
          <w:szCs w:val="16"/>
          <w:color w:val="auto"/>
        </w:rPr>
      </w:pPr>
    </w:p>
    <w:p>
      <w:pPr>
        <w:jc w:val="both"/>
        <w:ind w:firstLine="1297"/>
        <w:spacing w:after="0" w:line="270" w:lineRule="auto"/>
        <w:tabs>
          <w:tab w:leader="none" w:pos="1770"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Expense Advances</w:t>
      </w:r>
      <w:r>
        <w:rPr>
          <w:rFonts w:ascii="Arial" w:cs="Arial" w:eastAsia="Arial" w:hAnsi="Arial"/>
          <w:sz w:val="17"/>
          <w:szCs w:val="17"/>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201" w:lineRule="exact"/>
        <w:rPr>
          <w:rFonts w:ascii="Arial" w:cs="Arial" w:eastAsia="Arial" w:hAnsi="Arial"/>
          <w:sz w:val="17"/>
          <w:szCs w:val="17"/>
          <w:color w:val="auto"/>
        </w:rPr>
      </w:pPr>
    </w:p>
    <w:p>
      <w:pPr>
        <w:jc w:val="both"/>
        <w:ind w:firstLine="1787"/>
        <w:spacing w:after="0" w:line="297" w:lineRule="auto"/>
        <w:tabs>
          <w:tab w:leader="none" w:pos="2426" w:val="left"/>
        </w:tabs>
        <w:numPr>
          <w:ilvl w:val="4"/>
          <w:numId w:val="76"/>
        </w:numPr>
        <w:rPr>
          <w:rFonts w:ascii="Arial" w:cs="Arial" w:eastAsia="Arial" w:hAnsi="Arial"/>
          <w:sz w:val="19"/>
          <w:szCs w:val="19"/>
          <w:color w:val="auto"/>
        </w:rPr>
      </w:pPr>
      <w:r>
        <w:rPr>
          <w:rFonts w:ascii="Arial" w:cs="Arial" w:eastAsia="Arial" w:hAnsi="Arial"/>
          <w:sz w:val="19"/>
          <w:szCs w:val="19"/>
          <w:u w:val="single" w:color="auto"/>
          <w:color w:val="auto"/>
        </w:rPr>
        <w:t>Mandatory Indemnification</w:t>
      </w:r>
      <w:r>
        <w:rPr>
          <w:rFonts w:ascii="Arial" w:cs="Arial" w:eastAsia="Arial" w:hAnsi="Arial"/>
          <w:sz w:val="19"/>
          <w:szCs w:val="19"/>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141" w:lineRule="exact"/>
        <w:rPr>
          <w:sz w:val="20"/>
          <w:szCs w:val="20"/>
          <w:color w:val="auto"/>
        </w:rPr>
      </w:pPr>
    </w:p>
    <w:p>
      <w:pPr>
        <w:jc w:val="both"/>
        <w:ind w:firstLine="1297"/>
        <w:spacing w:after="0" w:line="264" w:lineRule="auto"/>
        <w:tabs>
          <w:tab w:leader="none" w:pos="177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181" w:lineRule="exact"/>
        <w:rPr>
          <w:rFonts w:ascii="Arial" w:cs="Arial" w:eastAsia="Arial" w:hAnsi="Arial"/>
          <w:sz w:val="18"/>
          <w:szCs w:val="18"/>
          <w:color w:val="auto"/>
        </w:rPr>
      </w:pPr>
    </w:p>
    <w:p>
      <w:pPr>
        <w:jc w:val="both"/>
        <w:ind w:firstLine="1453"/>
        <w:spacing w:after="0" w:line="259" w:lineRule="auto"/>
        <w:tabs>
          <w:tab w:leader="none" w:pos="2034" w:val="left"/>
        </w:tabs>
        <w:numPr>
          <w:ilvl w:val="2"/>
          <w:numId w:val="77"/>
        </w:numPr>
        <w:rPr>
          <w:rFonts w:ascii="Arial" w:cs="Arial" w:eastAsia="Arial" w:hAnsi="Arial"/>
          <w:sz w:val="18"/>
          <w:szCs w:val="18"/>
          <w:color w:val="auto"/>
        </w:rPr>
      </w:pPr>
      <w:r>
        <w:rPr>
          <w:rFonts w:ascii="Arial" w:cs="Arial" w:eastAsia="Arial" w:hAnsi="Arial"/>
          <w:sz w:val="18"/>
          <w:szCs w:val="18"/>
          <w:u w:val="single" w:color="auto"/>
          <w:color w:val="auto"/>
        </w:rPr>
        <w:t>Prohibited Indemnification</w:t>
      </w:r>
      <w:r>
        <w:rPr>
          <w:rFonts w:ascii="Arial" w:cs="Arial" w:eastAsia="Arial" w:hAnsi="Arial"/>
          <w:sz w:val="18"/>
          <w:szCs w:val="18"/>
          <w:color w:val="auto"/>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spacing w:after="0" w:line="186" w:lineRule="exact"/>
        <w:rPr>
          <w:rFonts w:ascii="Arial" w:cs="Arial" w:eastAsia="Arial" w:hAnsi="Arial"/>
          <w:sz w:val="18"/>
          <w:szCs w:val="18"/>
          <w:color w:val="auto"/>
        </w:rPr>
      </w:pPr>
    </w:p>
    <w:p>
      <w:pPr>
        <w:jc w:val="both"/>
        <w:ind w:firstLine="730"/>
        <w:spacing w:after="0" w:line="268" w:lineRule="auto"/>
        <w:tabs>
          <w:tab w:leader="none" w:pos="1161"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Reviewing Party</w:t>
      </w:r>
      <w:r>
        <w:rPr>
          <w:rFonts w:ascii="Arial" w:cs="Arial" w:eastAsia="Arial" w:hAnsi="Arial"/>
          <w:sz w:val="17"/>
          <w:szCs w:val="17"/>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Indemnitee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0" w:name="page171"/>
    <w:bookmarkEnd w:id="170"/>
    <w:p>
      <w:pPr>
        <w:ind w:left="860" w:hanging="186"/>
        <w:spacing w:after="0"/>
        <w:tabs>
          <w:tab w:leader="none" w:pos="8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Indemnification Process and Appeal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30"/>
        <w:spacing w:after="0" w:line="312" w:lineRule="auto"/>
        <w:tabs>
          <w:tab w:leader="none" w:pos="1838" w:val="left"/>
        </w:tabs>
        <w:numPr>
          <w:ilvl w:val="2"/>
          <w:numId w:val="79"/>
        </w:numPr>
        <w:rPr>
          <w:rFonts w:ascii="Arial" w:cs="Arial" w:eastAsia="Arial" w:hAnsi="Arial"/>
          <w:sz w:val="16"/>
          <w:szCs w:val="16"/>
          <w:color w:val="auto"/>
        </w:rPr>
      </w:pPr>
      <w:r>
        <w:rPr>
          <w:rFonts w:ascii="Arial" w:cs="Arial" w:eastAsia="Arial" w:hAnsi="Arial"/>
          <w:sz w:val="16"/>
          <w:szCs w:val="16"/>
          <w:u w:val="single" w:color="auto"/>
          <w:color w:val="auto"/>
        </w:rPr>
        <w:t>Indemnification Payment</w:t>
      </w:r>
      <w:r>
        <w:rPr>
          <w:rFonts w:ascii="Arial" w:cs="Arial" w:eastAsia="Arial" w:hAnsi="Arial"/>
          <w:sz w:val="16"/>
          <w:szCs w:val="16"/>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146" w:lineRule="exact"/>
        <w:rPr>
          <w:rFonts w:ascii="Arial" w:cs="Arial" w:eastAsia="Arial" w:hAnsi="Arial"/>
          <w:sz w:val="16"/>
          <w:szCs w:val="16"/>
          <w:color w:val="auto"/>
        </w:rPr>
      </w:pPr>
    </w:p>
    <w:p>
      <w:pPr>
        <w:jc w:val="both"/>
        <w:ind w:firstLine="1328"/>
        <w:spacing w:after="0" w:line="293" w:lineRule="auto"/>
        <w:tabs>
          <w:tab w:leader="none" w:pos="1834" w:val="left"/>
        </w:tabs>
        <w:numPr>
          <w:ilvl w:val="2"/>
          <w:numId w:val="79"/>
        </w:numPr>
        <w:rPr>
          <w:rFonts w:ascii="Arial" w:cs="Arial" w:eastAsia="Arial" w:hAnsi="Arial"/>
          <w:sz w:val="16"/>
          <w:szCs w:val="16"/>
          <w:color w:val="auto"/>
        </w:rPr>
      </w:pPr>
      <w:r>
        <w:rPr>
          <w:rFonts w:ascii="Arial" w:cs="Arial" w:eastAsia="Arial" w:hAnsi="Arial"/>
          <w:sz w:val="16"/>
          <w:szCs w:val="16"/>
          <w:u w:val="single" w:color="auto"/>
          <w:color w:val="auto"/>
        </w:rPr>
        <w:t>Suit to Enforce Rights</w:t>
      </w:r>
      <w:r>
        <w:rPr>
          <w:rFonts w:ascii="Arial" w:cs="Arial" w:eastAsia="Arial" w:hAnsi="Arial"/>
          <w:sz w:val="16"/>
          <w:szCs w:val="16"/>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Nevada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spacing w:after="0" w:line="164" w:lineRule="exact"/>
        <w:rPr>
          <w:rFonts w:ascii="Arial" w:cs="Arial" w:eastAsia="Arial" w:hAnsi="Arial"/>
          <w:sz w:val="16"/>
          <w:szCs w:val="16"/>
          <w:color w:val="auto"/>
        </w:rPr>
      </w:pPr>
    </w:p>
    <w:p>
      <w:pPr>
        <w:jc w:val="both"/>
        <w:ind w:firstLine="1297"/>
        <w:spacing w:after="0" w:line="284" w:lineRule="auto"/>
        <w:tabs>
          <w:tab w:leader="none" w:pos="1770"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Defense to Indemnification, Burden of Proof, and Presumptions</w:t>
      </w:r>
      <w:r>
        <w:rPr>
          <w:rFonts w:ascii="Arial" w:cs="Arial" w:eastAsia="Arial" w:hAnsi="Arial"/>
          <w:sz w:val="16"/>
          <w:szCs w:val="16"/>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194" w:lineRule="exact"/>
        <w:rPr>
          <w:sz w:val="20"/>
          <w:szCs w:val="20"/>
          <w:color w:val="auto"/>
        </w:rPr>
      </w:pPr>
    </w:p>
    <w:p>
      <w:pPr>
        <w:ind w:firstLine="712"/>
        <w:spacing w:after="0" w:line="277" w:lineRule="auto"/>
        <w:tabs>
          <w:tab w:leader="none" w:pos="1121"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Indemnification for Expenses Incurred in Enforcing Rights</w:t>
      </w:r>
      <w:r>
        <w:rPr>
          <w:rFonts w:ascii="Arial" w:cs="Arial" w:eastAsia="Arial" w:hAnsi="Arial"/>
          <w:sz w:val="18"/>
          <w:szCs w:val="18"/>
          <w:color w:val="auto"/>
        </w:rPr>
        <w:t>. The Company shall indemnify Indemnitee against any and all Expenses that are incurred by Indemnitee in connection with any action brought by Indemnitee for</w:t>
      </w:r>
    </w:p>
    <w:p>
      <w:pPr>
        <w:spacing w:after="0" w:line="170" w:lineRule="exact"/>
        <w:rPr>
          <w:rFonts w:ascii="Arial" w:cs="Arial" w:eastAsia="Arial" w:hAnsi="Arial"/>
          <w:sz w:val="18"/>
          <w:szCs w:val="18"/>
          <w:color w:val="auto"/>
        </w:rPr>
      </w:pPr>
    </w:p>
    <w:p>
      <w:pPr>
        <w:ind w:firstLine="1965"/>
        <w:spacing w:after="0" w:line="277" w:lineRule="auto"/>
        <w:tabs>
          <w:tab w:leader="none" w:pos="2449" w:val="left"/>
        </w:tabs>
        <w:numPr>
          <w:ilvl w:val="4"/>
          <w:numId w:val="80"/>
        </w:numPr>
        <w:rPr>
          <w:rFonts w:ascii="Arial" w:cs="Arial" w:eastAsia="Arial" w:hAnsi="Arial"/>
          <w:sz w:val="18"/>
          <w:szCs w:val="18"/>
          <w:color w:val="auto"/>
        </w:rPr>
      </w:pPr>
      <w:r>
        <w:rPr>
          <w:rFonts w:ascii="Arial" w:cs="Arial" w:eastAsia="Arial" w:hAnsi="Arial"/>
          <w:sz w:val="18"/>
          <w:szCs w:val="18"/>
          <w:color w:val="auto"/>
        </w:rPr>
        <w:t>indemnification of Expenses by the Company under this Agreement or any other agreement or under applicable law or the Company's Articles of Incorporation or Bylaws now or hereafter in effect relating to indemnification for Indemnifiable Events; and/or</w:t>
      </w:r>
    </w:p>
    <w:p>
      <w:pPr>
        <w:spacing w:after="0" w:line="170" w:lineRule="exact"/>
        <w:rPr>
          <w:rFonts w:ascii="Arial" w:cs="Arial" w:eastAsia="Arial" w:hAnsi="Arial"/>
          <w:sz w:val="18"/>
          <w:szCs w:val="18"/>
          <w:color w:val="auto"/>
        </w:rPr>
      </w:pPr>
    </w:p>
    <w:p>
      <w:pPr>
        <w:jc w:val="both"/>
        <w:ind w:firstLine="2010"/>
        <w:spacing w:after="0" w:line="264" w:lineRule="auto"/>
        <w:tabs>
          <w:tab w:leader="none" w:pos="2570" w:val="left"/>
        </w:tabs>
        <w:numPr>
          <w:ilvl w:val="5"/>
          <w:numId w:val="80"/>
        </w:numPr>
        <w:rPr>
          <w:rFonts w:ascii="Arial" w:cs="Arial" w:eastAsia="Arial" w:hAnsi="Arial"/>
          <w:sz w:val="18"/>
          <w:szCs w:val="18"/>
          <w:color w:val="auto"/>
        </w:rPr>
      </w:pPr>
      <w:r>
        <w:rPr>
          <w:rFonts w:ascii="Arial" w:cs="Arial" w:eastAsia="Arial" w:hAnsi="Arial"/>
          <w:sz w:val="18"/>
          <w:szCs w:val="18"/>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spacing w:after="0" w:line="181" w:lineRule="exact"/>
        <w:rPr>
          <w:rFonts w:ascii="Arial" w:cs="Arial" w:eastAsia="Arial" w:hAnsi="Arial"/>
          <w:sz w:val="18"/>
          <w:szCs w:val="18"/>
          <w:color w:val="auto"/>
        </w:rPr>
      </w:pPr>
    </w:p>
    <w:p>
      <w:pPr>
        <w:ind w:left="860" w:hanging="186"/>
        <w:spacing w:after="0"/>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Proceeding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91"/>
        <w:spacing w:after="0" w:line="264" w:lineRule="auto"/>
        <w:tabs>
          <w:tab w:leader="none" w:pos="2004" w:val="left"/>
        </w:tabs>
        <w:numPr>
          <w:ilvl w:val="3"/>
          <w:numId w:val="8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spacing w:after="0" w:line="181" w:lineRule="exact"/>
        <w:rPr>
          <w:rFonts w:ascii="Arial" w:cs="Arial" w:eastAsia="Arial" w:hAnsi="Arial"/>
          <w:sz w:val="18"/>
          <w:szCs w:val="18"/>
          <w:color w:val="auto"/>
        </w:rPr>
      </w:pPr>
    </w:p>
    <w:p>
      <w:pPr>
        <w:jc w:val="both"/>
        <w:ind w:firstLine="1326"/>
        <w:spacing w:after="0" w:line="268" w:lineRule="auto"/>
        <w:tabs>
          <w:tab w:leader="none" w:pos="1821" w:val="left"/>
        </w:tabs>
        <w:numPr>
          <w:ilvl w:val="2"/>
          <w:numId w:val="81"/>
        </w:numPr>
        <w:rPr>
          <w:rFonts w:ascii="Arial" w:cs="Arial" w:eastAsia="Arial" w:hAnsi="Arial"/>
          <w:sz w:val="17"/>
          <w:szCs w:val="17"/>
          <w:color w:val="auto"/>
        </w:rPr>
      </w:pPr>
      <w:r>
        <w:rPr>
          <w:rFonts w:ascii="Arial" w:cs="Arial" w:eastAsia="Arial" w:hAnsi="Arial"/>
          <w:sz w:val="17"/>
          <w:szCs w:val="17"/>
          <w:u w:val="single" w:color="auto"/>
          <w:color w:val="auto"/>
        </w:rPr>
        <w:t>Defense</w:t>
      </w:r>
      <w:r>
        <w:rPr>
          <w:rFonts w:ascii="Arial" w:cs="Arial" w:eastAsia="Arial" w:hAnsi="Arial"/>
          <w:sz w:val="17"/>
          <w:szCs w:val="17"/>
          <w:color w:val="auto"/>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(iii)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1" w:name="page172"/>
    <w:bookmarkEnd w:id="171"/>
    <w:p>
      <w:pPr>
        <w:jc w:val="both"/>
        <w:ind w:firstLine="1299"/>
        <w:spacing w:after="0" w:line="253" w:lineRule="auto"/>
        <w:tabs>
          <w:tab w:leader="none" w:pos="1784" w:val="left"/>
        </w:tabs>
        <w:numPr>
          <w:ilvl w:val="4"/>
          <w:numId w:val="82"/>
        </w:numPr>
        <w:rPr>
          <w:rFonts w:ascii="Arial" w:cs="Arial" w:eastAsia="Arial" w:hAnsi="Arial"/>
          <w:sz w:val="18"/>
          <w:szCs w:val="18"/>
          <w:color w:val="auto"/>
        </w:rPr>
      </w:pPr>
      <w:r>
        <w:rPr>
          <w:rFonts w:ascii="Arial" w:cs="Arial" w:eastAsia="Arial" w:hAnsi="Arial"/>
          <w:sz w:val="18"/>
          <w:szCs w:val="18"/>
          <w:u w:val="single" w:color="auto"/>
          <w:color w:val="auto"/>
        </w:rPr>
        <w:t>Settlement of Claims</w:t>
      </w:r>
      <w:r>
        <w:rPr>
          <w:rFonts w:ascii="Arial" w:cs="Arial" w:eastAsia="Arial" w:hAnsi="Arial"/>
          <w:sz w:val="18"/>
          <w:szCs w:val="18"/>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197" w:lineRule="exact"/>
        <w:rPr>
          <w:rFonts w:ascii="Arial" w:cs="Arial" w:eastAsia="Arial" w:hAnsi="Arial"/>
          <w:sz w:val="18"/>
          <w:szCs w:val="18"/>
          <w:color w:val="auto"/>
        </w:rPr>
      </w:pPr>
    </w:p>
    <w:p>
      <w:pPr>
        <w:jc w:val="both"/>
        <w:ind w:firstLine="712"/>
        <w:spacing w:after="0" w:line="285" w:lineRule="auto"/>
        <w:tabs>
          <w:tab w:leader="none" w:pos="1121" w:val="left"/>
        </w:tabs>
        <w:numPr>
          <w:ilvl w:val="2"/>
          <w:numId w:val="83"/>
        </w:numPr>
        <w:rPr>
          <w:rFonts w:ascii="Arial" w:cs="Arial" w:eastAsia="Arial" w:hAnsi="Arial"/>
          <w:sz w:val="16"/>
          <w:szCs w:val="16"/>
          <w:color w:val="auto"/>
        </w:rPr>
      </w:pPr>
      <w:r>
        <w:rPr>
          <w:rFonts w:ascii="Arial" w:cs="Arial" w:eastAsia="Arial" w:hAnsi="Arial"/>
          <w:sz w:val="16"/>
          <w:szCs w:val="16"/>
          <w:u w:val="single" w:color="auto"/>
          <w:color w:val="auto"/>
        </w:rPr>
        <w:t>Establishment of Trust</w:t>
      </w:r>
      <w:r>
        <w:rPr>
          <w:rFonts w:ascii="Arial" w:cs="Arial" w:eastAsia="Arial" w:hAnsi="Arial"/>
          <w:sz w:val="16"/>
          <w:szCs w:val="16"/>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177" w:lineRule="exact"/>
        <w:rPr>
          <w:rFonts w:ascii="Arial" w:cs="Arial" w:eastAsia="Arial" w:hAnsi="Arial"/>
          <w:sz w:val="16"/>
          <w:szCs w:val="16"/>
          <w:color w:val="auto"/>
        </w:rPr>
      </w:pPr>
    </w:p>
    <w:p>
      <w:pPr>
        <w:jc w:val="both"/>
        <w:ind w:firstLine="674"/>
        <w:spacing w:after="0" w:line="279" w:lineRule="auto"/>
        <w:tabs>
          <w:tab w:leader="none" w:pos="981"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Non-Exclusivity</w:t>
      </w:r>
      <w:r>
        <w:rPr>
          <w:rFonts w:ascii="Arial" w:cs="Arial" w:eastAsia="Arial" w:hAnsi="Arial"/>
          <w:sz w:val="17"/>
          <w:szCs w:val="17"/>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spacing w:after="0" w:line="171" w:lineRule="exact"/>
        <w:rPr>
          <w:rFonts w:ascii="Arial" w:cs="Arial" w:eastAsia="Arial" w:hAnsi="Arial"/>
          <w:sz w:val="17"/>
          <w:szCs w:val="17"/>
          <w:color w:val="auto"/>
        </w:rPr>
      </w:pPr>
    </w:p>
    <w:p>
      <w:pPr>
        <w:jc w:val="both"/>
        <w:ind w:firstLine="697"/>
        <w:spacing w:after="0" w:line="264" w:lineRule="auto"/>
        <w:tabs>
          <w:tab w:leader="none" w:pos="1094"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81" w:lineRule="exact"/>
        <w:rPr>
          <w:rFonts w:ascii="Arial" w:cs="Arial" w:eastAsia="Arial" w:hAnsi="Arial"/>
          <w:sz w:val="18"/>
          <w:szCs w:val="18"/>
          <w:color w:val="auto"/>
        </w:rPr>
      </w:pPr>
    </w:p>
    <w:p>
      <w:pPr>
        <w:jc w:val="both"/>
        <w:ind w:firstLine="730"/>
        <w:spacing w:after="0" w:line="297" w:lineRule="auto"/>
        <w:tabs>
          <w:tab w:leader="none" w:pos="1310" w:val="left"/>
        </w:tabs>
        <w:numPr>
          <w:ilvl w:val="3"/>
          <w:numId w:val="84"/>
        </w:numPr>
        <w:rPr>
          <w:rFonts w:ascii="Arial" w:cs="Arial" w:eastAsia="Arial" w:hAnsi="Arial"/>
          <w:sz w:val="16"/>
          <w:szCs w:val="16"/>
          <w:color w:val="auto"/>
        </w:rPr>
      </w:pPr>
      <w:r>
        <w:rPr>
          <w:rFonts w:ascii="Arial" w:cs="Arial" w:eastAsia="Arial" w:hAnsi="Arial"/>
          <w:sz w:val="16"/>
          <w:szCs w:val="16"/>
          <w:u w:val="single" w:color="auto"/>
          <w:color w:val="auto"/>
        </w:rPr>
        <w:t>Period of Limitations</w:t>
      </w:r>
      <w:r>
        <w:rPr>
          <w:rFonts w:ascii="Arial" w:cs="Arial" w:eastAsia="Arial" w:hAnsi="Arial"/>
          <w:sz w:val="16"/>
          <w:szCs w:val="16"/>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158" w:lineRule="exact"/>
        <w:rPr>
          <w:sz w:val="20"/>
          <w:szCs w:val="20"/>
          <w:color w:val="auto"/>
        </w:rPr>
      </w:pPr>
    </w:p>
    <w:p>
      <w:pPr>
        <w:jc w:val="both"/>
        <w:ind w:firstLine="674"/>
        <w:spacing w:after="0" w:line="257" w:lineRule="auto"/>
        <w:tabs>
          <w:tab w:leader="none" w:pos="115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88" w:lineRule="exact"/>
        <w:rPr>
          <w:rFonts w:ascii="Arial" w:cs="Arial" w:eastAsia="Arial" w:hAnsi="Arial"/>
          <w:sz w:val="18"/>
          <w:szCs w:val="18"/>
          <w:color w:val="auto"/>
        </w:rPr>
      </w:pPr>
    </w:p>
    <w:p>
      <w:pPr>
        <w:jc w:val="both"/>
        <w:ind w:firstLine="715"/>
        <w:spacing w:after="0" w:line="264" w:lineRule="auto"/>
        <w:tabs>
          <w:tab w:leader="none" w:pos="1283"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81" w:lineRule="exact"/>
        <w:rPr>
          <w:rFonts w:ascii="Arial" w:cs="Arial" w:eastAsia="Arial" w:hAnsi="Arial"/>
          <w:sz w:val="18"/>
          <w:szCs w:val="18"/>
          <w:color w:val="auto"/>
        </w:rPr>
      </w:pPr>
    </w:p>
    <w:p>
      <w:pPr>
        <w:jc w:val="both"/>
        <w:ind w:right="20" w:firstLine="713"/>
        <w:spacing w:after="0" w:line="264" w:lineRule="auto"/>
        <w:tabs>
          <w:tab w:leader="none" w:pos="1328"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2" w:name="page173"/>
    <w:bookmarkEnd w:id="172"/>
    <w:p>
      <w:pPr>
        <w:jc w:val="both"/>
        <w:ind w:firstLine="674"/>
        <w:spacing w:after="0" w:line="271" w:lineRule="auto"/>
        <w:tabs>
          <w:tab w:leader="none" w:pos="1161"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178" w:lineRule="exact"/>
        <w:rPr>
          <w:rFonts w:ascii="Arial" w:cs="Arial" w:eastAsia="Arial" w:hAnsi="Arial"/>
          <w:sz w:val="17"/>
          <w:szCs w:val="17"/>
          <w:color w:val="auto"/>
        </w:rPr>
      </w:pPr>
    </w:p>
    <w:p>
      <w:pPr>
        <w:jc w:val="both"/>
        <w:ind w:firstLine="677"/>
        <w:spacing w:after="0" w:line="257" w:lineRule="auto"/>
        <w:tabs>
          <w:tab w:leader="none" w:pos="1233"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188" w:lineRule="exact"/>
        <w:rPr>
          <w:rFonts w:ascii="Arial" w:cs="Arial" w:eastAsia="Arial" w:hAnsi="Arial"/>
          <w:sz w:val="18"/>
          <w:szCs w:val="18"/>
          <w:color w:val="auto"/>
        </w:rPr>
      </w:pPr>
    </w:p>
    <w:p>
      <w:pPr>
        <w:ind w:firstLine="715"/>
        <w:spacing w:after="0" w:line="277" w:lineRule="auto"/>
        <w:tabs>
          <w:tab w:leader="none" w:pos="1283" w:val="left"/>
        </w:tabs>
        <w:numPr>
          <w:ilvl w:val="2"/>
          <w:numId w:val="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170" w:lineRule="exact"/>
        <w:rPr>
          <w:rFonts w:ascii="Arial" w:cs="Arial" w:eastAsia="Arial" w:hAnsi="Arial"/>
          <w:sz w:val="18"/>
          <w:szCs w:val="18"/>
          <w:color w:val="auto"/>
        </w:rPr>
      </w:pPr>
    </w:p>
    <w:p>
      <w:pPr>
        <w:jc w:val="both"/>
        <w:ind w:firstLine="694"/>
        <w:spacing w:after="0" w:line="264" w:lineRule="auto"/>
        <w:tabs>
          <w:tab w:leader="none" w:pos="1274"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39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South San Francisco, CA 94080 Attention: CEO</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and to Indemnitee at:</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Jerry B. Gin, Ph.D.</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3350 Scott Boulevard, 502</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ind w:right="440" w:firstLine="666"/>
        <w:spacing w:after="0" w:line="277" w:lineRule="auto"/>
        <w:rPr>
          <w:sz w:val="20"/>
          <w:szCs w:val="20"/>
          <w:color w:val="auto"/>
        </w:rPr>
      </w:pPr>
      <w:r>
        <w:rPr>
          <w:rFonts w:ascii="Arial" w:cs="Arial" w:eastAsia="Arial" w:hAnsi="Arial"/>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color w:val="auto"/>
        </w:rPr>
        <w:t>IN WITNESS WHEREOF, the parties hereto have duly executed and delivered this Agreement as of the day specified above.</w:t>
      </w:r>
    </w:p>
    <w:p>
      <w:pPr>
        <w:sectPr>
          <w:pgSz w:w="11900" w:h="16838" w:orient="portrait"/>
          <w:cols w:equalWidth="0" w:num="1">
            <w:col w:w="9539"/>
          </w:cols>
          <w:pgMar w:left="920" w:top="4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VISTAGEN THERAPEUTICS, INC.</w:t>
      </w: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Singh</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Shawn Singh</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JERRY B. GIN, Ph.D.</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 Jerry B. Gin</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Indemnitee</w:t>
      </w:r>
    </w:p>
    <w:p>
      <w:pPr>
        <w:spacing w:after="0" w:line="23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39"/>
          </w:cols>
          <w:pgMar w:left="920" w:top="490" w:right="1440" w:bottom="1440" w:gutter="0" w:footer="0" w:header="0"/>
          <w:type w:val="continuous"/>
        </w:sectPr>
      </w:pPr>
    </w:p>
    <w:bookmarkStart w:id="174" w:name="page175"/>
    <w:bookmarkEnd w:id="174"/>
    <w:p>
      <w:pPr>
        <w:jc w:val="right"/>
        <w:spacing w:after="0"/>
        <w:rPr>
          <w:sz w:val="20"/>
          <w:szCs w:val="20"/>
          <w:color w:val="auto"/>
        </w:rPr>
      </w:pPr>
      <w:r>
        <w:rPr>
          <w:rFonts w:ascii="Arial" w:cs="Arial" w:eastAsia="Arial" w:hAnsi="Arial"/>
          <w:sz w:val="22"/>
          <w:szCs w:val="22"/>
          <w:color w:val="auto"/>
        </w:rPr>
        <w:t>Exhibit 10.116</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Employment Agreement</w:t>
      </w:r>
    </w:p>
    <w:p>
      <w:pPr>
        <w:spacing w:after="0" w:line="229" w:lineRule="exact"/>
        <w:rPr>
          <w:sz w:val="20"/>
          <w:szCs w:val="20"/>
          <w:color w:val="auto"/>
        </w:rPr>
      </w:pPr>
    </w:p>
    <w:p>
      <w:pPr>
        <w:ind w:right="220" w:firstLine="663"/>
        <w:spacing w:after="0" w:line="277" w:lineRule="auto"/>
        <w:rPr>
          <w:sz w:val="20"/>
          <w:szCs w:val="20"/>
          <w:color w:val="auto"/>
        </w:rPr>
      </w:pPr>
      <w:r>
        <w:rPr>
          <w:rFonts w:ascii="Arial" w:cs="Arial" w:eastAsia="Arial" w:hAnsi="Arial"/>
          <w:sz w:val="18"/>
          <w:szCs w:val="18"/>
          <w:color w:val="auto"/>
        </w:rPr>
        <w:t>This SECOND AMENDMENT TO EMPLOYMENT AGREEMENT (the “</w:t>
      </w:r>
      <w:r>
        <w:rPr>
          <w:rFonts w:ascii="Arial" w:cs="Arial" w:eastAsia="Arial" w:hAnsi="Arial"/>
          <w:sz w:val="18"/>
          <w:szCs w:val="18"/>
          <w:i w:val="1"/>
          <w:iCs w:val="1"/>
          <w:color w:val="auto"/>
        </w:rPr>
        <w:t>Second Amendment</w:t>
      </w:r>
      <w:r>
        <w:rPr>
          <w:rFonts w:ascii="Arial" w:cs="Arial" w:eastAsia="Arial" w:hAnsi="Arial"/>
          <w:sz w:val="18"/>
          <w:szCs w:val="18"/>
          <w:color w:val="auto"/>
        </w:rPr>
        <w:t>”), is being entered into effective June 22, 2016 by and between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Mr. Shawn K. Singh (the “</w:t>
      </w:r>
      <w:r>
        <w:rPr>
          <w:rFonts w:ascii="Arial" w:cs="Arial" w:eastAsia="Arial" w:hAnsi="Arial"/>
          <w:sz w:val="18"/>
          <w:szCs w:val="18"/>
          <w:i w:val="1"/>
          <w:iCs w:val="1"/>
          <w:color w:val="auto"/>
        </w:rPr>
        <w:t>Executive</w:t>
      </w:r>
      <w:r>
        <w:rPr>
          <w:rFonts w:ascii="Arial" w:cs="Arial" w:eastAsia="Arial" w:hAnsi="Arial"/>
          <w:sz w:val="18"/>
          <w:szCs w:val="18"/>
          <w:color w:val="auto"/>
        </w:rPr>
        <w:t>”).</w:t>
      </w:r>
    </w:p>
    <w:p>
      <w:pPr>
        <w:spacing w:after="0" w:line="166" w:lineRule="exact"/>
        <w:rPr>
          <w:sz w:val="20"/>
          <w:szCs w:val="20"/>
          <w:color w:val="auto"/>
        </w:rPr>
      </w:pPr>
    </w:p>
    <w:p>
      <w:pPr>
        <w:ind w:right="380" w:firstLine="663"/>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Executive entered into an Employment Agreement dated as of April 28, 2010 and subsequently amended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May 9, 2011 (as amended, the “</w:t>
      </w:r>
      <w:r>
        <w:rPr>
          <w:rFonts w:ascii="Arial" w:cs="Arial" w:eastAsia="Arial" w:hAnsi="Arial"/>
          <w:sz w:val="18"/>
          <w:szCs w:val="18"/>
          <w:i w:val="1"/>
          <w:iCs w:val="1"/>
          <w:color w:val="auto"/>
        </w:rPr>
        <w:t>Employment Agreement</w:t>
      </w:r>
      <w:r>
        <w:rPr>
          <w:rFonts w:ascii="Arial" w:cs="Arial" w:eastAsia="Arial" w:hAnsi="Arial"/>
          <w:sz w:val="18"/>
          <w:szCs w:val="18"/>
          <w:color w:val="auto"/>
        </w:rPr>
        <w:t>”);</w:t>
      </w:r>
    </w:p>
    <w:p>
      <w:pPr>
        <w:spacing w:after="0" w:line="189" w:lineRule="exact"/>
        <w:rPr>
          <w:sz w:val="20"/>
          <w:szCs w:val="20"/>
          <w:color w:val="auto"/>
        </w:rPr>
      </w:pPr>
    </w:p>
    <w:p>
      <w:pPr>
        <w:ind w:right="440" w:firstLine="663"/>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continues to perform valuable services for the Company and the Company desires to assure itself of the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of the Executive; and</w:t>
      </w:r>
    </w:p>
    <w:p>
      <w:pPr>
        <w:spacing w:after="0" w:line="189" w:lineRule="exact"/>
        <w:rPr>
          <w:sz w:val="20"/>
          <w:szCs w:val="20"/>
          <w:color w:val="auto"/>
        </w:rPr>
      </w:pPr>
    </w:p>
    <w:p>
      <w:pPr>
        <w:jc w:val="both"/>
        <w:ind w:right="300" w:firstLine="663"/>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consideration of the foregoing and in order to amend the terms of the Employment Agreement, the Company and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desire to enter into this Second Amendment to increase the Executive’s Base Salary, as such term is defined in the Employment Agreement, in accordance with the present intent of the Company and the Executive.</w:t>
      </w:r>
    </w:p>
    <w:p>
      <w:pPr>
        <w:spacing w:after="0" w:line="203" w:lineRule="exact"/>
        <w:rPr>
          <w:sz w:val="20"/>
          <w:szCs w:val="20"/>
          <w:color w:val="auto"/>
        </w:rPr>
      </w:pPr>
    </w:p>
    <w:p>
      <w:pPr>
        <w:ind w:right="40" w:firstLine="666"/>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receipt of which is hereby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and in further consideration of the mutual covenants contained in the Employment Agreement, the parties do hereby agree that the Employment Agreement is hereby amended as follows:</w:t>
      </w:r>
    </w:p>
    <w:p>
      <w:pPr>
        <w:spacing w:after="0" w:line="203" w:lineRule="exact"/>
        <w:rPr>
          <w:sz w:val="20"/>
          <w:szCs w:val="20"/>
          <w:color w:val="auto"/>
        </w:rPr>
      </w:pPr>
    </w:p>
    <w:p>
      <w:pPr>
        <w:ind w:left="660" w:hanging="328"/>
        <w:spacing w:after="0" w:line="282"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Section II.A of the Employment Agreement is hereby deleted and replaced in its entirety with the following (with all capitalized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having the meaning originally ascribed thereto in the Agreement):</w:t>
      </w:r>
    </w:p>
    <w:p>
      <w:pPr>
        <w:spacing w:after="0" w:line="189" w:lineRule="exact"/>
        <w:rPr>
          <w:sz w:val="20"/>
          <w:szCs w:val="20"/>
          <w:color w:val="auto"/>
        </w:rPr>
      </w:pPr>
    </w:p>
    <w:p>
      <w:pPr>
        <w:jc w:val="both"/>
        <w:ind w:left="980" w:right="320"/>
        <w:spacing w:after="0" w:line="258" w:lineRule="auto"/>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In consideration of the services to be rendered under this Agreement, the Company shall pay Executive a salary at the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Hundred Ninety-Five Thousand Five Hundred Dollars ($395,000) per year (“Base Salary”). The Base Salary shall be paid in accordance with the Company’s regularly established payroll practice. Executive’s Base Salary will be reviewed from time to time in accordance with the established procedures of the Company for adjusting salaries for similarly situated employees and may be adjusted in the sole discretion of the Company.”</w:t>
      </w:r>
    </w:p>
    <w:p>
      <w:pPr>
        <w:spacing w:after="0" w:line="211" w:lineRule="exact"/>
        <w:rPr>
          <w:sz w:val="20"/>
          <w:szCs w:val="20"/>
          <w:color w:val="auto"/>
        </w:rPr>
      </w:pPr>
    </w:p>
    <w:p>
      <w:pPr>
        <w:ind w:left="660" w:right="20" w:hanging="328"/>
        <w:spacing w:after="0" w:line="282"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Second Amendment may be executed in one or more facsimile, electronic or original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both of which together shall constitute the same instrument.</w:t>
      </w:r>
    </w:p>
    <w:p>
      <w:pPr>
        <w:spacing w:after="0" w:line="188" w:lineRule="exact"/>
        <w:rPr>
          <w:rFonts w:ascii="Arial" w:cs="Arial" w:eastAsia="Arial" w:hAnsi="Arial"/>
          <w:sz w:val="18"/>
          <w:szCs w:val="18"/>
          <w:color w:val="auto"/>
        </w:rPr>
      </w:pPr>
    </w:p>
    <w:p>
      <w:pPr>
        <w:jc w:val="both"/>
        <w:ind w:left="660" w:hanging="328"/>
        <w:spacing w:after="0" w:line="266" w:lineRule="auto"/>
        <w:tabs>
          <w:tab w:leader="none" w:pos="719"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Ratification</w:t>
      </w:r>
      <w:r>
        <w:rPr>
          <w:rFonts w:ascii="Arial" w:cs="Arial" w:eastAsia="Arial" w:hAnsi="Arial"/>
          <w:sz w:val="18"/>
          <w:szCs w:val="18"/>
          <w:color w:val="auto"/>
        </w:rPr>
        <w:t>. All terms and provisions of the Employment Agreement not amended hereby, either expressly or by necessary implication,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From and after the date of this Second Amendment, all references to the term “</w:t>
      </w:r>
      <w:r>
        <w:rPr>
          <w:rFonts w:ascii="Arial" w:cs="Arial" w:eastAsia="Arial" w:hAnsi="Arial"/>
          <w:sz w:val="18"/>
          <w:szCs w:val="18"/>
          <w:i w:val="1"/>
          <w:iCs w:val="1"/>
          <w:color w:val="auto"/>
        </w:rPr>
        <w:t>Agreement</w:t>
      </w:r>
      <w:r>
        <w:rPr>
          <w:rFonts w:ascii="Arial" w:cs="Arial" w:eastAsia="Arial" w:hAnsi="Arial"/>
          <w:sz w:val="18"/>
          <w:szCs w:val="18"/>
          <w:color w:val="auto"/>
        </w:rPr>
        <w:t>” in this Second Amendment or the original Employment Agreement shall include the terms contained in this Amendment.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5" w:name="page176"/>
    <w:bookmarkEnd w:id="175"/>
    <w:p>
      <w:pPr>
        <w:ind w:left="6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Second Amendment to Employment Agreement, as of the date first set forth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 J. Underdown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Brian Underdown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Director, Chair Compensation Committee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Shawn K. Singh</w:t>
      </w:r>
    </w:p>
    <w:p>
      <w:pPr>
        <w:sectPr>
          <w:pgSz w:w="11900" w:h="16838" w:orient="portrait"/>
          <w:cols w:equalWidth="0" w:num="1">
            <w:col w:w="10960"/>
          </w:cols>
          <w:pgMar w:left="240" w:top="486" w:right="69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color w:val="auto"/>
        </w:rPr>
        <w:t>Exhibit 10.117</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Employment Agreement</w:t>
      </w:r>
    </w:p>
    <w:p>
      <w:pPr>
        <w:spacing w:after="0" w:line="256" w:lineRule="exact"/>
        <w:rPr>
          <w:sz w:val="20"/>
          <w:szCs w:val="20"/>
          <w:color w:val="auto"/>
        </w:rPr>
      </w:pPr>
    </w:p>
    <w:p>
      <w:pPr>
        <w:ind w:right="220" w:firstLine="663"/>
        <w:spacing w:after="0" w:line="277" w:lineRule="auto"/>
        <w:rPr>
          <w:sz w:val="20"/>
          <w:szCs w:val="20"/>
          <w:color w:val="auto"/>
        </w:rPr>
      </w:pPr>
      <w:r>
        <w:rPr>
          <w:rFonts w:ascii="Arial" w:cs="Arial" w:eastAsia="Arial" w:hAnsi="Arial"/>
          <w:sz w:val="18"/>
          <w:szCs w:val="18"/>
          <w:color w:val="auto"/>
        </w:rPr>
        <w:t>This SECOND AMENDMENT TO EMPLOYMENT AGREEMENT (the “</w:t>
      </w:r>
      <w:r>
        <w:rPr>
          <w:rFonts w:ascii="Arial" w:cs="Arial" w:eastAsia="Arial" w:hAnsi="Arial"/>
          <w:sz w:val="18"/>
          <w:szCs w:val="18"/>
          <w:i w:val="1"/>
          <w:iCs w:val="1"/>
          <w:color w:val="auto"/>
        </w:rPr>
        <w:t>Second Amendment</w:t>
      </w:r>
      <w:r>
        <w:rPr>
          <w:rFonts w:ascii="Arial" w:cs="Arial" w:eastAsia="Arial" w:hAnsi="Arial"/>
          <w:sz w:val="18"/>
          <w:szCs w:val="18"/>
          <w:color w:val="auto"/>
        </w:rPr>
        <w:t>”), is being entered into effective June 22, 2016 by and between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Dr. H. Ralph Snodgrass (the “</w:t>
      </w:r>
      <w:r>
        <w:rPr>
          <w:rFonts w:ascii="Arial" w:cs="Arial" w:eastAsia="Arial" w:hAnsi="Arial"/>
          <w:sz w:val="18"/>
          <w:szCs w:val="18"/>
          <w:i w:val="1"/>
          <w:iCs w:val="1"/>
          <w:color w:val="auto"/>
        </w:rPr>
        <w:t>Executive</w:t>
      </w:r>
      <w:r>
        <w:rPr>
          <w:rFonts w:ascii="Arial" w:cs="Arial" w:eastAsia="Arial" w:hAnsi="Arial"/>
          <w:sz w:val="18"/>
          <w:szCs w:val="18"/>
          <w:color w:val="auto"/>
        </w:rPr>
        <w:t>”).</w:t>
      </w:r>
    </w:p>
    <w:p>
      <w:pPr>
        <w:spacing w:after="0" w:line="166" w:lineRule="exact"/>
        <w:rPr>
          <w:sz w:val="20"/>
          <w:szCs w:val="20"/>
          <w:color w:val="auto"/>
        </w:rPr>
      </w:pPr>
    </w:p>
    <w:p>
      <w:pPr>
        <w:ind w:right="380" w:firstLine="663"/>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Executive entered into an Employment Agreement dated as of April 28, 2010 and subsequently amended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May 9, 2011 (as amended, the “</w:t>
      </w:r>
      <w:r>
        <w:rPr>
          <w:rFonts w:ascii="Arial" w:cs="Arial" w:eastAsia="Arial" w:hAnsi="Arial"/>
          <w:sz w:val="18"/>
          <w:szCs w:val="18"/>
          <w:i w:val="1"/>
          <w:iCs w:val="1"/>
          <w:color w:val="auto"/>
        </w:rPr>
        <w:t>Employment Agreement</w:t>
      </w:r>
      <w:r>
        <w:rPr>
          <w:rFonts w:ascii="Arial" w:cs="Arial" w:eastAsia="Arial" w:hAnsi="Arial"/>
          <w:sz w:val="18"/>
          <w:szCs w:val="18"/>
          <w:color w:val="auto"/>
        </w:rPr>
        <w:t>”);</w:t>
      </w:r>
    </w:p>
    <w:p>
      <w:pPr>
        <w:spacing w:after="0" w:line="189" w:lineRule="exact"/>
        <w:rPr>
          <w:sz w:val="20"/>
          <w:szCs w:val="20"/>
          <w:color w:val="auto"/>
        </w:rPr>
      </w:pPr>
    </w:p>
    <w:p>
      <w:pPr>
        <w:ind w:right="440" w:firstLine="663"/>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continues to perform valuable services for the Company and the Company desires to assure itself of the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of the Executive; and</w:t>
      </w:r>
    </w:p>
    <w:p>
      <w:pPr>
        <w:spacing w:after="0" w:line="189" w:lineRule="exact"/>
        <w:rPr>
          <w:sz w:val="20"/>
          <w:szCs w:val="20"/>
          <w:color w:val="auto"/>
        </w:rPr>
      </w:pPr>
    </w:p>
    <w:p>
      <w:pPr>
        <w:jc w:val="both"/>
        <w:ind w:right="300" w:firstLine="663"/>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consideration of the foregoing and in order to amend the terms of the Employment Agreement, the Company and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desire to enter into this Second Amendment to increase the Executive’s Base Salary, as such term is defined in the Employment Agreement, in accordance with the present intent of the Company and the Executive.</w:t>
      </w:r>
    </w:p>
    <w:p>
      <w:pPr>
        <w:spacing w:after="0" w:line="203" w:lineRule="exact"/>
        <w:rPr>
          <w:sz w:val="20"/>
          <w:szCs w:val="20"/>
          <w:color w:val="auto"/>
        </w:rPr>
      </w:pPr>
    </w:p>
    <w:p>
      <w:pPr>
        <w:ind w:right="40" w:firstLine="666"/>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receipt of which is hereby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and in further consideration of the mutual covenants contained in the Employment Agreement, the parties do hereby agree that the Employment Agreement is hereby amended as follows:</w:t>
      </w:r>
    </w:p>
    <w:p>
      <w:pPr>
        <w:spacing w:after="0" w:line="203" w:lineRule="exact"/>
        <w:rPr>
          <w:sz w:val="20"/>
          <w:szCs w:val="20"/>
          <w:color w:val="auto"/>
        </w:rPr>
      </w:pPr>
    </w:p>
    <w:p>
      <w:pPr>
        <w:ind w:left="660" w:hanging="328"/>
        <w:spacing w:after="0" w:line="282"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Section II.A of the Employment Agreement is hereby deleted and replaced in its entirety with the following (with all capitalized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having the meaning originally ascribed thereto in the Agreement):</w:t>
      </w:r>
    </w:p>
    <w:p>
      <w:pPr>
        <w:spacing w:after="0" w:line="189" w:lineRule="exact"/>
        <w:rPr>
          <w:sz w:val="20"/>
          <w:szCs w:val="20"/>
          <w:color w:val="auto"/>
        </w:rPr>
      </w:pPr>
    </w:p>
    <w:p>
      <w:pPr>
        <w:jc w:val="both"/>
        <w:ind w:left="980" w:right="320"/>
        <w:spacing w:after="0" w:line="258" w:lineRule="auto"/>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In consideration of the services to be rendered under this Agreement, the Company shall pay Executive a salary at the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Hundred Fifty Thousand Dollars ($350,000) per year (“Base Salary”). The Base Salary shall be paid in accordance with the Company’s regularly established payroll practice. Executive’s Base Salary will be reviewed from time to time in accordance with the established procedures of the Company for adjusting salaries for similarly situated employees and may be adjusted in the sole discretion of the Company.”</w:t>
      </w:r>
    </w:p>
    <w:p>
      <w:pPr>
        <w:spacing w:after="0" w:line="211" w:lineRule="exact"/>
        <w:rPr>
          <w:sz w:val="20"/>
          <w:szCs w:val="20"/>
          <w:color w:val="auto"/>
        </w:rPr>
      </w:pPr>
    </w:p>
    <w:p>
      <w:pPr>
        <w:ind w:left="660" w:right="20" w:hanging="328"/>
        <w:spacing w:after="0" w:line="282"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Second Amendment may be executed in one or more facsimile, electronic or original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both of which together shall constitute the same instrument.</w:t>
      </w:r>
    </w:p>
    <w:p>
      <w:pPr>
        <w:spacing w:after="0" w:line="188" w:lineRule="exact"/>
        <w:rPr>
          <w:rFonts w:ascii="Arial" w:cs="Arial" w:eastAsia="Arial" w:hAnsi="Arial"/>
          <w:sz w:val="18"/>
          <w:szCs w:val="18"/>
          <w:color w:val="auto"/>
        </w:rPr>
      </w:pPr>
    </w:p>
    <w:p>
      <w:pPr>
        <w:jc w:val="both"/>
        <w:ind w:left="660" w:hanging="328"/>
        <w:spacing w:after="0" w:line="266" w:lineRule="auto"/>
        <w:tabs>
          <w:tab w:leader="none" w:pos="719"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Ratification</w:t>
      </w:r>
      <w:r>
        <w:rPr>
          <w:rFonts w:ascii="Arial" w:cs="Arial" w:eastAsia="Arial" w:hAnsi="Arial"/>
          <w:sz w:val="18"/>
          <w:szCs w:val="18"/>
          <w:color w:val="auto"/>
        </w:rPr>
        <w:t>. All terms and provisions of the Employment Agreement not amended hereby, either expressly or by necessary implication,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From and after the date of this Second Amendment, all references to the term “</w:t>
      </w:r>
      <w:r>
        <w:rPr>
          <w:rFonts w:ascii="Arial" w:cs="Arial" w:eastAsia="Arial" w:hAnsi="Arial"/>
          <w:sz w:val="18"/>
          <w:szCs w:val="18"/>
          <w:i w:val="1"/>
          <w:iCs w:val="1"/>
          <w:color w:val="auto"/>
        </w:rPr>
        <w:t>Agreement</w:t>
      </w:r>
      <w:r>
        <w:rPr>
          <w:rFonts w:ascii="Arial" w:cs="Arial" w:eastAsia="Arial" w:hAnsi="Arial"/>
          <w:sz w:val="18"/>
          <w:szCs w:val="18"/>
          <w:color w:val="auto"/>
        </w:rPr>
        <w:t>” in this Second Amendment or the original Employment Agreement shall include the terms contained in this Amendment.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7" w:name="page178"/>
    <w:bookmarkEnd w:id="177"/>
    <w:p>
      <w:pPr>
        <w:ind w:left="68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Second Amendment to Employment Agreement, as of the date first set forth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 J. Underdown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Brian Underdown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Director, Chair Compensation Committee</w:t>
      </w: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u w:val="single" w:color="auto"/>
          <w:color w:val="auto"/>
        </w:rPr>
        <w:t>/s/ H. Ralph Snodgrass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 Ralph Snodgrass</w:t>
      </w:r>
    </w:p>
    <w:p>
      <w:pPr>
        <w:sectPr>
          <w:pgSz w:w="11900" w:h="16838" w:orient="portrait"/>
          <w:cols w:equalWidth="0" w:num="1">
            <w:col w:w="10960"/>
          </w:cols>
          <w:pgMar w:left="240" w:top="486" w:right="69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hereby consent to the incorporation by reference in the Registration Statement on Form S-8 (File No. </w:t>
      </w:r>
      <w:r>
        <w:rPr>
          <w:rFonts w:ascii="Arial" w:cs="Arial" w:eastAsia="Arial" w:hAnsi="Arial"/>
          <w:sz w:val="18"/>
          <w:szCs w:val="18"/>
          <w:b w:val="1"/>
          <w:bCs w:val="1"/>
          <w:color w:val="auto"/>
        </w:rPr>
        <w:t>333-208354</w:t>
      </w:r>
      <w:r>
        <w:rPr>
          <w:rFonts w:ascii="Arial" w:cs="Arial" w:eastAsia="Arial" w:hAnsi="Arial"/>
          <w:sz w:val="18"/>
          <w:szCs w:val="18"/>
          <w:color w:val="auto"/>
        </w:rPr>
        <w:t>) of VistaGen Therapeutics, Inc. of our report dated June 24, 2016, relating to the consolidated financial statements of VistaGen Therapeutics, Inc., which appears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2016</w:t>
      </w:r>
    </w:p>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52" w:lineRule="exact"/>
        <w:rPr>
          <w:sz w:val="20"/>
          <w:szCs w:val="20"/>
          <w:color w:val="auto"/>
        </w:rPr>
      </w:pPr>
    </w:p>
    <w:p>
      <w:pPr>
        <w:ind w:left="640" w:hanging="632"/>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VistaGen Therapeutics, Inc., a Nevada corporation;</w:t>
      </w:r>
    </w:p>
    <w:p>
      <w:pPr>
        <w:spacing w:after="0" w:line="252" w:lineRule="exact"/>
        <w:rPr>
          <w:rFonts w:ascii="Arial" w:cs="Arial" w:eastAsia="Arial" w:hAnsi="Arial"/>
          <w:sz w:val="18"/>
          <w:szCs w:val="18"/>
          <w:color w:val="auto"/>
        </w:rPr>
      </w:pPr>
    </w:p>
    <w:p>
      <w:pPr>
        <w:ind w:firstLine="8"/>
        <w:spacing w:after="0" w:line="342" w:lineRule="auto"/>
        <w:tabs>
          <w:tab w:leader="none" w:pos="706"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right="20" w:firstLine="332"/>
        <w:spacing w:after="0" w:line="264" w:lineRule="auto"/>
        <w:tabs>
          <w:tab w:leader="none" w:pos="1043"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332"/>
        <w:spacing w:after="0" w:line="264" w:lineRule="auto"/>
        <w:tabs>
          <w:tab w:leader="none" w:pos="119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332"/>
        <w:spacing w:after="0" w:line="308" w:lineRule="auto"/>
        <w:tabs>
          <w:tab w:leader="none" w:pos="1241" w:val="left"/>
        </w:tabs>
        <w:numPr>
          <w:ilvl w:val="1"/>
          <w:numId w:val="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332"/>
        <w:spacing w:after="0" w:line="264" w:lineRule="auto"/>
        <w:tabs>
          <w:tab w:leader="none" w:pos="1046"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firstLine="332"/>
        <w:spacing w:after="0" w:line="277" w:lineRule="auto"/>
        <w:tabs>
          <w:tab w:leader="none" w:pos="1004"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332"/>
        <w:spacing w:after="0" w:line="277" w:lineRule="auto"/>
        <w:tabs>
          <w:tab w:leader="none" w:pos="99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660" w:type="dxa"/>
            <w:vAlign w:val="bottom"/>
          </w:tcPr>
          <w:p>
            <w:pPr>
              <w:spacing w:after="0"/>
              <w:rPr>
                <w:sz w:val="20"/>
                <w:szCs w:val="20"/>
                <w:color w:val="auto"/>
              </w:rPr>
            </w:pPr>
            <w:r>
              <w:rPr>
                <w:rFonts w:ascii="Arial" w:cs="Arial" w:eastAsia="Arial" w:hAnsi="Arial"/>
                <w:sz w:val="18"/>
                <w:szCs w:val="18"/>
                <w:color w:val="auto"/>
              </w:rPr>
              <w:t>June 24, 2016</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Shawn K. Singh</w:t>
            </w:r>
          </w:p>
        </w:tc>
        <w:tc>
          <w:tcPr>
            <w:tcW w:w="580" w:type="dxa"/>
            <w:vAlign w:val="bottom"/>
          </w:tcPr>
          <w:p>
            <w:pPr>
              <w:spacing w:after="0"/>
              <w:rPr>
                <w:sz w:val="18"/>
                <w:szCs w:val="18"/>
                <w:color w:val="auto"/>
              </w:rPr>
            </w:pPr>
          </w:p>
        </w:tc>
      </w:tr>
      <w:tr>
        <w:trPr>
          <w:trHeight w:val="222"/>
        </w:trPr>
        <w:tc>
          <w:tcPr>
            <w:tcW w:w="566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Shawn K. Singh, JD</w:t>
            </w:r>
          </w:p>
        </w:tc>
      </w:tr>
      <w:tr>
        <w:trPr>
          <w:trHeight w:val="230"/>
        </w:trPr>
        <w:tc>
          <w:tcPr>
            <w:tcW w:w="566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52"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VistaGen Therapeutics, Inc., a Nevada corporation;</w:t>
      </w:r>
    </w:p>
    <w:p>
      <w:pPr>
        <w:spacing w:after="0" w:line="252" w:lineRule="exact"/>
        <w:rPr>
          <w:rFonts w:ascii="Arial" w:cs="Arial" w:eastAsia="Arial" w:hAnsi="Arial"/>
          <w:sz w:val="18"/>
          <w:szCs w:val="18"/>
          <w:color w:val="auto"/>
        </w:rPr>
      </w:pPr>
    </w:p>
    <w:p>
      <w:pPr>
        <w:ind w:firstLine="8"/>
        <w:spacing w:after="0" w:line="342" w:lineRule="auto"/>
        <w:tabs>
          <w:tab w:leader="none" w:pos="706"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0" w:lineRule="exact"/>
        <w:rPr>
          <w:rFonts w:ascii="Arial" w:cs="Arial" w:eastAsia="Arial" w:hAnsi="Arial"/>
          <w:sz w:val="16"/>
          <w:szCs w:val="16"/>
          <w:color w:val="auto"/>
        </w:rPr>
      </w:pPr>
    </w:p>
    <w:p>
      <w:pPr>
        <w:ind w:firstLine="8"/>
        <w:spacing w:after="0" w:line="277" w:lineRule="auto"/>
        <w:tabs>
          <w:tab w:leader="none" w:pos="7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74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right="20" w:firstLine="332"/>
        <w:spacing w:after="0" w:line="264" w:lineRule="auto"/>
        <w:tabs>
          <w:tab w:leader="none" w:pos="1043"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firstLine="332"/>
        <w:spacing w:after="0" w:line="264" w:lineRule="auto"/>
        <w:tabs>
          <w:tab w:leader="none" w:pos="1197"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firstLine="332"/>
        <w:spacing w:after="0" w:line="308" w:lineRule="auto"/>
        <w:tabs>
          <w:tab w:leader="none" w:pos="1241" w:val="left"/>
        </w:tabs>
        <w:numPr>
          <w:ilvl w:val="1"/>
          <w:numId w:val="9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firstLine="332"/>
        <w:spacing w:after="0" w:line="264" w:lineRule="auto"/>
        <w:tabs>
          <w:tab w:leader="none" w:pos="1046"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20" w:firstLine="8"/>
        <w:spacing w:after="0" w:line="308" w:lineRule="auto"/>
        <w:tabs>
          <w:tab w:leader="none" w:pos="627"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firstLine="332"/>
        <w:spacing w:after="0" w:line="277" w:lineRule="auto"/>
        <w:tabs>
          <w:tab w:leader="none" w:pos="100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firstLine="332"/>
        <w:spacing w:after="0" w:line="277" w:lineRule="auto"/>
        <w:tabs>
          <w:tab w:leader="none" w:pos="9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660" w:type="dxa"/>
            <w:vAlign w:val="bottom"/>
          </w:tcPr>
          <w:p>
            <w:pPr>
              <w:spacing w:after="0"/>
              <w:rPr>
                <w:sz w:val="20"/>
                <w:szCs w:val="20"/>
                <w:color w:val="auto"/>
              </w:rPr>
            </w:pPr>
            <w:r>
              <w:rPr>
                <w:rFonts w:ascii="Arial" w:cs="Arial" w:eastAsia="Arial" w:hAnsi="Arial"/>
                <w:sz w:val="18"/>
                <w:szCs w:val="18"/>
                <w:color w:val="auto"/>
              </w:rPr>
              <w:t>June 24, 2016</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Jerrold D. Dotson</w:t>
            </w:r>
          </w:p>
        </w:tc>
        <w:tc>
          <w:tcPr>
            <w:tcW w:w="420" w:type="dxa"/>
            <w:vAlign w:val="bottom"/>
          </w:tcPr>
          <w:p>
            <w:pPr>
              <w:spacing w:after="0"/>
              <w:rPr>
                <w:sz w:val="18"/>
                <w:szCs w:val="18"/>
                <w:color w:val="auto"/>
              </w:rPr>
            </w:pPr>
          </w:p>
        </w:tc>
      </w:tr>
      <w:tr>
        <w:trPr>
          <w:trHeight w:val="222"/>
        </w:trPr>
        <w:tc>
          <w:tcPr>
            <w:tcW w:w="566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Jerrold D. Dotson</w:t>
            </w:r>
          </w:p>
        </w:tc>
      </w:tr>
      <w:tr>
        <w:trPr>
          <w:trHeight w:val="230"/>
        </w:trPr>
        <w:tc>
          <w:tcPr>
            <w:tcW w:w="566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3"/>
              </w:rPr>
              <w:t>Principal Financial Officer</w:t>
            </w:r>
          </w:p>
        </w:tc>
      </w:tr>
    </w:tbl>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VistaGen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Company</w:t>
      </w:r>
      <w:r>
        <w:rPr>
          <w:rFonts w:ascii="Arial" w:cs="Arial" w:eastAsia="Arial" w:hAnsi="Arial"/>
          <w:sz w:val="18"/>
          <w:szCs w:val="18"/>
          <w:color w:val="auto"/>
        </w:rPr>
        <w:t>”) hereby certifies, to such officer’s knowledge, that:</w:t>
      </w:r>
    </w:p>
    <w:p>
      <w:pPr>
        <w:spacing w:after="0" w:line="238" w:lineRule="exact"/>
        <w:rPr>
          <w:sz w:val="20"/>
          <w:szCs w:val="20"/>
          <w:color w:val="auto"/>
        </w:rPr>
      </w:pPr>
    </w:p>
    <w:p>
      <w:pPr>
        <w:ind w:left="500" w:right="20" w:firstLine="480"/>
        <w:spacing w:after="0" w:line="308" w:lineRule="auto"/>
        <w:tabs>
          <w:tab w:leader="none" w:pos="1207"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annual period ended March 31, 2016 (the “</w:t>
      </w:r>
      <w:r>
        <w:rPr>
          <w:rFonts w:ascii="Arial" w:cs="Arial" w:eastAsia="Arial" w:hAnsi="Arial"/>
          <w:sz w:val="17"/>
          <w:szCs w:val="17"/>
          <w:i w:val="1"/>
          <w:iCs w:val="1"/>
          <w:color w:val="auto"/>
        </w:rPr>
        <w:t>Report</w:t>
      </w:r>
      <w:r>
        <w:rPr>
          <w:rFonts w:ascii="Arial" w:cs="Arial" w:eastAsia="Arial" w:hAnsi="Arial"/>
          <w:sz w:val="17"/>
          <w:szCs w:val="17"/>
          <w:color w:val="auto"/>
        </w:rPr>
        <w:t>”) fully complies with the requirements of Section 13(a) or Section 15(d), as applicable, of the Securities Exchange Act of 1934, as amended; and</w:t>
      </w:r>
    </w:p>
    <w:p>
      <w:pPr>
        <w:spacing w:after="0" w:line="173" w:lineRule="exact"/>
        <w:rPr>
          <w:rFonts w:ascii="Arial" w:cs="Arial" w:eastAsia="Arial" w:hAnsi="Arial"/>
          <w:sz w:val="17"/>
          <w:szCs w:val="17"/>
          <w:color w:val="auto"/>
        </w:rPr>
      </w:pPr>
    </w:p>
    <w:p>
      <w:pPr>
        <w:ind w:left="1280" w:hanging="300"/>
        <w:spacing w:after="0"/>
        <w:tabs>
          <w:tab w:leader="none" w:pos="12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June 24,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x"/>
      <w:numFmt w:val="bullet"/>
      <w:start w:val="1"/>
    </w:lvl>
  </w:abstractNum>
  <w:abstractNum w:abstractNumId="1">
    <w:nsid w:val="38437FDB"/>
    <w:multiLevelType w:val="hybridMultilevel"/>
    <w:lvl w:ilvl="0">
      <w:lvlJc w:val="left"/>
      <w:lvlText w:val="o"/>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1."/>
      <w:numFmt w:val="decimal"/>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1)"/>
      <w:numFmt w:val="lowerRoman"/>
      <w:start w:val="2"/>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1)"/>
      <w:numFmt w:val="lowerRoman"/>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1)"/>
      <w:numFmt w:val="lowerRoman"/>
      <w:start w:val="2"/>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1)"/>
      <w:numFmt w:val="decimal"/>
      <w:start w:val="1"/>
    </w:lvl>
  </w:abstractNum>
  <w:abstractNum w:abstractNumId="49">
    <w:nsid w:val="6B94764"/>
    <w:multiLevelType w:val="hybridMultilevel"/>
    <w:lvl w:ilvl="0">
      <w:lvlJc w:val="left"/>
      <w:lvlText w:val="(%1)"/>
      <w:numFmt w:val="decimal"/>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decimal"/>
      <w:start w:val="3"/>
    </w:lvl>
  </w:abstractNum>
  <w:abstractNum w:abstractNumId="56">
    <w:nsid w:val="7BD3EE7B"/>
    <w:multiLevelType w:val="hybridMultilevel"/>
    <w:lvl w:ilvl="0">
      <w:lvlJc w:val="left"/>
      <w:lvlText w:val="(%1)"/>
      <w:numFmt w:val="decimal"/>
      <w:start w:val="9"/>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1)"/>
      <w:numFmt w:val="decimal"/>
      <w:start w:val="1"/>
    </w:lvl>
  </w:abstractNum>
  <w:abstractNum w:abstractNumId="62">
    <w:nsid w:val="A0382C5"/>
    <w:multiLevelType w:val="hybridMultilevel"/>
    <w:lvl w:ilvl="0">
      <w:lvlJc w:val="left"/>
      <w:lvlText w:val="(%1)"/>
      <w:numFmt w:val="decimal"/>
      <w:start w:val="3"/>
    </w:lvl>
  </w:abstractNum>
  <w:abstractNum w:abstractNumId="63">
    <w:nsid w:val="8F2B15E"/>
    <w:multiLevelType w:val="hybridMultilevel"/>
    <w:lvl w:ilvl="0">
      <w:lvlJc w:val="left"/>
      <w:lvlText w:val="(%1)"/>
      <w:numFmt w:val="decimal"/>
      <w:start w:val="7"/>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1)"/>
      <w:numFmt w:val="decimal"/>
      <w:start w:val="1"/>
    </w:lvl>
  </w:abstractNum>
  <w:abstractNum w:abstractNumId="66">
    <w:nsid w:val="68EB2F63"/>
    <w:multiLevelType w:val="hybridMultilevel"/>
    <w:lvl w:ilvl="0">
      <w:lvlJc w:val="left"/>
      <w:lvlText w:val="(%1)"/>
      <w:numFmt w:val="decimal"/>
      <w:start w:val="3"/>
    </w:lvl>
  </w:abstractNum>
  <w:abstractNum w:abstractNumId="67">
    <w:nsid w:val="4962813B"/>
    <w:multiLevelType w:val="hybridMultilevel"/>
    <w:lvl w:ilvl="0">
      <w:lvlJc w:val="left"/>
      <w:lvlText w:val="(%1)"/>
      <w:numFmt w:val="decimal"/>
      <w:start w:val="10"/>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4"/>
    </w:lvl>
    <w:lvl w:ilvl="4">
      <w:lvlJc w:val="left"/>
      <w:lvlText w:val="(%5)"/>
      <w:numFmt w:val="lowerLetter"/>
      <w:start w:val="2"/>
    </w:lvl>
  </w:abstractNum>
  <w:abstractNum w:abstractNumId="73">
    <w:nsid w:val="71EA1109"/>
    <w:multiLevelType w:val="hybridMultilevel"/>
    <w:lvl w:ilvl="0">
      <w:lvlJc w:val="left"/>
      <w:lvlText w:val="(%1)"/>
      <w:numFmt w:val="lowerLetter"/>
      <w:start w:val="5"/>
    </w:lvl>
    <w:lvl w:ilvl="1">
      <w:lvlJc w:val="left"/>
      <w:lvlText w:val="(%2)"/>
      <w:numFmt w:val="lowerLetter"/>
      <w:start w:val="6"/>
    </w:lvl>
  </w:abstractNum>
  <w:abstractNum w:abstractNumId="74">
    <w:nsid w:val="100F59DC"/>
    <w:multiLevelType w:val="hybridMultilevel"/>
    <w:lvl w:ilvl="0">
      <w:lvlJc w:val="left"/>
      <w:lvlText w:val="(%1)"/>
      <w:numFmt w:val="lowerLetter"/>
      <w:start w:val="7"/>
    </w:lvl>
  </w:abstractNum>
  <w:abstractNum w:abstractNumId="75">
    <w:nsid w:val="7FB7E0AA"/>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1"/>
    </w:lvl>
    <w:lvl w:ilvl="3">
      <w:lvlJc w:val="left"/>
      <w:lvlText w:val="(%4)"/>
      <w:numFmt w:val="lowerLetter"/>
      <w:start w:val="2"/>
    </w:lvl>
    <w:lvl w:ilvl="4">
      <w:lvlJc w:val="left"/>
      <w:lvlText w:val="(%5)"/>
      <w:numFmt w:val="lowerLetter"/>
      <w:start w:val="4"/>
    </w:lvl>
  </w:abstractNum>
  <w:abstractNum w:abstractNumId="76">
    <w:nsid w:val="6EB5BD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6"/>
    </w:lvl>
  </w:abstractNum>
  <w:abstractNum w:abstractNumId="77">
    <w:nsid w:val="6F6DD9A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8">
    <w:nsid w:val="94211F2"/>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abstractNum>
  <w:abstractNum w:abstractNumId="79">
    <w:nsid w:val="885E1B"/>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Letter"/>
      <w:start w:val="35"/>
    </w:lvl>
  </w:abstractNum>
  <w:abstractNum w:abstractNumId="80">
    <w:nsid w:val="76272110"/>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Letter"/>
      <w:start w:val="1"/>
    </w:lvl>
  </w:abstractNum>
  <w:abstractNum w:abstractNumId="81">
    <w:nsid w:val="4C04A8A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Letter"/>
      <w:start w:val="3"/>
    </w:lvl>
  </w:abstractNum>
  <w:abstractNum w:abstractNumId="82">
    <w:nsid w:val="1716703B"/>
    <w:multiLevelType w:val="hybridMultilevel"/>
    <w:lvl w:ilvl="0">
      <w:lvlJc w:val="left"/>
      <w:lvlText w:val="%1"/>
      <w:numFmt w:val="decimal"/>
      <w:start w:val="1"/>
    </w:lvl>
    <w:lvl w:ilvl="1">
      <w:lvlJc w:val="left"/>
      <w:lvlText w:val="%2"/>
      <w:numFmt w:val="decimal"/>
      <w:start w:val="1"/>
    </w:lvl>
    <w:lvl w:ilvl="2">
      <w:lvlJc w:val="left"/>
      <w:lvlText w:val="%3."/>
      <w:numFmt w:val="decimal"/>
      <w:start w:val="7"/>
    </w:lvl>
    <w:lvl w:ilvl="3">
      <w:lvlJc w:val="left"/>
      <w:lvlText w:val="%4"/>
      <w:numFmt w:val="decimal"/>
      <w:start w:val="1"/>
    </w:lvl>
    <w:lvl w:ilvl="4">
      <w:lvlJc w:val="left"/>
      <w:lvlText w:val="%5"/>
      <w:numFmt w:val="lowerLetter"/>
      <w:start w:val="1"/>
    </w:lvl>
  </w:abstractNum>
  <w:abstractNum w:abstractNumId="83">
    <w:nsid w:val="14E17E33"/>
    <w:multiLevelType w:val="hybridMultilevel"/>
    <w:lvl w:ilvl="0">
      <w:lvlJc w:val="left"/>
      <w:lvlText w:val="%1."/>
      <w:numFmt w:val="decimal"/>
      <w:start w:val="8"/>
    </w:lvl>
    <w:lvl w:ilvl="1">
      <w:lvlJc w:val="left"/>
      <w:lvlText w:val="%2."/>
      <w:numFmt w:val="decimal"/>
      <w:start w:val="9"/>
    </w:lvl>
    <w:lvl w:ilvl="2">
      <w:lvlJc w:val="left"/>
      <w:lvlText w:val="%3"/>
      <w:numFmt w:val="decimal"/>
      <w:start w:val="1"/>
    </w:lvl>
    <w:lvl w:ilvl="3">
      <w:lvlJc w:val="left"/>
      <w:lvlText w:val="%4."/>
      <w:numFmt w:val="decimal"/>
      <w:start w:val="10"/>
    </w:lvl>
    <w:lvl w:ilvl="4">
      <w:lvlJc w:val="left"/>
      <w:lvlText w:val="%5"/>
      <w:numFmt w:val="lowerLetter"/>
      <w:start w:val="1"/>
    </w:lvl>
  </w:abstractNum>
  <w:abstractNum w:abstractNumId="84">
    <w:nsid w:val="3222E7CD"/>
    <w:multiLevelType w:val="hybridMultilevel"/>
    <w:lvl w:ilvl="0">
      <w:lvlJc w:val="left"/>
      <w:lvlText w:val="%1."/>
      <w:numFmt w:val="decimal"/>
      <w:start w:val="11"/>
    </w:lvl>
    <w:lvl w:ilvl="1">
      <w:lvlJc w:val="left"/>
      <w:lvlText w:val="%2."/>
      <w:numFmt w:val="decimal"/>
      <w:start w:val="12"/>
    </w:lvl>
  </w:abstractNum>
  <w:abstractNum w:abstractNumId="85">
    <w:nsid w:val="74DE0EE3"/>
    <w:multiLevelType w:val="hybridMultilevel"/>
    <w:lvl w:ilvl="0">
      <w:lvlJc w:val="left"/>
      <w:lvlText w:val="%1."/>
      <w:numFmt w:val="decimal"/>
      <w:start w:val="14"/>
    </w:lvl>
    <w:lvl w:ilvl="1">
      <w:lvlJc w:val="left"/>
      <w:lvlText w:val="%2."/>
      <w:numFmt w:val="decimal"/>
      <w:start w:val="16"/>
    </w:lvl>
    <w:lvl w:ilvl="2">
      <w:lvlJc w:val="left"/>
      <w:lvlText w:val="%3."/>
      <w:numFmt w:val="decimal"/>
      <w:start w:val="16"/>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1."/>
      <w:numFmt w:val="decimal"/>
      <w:start w:val="2"/>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1."/>
      <w:numFmt w:val="decimal"/>
      <w:start w:val="2"/>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2020-01-20T17:41:17Z</dcterms:created>
  <dcterms:modified xsi:type="dcterms:W3CDTF">2020-01-20T17:41:17Z</dcterms:modified>
</cp:coreProperties>
</file>